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5.xml" ContentType="application/vnd.openxmlformats-officedocument.wordprocessingml.header+xml"/>
  <Override PartName="/word/footer42.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8.xml" ContentType="application/vnd.openxmlformats-officedocument.wordprocessingml.header+xml"/>
  <Override PartName="/word/footer4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1.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5DE89" w14:textId="77777777" w:rsidR="006E0CA8" w:rsidRPr="007B2462" w:rsidRDefault="006E0CA8" w:rsidP="006E0CA8">
      <w:pPr>
        <w:pBdr>
          <w:bottom w:val="single" w:sz="12" w:space="0" w:color="auto"/>
        </w:pBdr>
        <w:spacing w:before="1560"/>
        <w:jc w:val="center"/>
        <w:rPr>
          <w:rFonts w:ascii="Calibri" w:hAnsi="Calibri"/>
          <w:b/>
          <w:sz w:val="52"/>
          <w:szCs w:val="52"/>
        </w:rPr>
      </w:pPr>
      <w:r>
        <w:rPr>
          <w:rFonts w:ascii="Calibri" w:hAnsi="Calibri"/>
          <w:b/>
          <w:sz w:val="52"/>
          <w:szCs w:val="52"/>
        </w:rPr>
        <w:t>Budget Update</w:t>
      </w:r>
    </w:p>
    <w:p w14:paraId="03370B0F" w14:textId="77777777" w:rsidR="006E0CA8" w:rsidRPr="00E34C95" w:rsidRDefault="006E0CA8" w:rsidP="006E0CA8">
      <w:pPr>
        <w:jc w:val="center"/>
        <w:rPr>
          <w:rFonts w:ascii="Calibri" w:hAnsi="Calibri"/>
          <w:b/>
          <w:sz w:val="50"/>
          <w:szCs w:val="52"/>
        </w:rPr>
      </w:pPr>
      <w:r w:rsidRPr="007B2462">
        <w:rPr>
          <w:rFonts w:ascii="Calibri" w:hAnsi="Calibri"/>
          <w:b/>
          <w:sz w:val="52"/>
          <w:szCs w:val="52"/>
        </w:rPr>
        <w:t>201</w:t>
      </w:r>
      <w:r>
        <w:rPr>
          <w:rFonts w:ascii="Calibri" w:hAnsi="Calibri"/>
          <w:b/>
          <w:sz w:val="52"/>
          <w:szCs w:val="52"/>
        </w:rPr>
        <w:t>9</w:t>
      </w:r>
      <w:r>
        <w:rPr>
          <w:rFonts w:ascii="Calibri" w:hAnsi="Calibri"/>
          <w:b/>
          <w:sz w:val="52"/>
          <w:szCs w:val="52"/>
        </w:rPr>
        <w:noBreakHyphen/>
        <w:t>20</w:t>
      </w:r>
    </w:p>
    <w:p w14:paraId="71AFF764" w14:textId="77777777" w:rsidR="006E0CA8" w:rsidRDefault="006E0CA8" w:rsidP="006E0CA8">
      <w:pPr>
        <w:jc w:val="center"/>
        <w:rPr>
          <w:rFonts w:ascii="Calibri" w:hAnsi="Calibri"/>
          <w:sz w:val="30"/>
          <w:szCs w:val="30"/>
        </w:rPr>
      </w:pPr>
    </w:p>
    <w:p w14:paraId="06B2B956" w14:textId="77777777" w:rsidR="006E0CA8" w:rsidRPr="007B2462" w:rsidRDefault="006E0CA8" w:rsidP="006E0CA8">
      <w:pPr>
        <w:jc w:val="center"/>
        <w:rPr>
          <w:rFonts w:ascii="Calibri" w:hAnsi="Calibri"/>
          <w:sz w:val="30"/>
          <w:szCs w:val="30"/>
        </w:rPr>
      </w:pPr>
    </w:p>
    <w:p w14:paraId="117CC1FB" w14:textId="77777777" w:rsidR="006E0CA8" w:rsidRPr="007B2462" w:rsidRDefault="006E0CA8" w:rsidP="006E0CA8">
      <w:pPr>
        <w:jc w:val="center"/>
      </w:pPr>
      <w:r w:rsidRPr="00D26163">
        <w:rPr>
          <w:rFonts w:ascii="Calibri" w:hAnsi="Calibri" w:cs="Calibri"/>
          <w:noProof/>
          <w:lang w:eastAsia="en-AU"/>
        </w:rPr>
        <w:drawing>
          <wp:inline distT="0" distB="0" distL="0" distR="0" wp14:anchorId="120B29D1" wp14:editId="514FEED2">
            <wp:extent cx="940435" cy="11474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7A2A7453" w14:textId="77777777" w:rsidR="006E0CA8" w:rsidRPr="007B2462" w:rsidRDefault="006E0CA8" w:rsidP="006E0CA8">
      <w:pPr>
        <w:jc w:val="center"/>
        <w:rPr>
          <w:sz w:val="36"/>
          <w:szCs w:val="36"/>
        </w:rPr>
      </w:pPr>
    </w:p>
    <w:p w14:paraId="49BD928E" w14:textId="77777777" w:rsidR="006E0CA8" w:rsidRPr="007B2462" w:rsidRDefault="006E0CA8" w:rsidP="006E0CA8">
      <w:pPr>
        <w:jc w:val="center"/>
        <w:rPr>
          <w:sz w:val="36"/>
          <w:szCs w:val="36"/>
        </w:rPr>
      </w:pPr>
    </w:p>
    <w:p w14:paraId="08AC3BEA" w14:textId="77777777" w:rsidR="006E0CA8" w:rsidRPr="007B2462" w:rsidRDefault="006E0CA8" w:rsidP="006E0CA8">
      <w:pPr>
        <w:jc w:val="center"/>
        <w:rPr>
          <w:sz w:val="36"/>
          <w:szCs w:val="36"/>
        </w:rPr>
      </w:pPr>
    </w:p>
    <w:p w14:paraId="528329D1" w14:textId="77777777" w:rsidR="006E0CA8" w:rsidRPr="007B2462" w:rsidRDefault="006E0CA8" w:rsidP="006E0CA8">
      <w:pPr>
        <w:jc w:val="center"/>
        <w:rPr>
          <w:rFonts w:ascii="Calibri" w:hAnsi="Calibri"/>
          <w:sz w:val="28"/>
          <w:szCs w:val="28"/>
        </w:rPr>
      </w:pPr>
      <w:r w:rsidRPr="007B2462">
        <w:rPr>
          <w:rFonts w:ascii="Calibri" w:hAnsi="Calibri"/>
          <w:sz w:val="28"/>
          <w:szCs w:val="28"/>
        </w:rPr>
        <w:t>Presented by</w:t>
      </w:r>
    </w:p>
    <w:p w14:paraId="0CE81E68" w14:textId="77777777" w:rsidR="006E0CA8" w:rsidRPr="00D26163" w:rsidRDefault="006E0CA8" w:rsidP="006E0CA8">
      <w:pPr>
        <w:jc w:val="center"/>
        <w:rPr>
          <w:rFonts w:ascii="Calibri" w:hAnsi="Calibri" w:cs="Calibri"/>
          <w:b/>
          <w:sz w:val="36"/>
          <w:szCs w:val="36"/>
        </w:rPr>
      </w:pPr>
      <w:r w:rsidRPr="00D26163">
        <w:rPr>
          <w:rFonts w:ascii="Calibri" w:hAnsi="Calibri" w:cs="Calibri"/>
          <w:b/>
          <w:sz w:val="36"/>
          <w:szCs w:val="36"/>
        </w:rPr>
        <w:t>Tim Pallas MP</w:t>
      </w:r>
    </w:p>
    <w:p w14:paraId="3FE32957" w14:textId="77777777" w:rsidR="006E0CA8" w:rsidRPr="00D26163" w:rsidRDefault="006E0CA8" w:rsidP="006E0CA8">
      <w:pPr>
        <w:jc w:val="center"/>
        <w:rPr>
          <w:rFonts w:ascii="Calibri" w:hAnsi="Calibri" w:cs="Calibri"/>
          <w:sz w:val="28"/>
          <w:szCs w:val="28"/>
        </w:rPr>
      </w:pPr>
      <w:r w:rsidRPr="00D26163">
        <w:rPr>
          <w:rFonts w:ascii="Calibri" w:hAnsi="Calibri" w:cs="Calibri"/>
          <w:sz w:val="28"/>
          <w:szCs w:val="28"/>
        </w:rPr>
        <w:t>Treasurer of the State of Victoria</w:t>
      </w:r>
    </w:p>
    <w:p w14:paraId="08B5B2DE" w14:textId="77777777" w:rsidR="006E0CA8" w:rsidRDefault="006E0CA8" w:rsidP="006E0CA8">
      <w:pPr>
        <w:jc w:val="center"/>
        <w:rPr>
          <w:rFonts w:ascii="Calibri" w:hAnsi="Calibri"/>
          <w:sz w:val="30"/>
          <w:szCs w:val="30"/>
        </w:rPr>
      </w:pPr>
      <w:r w:rsidRPr="007B2462">
        <w:rPr>
          <w:rFonts w:ascii="Calibri" w:hAnsi="Calibri"/>
          <w:sz w:val="30"/>
          <w:szCs w:val="30"/>
        </w:rPr>
        <w:t>for the information of Honourable Members</w:t>
      </w:r>
    </w:p>
    <w:p w14:paraId="3D9BB455" w14:textId="0F70B010" w:rsidR="006E0CA8" w:rsidRDefault="006E0CA8" w:rsidP="006E0CA8">
      <w:pPr>
        <w:jc w:val="center"/>
        <w:rPr>
          <w:rFonts w:ascii="Calibri" w:hAnsi="Calibri"/>
          <w:sz w:val="30"/>
          <w:szCs w:val="30"/>
        </w:rPr>
      </w:pPr>
    </w:p>
    <w:p w14:paraId="4703EA18" w14:textId="77777777" w:rsidR="00F033D6" w:rsidRDefault="00F033D6">
      <w:pPr>
        <w:keepLines w:val="0"/>
        <w:rPr>
          <w:rFonts w:ascii="Calibri" w:hAnsi="Calibri"/>
          <w:sz w:val="30"/>
          <w:szCs w:val="30"/>
        </w:rPr>
        <w:sectPr w:rsidR="00F033D6" w:rsidSect="00F53820">
          <w:headerReference w:type="even" r:id="rId10"/>
          <w:headerReference w:type="default" r:id="rId11"/>
          <w:footerReference w:type="even" r:id="rId12"/>
          <w:footerReference w:type="default" r:id="rId13"/>
          <w:headerReference w:type="first" r:id="rId14"/>
          <w:footerReference w:type="first" r:id="rId15"/>
          <w:type w:val="continuous"/>
          <w:pgSz w:w="9979" w:h="14175" w:code="9"/>
          <w:pgMar w:top="850" w:right="1134" w:bottom="850" w:left="1134" w:header="624" w:footer="567" w:gutter="0"/>
          <w:cols w:sep="1" w:space="567"/>
          <w:docGrid w:linePitch="360"/>
        </w:sectPr>
      </w:pPr>
    </w:p>
    <w:p w14:paraId="26713C61" w14:textId="70F79609" w:rsidR="00F033D6" w:rsidRDefault="00F033D6" w:rsidP="00F033D6">
      <w:pPr>
        <w:rPr>
          <w:rFonts w:ascii="Calibri" w:hAnsi="Calibri"/>
          <w:sz w:val="30"/>
          <w:szCs w:val="30"/>
        </w:rPr>
      </w:pPr>
      <w:r w:rsidRPr="00F033D6">
        <w:lastRenderedPageBreak/>
        <w:drawing>
          <wp:inline distT="0" distB="0" distL="0" distR="0" wp14:anchorId="696AD091" wp14:editId="70183EB2">
            <wp:extent cx="3088005" cy="5219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8005" cy="5219065"/>
                    </a:xfrm>
                    <a:prstGeom prst="rect">
                      <a:avLst/>
                    </a:prstGeom>
                    <a:noFill/>
                    <a:ln>
                      <a:noFill/>
                    </a:ln>
                  </pic:spPr>
                </pic:pic>
              </a:graphicData>
            </a:graphic>
          </wp:inline>
        </w:drawing>
      </w:r>
    </w:p>
    <w:p w14:paraId="100B8DE6" w14:textId="77777777" w:rsidR="00F033D6" w:rsidRPr="007B2462" w:rsidRDefault="00F033D6" w:rsidP="006E0CA8">
      <w:pPr>
        <w:jc w:val="center"/>
        <w:rPr>
          <w:rFonts w:ascii="Calibri" w:hAnsi="Calibri"/>
          <w:sz w:val="30"/>
          <w:szCs w:val="30"/>
        </w:rPr>
      </w:pPr>
    </w:p>
    <w:p w14:paraId="1961F7E0" w14:textId="77777777" w:rsidR="006E0CA8" w:rsidRDefault="006E0CA8" w:rsidP="006E0CA8">
      <w:pPr>
        <w:sectPr w:rsidR="006E0CA8" w:rsidSect="00F033D6">
          <w:pgSz w:w="9979" w:h="14175" w:code="9"/>
          <w:pgMar w:top="851" w:right="1134" w:bottom="851" w:left="1134" w:header="624" w:footer="567" w:gutter="0"/>
          <w:cols w:sep="1" w:space="567"/>
          <w:vAlign w:val="bottom"/>
          <w:docGrid w:linePitch="360"/>
        </w:sectPr>
      </w:pPr>
    </w:p>
    <w:p w14:paraId="5E6EFB6E" w14:textId="77777777" w:rsidR="006E0CA8" w:rsidRPr="006F6363" w:rsidRDefault="006E0CA8" w:rsidP="006E0CA8">
      <w:pPr>
        <w:pageBreakBefore/>
        <w:pBdr>
          <w:bottom w:val="single" w:sz="6" w:space="1" w:color="auto"/>
        </w:pBdr>
        <w:spacing w:before="1440" w:after="240"/>
        <w:rPr>
          <w:rFonts w:ascii="Calibri" w:hAnsi="Calibri"/>
          <w:b/>
          <w:caps/>
          <w:sz w:val="36"/>
        </w:rPr>
      </w:pPr>
      <w:bookmarkStart w:id="0" w:name="_Toc481013395"/>
      <w:r w:rsidRPr="006F6363">
        <w:rPr>
          <w:rFonts w:ascii="Calibri" w:hAnsi="Calibri"/>
          <w:b/>
          <w:caps/>
          <w:sz w:val="36"/>
        </w:rPr>
        <w:lastRenderedPageBreak/>
        <w:t>TABLE OF CONTENTS</w:t>
      </w:r>
      <w:bookmarkEnd w:id="0"/>
    </w:p>
    <w:p w14:paraId="62B0877F" w14:textId="77B2FA98" w:rsidR="00B7380A" w:rsidRDefault="00B7380A">
      <w:pPr>
        <w:pStyle w:val="TOC1"/>
        <w:rPr>
          <w:rFonts w:asciiTheme="minorHAnsi" w:eastAsiaTheme="minorEastAsia" w:hAnsiTheme="minorHAnsi"/>
          <w:b w:val="0"/>
          <w:noProof/>
          <w:spacing w:val="0"/>
          <w:sz w:val="22"/>
          <w:szCs w:val="22"/>
          <w:lang w:eastAsia="en-AU"/>
        </w:rPr>
      </w:pPr>
      <w:r w:rsidRPr="00F033D6">
        <w:rPr>
          <w:noProof/>
        </w:rPr>
        <w:t>Chapter 1 – Economic and fiscal overview</w:t>
      </w:r>
      <w:r>
        <w:rPr>
          <w:noProof/>
          <w:webHidden/>
        </w:rPr>
        <w:tab/>
      </w:r>
      <w:r w:rsidR="00F033D6">
        <w:rPr>
          <w:noProof/>
          <w:webHidden/>
        </w:rPr>
        <w:t>1</w:t>
      </w:r>
    </w:p>
    <w:p w14:paraId="294AF97E" w14:textId="45C11629" w:rsidR="00B7380A" w:rsidRDefault="00B7380A">
      <w:pPr>
        <w:pStyle w:val="TOC1"/>
        <w:rPr>
          <w:rFonts w:asciiTheme="minorHAnsi" w:eastAsiaTheme="minorEastAsia" w:hAnsiTheme="minorHAnsi"/>
          <w:b w:val="0"/>
          <w:noProof/>
          <w:spacing w:val="0"/>
          <w:sz w:val="22"/>
          <w:szCs w:val="22"/>
          <w:lang w:eastAsia="en-AU"/>
        </w:rPr>
      </w:pPr>
      <w:r w:rsidRPr="00F033D6">
        <w:rPr>
          <w:noProof/>
        </w:rPr>
        <w:t>Chapter 2 – Economic context</w:t>
      </w:r>
      <w:r>
        <w:rPr>
          <w:noProof/>
          <w:webHidden/>
        </w:rPr>
        <w:tab/>
      </w:r>
      <w:r w:rsidR="00F033D6">
        <w:rPr>
          <w:noProof/>
          <w:webHidden/>
        </w:rPr>
        <w:t>7</w:t>
      </w:r>
    </w:p>
    <w:p w14:paraId="3C520EE5" w14:textId="6C538D89" w:rsidR="00B7380A" w:rsidRDefault="00B7380A">
      <w:pPr>
        <w:pStyle w:val="TOC2"/>
        <w:rPr>
          <w:rFonts w:asciiTheme="minorHAnsi" w:eastAsiaTheme="minorEastAsia" w:hAnsiTheme="minorHAnsi"/>
          <w:spacing w:val="0"/>
          <w:sz w:val="22"/>
          <w:szCs w:val="22"/>
          <w:lang w:eastAsia="en-AU"/>
        </w:rPr>
      </w:pPr>
      <w:r w:rsidRPr="00F033D6">
        <w:t>Victorian economic conditions and outlook</w:t>
      </w:r>
      <w:r>
        <w:rPr>
          <w:webHidden/>
        </w:rPr>
        <w:tab/>
      </w:r>
      <w:r w:rsidR="00F033D6">
        <w:rPr>
          <w:webHidden/>
        </w:rPr>
        <w:t>7</w:t>
      </w:r>
    </w:p>
    <w:p w14:paraId="331242E8" w14:textId="32FA22A2" w:rsidR="00B7380A" w:rsidRDefault="00B7380A">
      <w:pPr>
        <w:pStyle w:val="TOC2"/>
        <w:rPr>
          <w:rFonts w:asciiTheme="minorHAnsi" w:eastAsiaTheme="minorEastAsia" w:hAnsiTheme="minorHAnsi"/>
          <w:spacing w:val="0"/>
          <w:sz w:val="22"/>
          <w:szCs w:val="22"/>
          <w:lang w:eastAsia="en-AU"/>
        </w:rPr>
      </w:pPr>
      <w:r w:rsidRPr="00F033D6">
        <w:t>Australian economic conditions and outlook</w:t>
      </w:r>
      <w:r>
        <w:rPr>
          <w:webHidden/>
        </w:rPr>
        <w:tab/>
      </w:r>
      <w:r w:rsidR="00F033D6">
        <w:rPr>
          <w:webHidden/>
        </w:rPr>
        <w:t>13</w:t>
      </w:r>
    </w:p>
    <w:p w14:paraId="5E9D7E58" w14:textId="2E3BE937" w:rsidR="00B7380A" w:rsidRDefault="00B7380A">
      <w:pPr>
        <w:pStyle w:val="TOC2"/>
        <w:rPr>
          <w:rFonts w:asciiTheme="minorHAnsi" w:eastAsiaTheme="minorEastAsia" w:hAnsiTheme="minorHAnsi"/>
          <w:spacing w:val="0"/>
          <w:sz w:val="22"/>
          <w:szCs w:val="22"/>
          <w:lang w:eastAsia="en-AU"/>
        </w:rPr>
      </w:pPr>
      <w:r w:rsidRPr="00F033D6">
        <w:t>International economic conditions and outlook</w:t>
      </w:r>
      <w:r>
        <w:rPr>
          <w:webHidden/>
        </w:rPr>
        <w:tab/>
      </w:r>
      <w:r w:rsidR="00F033D6">
        <w:rPr>
          <w:webHidden/>
        </w:rPr>
        <w:t>13</w:t>
      </w:r>
    </w:p>
    <w:p w14:paraId="5B04DB6C" w14:textId="1F633C71" w:rsidR="00B7380A" w:rsidRDefault="00B7380A">
      <w:pPr>
        <w:pStyle w:val="TOC2"/>
        <w:rPr>
          <w:rFonts w:asciiTheme="minorHAnsi" w:eastAsiaTheme="minorEastAsia" w:hAnsiTheme="minorHAnsi"/>
          <w:spacing w:val="0"/>
          <w:sz w:val="22"/>
          <w:szCs w:val="22"/>
          <w:lang w:eastAsia="en-AU"/>
        </w:rPr>
      </w:pPr>
      <w:r w:rsidRPr="00F033D6">
        <w:t>Risks to the Victorian outlook</w:t>
      </w:r>
      <w:r>
        <w:rPr>
          <w:webHidden/>
        </w:rPr>
        <w:tab/>
      </w:r>
      <w:r w:rsidR="00F033D6">
        <w:rPr>
          <w:webHidden/>
        </w:rPr>
        <w:t>15</w:t>
      </w:r>
    </w:p>
    <w:p w14:paraId="646295D3" w14:textId="28E4DA62" w:rsidR="00B7380A" w:rsidRDefault="00B7380A">
      <w:pPr>
        <w:pStyle w:val="TOC1"/>
        <w:rPr>
          <w:rFonts w:asciiTheme="minorHAnsi" w:eastAsiaTheme="minorEastAsia" w:hAnsiTheme="minorHAnsi"/>
          <w:b w:val="0"/>
          <w:noProof/>
          <w:spacing w:val="0"/>
          <w:sz w:val="22"/>
          <w:szCs w:val="22"/>
          <w:lang w:eastAsia="en-AU"/>
        </w:rPr>
      </w:pPr>
      <w:r w:rsidRPr="00F033D6">
        <w:rPr>
          <w:noProof/>
        </w:rPr>
        <w:t>Chapter 3 – Budget position and outlook</w:t>
      </w:r>
      <w:r>
        <w:rPr>
          <w:noProof/>
          <w:webHidden/>
        </w:rPr>
        <w:tab/>
      </w:r>
      <w:r w:rsidR="00F033D6">
        <w:rPr>
          <w:noProof/>
          <w:webHidden/>
        </w:rPr>
        <w:t>17</w:t>
      </w:r>
    </w:p>
    <w:p w14:paraId="351AA674" w14:textId="36F7469F" w:rsidR="00B7380A" w:rsidRDefault="00B7380A">
      <w:pPr>
        <w:pStyle w:val="TOC2"/>
        <w:rPr>
          <w:rFonts w:asciiTheme="minorHAnsi" w:eastAsiaTheme="minorEastAsia" w:hAnsiTheme="minorHAnsi"/>
          <w:spacing w:val="0"/>
          <w:sz w:val="22"/>
          <w:szCs w:val="22"/>
          <w:lang w:eastAsia="en-AU"/>
        </w:rPr>
      </w:pPr>
      <w:r w:rsidRPr="00F033D6">
        <w:t>General government sector</w:t>
      </w:r>
      <w:r>
        <w:rPr>
          <w:webHidden/>
        </w:rPr>
        <w:tab/>
      </w:r>
      <w:r w:rsidR="00F033D6">
        <w:rPr>
          <w:webHidden/>
        </w:rPr>
        <w:t>18</w:t>
      </w:r>
    </w:p>
    <w:p w14:paraId="5A709212" w14:textId="6408EBAD" w:rsidR="00B7380A" w:rsidRDefault="00B7380A">
      <w:pPr>
        <w:pStyle w:val="TOC2"/>
        <w:rPr>
          <w:rFonts w:asciiTheme="minorHAnsi" w:eastAsiaTheme="minorEastAsia" w:hAnsiTheme="minorHAnsi"/>
          <w:spacing w:val="0"/>
          <w:sz w:val="22"/>
          <w:szCs w:val="22"/>
          <w:lang w:eastAsia="en-AU"/>
        </w:rPr>
      </w:pPr>
      <w:r w:rsidRPr="00F033D6">
        <w:t>Budget and forward estimates outlook</w:t>
      </w:r>
      <w:r>
        <w:rPr>
          <w:webHidden/>
        </w:rPr>
        <w:tab/>
      </w:r>
      <w:r w:rsidR="00F033D6">
        <w:rPr>
          <w:webHidden/>
        </w:rPr>
        <w:t>19</w:t>
      </w:r>
    </w:p>
    <w:p w14:paraId="2BA0A5E4" w14:textId="565636EB" w:rsidR="00B7380A" w:rsidRDefault="00B7380A">
      <w:pPr>
        <w:pStyle w:val="TOC2"/>
        <w:rPr>
          <w:rFonts w:asciiTheme="minorHAnsi" w:eastAsiaTheme="minorEastAsia" w:hAnsiTheme="minorHAnsi"/>
          <w:spacing w:val="0"/>
          <w:sz w:val="22"/>
          <w:szCs w:val="22"/>
          <w:lang w:eastAsia="en-AU"/>
        </w:rPr>
      </w:pPr>
      <w:r w:rsidRPr="00F033D6">
        <w:t>Fiscal risks</w:t>
      </w:r>
      <w:r>
        <w:rPr>
          <w:webHidden/>
        </w:rPr>
        <w:tab/>
      </w:r>
      <w:r w:rsidR="00F033D6">
        <w:rPr>
          <w:webHidden/>
        </w:rPr>
        <w:t>28</w:t>
      </w:r>
    </w:p>
    <w:p w14:paraId="4D08DE24" w14:textId="5F972C31" w:rsidR="00B7380A" w:rsidRDefault="00B7380A">
      <w:pPr>
        <w:pStyle w:val="TOC2"/>
        <w:rPr>
          <w:rFonts w:asciiTheme="minorHAnsi" w:eastAsiaTheme="minorEastAsia" w:hAnsiTheme="minorHAnsi"/>
          <w:spacing w:val="0"/>
          <w:sz w:val="22"/>
          <w:szCs w:val="22"/>
          <w:lang w:eastAsia="en-AU"/>
        </w:rPr>
      </w:pPr>
      <w:r w:rsidRPr="00F033D6">
        <w:t>Non</w:t>
      </w:r>
      <w:r w:rsidRPr="00F033D6">
        <w:noBreakHyphen/>
        <w:t>financial public sector</w:t>
      </w:r>
      <w:r>
        <w:rPr>
          <w:webHidden/>
        </w:rPr>
        <w:tab/>
      </w:r>
      <w:r w:rsidR="00F033D6">
        <w:rPr>
          <w:webHidden/>
        </w:rPr>
        <w:t>31</w:t>
      </w:r>
    </w:p>
    <w:p w14:paraId="683EDB66" w14:textId="4FA65C35" w:rsidR="00B7380A" w:rsidRDefault="00B7380A">
      <w:pPr>
        <w:pStyle w:val="TOC2"/>
        <w:rPr>
          <w:rFonts w:asciiTheme="minorHAnsi" w:eastAsiaTheme="minorEastAsia" w:hAnsiTheme="minorHAnsi"/>
          <w:spacing w:val="0"/>
          <w:sz w:val="22"/>
          <w:szCs w:val="22"/>
          <w:lang w:eastAsia="en-AU"/>
        </w:rPr>
      </w:pPr>
      <w:r w:rsidRPr="00F033D6">
        <w:t>Non</w:t>
      </w:r>
      <w:r w:rsidRPr="00F033D6">
        <w:noBreakHyphen/>
        <w:t>financial public sector net debt and net financial liabilities</w:t>
      </w:r>
      <w:r>
        <w:rPr>
          <w:webHidden/>
        </w:rPr>
        <w:tab/>
      </w:r>
      <w:r w:rsidR="00F033D6">
        <w:rPr>
          <w:webHidden/>
        </w:rPr>
        <w:t>34</w:t>
      </w:r>
    </w:p>
    <w:p w14:paraId="4E73CD77" w14:textId="16BD9261" w:rsidR="00B7380A" w:rsidRDefault="00B7380A">
      <w:pPr>
        <w:pStyle w:val="TOC2"/>
        <w:rPr>
          <w:rFonts w:asciiTheme="minorHAnsi" w:eastAsiaTheme="minorEastAsia" w:hAnsiTheme="minorHAnsi"/>
          <w:spacing w:val="0"/>
          <w:sz w:val="22"/>
          <w:szCs w:val="22"/>
          <w:lang w:eastAsia="en-AU"/>
        </w:rPr>
      </w:pPr>
      <w:r w:rsidRPr="00F033D6">
        <w:t>State of Victoria</w:t>
      </w:r>
      <w:r>
        <w:rPr>
          <w:webHidden/>
        </w:rPr>
        <w:tab/>
      </w:r>
      <w:r w:rsidR="00F033D6">
        <w:rPr>
          <w:webHidden/>
        </w:rPr>
        <w:t>36</w:t>
      </w:r>
    </w:p>
    <w:p w14:paraId="4B9E4045" w14:textId="464C8632" w:rsidR="00B7380A" w:rsidRDefault="00B7380A">
      <w:pPr>
        <w:pStyle w:val="TOC1"/>
        <w:rPr>
          <w:rFonts w:asciiTheme="minorHAnsi" w:eastAsiaTheme="minorEastAsia" w:hAnsiTheme="minorHAnsi"/>
          <w:b w:val="0"/>
          <w:noProof/>
          <w:spacing w:val="0"/>
          <w:sz w:val="22"/>
          <w:szCs w:val="22"/>
          <w:lang w:eastAsia="en-AU"/>
        </w:rPr>
      </w:pPr>
      <w:r w:rsidRPr="00F033D6">
        <w:rPr>
          <w:noProof/>
        </w:rPr>
        <w:t>Chapter 4 – Estimated financial statements and notes</w:t>
      </w:r>
      <w:r>
        <w:rPr>
          <w:noProof/>
          <w:webHidden/>
        </w:rPr>
        <w:tab/>
      </w:r>
      <w:r w:rsidR="00F033D6">
        <w:rPr>
          <w:noProof/>
          <w:webHidden/>
        </w:rPr>
        <w:t>39</w:t>
      </w:r>
    </w:p>
    <w:p w14:paraId="11148271" w14:textId="65D1A93D" w:rsidR="00B7380A" w:rsidRDefault="00B7380A">
      <w:pPr>
        <w:pStyle w:val="TOC2"/>
        <w:rPr>
          <w:rFonts w:asciiTheme="minorHAnsi" w:eastAsiaTheme="minorEastAsia" w:hAnsiTheme="minorHAnsi"/>
          <w:spacing w:val="0"/>
          <w:sz w:val="22"/>
          <w:szCs w:val="22"/>
          <w:lang w:eastAsia="en-AU"/>
        </w:rPr>
      </w:pPr>
      <w:r w:rsidRPr="00F033D6">
        <w:t>Estimated general government sector comprehensive operating statement</w:t>
      </w:r>
      <w:r>
        <w:rPr>
          <w:webHidden/>
        </w:rPr>
        <w:tab/>
      </w:r>
      <w:r w:rsidR="00F033D6">
        <w:rPr>
          <w:webHidden/>
        </w:rPr>
        <w:t>39</w:t>
      </w:r>
    </w:p>
    <w:p w14:paraId="5ADCE7B1" w14:textId="75E2A4E8" w:rsidR="00B7380A" w:rsidRDefault="00B7380A">
      <w:pPr>
        <w:pStyle w:val="TOC2"/>
        <w:rPr>
          <w:rFonts w:asciiTheme="minorHAnsi" w:eastAsiaTheme="minorEastAsia" w:hAnsiTheme="minorHAnsi"/>
          <w:spacing w:val="0"/>
          <w:sz w:val="22"/>
          <w:szCs w:val="22"/>
          <w:lang w:eastAsia="en-AU"/>
        </w:rPr>
      </w:pPr>
      <w:r w:rsidRPr="00F033D6">
        <w:t>Estimated general government sector balance sheet</w:t>
      </w:r>
      <w:r>
        <w:rPr>
          <w:webHidden/>
        </w:rPr>
        <w:tab/>
      </w:r>
      <w:r w:rsidR="00F033D6">
        <w:rPr>
          <w:webHidden/>
        </w:rPr>
        <w:t>41</w:t>
      </w:r>
    </w:p>
    <w:p w14:paraId="67B14571" w14:textId="1D9C13CF" w:rsidR="00B7380A" w:rsidRDefault="00B7380A">
      <w:pPr>
        <w:pStyle w:val="TOC2"/>
        <w:rPr>
          <w:rFonts w:asciiTheme="minorHAnsi" w:eastAsiaTheme="minorEastAsia" w:hAnsiTheme="minorHAnsi"/>
          <w:spacing w:val="0"/>
          <w:sz w:val="22"/>
          <w:szCs w:val="22"/>
          <w:lang w:eastAsia="en-AU"/>
        </w:rPr>
      </w:pPr>
      <w:r w:rsidRPr="00F033D6">
        <w:t>Estimated general government sector cash flow statement</w:t>
      </w:r>
      <w:r>
        <w:rPr>
          <w:webHidden/>
        </w:rPr>
        <w:tab/>
      </w:r>
      <w:r w:rsidR="00F033D6">
        <w:rPr>
          <w:webHidden/>
        </w:rPr>
        <w:t>42</w:t>
      </w:r>
    </w:p>
    <w:p w14:paraId="16C1FF95" w14:textId="5C981E5C" w:rsidR="00B7380A" w:rsidRDefault="00B7380A">
      <w:pPr>
        <w:pStyle w:val="TOC2"/>
        <w:rPr>
          <w:rFonts w:asciiTheme="minorHAnsi" w:eastAsiaTheme="minorEastAsia" w:hAnsiTheme="minorHAnsi"/>
          <w:spacing w:val="0"/>
          <w:sz w:val="22"/>
          <w:szCs w:val="22"/>
          <w:lang w:eastAsia="en-AU"/>
        </w:rPr>
      </w:pPr>
      <w:r w:rsidRPr="00F033D6">
        <w:t>Estimated general government sector statement of changes in equity</w:t>
      </w:r>
      <w:r>
        <w:rPr>
          <w:webHidden/>
        </w:rPr>
        <w:tab/>
      </w:r>
      <w:r w:rsidR="00F033D6">
        <w:rPr>
          <w:webHidden/>
        </w:rPr>
        <w:t>44</w:t>
      </w:r>
    </w:p>
    <w:p w14:paraId="2B76B073" w14:textId="7758A45A" w:rsidR="00B7380A" w:rsidRDefault="00B7380A">
      <w:pPr>
        <w:pStyle w:val="TOC1"/>
        <w:rPr>
          <w:rFonts w:asciiTheme="minorHAnsi" w:eastAsiaTheme="minorEastAsia" w:hAnsiTheme="minorHAnsi"/>
          <w:b w:val="0"/>
          <w:noProof/>
          <w:spacing w:val="0"/>
          <w:sz w:val="22"/>
          <w:szCs w:val="22"/>
          <w:lang w:eastAsia="en-AU"/>
        </w:rPr>
      </w:pPr>
      <w:r w:rsidRPr="00F033D6">
        <w:rPr>
          <w:noProof/>
        </w:rPr>
        <w:t>Chapter 5 – Supplementary uniform presentation framework tables</w:t>
      </w:r>
      <w:r>
        <w:rPr>
          <w:noProof/>
          <w:webHidden/>
        </w:rPr>
        <w:tab/>
      </w:r>
      <w:r w:rsidR="00F033D6">
        <w:rPr>
          <w:noProof/>
          <w:webHidden/>
        </w:rPr>
        <w:t>77</w:t>
      </w:r>
    </w:p>
    <w:p w14:paraId="035C03E6" w14:textId="1163BFCE" w:rsidR="00B7380A" w:rsidRDefault="00B7380A">
      <w:pPr>
        <w:pStyle w:val="TOC1"/>
        <w:rPr>
          <w:rFonts w:asciiTheme="minorHAnsi" w:eastAsiaTheme="minorEastAsia" w:hAnsiTheme="minorHAnsi"/>
          <w:b w:val="0"/>
          <w:noProof/>
          <w:spacing w:val="0"/>
          <w:sz w:val="22"/>
          <w:szCs w:val="22"/>
          <w:lang w:eastAsia="en-AU"/>
        </w:rPr>
      </w:pPr>
      <w:r w:rsidRPr="00F033D6">
        <w:rPr>
          <w:noProof/>
        </w:rPr>
        <w:t>Chapter 6 – Contingent assets and contingent liabilities</w:t>
      </w:r>
      <w:r>
        <w:rPr>
          <w:noProof/>
          <w:webHidden/>
        </w:rPr>
        <w:tab/>
      </w:r>
      <w:r w:rsidR="00F033D6">
        <w:rPr>
          <w:noProof/>
          <w:webHidden/>
        </w:rPr>
        <w:t>103</w:t>
      </w:r>
    </w:p>
    <w:p w14:paraId="7C0E330B" w14:textId="3CBEBF1D" w:rsidR="00B7380A" w:rsidRDefault="00B7380A">
      <w:pPr>
        <w:pStyle w:val="TOC2"/>
        <w:rPr>
          <w:rFonts w:asciiTheme="minorHAnsi" w:eastAsiaTheme="minorEastAsia" w:hAnsiTheme="minorHAnsi"/>
          <w:spacing w:val="0"/>
          <w:sz w:val="22"/>
          <w:szCs w:val="22"/>
          <w:lang w:eastAsia="en-AU"/>
        </w:rPr>
      </w:pPr>
      <w:r w:rsidRPr="00F033D6">
        <w:t>Contingent assets</w:t>
      </w:r>
      <w:r>
        <w:rPr>
          <w:webHidden/>
        </w:rPr>
        <w:tab/>
      </w:r>
      <w:r w:rsidR="00F033D6">
        <w:rPr>
          <w:webHidden/>
        </w:rPr>
        <w:t>103</w:t>
      </w:r>
    </w:p>
    <w:p w14:paraId="47C91871" w14:textId="3F0482F8" w:rsidR="00B7380A" w:rsidRDefault="00B7380A">
      <w:pPr>
        <w:pStyle w:val="TOC2"/>
        <w:rPr>
          <w:rFonts w:asciiTheme="minorHAnsi" w:eastAsiaTheme="minorEastAsia" w:hAnsiTheme="minorHAnsi"/>
          <w:spacing w:val="0"/>
          <w:sz w:val="22"/>
          <w:szCs w:val="22"/>
          <w:lang w:eastAsia="en-AU"/>
        </w:rPr>
      </w:pPr>
      <w:r w:rsidRPr="00F033D6">
        <w:t>Contingent liabilities</w:t>
      </w:r>
      <w:r>
        <w:rPr>
          <w:webHidden/>
        </w:rPr>
        <w:tab/>
      </w:r>
      <w:r w:rsidR="00F033D6">
        <w:rPr>
          <w:webHidden/>
        </w:rPr>
        <w:t>104</w:t>
      </w:r>
    </w:p>
    <w:p w14:paraId="08BB932D" w14:textId="3E2F3316" w:rsidR="00B7380A" w:rsidRDefault="00B7380A">
      <w:pPr>
        <w:pStyle w:val="TOC1"/>
        <w:rPr>
          <w:rFonts w:asciiTheme="minorHAnsi" w:eastAsiaTheme="minorEastAsia" w:hAnsiTheme="minorHAnsi"/>
          <w:b w:val="0"/>
          <w:noProof/>
          <w:spacing w:val="0"/>
          <w:sz w:val="22"/>
          <w:szCs w:val="22"/>
          <w:lang w:eastAsia="en-AU"/>
        </w:rPr>
      </w:pPr>
      <w:r w:rsidRPr="00F033D6">
        <w:rPr>
          <w:noProof/>
        </w:rPr>
        <w:t>Appendix A – Specific policy initiatives affecting budget position</w:t>
      </w:r>
      <w:r>
        <w:rPr>
          <w:noProof/>
          <w:webHidden/>
        </w:rPr>
        <w:tab/>
      </w:r>
      <w:r w:rsidR="00F033D6">
        <w:rPr>
          <w:noProof/>
          <w:webHidden/>
        </w:rPr>
        <w:t>111</w:t>
      </w:r>
    </w:p>
    <w:p w14:paraId="1F09DCF2" w14:textId="3BD5B92E" w:rsidR="00B7380A" w:rsidRDefault="00B7380A">
      <w:pPr>
        <w:pStyle w:val="TOC1"/>
        <w:rPr>
          <w:rFonts w:asciiTheme="minorHAnsi" w:eastAsiaTheme="minorEastAsia" w:hAnsiTheme="minorHAnsi"/>
          <w:b w:val="0"/>
          <w:noProof/>
          <w:spacing w:val="0"/>
          <w:sz w:val="22"/>
          <w:szCs w:val="22"/>
          <w:lang w:eastAsia="en-AU"/>
        </w:rPr>
      </w:pPr>
      <w:r w:rsidRPr="00F033D6">
        <w:rPr>
          <w:noProof/>
        </w:rPr>
        <w:t>Appendix B – Amendments to the 2019-20 output performance measures</w:t>
      </w:r>
      <w:r>
        <w:rPr>
          <w:noProof/>
          <w:webHidden/>
        </w:rPr>
        <w:tab/>
      </w:r>
      <w:r w:rsidR="00F033D6">
        <w:rPr>
          <w:noProof/>
          <w:webHidden/>
        </w:rPr>
        <w:t>129</w:t>
      </w:r>
    </w:p>
    <w:p w14:paraId="586E0136" w14:textId="3B014632" w:rsidR="00B7380A" w:rsidRDefault="00B7380A">
      <w:pPr>
        <w:pStyle w:val="TOC1"/>
        <w:rPr>
          <w:rFonts w:asciiTheme="minorHAnsi" w:eastAsiaTheme="minorEastAsia" w:hAnsiTheme="minorHAnsi"/>
          <w:b w:val="0"/>
          <w:noProof/>
          <w:spacing w:val="0"/>
          <w:sz w:val="22"/>
          <w:szCs w:val="22"/>
          <w:lang w:eastAsia="en-AU"/>
        </w:rPr>
      </w:pPr>
      <w:r w:rsidRPr="00F033D6">
        <w:rPr>
          <w:noProof/>
        </w:rPr>
        <w:t>Appendix C – Tax expenditures and concessions</w:t>
      </w:r>
      <w:r>
        <w:rPr>
          <w:noProof/>
          <w:webHidden/>
        </w:rPr>
        <w:tab/>
      </w:r>
      <w:r w:rsidR="00F033D6">
        <w:rPr>
          <w:noProof/>
          <w:webHidden/>
        </w:rPr>
        <w:t>131</w:t>
      </w:r>
    </w:p>
    <w:p w14:paraId="0F315188" w14:textId="00BE6843" w:rsidR="00B7380A" w:rsidRDefault="00B7380A">
      <w:pPr>
        <w:pStyle w:val="TOC1"/>
        <w:rPr>
          <w:rFonts w:asciiTheme="minorHAnsi" w:eastAsiaTheme="minorEastAsia" w:hAnsiTheme="minorHAnsi"/>
          <w:b w:val="0"/>
          <w:noProof/>
          <w:spacing w:val="0"/>
          <w:sz w:val="22"/>
          <w:szCs w:val="22"/>
          <w:lang w:eastAsia="en-AU"/>
        </w:rPr>
      </w:pPr>
      <w:r w:rsidRPr="00F033D6">
        <w:rPr>
          <w:noProof/>
        </w:rPr>
        <w:t>Appendix D – Sensitivity analysis</w:t>
      </w:r>
      <w:r>
        <w:rPr>
          <w:noProof/>
          <w:webHidden/>
        </w:rPr>
        <w:tab/>
      </w:r>
      <w:r w:rsidR="00F033D6">
        <w:rPr>
          <w:noProof/>
          <w:webHidden/>
        </w:rPr>
        <w:t>133</w:t>
      </w:r>
    </w:p>
    <w:p w14:paraId="72118ADF" w14:textId="01F483C5" w:rsidR="00B7380A" w:rsidRDefault="00B7380A">
      <w:pPr>
        <w:pStyle w:val="TOC1"/>
        <w:rPr>
          <w:rFonts w:asciiTheme="minorHAnsi" w:eastAsiaTheme="minorEastAsia" w:hAnsiTheme="minorHAnsi"/>
          <w:b w:val="0"/>
          <w:noProof/>
          <w:spacing w:val="0"/>
          <w:sz w:val="22"/>
          <w:szCs w:val="22"/>
          <w:lang w:eastAsia="en-AU"/>
        </w:rPr>
      </w:pPr>
      <w:r w:rsidRPr="00F033D6">
        <w:rPr>
          <w:noProof/>
        </w:rPr>
        <w:t xml:space="preserve">Appendix E – Requirements of the </w:t>
      </w:r>
      <w:r w:rsidRPr="00F033D6">
        <w:rPr>
          <w:i/>
          <w:noProof/>
        </w:rPr>
        <w:t>Financial Management Act 1994</w:t>
      </w:r>
      <w:r>
        <w:rPr>
          <w:noProof/>
          <w:webHidden/>
        </w:rPr>
        <w:tab/>
      </w:r>
      <w:r w:rsidR="00F033D6">
        <w:rPr>
          <w:noProof/>
          <w:webHidden/>
        </w:rPr>
        <w:t>143</w:t>
      </w:r>
    </w:p>
    <w:p w14:paraId="26097D42" w14:textId="6BFB9C93" w:rsidR="00B7380A" w:rsidRDefault="00B7380A">
      <w:pPr>
        <w:pStyle w:val="TOC1"/>
        <w:rPr>
          <w:rFonts w:asciiTheme="minorHAnsi" w:eastAsiaTheme="minorEastAsia" w:hAnsiTheme="minorHAnsi"/>
          <w:b w:val="0"/>
          <w:noProof/>
          <w:spacing w:val="0"/>
          <w:sz w:val="22"/>
          <w:szCs w:val="22"/>
          <w:lang w:eastAsia="en-AU"/>
        </w:rPr>
      </w:pPr>
      <w:r w:rsidRPr="00F033D6">
        <w:rPr>
          <w:noProof/>
        </w:rPr>
        <w:t>Style conventions</w:t>
      </w:r>
      <w:r>
        <w:rPr>
          <w:noProof/>
          <w:webHidden/>
        </w:rPr>
        <w:tab/>
      </w:r>
      <w:r w:rsidR="00F033D6">
        <w:rPr>
          <w:noProof/>
          <w:webHidden/>
        </w:rPr>
        <w:t>145</w:t>
      </w:r>
    </w:p>
    <w:p w14:paraId="55170459" w14:textId="6CEA685F" w:rsidR="00964B88" w:rsidRDefault="00964B88" w:rsidP="006E0CA8">
      <w:pPr>
        <w:keepLines w:val="0"/>
      </w:pPr>
    </w:p>
    <w:p w14:paraId="6F0EAD16" w14:textId="77777777" w:rsidR="00964B88" w:rsidRDefault="00964B88" w:rsidP="0052294D">
      <w:pPr>
        <w:sectPr w:rsidR="00964B88" w:rsidSect="006E0CA8">
          <w:footerReference w:type="even" r:id="rId17"/>
          <w:footerReference w:type="default" r:id="rId18"/>
          <w:footerReference w:type="first" r:id="rId19"/>
          <w:type w:val="oddPage"/>
          <w:pgSz w:w="9979" w:h="14175" w:code="34"/>
          <w:pgMar w:top="851" w:right="1134" w:bottom="851" w:left="1134" w:header="624" w:footer="567" w:gutter="0"/>
          <w:pgNumType w:fmt="lowerRoman" w:start="1"/>
          <w:cols w:sep="1" w:space="567"/>
          <w:docGrid w:linePitch="360"/>
        </w:sectPr>
      </w:pPr>
    </w:p>
    <w:p w14:paraId="21130E45" w14:textId="77777777" w:rsidR="00964B88" w:rsidRPr="00495025" w:rsidRDefault="00495025" w:rsidP="00495025">
      <w:pPr>
        <w:pStyle w:val="Chapterheading"/>
      </w:pPr>
      <w:bookmarkStart w:id="1" w:name="_Toc26788527"/>
      <w:r w:rsidRPr="00495025">
        <w:lastRenderedPageBreak/>
        <w:t xml:space="preserve">Chapter </w:t>
      </w:r>
      <w:r w:rsidR="00964B88" w:rsidRPr="00495025">
        <w:t xml:space="preserve">1 – </w:t>
      </w:r>
      <w:r w:rsidRPr="00495025">
        <w:t>Economic and fiscal overview</w:t>
      </w:r>
      <w:bookmarkEnd w:id="1"/>
    </w:p>
    <w:p w14:paraId="7317287B" w14:textId="77777777" w:rsidR="00964B88" w:rsidRDefault="00964B88" w:rsidP="00F53820">
      <w:pPr>
        <w:numPr>
          <w:ilvl w:val="0"/>
          <w:numId w:val="19"/>
        </w:numPr>
        <w:pBdr>
          <w:top w:val="single" w:sz="6" w:space="0" w:color="auto"/>
          <w:left w:val="single" w:sz="6" w:space="5" w:color="auto"/>
          <w:bottom w:val="single" w:sz="6" w:space="3" w:color="auto"/>
          <w:right w:val="single" w:sz="6" w:space="5" w:color="auto"/>
        </w:pBdr>
        <w:shd w:val="clear" w:color="auto" w:fill="F2F2F2"/>
        <w:spacing w:before="60"/>
        <w:ind w:left="284" w:hanging="284"/>
        <w:rPr>
          <w:rFonts w:ascii="Garamond" w:eastAsia="Garamond" w:hAnsi="Garamond" w:cs="Times New Roman"/>
        </w:rPr>
      </w:pPr>
      <w:bookmarkStart w:id="2" w:name="_Hlk525034751"/>
      <w:r w:rsidRPr="00E46667">
        <w:rPr>
          <w:rFonts w:ascii="Garamond" w:eastAsia="Garamond" w:hAnsi="Garamond" w:cs="Times New Roman"/>
          <w:b/>
        </w:rPr>
        <w:t>Strong jobs growth</w:t>
      </w:r>
      <w:r>
        <w:rPr>
          <w:rFonts w:ascii="Garamond" w:eastAsia="Garamond" w:hAnsi="Garamond" w:cs="Times New Roman"/>
        </w:rPr>
        <w:t xml:space="preserve"> – Victoria’s economy has grown above-trend for five consecutive years, employment growth has been stronger than any other state, the unemployment rate is below the national average, and workforce participation is at near record-high levels.</w:t>
      </w:r>
    </w:p>
    <w:p w14:paraId="5A78F875" w14:textId="77777777" w:rsidR="00964B88" w:rsidRPr="00C54434" w:rsidRDefault="00964B88" w:rsidP="00F53820">
      <w:pPr>
        <w:numPr>
          <w:ilvl w:val="0"/>
          <w:numId w:val="19"/>
        </w:numPr>
        <w:pBdr>
          <w:top w:val="single" w:sz="6" w:space="0" w:color="auto"/>
          <w:left w:val="single" w:sz="6" w:space="5" w:color="auto"/>
          <w:bottom w:val="single" w:sz="6" w:space="3" w:color="auto"/>
          <w:right w:val="single" w:sz="6" w:space="5" w:color="auto"/>
        </w:pBdr>
        <w:shd w:val="clear" w:color="auto" w:fill="F2F2F2"/>
        <w:spacing w:before="60"/>
        <w:ind w:left="284" w:hanging="284"/>
        <w:rPr>
          <w:rFonts w:ascii="Garamond" w:eastAsia="Garamond" w:hAnsi="Garamond" w:cs="Times New Roman"/>
        </w:rPr>
      </w:pPr>
      <w:r w:rsidRPr="009E2FE2">
        <w:rPr>
          <w:rFonts w:ascii="Garamond" w:eastAsia="Garamond" w:hAnsi="Garamond" w:cs="Times New Roman"/>
          <w:b/>
        </w:rPr>
        <w:t>Subdued national economy</w:t>
      </w:r>
      <w:r>
        <w:rPr>
          <w:rFonts w:ascii="Garamond" w:eastAsia="Garamond" w:hAnsi="Garamond" w:cs="Times New Roman"/>
        </w:rPr>
        <w:t xml:space="preserve"> – A subdued national </w:t>
      </w:r>
      <w:r w:rsidRPr="009E2FE2">
        <w:rPr>
          <w:rFonts w:ascii="Garamond" w:eastAsia="Garamond" w:hAnsi="Garamond" w:cs="Times New Roman"/>
        </w:rPr>
        <w:t>outlook for consumption and dwelling investment</w:t>
      </w:r>
      <w:r>
        <w:rPr>
          <w:rFonts w:ascii="Garamond" w:eastAsia="Garamond" w:hAnsi="Garamond" w:cs="Times New Roman"/>
        </w:rPr>
        <w:t xml:space="preserve"> is expected to slow growth in the </w:t>
      </w:r>
      <w:r w:rsidRPr="009E2FE2">
        <w:rPr>
          <w:rFonts w:ascii="Garamond" w:eastAsia="Garamond" w:hAnsi="Garamond" w:cs="Times New Roman"/>
        </w:rPr>
        <w:t xml:space="preserve">GST </w:t>
      </w:r>
      <w:r>
        <w:rPr>
          <w:rFonts w:ascii="Garamond" w:eastAsia="Garamond" w:hAnsi="Garamond" w:cs="Times New Roman"/>
        </w:rPr>
        <w:t xml:space="preserve">pool. </w:t>
      </w:r>
    </w:p>
    <w:p w14:paraId="6DE0916B" w14:textId="77777777" w:rsidR="00964B88" w:rsidRDefault="00964B88" w:rsidP="00F53820">
      <w:pPr>
        <w:pStyle w:val="HighlightBoxBullet"/>
        <w:numPr>
          <w:ilvl w:val="0"/>
          <w:numId w:val="19"/>
        </w:numPr>
        <w:pBdr>
          <w:top w:val="single" w:sz="6" w:space="0" w:color="auto"/>
        </w:pBdr>
        <w:ind w:left="284" w:hanging="284"/>
      </w:pPr>
      <w:r w:rsidRPr="006064C3">
        <w:rPr>
          <w:b/>
        </w:rPr>
        <w:t>Prudent financial management</w:t>
      </w:r>
      <w:r>
        <w:t xml:space="preserve"> </w:t>
      </w:r>
      <w:r>
        <w:rPr>
          <w:rFonts w:ascii="Garamond" w:eastAsia="Garamond" w:hAnsi="Garamond" w:cs="Times New Roman"/>
        </w:rPr>
        <w:t>–</w:t>
      </w:r>
      <w:r>
        <w:t xml:space="preserve"> </w:t>
      </w:r>
      <w:r w:rsidRPr="006064C3">
        <w:t>The general government operating result</w:t>
      </w:r>
      <w:r>
        <w:t xml:space="preserve"> </w:t>
      </w:r>
      <w:r w:rsidRPr="006064C3">
        <w:t>(net</w:t>
      </w:r>
      <w:r>
        <w:t> </w:t>
      </w:r>
      <w:r w:rsidRPr="006064C3">
        <w:t>result from transactions) is forecast to be a surplus of $</w:t>
      </w:r>
      <w:r>
        <w:t>618</w:t>
      </w:r>
      <w:r w:rsidRPr="006064C3">
        <w:t xml:space="preserve"> million in 2019-20, with annual operating surpluses averaging $3.</w:t>
      </w:r>
      <w:r>
        <w:t>3</w:t>
      </w:r>
      <w:r w:rsidRPr="006064C3">
        <w:t xml:space="preserve"> billion</w:t>
      </w:r>
      <w:r>
        <w:t xml:space="preserve"> a year across</w:t>
      </w:r>
      <w:r w:rsidRPr="006064C3">
        <w:t xml:space="preserve"> the forward estimates.</w:t>
      </w:r>
    </w:p>
    <w:p w14:paraId="5B37ABCF" w14:textId="77777777" w:rsidR="00964B88" w:rsidRPr="00EA2E2D" w:rsidRDefault="00964B88" w:rsidP="00F53820">
      <w:pPr>
        <w:pStyle w:val="HighlightBoxBullet"/>
        <w:numPr>
          <w:ilvl w:val="0"/>
          <w:numId w:val="19"/>
        </w:numPr>
        <w:pBdr>
          <w:top w:val="single" w:sz="6" w:space="0" w:color="auto"/>
        </w:pBdr>
        <w:ind w:left="284" w:hanging="284"/>
      </w:pPr>
      <w:r>
        <w:rPr>
          <w:b/>
        </w:rPr>
        <w:t xml:space="preserve">Productivity-enhancing </w:t>
      </w:r>
      <w:r w:rsidRPr="00225CB6">
        <w:rPr>
          <w:b/>
        </w:rPr>
        <w:t>investment</w:t>
      </w:r>
      <w:r>
        <w:rPr>
          <w:b/>
        </w:rPr>
        <w:t>s</w:t>
      </w:r>
      <w:r>
        <w:t xml:space="preserve"> </w:t>
      </w:r>
      <w:r>
        <w:rPr>
          <w:rFonts w:ascii="Garamond" w:eastAsia="Garamond" w:hAnsi="Garamond" w:cs="Times New Roman"/>
        </w:rPr>
        <w:t>–</w:t>
      </w:r>
      <w:r>
        <w:t xml:space="preserve"> Victoria continues its significant </w:t>
      </w:r>
      <w:r w:rsidRPr="00225CB6">
        <w:t>infrastructure</w:t>
      </w:r>
      <w:r>
        <w:t xml:space="preserve"> program</w:t>
      </w:r>
      <w:r w:rsidRPr="00225CB6">
        <w:t>, including North East Link, Melbourne Airport Rail</w:t>
      </w:r>
      <w:r>
        <w:t xml:space="preserve"> </w:t>
      </w:r>
      <w:r w:rsidRPr="00225CB6">
        <w:t>and the removal of an additional 25 level crossings by 2025</w:t>
      </w:r>
      <w:r>
        <w:t>.</w:t>
      </w:r>
    </w:p>
    <w:p w14:paraId="01C6FA72" w14:textId="77777777" w:rsidR="00964B88" w:rsidRPr="00495025" w:rsidRDefault="00495025" w:rsidP="0073799D">
      <w:pPr>
        <w:pStyle w:val="Heading1Non-TOC"/>
      </w:pPr>
      <w:r w:rsidRPr="00495025">
        <w:t>VICTORIA, THE NATION’S ENGINE ROOM</w:t>
      </w:r>
    </w:p>
    <w:p w14:paraId="49829D83" w14:textId="77777777" w:rsidR="00964B88" w:rsidRDefault="00964B88" w:rsidP="00F53820">
      <w:r>
        <w:t xml:space="preserve">Despite a subdued national economy, the Victorian economy continued to perform strongly in 2018-19. Real gross state product (GSP) growth reached 3.0 per cent, which was in line with the </w:t>
      </w:r>
      <w:r w:rsidRPr="007026BF">
        <w:rPr>
          <w:i/>
        </w:rPr>
        <w:t>2019-20 Budget</w:t>
      </w:r>
      <w:r>
        <w:t xml:space="preserve"> forecast and well above the national economic growth rate of 1.9 per cent. It was also the second highest growth rate of all Australian states. Continued above trend economic growth underpinned over 120 000 jobs being added to the Victorian economy over the year to June 2019, representing more than 40 per cent of all the jobs added in the nation and more new jobs than any other state. </w:t>
      </w:r>
    </w:p>
    <w:p w14:paraId="32E189FA" w14:textId="77777777" w:rsidR="00964B88" w:rsidRDefault="00964B88" w:rsidP="00F53820">
      <w:r>
        <w:t xml:space="preserve">Victoria has experienced five consecutive years of above-trend economic growth, outpacing all other states with average annual GSP growth of 3.3 per cent. The Victorian economy has grown to $455 billion, after expanding by </w:t>
      </w:r>
      <w:r w:rsidRPr="000178F6">
        <w:t>$97</w:t>
      </w:r>
      <w:r>
        <w:t> </w:t>
      </w:r>
      <w:r w:rsidRPr="000178F6">
        <w:t>billion over five years</w:t>
      </w:r>
      <w:r>
        <w:t xml:space="preserve">. </w:t>
      </w:r>
    </w:p>
    <w:p w14:paraId="11770F12" w14:textId="77777777" w:rsidR="00964B88" w:rsidRDefault="00964B88" w:rsidP="00F53820">
      <w:r>
        <w:t xml:space="preserve">Real GSP growth is forecast to reach 2.5 per cent in 2019-20, only slightly below trend following 18 months of weak conditions in the residential property market. The economy is expected to strengthen from 2020-21. Public demand is expected to remain a key contributor to economic growth over the next four years. </w:t>
      </w:r>
    </w:p>
    <w:p w14:paraId="1F89D173" w14:textId="77777777" w:rsidR="00964B88" w:rsidRDefault="00964B88" w:rsidP="00F53820">
      <w:r>
        <w:t>Conditions in the established property market appear to be strengthening. This is expected to support new housing construction activity from 2020-21, reflecting a lag between housing market conditions and new construction. The forecast recovery in dwelling investment, along with stronger consumer spending, is expected to support a return to trend economic growth in 2020</w:t>
      </w:r>
      <w:r>
        <w:noBreakHyphen/>
        <w:t xml:space="preserve">21 of 2.75 per cent, in line with the </w:t>
      </w:r>
      <w:r w:rsidRPr="006064C3">
        <w:rPr>
          <w:i/>
        </w:rPr>
        <w:t>2019-20</w:t>
      </w:r>
      <w:r>
        <w:t xml:space="preserve"> </w:t>
      </w:r>
      <w:r w:rsidRPr="00742248">
        <w:rPr>
          <w:i/>
        </w:rPr>
        <w:t>Budget</w:t>
      </w:r>
      <w:r>
        <w:t xml:space="preserve"> forecast. </w:t>
      </w:r>
    </w:p>
    <w:p w14:paraId="0534ED31" w14:textId="77777777" w:rsidR="00964B88" w:rsidRDefault="00964B88" w:rsidP="00BF5601">
      <w:pPr>
        <w:ind w:right="198"/>
      </w:pPr>
      <w:r>
        <w:lastRenderedPageBreak/>
        <w:t>Victoria’s above-trend economic growth has driven robust labour market outcomes (see</w:t>
      </w:r>
      <w:r w:rsidR="00BF5601">
        <w:t> </w:t>
      </w:r>
      <w:r>
        <w:t>Chart 1.1). Employment grew by 3.4 per cent in 2018-19, the strongest of all the states and above the national increase of 2.4 per cent. Since November 2014, over 505</w:t>
      </w:r>
      <w:r w:rsidR="00BF5601">
        <w:t> </w:t>
      </w:r>
      <w:r>
        <w:t xml:space="preserve">000 more Victorians are employed, representing an increase of 17.3 per cent. The outlook remains positive, with employment forecast to rise by a further 2.0 per cent in 2019-20, unchanged from the </w:t>
      </w:r>
      <w:r w:rsidRPr="006064C3">
        <w:rPr>
          <w:i/>
        </w:rPr>
        <w:t>2019-20 Budget</w:t>
      </w:r>
      <w:r>
        <w:t xml:space="preserve"> forecast.</w:t>
      </w:r>
    </w:p>
    <w:p w14:paraId="5A7C1E0E" w14:textId="77777777" w:rsidR="00964B88" w:rsidRDefault="00964B88" w:rsidP="00F53820">
      <w:pPr>
        <w:pStyle w:val="TableHeading"/>
        <w:rPr>
          <w:noProof/>
        </w:rPr>
      </w:pPr>
      <w:r w:rsidRPr="00523B02">
        <w:t>Chart 1.</w:t>
      </w:r>
      <w:r>
        <w:t>1</w:t>
      </w:r>
      <w:r w:rsidRPr="00523B02">
        <w:t>:</w:t>
      </w:r>
      <w:r w:rsidRPr="00523B02">
        <w:tab/>
      </w:r>
      <w:r w:rsidRPr="00CA6F62">
        <w:t xml:space="preserve">Employment, business investment and </w:t>
      </w:r>
      <w:r>
        <w:t xml:space="preserve">real </w:t>
      </w:r>
      <w:r w:rsidRPr="00CA6F62">
        <w:t xml:space="preserve">GSP growth by state, five years to </w:t>
      </w:r>
      <w:r>
        <w:br/>
      </w:r>
      <w:r w:rsidRPr="00CA6F62">
        <w:t>2018-19</w:t>
      </w:r>
      <w:r>
        <w:t xml:space="preserve"> </w:t>
      </w:r>
      <w:r w:rsidRPr="00A750AD">
        <w:rPr>
          <w:vertAlign w:val="superscript"/>
        </w:rPr>
        <w:t>(a)</w:t>
      </w:r>
    </w:p>
    <w:p w14:paraId="6699F432" w14:textId="77777777" w:rsidR="005B45CC" w:rsidRDefault="005B45CC" w:rsidP="005B45CC">
      <w:pPr>
        <w:pStyle w:val="Note"/>
      </w:pPr>
      <w:r w:rsidRPr="005B45CC">
        <w:rPr>
          <w:noProof/>
        </w:rPr>
        <w:drawing>
          <wp:inline distT="0" distB="0" distL="0" distR="0" wp14:anchorId="0289DB77" wp14:editId="7DB50A4A">
            <wp:extent cx="4772025" cy="3123591"/>
            <wp:effectExtent l="0" t="0" r="0" b="635"/>
            <wp:docPr id="43" name="Picture 42">
              <a:extLst xmlns:a="http://schemas.openxmlformats.org/drawingml/2006/main">
                <a:ext uri="{FF2B5EF4-FFF2-40B4-BE49-F238E27FC236}">
                  <a16:creationId xmlns:a16="http://schemas.microsoft.com/office/drawing/2014/main" id="{FC196995-CD1E-4256-9CF5-6EC3F4C79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a:extLst>
                        <a:ext uri="{FF2B5EF4-FFF2-40B4-BE49-F238E27FC236}">
                          <a16:creationId xmlns:a16="http://schemas.microsoft.com/office/drawing/2014/main" id="{FC196995-CD1E-4256-9CF5-6EC3F4C7977B}"/>
                        </a:ext>
                      </a:extLst>
                    </pic:cNvPr>
                    <pic:cNvPicPr>
                      <a:picLocks noChangeAspect="1"/>
                    </pic:cNvPicPr>
                  </pic:nvPicPr>
                  <pic:blipFill rotWithShape="1">
                    <a:blip r:embed="rId20"/>
                    <a:srcRect b="3469"/>
                    <a:stretch/>
                  </pic:blipFill>
                  <pic:spPr bwMode="auto">
                    <a:xfrm>
                      <a:off x="0" y="0"/>
                      <a:ext cx="4772644" cy="3123996"/>
                    </a:xfrm>
                    <a:prstGeom prst="rect">
                      <a:avLst/>
                    </a:prstGeom>
                    <a:ln>
                      <a:noFill/>
                    </a:ln>
                    <a:extLst>
                      <a:ext uri="{53640926-AAD7-44D8-BBD7-CCE9431645EC}">
                        <a14:shadowObscured xmlns:a14="http://schemas.microsoft.com/office/drawing/2010/main"/>
                      </a:ext>
                    </a:extLst>
                  </pic:spPr>
                </pic:pic>
              </a:graphicData>
            </a:graphic>
          </wp:inline>
        </w:drawing>
      </w:r>
    </w:p>
    <w:p w14:paraId="3B3A1EB2" w14:textId="77777777" w:rsidR="00964B88" w:rsidRDefault="00964B88" w:rsidP="005B45CC">
      <w:pPr>
        <w:pStyle w:val="Note"/>
      </w:pPr>
      <w:r w:rsidRPr="005B45CC">
        <w:t>Note</w:t>
      </w:r>
      <w:r>
        <w:t>:</w:t>
      </w:r>
    </w:p>
    <w:p w14:paraId="3FB86828" w14:textId="77777777" w:rsidR="00964B88" w:rsidRPr="00F20E92" w:rsidRDefault="00964B88" w:rsidP="005B45CC">
      <w:pPr>
        <w:pStyle w:val="Note"/>
      </w:pPr>
      <w:r>
        <w:t>(a)</w:t>
      </w:r>
      <w:r>
        <w:tab/>
      </w:r>
      <w:r w:rsidRPr="005C53B8">
        <w:t xml:space="preserve">Average annual percentage change. </w:t>
      </w:r>
      <w:r>
        <w:t xml:space="preserve">The size of the bubble represents real GSP growth over this period. </w:t>
      </w:r>
    </w:p>
    <w:p w14:paraId="2080AA0A" w14:textId="77777777" w:rsidR="00964B88" w:rsidRPr="00F53820" w:rsidRDefault="00964B88" w:rsidP="00F53820">
      <w:r w:rsidRPr="00F53820">
        <w:br w:type="page"/>
      </w:r>
    </w:p>
    <w:p w14:paraId="0307FD81" w14:textId="77777777" w:rsidR="00964B88" w:rsidRPr="00495025" w:rsidRDefault="00495025" w:rsidP="0073799D">
      <w:pPr>
        <w:pStyle w:val="Heading1Non-TOC"/>
      </w:pPr>
      <w:r w:rsidRPr="00495025">
        <w:lastRenderedPageBreak/>
        <w:t>PRUDENT FINANCIAL MANAGEMENT IN A CHANGING ENVIRONMENT</w:t>
      </w:r>
    </w:p>
    <w:bookmarkEnd w:id="2"/>
    <w:p w14:paraId="6494F65B" w14:textId="77777777" w:rsidR="00964B88" w:rsidRDefault="00964B88" w:rsidP="00F53820">
      <w:r w:rsidRPr="00C4657B">
        <w:t>Victoria’s finances remain sound and in line with the Government’s clear and responsible long-term financial management strategy, as measured by medium-term financial measures and targets.</w:t>
      </w:r>
    </w:p>
    <w:p w14:paraId="41BBFF9D" w14:textId="77777777" w:rsidR="00964B88" w:rsidRPr="006133F3" w:rsidRDefault="00964B88" w:rsidP="00F53820">
      <w:pPr>
        <w:keepNext/>
        <w:tabs>
          <w:tab w:val="left" w:pos="1134"/>
          <w:tab w:val="right" w:pos="9639"/>
          <w:tab w:val="right" w:pos="14742"/>
        </w:tabs>
        <w:spacing w:before="240" w:after="60"/>
        <w:ind w:left="1134" w:hanging="1134"/>
        <w:rPr>
          <w:rFonts w:asciiTheme="majorHAnsi" w:hAnsiTheme="majorHAnsi" w:cstheme="majorHAnsi"/>
          <w:b/>
          <w:sz w:val="20"/>
          <w:szCs w:val="20"/>
        </w:rPr>
      </w:pPr>
      <w:r w:rsidRPr="00DE59B8">
        <w:rPr>
          <w:rFonts w:asciiTheme="majorHAnsi" w:hAnsiTheme="majorHAnsi" w:cstheme="majorHAnsi"/>
          <w:b/>
          <w:sz w:val="20"/>
          <w:szCs w:val="20"/>
        </w:rPr>
        <w:t>Table 1.1:</w:t>
      </w:r>
      <w:r w:rsidRPr="006133F3">
        <w:rPr>
          <w:rFonts w:asciiTheme="majorHAnsi" w:hAnsiTheme="majorHAnsi" w:cstheme="majorHAnsi"/>
          <w:b/>
          <w:sz w:val="20"/>
          <w:szCs w:val="20"/>
        </w:rPr>
        <w:t xml:space="preserve"> </w:t>
      </w:r>
      <w:r w:rsidRPr="006133F3">
        <w:rPr>
          <w:rFonts w:asciiTheme="majorHAnsi" w:hAnsiTheme="majorHAnsi" w:cstheme="majorHAnsi"/>
          <w:b/>
          <w:sz w:val="20"/>
          <w:szCs w:val="20"/>
        </w:rPr>
        <w:tab/>
        <w:t>Long</w:t>
      </w:r>
      <w:r w:rsidRPr="006133F3">
        <w:rPr>
          <w:rFonts w:asciiTheme="majorHAnsi" w:hAnsiTheme="majorHAnsi" w:cstheme="majorHAnsi"/>
          <w:b/>
          <w:sz w:val="20"/>
          <w:szCs w:val="20"/>
        </w:rPr>
        <w:noBreakHyphen/>
        <w:t>term financial management objectives</w:t>
      </w:r>
    </w:p>
    <w:tbl>
      <w:tblPr>
        <w:tblStyle w:val="DTFTextTable1"/>
        <w:tblW w:w="7767" w:type="dxa"/>
        <w:tblLayout w:type="fixed"/>
        <w:tblLook w:val="0620" w:firstRow="1" w:lastRow="0" w:firstColumn="0" w:lastColumn="0" w:noHBand="1" w:noVBand="1"/>
      </w:tblPr>
      <w:tblGrid>
        <w:gridCol w:w="2340"/>
        <w:gridCol w:w="5427"/>
      </w:tblGrid>
      <w:tr w:rsidR="00964B88" w:rsidRPr="00303DED" w14:paraId="23F0B1E2" w14:textId="77777777" w:rsidTr="00F53820">
        <w:trPr>
          <w:cnfStyle w:val="100000000000" w:firstRow="1" w:lastRow="0" w:firstColumn="0" w:lastColumn="0" w:oddVBand="0" w:evenVBand="0" w:oddHBand="0" w:evenHBand="0" w:firstRowFirstColumn="0" w:firstRowLastColumn="0" w:lastRowFirstColumn="0" w:lastRowLastColumn="0"/>
        </w:trPr>
        <w:tc>
          <w:tcPr>
            <w:tcW w:w="2340" w:type="dxa"/>
          </w:tcPr>
          <w:p w14:paraId="644A12DC" w14:textId="77777777" w:rsidR="00964B88" w:rsidRPr="00303DED" w:rsidRDefault="00964B88" w:rsidP="005B45CC">
            <w:r w:rsidRPr="00303DED">
              <w:t>Priority</w:t>
            </w:r>
          </w:p>
        </w:tc>
        <w:tc>
          <w:tcPr>
            <w:tcW w:w="5427" w:type="dxa"/>
          </w:tcPr>
          <w:p w14:paraId="08C2602F" w14:textId="77777777" w:rsidR="00964B88" w:rsidRPr="00303DED" w:rsidRDefault="00964B88" w:rsidP="005B45CC">
            <w:r w:rsidRPr="00303DED">
              <w:t>Objective</w:t>
            </w:r>
          </w:p>
        </w:tc>
      </w:tr>
      <w:tr w:rsidR="00964B88" w:rsidRPr="006133F3" w14:paraId="22DE50AB" w14:textId="77777777" w:rsidTr="00F53820">
        <w:tc>
          <w:tcPr>
            <w:tcW w:w="2340" w:type="dxa"/>
          </w:tcPr>
          <w:p w14:paraId="63E4F787" w14:textId="77777777" w:rsidR="00964B88" w:rsidRPr="00B75110" w:rsidRDefault="00964B88" w:rsidP="005B45CC">
            <w:pPr>
              <w:rPr>
                <w:lang w:eastAsia="en-AU"/>
              </w:rPr>
            </w:pPr>
            <w:r w:rsidRPr="00B75110">
              <w:rPr>
                <w:lang w:eastAsia="en-AU"/>
              </w:rPr>
              <w:t>Sound financial management</w:t>
            </w:r>
          </w:p>
        </w:tc>
        <w:tc>
          <w:tcPr>
            <w:tcW w:w="5427" w:type="dxa"/>
          </w:tcPr>
          <w:p w14:paraId="61F8DA5F" w14:textId="77777777" w:rsidR="00964B88" w:rsidRPr="00B75110" w:rsidRDefault="00964B88" w:rsidP="005B45CC">
            <w:pPr>
              <w:rPr>
                <w:lang w:eastAsia="en-AU"/>
              </w:rPr>
            </w:pPr>
            <w:r w:rsidRPr="00B75110">
              <w:rPr>
                <w:lang w:eastAsia="en-AU"/>
              </w:rPr>
              <w:t>Victoria’s finances will be managed in a responsible manner to provide capacity to fund services and infrastructure at levels consistent with maintaining a triple</w:t>
            </w:r>
            <w:r w:rsidRPr="00B75110">
              <w:rPr>
                <w:lang w:eastAsia="en-AU"/>
              </w:rPr>
              <w:noBreakHyphen/>
              <w:t>A credit rating.</w:t>
            </w:r>
          </w:p>
        </w:tc>
      </w:tr>
      <w:tr w:rsidR="00964B88" w:rsidRPr="006133F3" w14:paraId="754FBBDD" w14:textId="77777777" w:rsidTr="00F53820">
        <w:tc>
          <w:tcPr>
            <w:tcW w:w="2340" w:type="dxa"/>
          </w:tcPr>
          <w:p w14:paraId="45C98803" w14:textId="77777777" w:rsidR="00964B88" w:rsidRPr="00B75110" w:rsidRDefault="00964B88" w:rsidP="005B45CC">
            <w:pPr>
              <w:rPr>
                <w:lang w:eastAsia="en-AU"/>
              </w:rPr>
            </w:pPr>
            <w:r w:rsidRPr="00B75110">
              <w:rPr>
                <w:lang w:eastAsia="en-AU"/>
              </w:rPr>
              <w:t>Improved services</w:t>
            </w:r>
          </w:p>
        </w:tc>
        <w:tc>
          <w:tcPr>
            <w:tcW w:w="5427" w:type="dxa"/>
          </w:tcPr>
          <w:p w14:paraId="5F73B766" w14:textId="77777777" w:rsidR="00964B88" w:rsidRPr="00B75110" w:rsidRDefault="00964B88" w:rsidP="005B45CC">
            <w:pPr>
              <w:rPr>
                <w:lang w:eastAsia="en-AU"/>
              </w:rPr>
            </w:pPr>
            <w:r w:rsidRPr="00B75110">
              <w:rPr>
                <w:lang w:eastAsia="en-AU"/>
              </w:rPr>
              <w:t>Public services will improve over time.</w:t>
            </w:r>
          </w:p>
        </w:tc>
      </w:tr>
      <w:tr w:rsidR="00964B88" w:rsidRPr="006133F3" w14:paraId="5B1849EB" w14:textId="77777777" w:rsidTr="00F53820">
        <w:tc>
          <w:tcPr>
            <w:tcW w:w="2340" w:type="dxa"/>
          </w:tcPr>
          <w:p w14:paraId="0EE6F823" w14:textId="77777777" w:rsidR="00964B88" w:rsidRPr="00B75110" w:rsidRDefault="00964B88" w:rsidP="005B45CC">
            <w:pPr>
              <w:rPr>
                <w:lang w:eastAsia="en-AU"/>
              </w:rPr>
            </w:pPr>
            <w:r w:rsidRPr="00B75110">
              <w:rPr>
                <w:lang w:eastAsia="en-AU"/>
              </w:rPr>
              <w:t>Building infrastructure</w:t>
            </w:r>
          </w:p>
        </w:tc>
        <w:tc>
          <w:tcPr>
            <w:tcW w:w="5427" w:type="dxa"/>
          </w:tcPr>
          <w:p w14:paraId="4DCA0B17" w14:textId="77777777" w:rsidR="00964B88" w:rsidRPr="00B75110" w:rsidRDefault="00964B88" w:rsidP="005B45CC">
            <w:pPr>
              <w:rPr>
                <w:lang w:eastAsia="en-AU"/>
              </w:rPr>
            </w:pPr>
            <w:r w:rsidRPr="00B75110">
              <w:rPr>
                <w:lang w:eastAsia="en-AU"/>
              </w:rPr>
              <w:t>Public infrastructure will grow steadily over time to meet the needs of a growing population.</w:t>
            </w:r>
          </w:p>
        </w:tc>
      </w:tr>
      <w:tr w:rsidR="00964B88" w:rsidRPr="006133F3" w14:paraId="328A7021" w14:textId="77777777" w:rsidTr="00F53820">
        <w:tc>
          <w:tcPr>
            <w:tcW w:w="2340" w:type="dxa"/>
          </w:tcPr>
          <w:p w14:paraId="4DD8B109" w14:textId="77777777" w:rsidR="00964B88" w:rsidRPr="00B75110" w:rsidRDefault="00964B88" w:rsidP="005B45CC">
            <w:pPr>
              <w:rPr>
                <w:lang w:eastAsia="en-AU"/>
              </w:rPr>
            </w:pPr>
            <w:r w:rsidRPr="00B75110">
              <w:rPr>
                <w:lang w:eastAsia="en-AU"/>
              </w:rPr>
              <w:t>Efficient use of public resources</w:t>
            </w:r>
          </w:p>
        </w:tc>
        <w:tc>
          <w:tcPr>
            <w:tcW w:w="5427" w:type="dxa"/>
          </w:tcPr>
          <w:p w14:paraId="0D0C78FE" w14:textId="77777777" w:rsidR="00964B88" w:rsidRPr="00B75110" w:rsidRDefault="00964B88" w:rsidP="005B45CC">
            <w:pPr>
              <w:rPr>
                <w:lang w:eastAsia="en-AU"/>
              </w:rPr>
            </w:pPr>
            <w:r w:rsidRPr="00B75110">
              <w:rPr>
                <w:lang w:eastAsia="en-AU"/>
              </w:rPr>
              <w:t>Public sector resources will be invested in services and infrastructure to maximise the economic, social and environmental benefits.</w:t>
            </w:r>
          </w:p>
        </w:tc>
      </w:tr>
    </w:tbl>
    <w:p w14:paraId="03FC8340" w14:textId="77777777" w:rsidR="00964B88" w:rsidRDefault="00964B88" w:rsidP="00F53820">
      <w:pPr>
        <w:spacing w:before="360"/>
      </w:pPr>
      <w:r w:rsidRPr="006133F3">
        <w:t>Progress towards these objectives is measured against th</w:t>
      </w:r>
      <w:r>
        <w:t>e targets described in Table 1.2</w:t>
      </w:r>
      <w:r w:rsidRPr="006133F3">
        <w:t>.</w:t>
      </w:r>
    </w:p>
    <w:p w14:paraId="0943D8E3" w14:textId="77777777" w:rsidR="00964B88" w:rsidRPr="00303015" w:rsidRDefault="00964B88" w:rsidP="00F53820">
      <w:pPr>
        <w:keepNext/>
        <w:tabs>
          <w:tab w:val="left" w:pos="1134"/>
          <w:tab w:val="right" w:pos="9639"/>
          <w:tab w:val="right" w:pos="14742"/>
        </w:tabs>
        <w:spacing w:before="240" w:after="60"/>
        <w:ind w:left="1134" w:hanging="1134"/>
        <w:rPr>
          <w:rFonts w:asciiTheme="majorHAnsi" w:hAnsiTheme="majorHAnsi" w:cstheme="majorHAnsi"/>
          <w:b/>
          <w:sz w:val="20"/>
          <w:szCs w:val="20"/>
        </w:rPr>
      </w:pPr>
      <w:r w:rsidRPr="00DE59B8">
        <w:rPr>
          <w:rFonts w:asciiTheme="majorHAnsi" w:hAnsiTheme="majorHAnsi" w:cstheme="majorHAnsi"/>
          <w:b/>
          <w:sz w:val="20"/>
          <w:szCs w:val="20"/>
        </w:rPr>
        <w:t>Table 1.2:</w:t>
      </w:r>
      <w:r w:rsidRPr="006133F3">
        <w:rPr>
          <w:rFonts w:asciiTheme="majorHAnsi" w:hAnsiTheme="majorHAnsi" w:cstheme="majorHAnsi"/>
          <w:b/>
          <w:sz w:val="20"/>
          <w:szCs w:val="20"/>
        </w:rPr>
        <w:t xml:space="preserve"> </w:t>
      </w:r>
      <w:r w:rsidRPr="006133F3">
        <w:rPr>
          <w:rFonts w:asciiTheme="majorHAnsi" w:hAnsiTheme="majorHAnsi" w:cstheme="majorHAnsi"/>
          <w:b/>
          <w:sz w:val="20"/>
          <w:szCs w:val="20"/>
        </w:rPr>
        <w:tab/>
        <w:t xml:space="preserve">Medium-term financial measures and targets </w:t>
      </w:r>
    </w:p>
    <w:tbl>
      <w:tblPr>
        <w:tblStyle w:val="DTFTextTable1"/>
        <w:tblW w:w="7767" w:type="dxa"/>
        <w:tblLayout w:type="fixed"/>
        <w:tblLook w:val="0620" w:firstRow="1" w:lastRow="0" w:firstColumn="0" w:lastColumn="0" w:noHBand="1" w:noVBand="1"/>
      </w:tblPr>
      <w:tblGrid>
        <w:gridCol w:w="2341"/>
        <w:gridCol w:w="5426"/>
      </w:tblGrid>
      <w:tr w:rsidR="00964B88" w:rsidRPr="00303DED" w14:paraId="4BFAFC4E" w14:textId="77777777" w:rsidTr="005B45CC">
        <w:trPr>
          <w:cnfStyle w:val="100000000000" w:firstRow="1" w:lastRow="0" w:firstColumn="0" w:lastColumn="0" w:oddVBand="0" w:evenVBand="0" w:oddHBand="0" w:evenHBand="0" w:firstRowFirstColumn="0" w:firstRowLastColumn="0" w:lastRowFirstColumn="0" w:lastRowLastColumn="0"/>
        </w:trPr>
        <w:tc>
          <w:tcPr>
            <w:tcW w:w="2341" w:type="dxa"/>
          </w:tcPr>
          <w:p w14:paraId="0AE43D82" w14:textId="77777777" w:rsidR="00964B88" w:rsidRPr="00303DED" w:rsidRDefault="00964B88" w:rsidP="005B45CC">
            <w:r w:rsidRPr="00303DED">
              <w:t>Financial measures</w:t>
            </w:r>
          </w:p>
        </w:tc>
        <w:tc>
          <w:tcPr>
            <w:tcW w:w="5426" w:type="dxa"/>
          </w:tcPr>
          <w:p w14:paraId="71184AD0" w14:textId="77777777" w:rsidR="00964B88" w:rsidRPr="00303DED" w:rsidRDefault="00964B88" w:rsidP="005B45CC">
            <w:r w:rsidRPr="00303DED">
              <w:t>Target</w:t>
            </w:r>
          </w:p>
        </w:tc>
      </w:tr>
      <w:tr w:rsidR="00964B88" w:rsidRPr="005B45CC" w14:paraId="5979751D" w14:textId="77777777" w:rsidTr="00F53820">
        <w:tc>
          <w:tcPr>
            <w:tcW w:w="2341" w:type="dxa"/>
          </w:tcPr>
          <w:p w14:paraId="76AE2828" w14:textId="77777777" w:rsidR="00964B88" w:rsidRPr="005B45CC" w:rsidRDefault="00964B88" w:rsidP="005B45CC">
            <w:r w:rsidRPr="005B45CC">
              <w:t>Net debt</w:t>
            </w:r>
          </w:p>
        </w:tc>
        <w:tc>
          <w:tcPr>
            <w:tcW w:w="5426" w:type="dxa"/>
          </w:tcPr>
          <w:p w14:paraId="12476EFC" w14:textId="77777777" w:rsidR="00964B88" w:rsidRPr="005B45CC" w:rsidRDefault="00964B88" w:rsidP="005B45CC">
            <w:r w:rsidRPr="005B45CC">
              <w:t>General government net debt as a percentage of GSP to be maintained at a sustainable level over the medium term.</w:t>
            </w:r>
          </w:p>
        </w:tc>
      </w:tr>
      <w:tr w:rsidR="00964B88" w:rsidRPr="005B45CC" w14:paraId="7ADCE29D" w14:textId="77777777" w:rsidTr="00F53820">
        <w:tc>
          <w:tcPr>
            <w:tcW w:w="2341" w:type="dxa"/>
          </w:tcPr>
          <w:p w14:paraId="238EC2E3" w14:textId="77777777" w:rsidR="00964B88" w:rsidRPr="005B45CC" w:rsidRDefault="00964B88" w:rsidP="005B45CC">
            <w:r w:rsidRPr="005B45CC">
              <w:t xml:space="preserve">Superannuation liabilities </w:t>
            </w:r>
          </w:p>
        </w:tc>
        <w:tc>
          <w:tcPr>
            <w:tcW w:w="5426" w:type="dxa"/>
          </w:tcPr>
          <w:p w14:paraId="36D740C7" w14:textId="77777777" w:rsidR="00964B88" w:rsidRPr="005B45CC" w:rsidRDefault="00964B88" w:rsidP="005B45CC">
            <w:r w:rsidRPr="005B45CC">
              <w:t>Fully fund the unfunded superannuation liability by 2035.</w:t>
            </w:r>
          </w:p>
        </w:tc>
      </w:tr>
      <w:tr w:rsidR="00964B88" w:rsidRPr="005B45CC" w14:paraId="6A257E62" w14:textId="77777777" w:rsidTr="00F53820">
        <w:tc>
          <w:tcPr>
            <w:tcW w:w="2341" w:type="dxa"/>
          </w:tcPr>
          <w:p w14:paraId="06EE9674" w14:textId="77777777" w:rsidR="00964B88" w:rsidRPr="005B45CC" w:rsidRDefault="00964B88" w:rsidP="005B45CC">
            <w:r w:rsidRPr="005B45CC">
              <w:t>Operating surplus</w:t>
            </w:r>
          </w:p>
        </w:tc>
        <w:tc>
          <w:tcPr>
            <w:tcW w:w="5426" w:type="dxa"/>
          </w:tcPr>
          <w:p w14:paraId="0A0E8589" w14:textId="77777777" w:rsidR="00964B88" w:rsidRPr="005B45CC" w:rsidRDefault="00964B88" w:rsidP="005B45CC">
            <w:r w:rsidRPr="005B45CC">
              <w:t>A net operating surplus consistent with maintaining general government net debt at a sustainable level over the medium term.</w:t>
            </w:r>
          </w:p>
        </w:tc>
      </w:tr>
    </w:tbl>
    <w:p w14:paraId="3B6E567C" w14:textId="77777777" w:rsidR="00964B88" w:rsidRDefault="00964B88" w:rsidP="00F53820">
      <w:pPr>
        <w:spacing w:before="360"/>
      </w:pPr>
      <w:r>
        <w:t xml:space="preserve">The general government operating result (net result from transactions) is forecast to be a surplus of $618 million in 2019-20, with annual operating surpluses averaging $3.3 billion a year across the forward estimates (Table 1.3). </w:t>
      </w:r>
    </w:p>
    <w:p w14:paraId="12F8A792" w14:textId="77777777" w:rsidR="00964B88" w:rsidRDefault="00964B88" w:rsidP="00F53820">
      <w:r>
        <w:t xml:space="preserve">Since the </w:t>
      </w:r>
      <w:r w:rsidRPr="00C4657B">
        <w:rPr>
          <w:i/>
        </w:rPr>
        <w:t>2019-20 Budget</w:t>
      </w:r>
      <w:r w:rsidRPr="003D5A11">
        <w:t xml:space="preserve"> the</w:t>
      </w:r>
      <w:r>
        <w:rPr>
          <w:i/>
        </w:rPr>
        <w:t xml:space="preserve"> </w:t>
      </w:r>
      <w:r>
        <w:t xml:space="preserve">forecast net result from transactions has </w:t>
      </w:r>
      <w:r w:rsidRPr="001A1DA8">
        <w:t>been revised down by an average of $</w:t>
      </w:r>
      <w:r>
        <w:t>193</w:t>
      </w:r>
      <w:r w:rsidRPr="001A1DA8">
        <w:t xml:space="preserve"> million </w:t>
      </w:r>
      <w:r>
        <w:t xml:space="preserve">a year </w:t>
      </w:r>
      <w:r w:rsidRPr="001A1DA8">
        <w:t>over the next four year</w:t>
      </w:r>
      <w:r>
        <w:t xml:space="preserve">s. This </w:t>
      </w:r>
      <w:r w:rsidRPr="001A1DA8">
        <w:t>reflec</w:t>
      </w:r>
      <w:r>
        <w:t>ts</w:t>
      </w:r>
      <w:r w:rsidRPr="001A1DA8">
        <w:t xml:space="preserve"> </w:t>
      </w:r>
      <w:bookmarkStart w:id="3" w:name="_Hlk25065454"/>
      <w:r>
        <w:t xml:space="preserve">a reduction in </w:t>
      </w:r>
      <w:r w:rsidRPr="001A1DA8">
        <w:t xml:space="preserve">expected GST revenue received from the Commonwealth due to a weaker </w:t>
      </w:r>
      <w:r>
        <w:t xml:space="preserve">national </w:t>
      </w:r>
      <w:r w:rsidRPr="001A1DA8">
        <w:t xml:space="preserve">outlook for </w:t>
      </w:r>
      <w:r>
        <w:t xml:space="preserve">household </w:t>
      </w:r>
      <w:r w:rsidRPr="001A1DA8">
        <w:t>consumption and dwelling investment</w:t>
      </w:r>
      <w:bookmarkEnd w:id="3"/>
      <w:r>
        <w:t xml:space="preserve">, along with funding new initiatives in priority areas to service a growing population. </w:t>
      </w:r>
    </w:p>
    <w:p w14:paraId="68413B51" w14:textId="77777777" w:rsidR="00964B88" w:rsidRDefault="00964B88" w:rsidP="00F53820"/>
    <w:p w14:paraId="298D83DE" w14:textId="77777777" w:rsidR="00964B88" w:rsidRDefault="00964B88">
      <w:pPr>
        <w:keepLines w:val="0"/>
        <w:rPr>
          <w:rFonts w:asciiTheme="majorHAnsi" w:hAnsiTheme="majorHAnsi"/>
          <w:b/>
          <w:sz w:val="20"/>
          <w:szCs w:val="20"/>
        </w:rPr>
      </w:pPr>
      <w:r>
        <w:br w:type="page"/>
      </w:r>
    </w:p>
    <w:p w14:paraId="3508B5A3" w14:textId="77777777" w:rsidR="00964B88" w:rsidRPr="00DE59B8" w:rsidRDefault="00964B88" w:rsidP="00F53820">
      <w:pPr>
        <w:pStyle w:val="TableHeading"/>
        <w:rPr>
          <w:rFonts w:cstheme="majorHAnsi"/>
          <w:b w:val="0"/>
          <w:bCs/>
          <w:sz w:val="16"/>
          <w:szCs w:val="16"/>
          <w:lang w:val="en-US"/>
        </w:rPr>
      </w:pPr>
      <w:r w:rsidRPr="00DE59B8">
        <w:lastRenderedPageBreak/>
        <w:t xml:space="preserve">Table 1.3: </w:t>
      </w:r>
      <w:r w:rsidRPr="00DE59B8">
        <w:tab/>
        <w:t>General government fiscal aggregates</w:t>
      </w:r>
      <w:r>
        <w:t xml:space="preserve"> </w:t>
      </w:r>
      <w:r w:rsidRPr="00F83B37">
        <w:rPr>
          <w:vertAlign w:val="superscript"/>
        </w:rPr>
        <w:t>(a)</w:t>
      </w:r>
    </w:p>
    <w:tbl>
      <w:tblPr>
        <w:tblStyle w:val="DTFTable"/>
        <w:tblW w:w="7767" w:type="dxa"/>
        <w:tblInd w:w="0" w:type="dxa"/>
        <w:tblLayout w:type="fixed"/>
        <w:tblCellMar>
          <w:left w:w="45" w:type="dxa"/>
          <w:right w:w="45" w:type="dxa"/>
        </w:tblCellMar>
        <w:tblLook w:val="06A0" w:firstRow="1" w:lastRow="0" w:firstColumn="1" w:lastColumn="0" w:noHBand="1" w:noVBand="1"/>
      </w:tblPr>
      <w:tblGrid>
        <w:gridCol w:w="3517"/>
        <w:gridCol w:w="850"/>
        <w:gridCol w:w="850"/>
        <w:gridCol w:w="850"/>
        <w:gridCol w:w="850"/>
        <w:gridCol w:w="850"/>
      </w:tblGrid>
      <w:tr w:rsidR="00F53820" w:rsidRPr="00DE59B8" w14:paraId="3D47FD82"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7" w:type="dxa"/>
            <w:tcBorders>
              <w:top w:val="nil"/>
              <w:left w:val="nil"/>
              <w:right w:val="nil"/>
            </w:tcBorders>
            <w:shd w:val="solid" w:color="000000" w:fill="FFFFFF"/>
          </w:tcPr>
          <w:p w14:paraId="2A2D0DD3" w14:textId="77777777" w:rsidR="00F53820" w:rsidRPr="00DE59B8" w:rsidRDefault="00F53820" w:rsidP="00F53820">
            <w:pPr>
              <w:rPr>
                <w:rFonts w:cstheme="majorHAnsi"/>
              </w:rPr>
            </w:pPr>
          </w:p>
        </w:tc>
        <w:tc>
          <w:tcPr>
            <w:tcW w:w="850" w:type="dxa"/>
            <w:tcBorders>
              <w:top w:val="nil"/>
              <w:left w:val="nil"/>
              <w:right w:val="nil"/>
            </w:tcBorders>
            <w:shd w:val="solid" w:color="000000" w:fill="FFFFFF"/>
          </w:tcPr>
          <w:p w14:paraId="1D7828CD" w14:textId="77777777" w:rsidR="00F53820" w:rsidRPr="00DE59B8" w:rsidRDefault="00F53820" w:rsidP="00F53820">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DE59B8">
              <w:rPr>
                <w:rFonts w:cstheme="majorHAnsi"/>
              </w:rPr>
              <w:t>Unit of</w:t>
            </w:r>
            <w:r>
              <w:rPr>
                <w:rFonts w:cstheme="majorHAnsi"/>
              </w:rPr>
              <w:br/>
            </w:r>
            <w:r w:rsidRPr="00DE59B8">
              <w:rPr>
                <w:rFonts w:cstheme="majorHAnsi"/>
              </w:rPr>
              <w:t>measure</w:t>
            </w:r>
          </w:p>
        </w:tc>
        <w:tc>
          <w:tcPr>
            <w:tcW w:w="850" w:type="dxa"/>
            <w:tcBorders>
              <w:top w:val="nil"/>
              <w:left w:val="nil"/>
              <w:right w:val="nil"/>
            </w:tcBorders>
            <w:shd w:val="solid" w:color="000000" w:fill="FFFFFF"/>
          </w:tcPr>
          <w:p w14:paraId="25C20F73" w14:textId="77777777" w:rsidR="00F53820" w:rsidRPr="00DE59B8" w:rsidRDefault="00F53820" w:rsidP="00F53820">
            <w:pPr>
              <w:cnfStyle w:val="100000000000" w:firstRow="1" w:lastRow="0" w:firstColumn="0" w:lastColumn="0" w:oddVBand="0" w:evenVBand="0" w:oddHBand="0" w:evenHBand="0" w:firstRowFirstColumn="0" w:firstRowLastColumn="0" w:lastRowFirstColumn="0" w:lastRowLastColumn="0"/>
              <w:rPr>
                <w:rFonts w:cstheme="majorHAnsi"/>
              </w:rPr>
            </w:pPr>
            <w:r w:rsidRPr="00DE59B8">
              <w:rPr>
                <w:rFonts w:cstheme="majorHAnsi"/>
              </w:rPr>
              <w:t>2019-20</w:t>
            </w:r>
            <w:r>
              <w:rPr>
                <w:rFonts w:cstheme="majorHAnsi"/>
              </w:rPr>
              <w:br/>
            </w:r>
            <w:r w:rsidRPr="00DE59B8">
              <w:rPr>
                <w:rFonts w:cstheme="majorHAnsi"/>
              </w:rPr>
              <w:t>revised</w:t>
            </w:r>
          </w:p>
        </w:tc>
        <w:tc>
          <w:tcPr>
            <w:tcW w:w="850" w:type="dxa"/>
            <w:tcBorders>
              <w:top w:val="nil"/>
              <w:left w:val="nil"/>
              <w:right w:val="nil"/>
            </w:tcBorders>
            <w:shd w:val="solid" w:color="000000" w:fill="FFFFFF"/>
          </w:tcPr>
          <w:p w14:paraId="20D7737D" w14:textId="77777777" w:rsidR="00F53820" w:rsidRPr="00DE59B8" w:rsidRDefault="00F53820" w:rsidP="00F53820">
            <w:pPr>
              <w:cnfStyle w:val="100000000000" w:firstRow="1" w:lastRow="0" w:firstColumn="0" w:lastColumn="0" w:oddVBand="0" w:evenVBand="0" w:oddHBand="0" w:evenHBand="0" w:firstRowFirstColumn="0" w:firstRowLastColumn="0" w:lastRowFirstColumn="0" w:lastRowLastColumn="0"/>
              <w:rPr>
                <w:rFonts w:cstheme="majorHAnsi"/>
              </w:rPr>
            </w:pPr>
            <w:r w:rsidRPr="00DE59B8">
              <w:rPr>
                <w:rFonts w:cstheme="majorHAnsi"/>
              </w:rPr>
              <w:t>2020-21</w:t>
            </w:r>
            <w:r>
              <w:rPr>
                <w:rFonts w:cstheme="majorHAnsi"/>
              </w:rPr>
              <w:br/>
            </w:r>
            <w:r w:rsidRPr="00DE59B8">
              <w:rPr>
                <w:rFonts w:cstheme="majorHAnsi"/>
              </w:rPr>
              <w:t>estimate</w:t>
            </w:r>
          </w:p>
        </w:tc>
        <w:tc>
          <w:tcPr>
            <w:tcW w:w="850" w:type="dxa"/>
            <w:tcBorders>
              <w:top w:val="nil"/>
              <w:left w:val="nil"/>
              <w:right w:val="nil"/>
            </w:tcBorders>
            <w:shd w:val="solid" w:color="000000" w:fill="FFFFFF"/>
          </w:tcPr>
          <w:p w14:paraId="04764B8B" w14:textId="77777777" w:rsidR="00F53820" w:rsidRPr="00DE59B8" w:rsidRDefault="00F53820" w:rsidP="00F53820">
            <w:pPr>
              <w:cnfStyle w:val="100000000000" w:firstRow="1" w:lastRow="0" w:firstColumn="0" w:lastColumn="0" w:oddVBand="0" w:evenVBand="0" w:oddHBand="0" w:evenHBand="0" w:firstRowFirstColumn="0" w:firstRowLastColumn="0" w:lastRowFirstColumn="0" w:lastRowLastColumn="0"/>
              <w:rPr>
                <w:rFonts w:cstheme="majorHAnsi"/>
              </w:rPr>
            </w:pPr>
            <w:r w:rsidRPr="00DE59B8">
              <w:rPr>
                <w:rFonts w:cstheme="majorHAnsi"/>
              </w:rPr>
              <w:t>2021-22</w:t>
            </w:r>
            <w:r>
              <w:rPr>
                <w:rFonts w:cstheme="majorHAnsi"/>
              </w:rPr>
              <w:br/>
            </w:r>
            <w:r w:rsidRPr="00DE59B8">
              <w:rPr>
                <w:rFonts w:cstheme="majorHAnsi"/>
              </w:rPr>
              <w:t>estimate</w:t>
            </w:r>
          </w:p>
        </w:tc>
        <w:tc>
          <w:tcPr>
            <w:tcW w:w="850" w:type="dxa"/>
            <w:tcBorders>
              <w:top w:val="nil"/>
              <w:left w:val="nil"/>
              <w:right w:val="nil"/>
            </w:tcBorders>
            <w:shd w:val="solid" w:color="000000" w:fill="FFFFFF"/>
          </w:tcPr>
          <w:p w14:paraId="493CD1C3" w14:textId="77777777" w:rsidR="00F53820" w:rsidRPr="00DE59B8" w:rsidRDefault="00F53820" w:rsidP="00F53820">
            <w:pPr>
              <w:cnfStyle w:val="100000000000" w:firstRow="1" w:lastRow="0" w:firstColumn="0" w:lastColumn="0" w:oddVBand="0" w:evenVBand="0" w:oddHBand="0" w:evenHBand="0" w:firstRowFirstColumn="0" w:firstRowLastColumn="0" w:lastRowFirstColumn="0" w:lastRowLastColumn="0"/>
              <w:rPr>
                <w:rFonts w:cstheme="majorHAnsi"/>
              </w:rPr>
            </w:pPr>
            <w:r w:rsidRPr="00DE59B8">
              <w:rPr>
                <w:rFonts w:cstheme="majorHAnsi"/>
              </w:rPr>
              <w:t>2022-23</w:t>
            </w:r>
            <w:r>
              <w:rPr>
                <w:rFonts w:cstheme="majorHAnsi"/>
              </w:rPr>
              <w:br/>
            </w:r>
            <w:r w:rsidRPr="00DE59B8">
              <w:rPr>
                <w:rFonts w:cstheme="majorHAnsi"/>
              </w:rPr>
              <w:t>estimate</w:t>
            </w:r>
          </w:p>
        </w:tc>
      </w:tr>
      <w:tr w:rsidR="00964B88" w:rsidRPr="00DE59B8" w14:paraId="4CFB21C8"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14:paraId="0DD52BA3" w14:textId="77777777" w:rsidR="00964B88" w:rsidRPr="00DE59B8" w:rsidRDefault="00964B88" w:rsidP="00F53820">
            <w:pPr>
              <w:rPr>
                <w:rFonts w:cstheme="majorHAnsi"/>
              </w:rPr>
            </w:pPr>
            <w:r w:rsidRPr="00DE59B8">
              <w:rPr>
                <w:rFonts w:cstheme="majorHAnsi"/>
              </w:rPr>
              <w:t>Net result from transactions</w:t>
            </w:r>
          </w:p>
        </w:tc>
        <w:tc>
          <w:tcPr>
            <w:tcW w:w="850" w:type="dxa"/>
            <w:tcBorders>
              <w:top w:val="nil"/>
              <w:left w:val="nil"/>
              <w:bottom w:val="nil"/>
              <w:right w:val="nil"/>
            </w:tcBorders>
          </w:tcPr>
          <w:p w14:paraId="45F7C3A9" w14:textId="77777777" w:rsidR="00964B88" w:rsidRPr="00DE59B8" w:rsidRDefault="00964B88" w:rsidP="00F53820">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 billion</w:t>
            </w:r>
          </w:p>
        </w:tc>
        <w:tc>
          <w:tcPr>
            <w:tcW w:w="850" w:type="dxa"/>
            <w:tcBorders>
              <w:top w:val="nil"/>
              <w:left w:val="nil"/>
              <w:bottom w:val="nil"/>
              <w:right w:val="nil"/>
            </w:tcBorders>
          </w:tcPr>
          <w:p w14:paraId="4D1A141E"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0.</w:t>
            </w:r>
            <w:r>
              <w:rPr>
                <w:rFonts w:cstheme="majorHAnsi"/>
              </w:rPr>
              <w:t>6</w:t>
            </w:r>
          </w:p>
        </w:tc>
        <w:tc>
          <w:tcPr>
            <w:tcW w:w="850" w:type="dxa"/>
            <w:tcBorders>
              <w:top w:val="nil"/>
              <w:left w:val="nil"/>
              <w:bottom w:val="nil"/>
              <w:right w:val="nil"/>
            </w:tcBorders>
          </w:tcPr>
          <w:p w14:paraId="7C82A80C"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1.</w:t>
            </w:r>
            <w:r>
              <w:rPr>
                <w:rFonts w:cstheme="majorHAnsi"/>
              </w:rPr>
              <w:t>2</w:t>
            </w:r>
          </w:p>
        </w:tc>
        <w:tc>
          <w:tcPr>
            <w:tcW w:w="850" w:type="dxa"/>
            <w:tcBorders>
              <w:top w:val="nil"/>
              <w:left w:val="nil"/>
              <w:bottom w:val="nil"/>
              <w:right w:val="nil"/>
            </w:tcBorders>
          </w:tcPr>
          <w:p w14:paraId="3B75DCCE"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3.8</w:t>
            </w:r>
          </w:p>
        </w:tc>
        <w:tc>
          <w:tcPr>
            <w:tcW w:w="850" w:type="dxa"/>
            <w:tcBorders>
              <w:top w:val="nil"/>
              <w:left w:val="nil"/>
              <w:bottom w:val="nil"/>
              <w:right w:val="nil"/>
            </w:tcBorders>
          </w:tcPr>
          <w:p w14:paraId="33A49BD6"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4.</w:t>
            </w:r>
            <w:r>
              <w:rPr>
                <w:rFonts w:cstheme="majorHAnsi"/>
              </w:rPr>
              <w:t>9</w:t>
            </w:r>
          </w:p>
        </w:tc>
      </w:tr>
      <w:tr w:rsidR="00964B88" w:rsidRPr="00DE59B8" w14:paraId="4BDB6115"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14:paraId="594BC29B" w14:textId="77777777" w:rsidR="00964B88" w:rsidRPr="00DE59B8" w:rsidRDefault="00964B88" w:rsidP="00F53820">
            <w:pPr>
              <w:rPr>
                <w:rFonts w:cstheme="majorHAnsi"/>
              </w:rPr>
            </w:pPr>
            <w:r w:rsidRPr="00DE59B8">
              <w:rPr>
                <w:rFonts w:cstheme="majorHAnsi"/>
              </w:rPr>
              <w:t xml:space="preserve">Government infrastructure investment </w:t>
            </w:r>
            <w:r w:rsidRPr="00DE59B8">
              <w:rPr>
                <w:rFonts w:cstheme="majorHAnsi"/>
                <w:vertAlign w:val="superscript"/>
              </w:rPr>
              <w:t>(b)(c)</w:t>
            </w:r>
          </w:p>
        </w:tc>
        <w:tc>
          <w:tcPr>
            <w:tcW w:w="850" w:type="dxa"/>
            <w:tcBorders>
              <w:top w:val="nil"/>
              <w:left w:val="nil"/>
              <w:bottom w:val="nil"/>
              <w:right w:val="nil"/>
            </w:tcBorders>
          </w:tcPr>
          <w:p w14:paraId="4A75A30D" w14:textId="77777777" w:rsidR="00964B88" w:rsidRPr="00DE59B8" w:rsidRDefault="00964B88" w:rsidP="00F53820">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 billion</w:t>
            </w:r>
          </w:p>
        </w:tc>
        <w:tc>
          <w:tcPr>
            <w:tcW w:w="850" w:type="dxa"/>
            <w:tcBorders>
              <w:top w:val="nil"/>
              <w:left w:val="nil"/>
              <w:bottom w:val="nil"/>
              <w:right w:val="nil"/>
            </w:tcBorders>
          </w:tcPr>
          <w:p w14:paraId="1DFD1566"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15</w:t>
            </w:r>
            <w:r>
              <w:rPr>
                <w:rFonts w:cstheme="majorHAnsi"/>
              </w:rPr>
              <w:t>.8</w:t>
            </w:r>
          </w:p>
        </w:tc>
        <w:tc>
          <w:tcPr>
            <w:tcW w:w="850" w:type="dxa"/>
            <w:tcBorders>
              <w:top w:val="nil"/>
              <w:left w:val="nil"/>
              <w:bottom w:val="nil"/>
              <w:right w:val="nil"/>
            </w:tcBorders>
          </w:tcPr>
          <w:p w14:paraId="112A9E35"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15.</w:t>
            </w:r>
            <w:r>
              <w:rPr>
                <w:rFonts w:cstheme="majorHAnsi"/>
              </w:rPr>
              <w:t>1</w:t>
            </w:r>
          </w:p>
        </w:tc>
        <w:tc>
          <w:tcPr>
            <w:tcW w:w="850" w:type="dxa"/>
            <w:tcBorders>
              <w:top w:val="nil"/>
              <w:left w:val="nil"/>
              <w:bottom w:val="nil"/>
              <w:right w:val="nil"/>
            </w:tcBorders>
          </w:tcPr>
          <w:p w14:paraId="2B041AEA"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12.</w:t>
            </w:r>
            <w:r>
              <w:rPr>
                <w:rFonts w:cstheme="majorHAnsi"/>
              </w:rPr>
              <w:t>4</w:t>
            </w:r>
          </w:p>
        </w:tc>
        <w:tc>
          <w:tcPr>
            <w:tcW w:w="850" w:type="dxa"/>
            <w:tcBorders>
              <w:top w:val="nil"/>
              <w:left w:val="nil"/>
              <w:bottom w:val="nil"/>
              <w:right w:val="nil"/>
            </w:tcBorders>
          </w:tcPr>
          <w:p w14:paraId="57895DAC"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12.</w:t>
            </w:r>
            <w:r>
              <w:rPr>
                <w:rFonts w:cstheme="majorHAnsi"/>
              </w:rPr>
              <w:t>3</w:t>
            </w:r>
          </w:p>
        </w:tc>
      </w:tr>
      <w:tr w:rsidR="00964B88" w:rsidRPr="00DE59B8" w14:paraId="7C3420AB"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14:paraId="3A28350D" w14:textId="77777777" w:rsidR="00964B88" w:rsidRPr="00DE59B8" w:rsidRDefault="00964B88" w:rsidP="00F53820">
            <w:pPr>
              <w:rPr>
                <w:rFonts w:cstheme="majorHAnsi"/>
              </w:rPr>
            </w:pPr>
            <w:r w:rsidRPr="00DE59B8">
              <w:rPr>
                <w:rFonts w:cstheme="majorHAnsi"/>
              </w:rPr>
              <w:t>Net debt</w:t>
            </w:r>
          </w:p>
        </w:tc>
        <w:tc>
          <w:tcPr>
            <w:tcW w:w="850" w:type="dxa"/>
            <w:tcBorders>
              <w:top w:val="nil"/>
              <w:left w:val="nil"/>
              <w:bottom w:val="nil"/>
              <w:right w:val="nil"/>
            </w:tcBorders>
          </w:tcPr>
          <w:p w14:paraId="33880612" w14:textId="77777777" w:rsidR="00964B88" w:rsidRPr="00DE59B8" w:rsidRDefault="00964B88" w:rsidP="00F53820">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 billion</w:t>
            </w:r>
          </w:p>
        </w:tc>
        <w:tc>
          <w:tcPr>
            <w:tcW w:w="850" w:type="dxa"/>
            <w:tcBorders>
              <w:top w:val="nil"/>
              <w:left w:val="nil"/>
              <w:bottom w:val="nil"/>
              <w:right w:val="nil"/>
            </w:tcBorders>
          </w:tcPr>
          <w:p w14:paraId="045DABEC"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40.</w:t>
            </w:r>
            <w:r>
              <w:rPr>
                <w:rFonts w:cstheme="majorHAnsi"/>
              </w:rPr>
              <w:t>3</w:t>
            </w:r>
          </w:p>
        </w:tc>
        <w:tc>
          <w:tcPr>
            <w:tcW w:w="850" w:type="dxa"/>
            <w:tcBorders>
              <w:top w:val="nil"/>
              <w:left w:val="nil"/>
              <w:bottom w:val="nil"/>
              <w:right w:val="nil"/>
            </w:tcBorders>
          </w:tcPr>
          <w:p w14:paraId="189925DF"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49.</w:t>
            </w:r>
            <w:r>
              <w:rPr>
                <w:rFonts w:cstheme="majorHAnsi"/>
              </w:rPr>
              <w:t>3</w:t>
            </w:r>
          </w:p>
        </w:tc>
        <w:tc>
          <w:tcPr>
            <w:tcW w:w="850" w:type="dxa"/>
            <w:tcBorders>
              <w:top w:val="nil"/>
              <w:left w:val="nil"/>
              <w:bottom w:val="nil"/>
              <w:right w:val="nil"/>
            </w:tcBorders>
          </w:tcPr>
          <w:p w14:paraId="464EAB23"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5</w:t>
            </w:r>
            <w:r>
              <w:rPr>
                <w:rFonts w:cstheme="majorHAnsi"/>
              </w:rPr>
              <w:t>3</w:t>
            </w:r>
            <w:r w:rsidRPr="00DE59B8">
              <w:rPr>
                <w:rFonts w:cstheme="majorHAnsi"/>
              </w:rPr>
              <w:t>.</w:t>
            </w:r>
            <w:r>
              <w:rPr>
                <w:rFonts w:cstheme="majorHAnsi"/>
              </w:rPr>
              <w:t>9</w:t>
            </w:r>
          </w:p>
        </w:tc>
        <w:tc>
          <w:tcPr>
            <w:tcW w:w="850" w:type="dxa"/>
            <w:tcBorders>
              <w:top w:val="nil"/>
              <w:left w:val="nil"/>
              <w:bottom w:val="nil"/>
              <w:right w:val="nil"/>
            </w:tcBorders>
          </w:tcPr>
          <w:p w14:paraId="5308305C"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5</w:t>
            </w:r>
            <w:r>
              <w:rPr>
                <w:rFonts w:cstheme="majorHAnsi"/>
              </w:rPr>
              <w:t>7</w:t>
            </w:r>
            <w:r w:rsidRPr="00DE59B8">
              <w:rPr>
                <w:rFonts w:cstheme="majorHAnsi"/>
              </w:rPr>
              <w:t>.</w:t>
            </w:r>
            <w:r>
              <w:rPr>
                <w:rFonts w:cstheme="majorHAnsi"/>
              </w:rPr>
              <w:t>8</w:t>
            </w:r>
          </w:p>
        </w:tc>
      </w:tr>
      <w:tr w:rsidR="00964B88" w:rsidRPr="00DE59B8" w14:paraId="43A4726A"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single" w:sz="12" w:space="0" w:color="auto"/>
              <w:right w:val="nil"/>
            </w:tcBorders>
          </w:tcPr>
          <w:p w14:paraId="76D64BDC" w14:textId="77777777" w:rsidR="00964B88" w:rsidRPr="00DE59B8" w:rsidRDefault="00964B88" w:rsidP="00F53820">
            <w:pPr>
              <w:rPr>
                <w:rFonts w:cstheme="majorHAnsi"/>
              </w:rPr>
            </w:pPr>
            <w:r w:rsidRPr="00DE59B8">
              <w:rPr>
                <w:rFonts w:cstheme="majorHAnsi"/>
              </w:rPr>
              <w:t xml:space="preserve">Net debt to GSP </w:t>
            </w:r>
            <w:r w:rsidRPr="00DE59B8">
              <w:rPr>
                <w:rFonts w:cstheme="majorHAnsi"/>
                <w:vertAlign w:val="superscript"/>
              </w:rPr>
              <w:t>(c)</w:t>
            </w:r>
          </w:p>
        </w:tc>
        <w:tc>
          <w:tcPr>
            <w:tcW w:w="850" w:type="dxa"/>
            <w:tcBorders>
              <w:top w:val="nil"/>
              <w:left w:val="nil"/>
              <w:bottom w:val="single" w:sz="12" w:space="0" w:color="auto"/>
              <w:right w:val="nil"/>
            </w:tcBorders>
          </w:tcPr>
          <w:p w14:paraId="16292DFC" w14:textId="77777777" w:rsidR="00964B88" w:rsidRPr="00DE59B8" w:rsidRDefault="00964B88" w:rsidP="00F53820">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per cent</w:t>
            </w:r>
          </w:p>
        </w:tc>
        <w:tc>
          <w:tcPr>
            <w:tcW w:w="850" w:type="dxa"/>
            <w:tcBorders>
              <w:top w:val="nil"/>
              <w:left w:val="nil"/>
              <w:bottom w:val="single" w:sz="12" w:space="0" w:color="auto"/>
              <w:right w:val="nil"/>
            </w:tcBorders>
          </w:tcPr>
          <w:p w14:paraId="44D5E826"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8.</w:t>
            </w:r>
            <w:r>
              <w:rPr>
                <w:rFonts w:cstheme="majorHAnsi"/>
              </w:rPr>
              <w:t>5</w:t>
            </w:r>
          </w:p>
        </w:tc>
        <w:tc>
          <w:tcPr>
            <w:tcW w:w="850" w:type="dxa"/>
            <w:tcBorders>
              <w:top w:val="nil"/>
              <w:left w:val="nil"/>
              <w:bottom w:val="single" w:sz="12" w:space="0" w:color="auto"/>
              <w:right w:val="nil"/>
            </w:tcBorders>
          </w:tcPr>
          <w:p w14:paraId="5D37DE35"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9.9</w:t>
            </w:r>
          </w:p>
        </w:tc>
        <w:tc>
          <w:tcPr>
            <w:tcW w:w="850" w:type="dxa"/>
            <w:tcBorders>
              <w:top w:val="nil"/>
              <w:left w:val="nil"/>
              <w:bottom w:val="single" w:sz="12" w:space="0" w:color="auto"/>
              <w:right w:val="nil"/>
            </w:tcBorders>
          </w:tcPr>
          <w:p w14:paraId="43548061"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10.</w:t>
            </w:r>
            <w:r>
              <w:rPr>
                <w:rFonts w:cstheme="majorHAnsi"/>
              </w:rPr>
              <w:t>3</w:t>
            </w:r>
          </w:p>
        </w:tc>
        <w:tc>
          <w:tcPr>
            <w:tcW w:w="850" w:type="dxa"/>
            <w:tcBorders>
              <w:top w:val="nil"/>
              <w:left w:val="nil"/>
              <w:bottom w:val="single" w:sz="12" w:space="0" w:color="auto"/>
              <w:right w:val="nil"/>
            </w:tcBorders>
          </w:tcPr>
          <w:p w14:paraId="1BCDDD03" w14:textId="77777777" w:rsidR="00964B88" w:rsidRPr="00DE59B8"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rPr>
            </w:pPr>
            <w:r w:rsidRPr="00DE59B8">
              <w:rPr>
                <w:rFonts w:cstheme="majorHAnsi"/>
              </w:rPr>
              <w:t>10.</w:t>
            </w:r>
            <w:r>
              <w:rPr>
                <w:rFonts w:cstheme="majorHAnsi"/>
              </w:rPr>
              <w:t>5</w:t>
            </w:r>
          </w:p>
        </w:tc>
      </w:tr>
    </w:tbl>
    <w:p w14:paraId="16C61A70" w14:textId="77777777" w:rsidR="00964B88" w:rsidRDefault="00964B88" w:rsidP="00F53820">
      <w:pPr>
        <w:pStyle w:val="Source"/>
      </w:pPr>
      <w:r w:rsidRPr="00C203E5">
        <w:t>Notes:</w:t>
      </w:r>
    </w:p>
    <w:p w14:paraId="48F0EA91" w14:textId="77777777" w:rsidR="00964B88" w:rsidRDefault="00964B88" w:rsidP="00F53820">
      <w:pPr>
        <w:pStyle w:val="Note"/>
      </w:pPr>
      <w:bookmarkStart w:id="4" w:name="_Hlk24991947"/>
      <w:r>
        <w:t>(a)</w:t>
      </w:r>
      <w:r>
        <w:tab/>
        <w:t xml:space="preserve">Includes the impact of accounting standards changes that require the classification of most operating leases as debt and the progressive recognition during construction of capital expenditure and related debt associated with financial service concession arrangements, including certain public private partnerships.  </w:t>
      </w:r>
    </w:p>
    <w:bookmarkEnd w:id="4"/>
    <w:p w14:paraId="5D639923" w14:textId="77777777" w:rsidR="00964B88" w:rsidRPr="00C203E5" w:rsidRDefault="00964B88" w:rsidP="00F53820">
      <w:pPr>
        <w:pStyle w:val="Note"/>
      </w:pPr>
      <w:r w:rsidRPr="00C203E5">
        <w:t>(</w:t>
      </w:r>
      <w:r>
        <w:t>b</w:t>
      </w:r>
      <w:r w:rsidRPr="00C203E5">
        <w:t>)</w:t>
      </w:r>
      <w:r w:rsidRPr="00C203E5">
        <w:tab/>
        <w:t>Includes general government net infrastructure investment and estimated c</w:t>
      </w:r>
      <w:r>
        <w:t>onstruction costs</w:t>
      </w:r>
      <w:r w:rsidRPr="00C203E5">
        <w:t xml:space="preserve"> for </w:t>
      </w:r>
      <w:r>
        <w:t>public private par</w:t>
      </w:r>
      <w:r w:rsidRPr="00C203E5">
        <w:t>tnership</w:t>
      </w:r>
      <w:r>
        <w:t xml:space="preserve"> projects</w:t>
      </w:r>
      <w:r w:rsidRPr="00C203E5">
        <w:t>.</w:t>
      </w:r>
    </w:p>
    <w:p w14:paraId="50F6B319" w14:textId="77777777" w:rsidR="00964B88" w:rsidRDefault="00964B88" w:rsidP="00F53820">
      <w:pPr>
        <w:pStyle w:val="Note"/>
      </w:pPr>
      <w:r w:rsidRPr="00C203E5">
        <w:t>(</w:t>
      </w:r>
      <w:r>
        <w:t>c</w:t>
      </w:r>
      <w:r w:rsidRPr="00C203E5">
        <w:t>)</w:t>
      </w:r>
      <w:r w:rsidRPr="00C203E5">
        <w:tab/>
        <w:t xml:space="preserve">The ratios to GSP may vary from publications year to year due to revisions to the </w:t>
      </w:r>
      <w:r>
        <w:t xml:space="preserve">Australian Bureau of Statistics </w:t>
      </w:r>
      <w:r w:rsidRPr="00C203E5">
        <w:t>GSP data.</w:t>
      </w:r>
    </w:p>
    <w:p w14:paraId="2341A8B1" w14:textId="77777777" w:rsidR="00964B88" w:rsidRPr="00C203E5" w:rsidRDefault="00964B88" w:rsidP="00F53820">
      <w:pPr>
        <w:pStyle w:val="Note"/>
      </w:pPr>
    </w:p>
    <w:p w14:paraId="28F14347" w14:textId="77777777" w:rsidR="00964B88" w:rsidRDefault="00964B88" w:rsidP="00F53820">
      <w:r w:rsidRPr="00DB3989">
        <w:t>R</w:t>
      </w:r>
      <w:r>
        <w:t xml:space="preserve">evenue growth is expected to average </w:t>
      </w:r>
      <w:r w:rsidRPr="00E0757B">
        <w:t>4.</w:t>
      </w:r>
      <w:r>
        <w:t xml:space="preserve">4 per cent a year over the budget and forward estimates, compared with average expense growth of 3.3 per cent a year. </w:t>
      </w:r>
    </w:p>
    <w:p w14:paraId="4AAEBE61" w14:textId="77777777" w:rsidR="00964B88" w:rsidRDefault="00964B88" w:rsidP="00F53820">
      <w:r>
        <w:t>Net debt is projected to be $57.8 billion by June 2023. As a proportion of GSP, net debt is projected to be 8.5 per cent at June 2020 and increase to 10.5 per cent by June 2023.</w:t>
      </w:r>
    </w:p>
    <w:p w14:paraId="2CCA62EF" w14:textId="77777777" w:rsidR="00964B88" w:rsidRDefault="00964B88" w:rsidP="00F53820">
      <w:r>
        <w:t>The Government has prudently increased net debt to manageable levels consistent with its triple-A credit rating to fund the significant ongoing investment in productivity-enhancing infrastructure, including North East Link, Melbourne Airport Rail and the removal of an additional 25 level crossings by 2025.</w:t>
      </w:r>
    </w:p>
    <w:p w14:paraId="6B42408A" w14:textId="77777777" w:rsidR="00964B88" w:rsidRDefault="00964B88" w:rsidP="00F53820">
      <w:r>
        <w:t>Government infrastructure investment is projected to average $13.9 billion a year over the next four years, nearly triple the average of $4.9 billion a year from 2005-06 to 2014</w:t>
      </w:r>
      <w:r>
        <w:noBreakHyphen/>
        <w:t xml:space="preserve">15 (Chart 1.2). </w:t>
      </w:r>
    </w:p>
    <w:p w14:paraId="67B2E68A" w14:textId="77777777" w:rsidR="00964B88" w:rsidRDefault="00964B88" w:rsidP="00F53820">
      <w:pPr>
        <w:pStyle w:val="TableHeading"/>
        <w:spacing w:before="180"/>
        <w:rPr>
          <w:vertAlign w:val="superscript"/>
        </w:rPr>
      </w:pPr>
      <w:r w:rsidRPr="00DE59B8">
        <w:t>Chart 1.2:</w:t>
      </w:r>
      <w:r w:rsidRPr="00DE59B8">
        <w:tab/>
        <w:t xml:space="preserve">Government infrastructure investment </w:t>
      </w:r>
      <w:r w:rsidRPr="00DE59B8">
        <w:rPr>
          <w:vertAlign w:val="superscript"/>
        </w:rPr>
        <w:t>(a)(b)</w:t>
      </w:r>
    </w:p>
    <w:p w14:paraId="55433870" w14:textId="77777777" w:rsidR="00964B88" w:rsidRDefault="00964B88" w:rsidP="00F53820">
      <w:r>
        <w:rPr>
          <w:noProof/>
        </w:rPr>
        <w:drawing>
          <wp:inline distT="0" distB="0" distL="0" distR="0" wp14:anchorId="2558C394" wp14:editId="5953D78F">
            <wp:extent cx="4444789"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7292" cy="2776235"/>
                    </a:xfrm>
                    <a:prstGeom prst="rect">
                      <a:avLst/>
                    </a:prstGeom>
                    <a:noFill/>
                  </pic:spPr>
                </pic:pic>
              </a:graphicData>
            </a:graphic>
          </wp:inline>
        </w:drawing>
      </w:r>
    </w:p>
    <w:p w14:paraId="0ED907A4" w14:textId="77777777" w:rsidR="00964B88" w:rsidRDefault="00964B88" w:rsidP="00F53820">
      <w:pPr>
        <w:pStyle w:val="Note"/>
      </w:pPr>
      <w:r>
        <w:t>Notes:</w:t>
      </w:r>
    </w:p>
    <w:p w14:paraId="3706E815" w14:textId="77777777" w:rsidR="00964B88" w:rsidRDefault="00964B88" w:rsidP="00F53820">
      <w:pPr>
        <w:pStyle w:val="Note"/>
      </w:pPr>
      <w:r>
        <w:t>(a)</w:t>
      </w:r>
      <w:r>
        <w:tab/>
        <w:t>Includes general government net infrastructure investment and estimated construction costs for public private partnership projects.</w:t>
      </w:r>
    </w:p>
    <w:p w14:paraId="1F024EBD" w14:textId="77777777" w:rsidR="00964B88" w:rsidRDefault="00964B88" w:rsidP="00F53820">
      <w:pPr>
        <w:pStyle w:val="Note"/>
      </w:pPr>
      <w:r>
        <w:t>(b)</w:t>
      </w:r>
      <w:r>
        <w:tab/>
        <w:t>Excludes the impact of the medium-term lease over the operations of the Port of Melbourne and the divestment of Victoria’s share of Snowy Hydro Limited.</w:t>
      </w:r>
    </w:p>
    <w:p w14:paraId="36936BB9" w14:textId="77777777" w:rsidR="00964B88" w:rsidRDefault="00964B88" w:rsidP="00F53820">
      <w:pPr>
        <w:keepLines w:val="0"/>
        <w:rPr>
          <w:rFonts w:ascii="Garamond" w:hAnsi="Garamond" w:cs="Garamond"/>
          <w:color w:val="000000"/>
        </w:rPr>
      </w:pPr>
      <w:r>
        <w:lastRenderedPageBreak/>
        <w:t xml:space="preserve">After a period of strong revenue growth, the Government is responding to changing economic conditions by progressively realigning expenditure to target priority service areas, including through </w:t>
      </w:r>
      <w:r w:rsidRPr="00334FE4">
        <w:rPr>
          <w:rFonts w:ascii="Garamond" w:hAnsi="Garamond" w:cs="Garamond"/>
          <w:color w:val="000000"/>
        </w:rPr>
        <w:t>a comprehensive program of expenditure base reviews</w:t>
      </w:r>
      <w:r>
        <w:t xml:space="preserve">. This prudent financial management strategy includes implementing </w:t>
      </w:r>
      <w:r>
        <w:rPr>
          <w:rFonts w:ascii="Garamond" w:hAnsi="Garamond" w:cs="Garamond"/>
          <w:color w:val="000000"/>
        </w:rPr>
        <w:t>savings and efficiencies to improve the effectiveness of spending. The Government’s rebalanced wages policy parameters are also being applied.</w:t>
      </w:r>
      <w:r w:rsidRPr="00394B6C">
        <w:rPr>
          <w:rFonts w:ascii="Garamond" w:hAnsi="Garamond" w:cs="Garamond"/>
          <w:color w:val="000000"/>
        </w:rPr>
        <w:t xml:space="preserve"> </w:t>
      </w:r>
    </w:p>
    <w:p w14:paraId="5098617C" w14:textId="77777777" w:rsidR="00964B88" w:rsidRPr="00DE59B8" w:rsidRDefault="00964B88" w:rsidP="00F53820">
      <w:pPr>
        <w:keepLines w:val="0"/>
        <w:rPr>
          <w:rFonts w:ascii="Garamond" w:hAnsi="Garamond" w:cs="Garamond"/>
          <w:color w:val="000000"/>
        </w:rPr>
      </w:pPr>
      <w:r w:rsidRPr="001B0CC3">
        <w:rPr>
          <w:rFonts w:ascii="Garamond" w:hAnsi="Garamond" w:cs="Garamond"/>
          <w:color w:val="000000"/>
        </w:rPr>
        <w:t>These initiatives will support a return to stronger surpluses by the end of the forward estimates and facilitate reinvesting in key Government priorities in the 2020-21 budget and over the coming years.</w:t>
      </w:r>
    </w:p>
    <w:p w14:paraId="00E0C49E" w14:textId="77777777" w:rsidR="00964B88" w:rsidRPr="00DE59B8" w:rsidRDefault="00964B88" w:rsidP="00F53820">
      <w:pPr>
        <w:pStyle w:val="Heading20"/>
      </w:pPr>
      <w:r w:rsidRPr="00DE59B8">
        <w:t xml:space="preserve">Key new initiatives since the </w:t>
      </w:r>
      <w:r w:rsidRPr="00DE59B8">
        <w:rPr>
          <w:i/>
        </w:rPr>
        <w:t>2019-20 Budget</w:t>
      </w:r>
    </w:p>
    <w:p w14:paraId="49E38A75" w14:textId="77777777" w:rsidR="00964B88" w:rsidRDefault="00964B88" w:rsidP="00F53820">
      <w:r w:rsidRPr="00DE59B8">
        <w:t xml:space="preserve">The Government is funding new initiatives in priority areas to service a growing population, including meeting the Government’s commitment to the National School Reform Agreement. </w:t>
      </w:r>
      <w:r>
        <w:t>T</w:t>
      </w:r>
      <w:r w:rsidRPr="00DE59B8">
        <w:t xml:space="preserve">he Government is </w:t>
      </w:r>
      <w:r>
        <w:t xml:space="preserve">also </w:t>
      </w:r>
      <w:r w:rsidRPr="00DE59B8">
        <w:t>managing urgent and important</w:t>
      </w:r>
      <w:r>
        <w:t xml:space="preserve"> priorities such as cladding rectification works and providing additional support for drought-affected farmers. </w:t>
      </w:r>
    </w:p>
    <w:p w14:paraId="39439906" w14:textId="77777777" w:rsidR="00964B88" w:rsidRDefault="00964B88" w:rsidP="00F53820">
      <w:r>
        <w:t xml:space="preserve">Appendix A outlines specific policy initiatives that affect outputs and assets since the </w:t>
      </w:r>
      <w:r w:rsidRPr="00DE59B8">
        <w:rPr>
          <w:i/>
        </w:rPr>
        <w:t>2019-20 Budget</w:t>
      </w:r>
      <w:r>
        <w:t>.</w:t>
      </w:r>
    </w:p>
    <w:p w14:paraId="71525D68" w14:textId="77777777" w:rsidR="00B7380A" w:rsidRDefault="00B7380A">
      <w:pPr>
        <w:keepLines w:val="0"/>
      </w:pPr>
      <w:r>
        <w:br w:type="page"/>
      </w:r>
    </w:p>
    <w:p w14:paraId="7FD66400" w14:textId="77777777" w:rsidR="0038681A" w:rsidRDefault="0038681A" w:rsidP="00F53820"/>
    <w:p w14:paraId="5EC752B4" w14:textId="77777777" w:rsidR="00964B88" w:rsidRPr="00394B6C" w:rsidRDefault="00964B88" w:rsidP="00F53820">
      <w:pPr>
        <w:pStyle w:val="Note"/>
        <w:rPr>
          <w:i w:val="0"/>
        </w:rPr>
      </w:pPr>
    </w:p>
    <w:p w14:paraId="1FBCA33A" w14:textId="77777777" w:rsidR="00964B88" w:rsidRDefault="00964B88" w:rsidP="0052294D">
      <w:pPr>
        <w:sectPr w:rsidR="00964B88" w:rsidSect="00B7380A">
          <w:headerReference w:type="even" r:id="rId22"/>
          <w:headerReference w:type="default" r:id="rId23"/>
          <w:footerReference w:type="even" r:id="rId24"/>
          <w:footerReference w:type="default" r:id="rId25"/>
          <w:headerReference w:type="first" r:id="rId26"/>
          <w:footerReference w:type="first" r:id="rId27"/>
          <w:type w:val="oddPage"/>
          <w:pgSz w:w="9979" w:h="14175" w:code="9"/>
          <w:pgMar w:top="851" w:right="1134" w:bottom="851" w:left="1134" w:header="624" w:footer="567" w:gutter="0"/>
          <w:pgNumType w:start="1"/>
          <w:cols w:sep="1" w:space="567"/>
          <w:docGrid w:linePitch="360"/>
        </w:sectPr>
      </w:pPr>
    </w:p>
    <w:p w14:paraId="22CEA7C3" w14:textId="77777777" w:rsidR="00964B88" w:rsidRPr="00495025" w:rsidRDefault="00495025" w:rsidP="00495025">
      <w:pPr>
        <w:pStyle w:val="Chapterheading"/>
      </w:pPr>
      <w:bookmarkStart w:id="5" w:name="_Toc26788528"/>
      <w:bookmarkStart w:id="6" w:name="_Toc500179543"/>
      <w:bookmarkStart w:id="7" w:name="_Toc500435585"/>
      <w:r w:rsidRPr="00495025">
        <w:lastRenderedPageBreak/>
        <w:t>Chapter 2 – Economic context</w:t>
      </w:r>
      <w:bookmarkEnd w:id="5"/>
    </w:p>
    <w:p w14:paraId="6D06A673" w14:textId="77777777" w:rsidR="00964B88" w:rsidRDefault="00964B88" w:rsidP="00F53820">
      <w:pPr>
        <w:pStyle w:val="HighlightBoxBullet"/>
      </w:pPr>
      <w:bookmarkStart w:id="8" w:name="_Hlk25659494"/>
      <w:r>
        <w:t xml:space="preserve">Victoria’s economy recorded its fifth year of above-trend growth in 2018-19, amid strong jobs growth and business investment, despite the Australian economy slowing sharply in 2018-19 to a 10-year low. Weakness in the housing market accelerated in 2018-19, dampening consumption and business sentiment. </w:t>
      </w:r>
    </w:p>
    <w:p w14:paraId="332C75FA" w14:textId="77777777" w:rsidR="00964B88" w:rsidRDefault="00964B88" w:rsidP="00F53820">
      <w:pPr>
        <w:pStyle w:val="HighlightBoxBullet"/>
      </w:pPr>
      <w:r>
        <w:t xml:space="preserve">The forecast for gross state product (GSP) in 2019-20 has been lowered slightly compared with the </w:t>
      </w:r>
      <w:r w:rsidRPr="00434DBD">
        <w:rPr>
          <w:i/>
        </w:rPr>
        <w:t>2019-20 Budget</w:t>
      </w:r>
      <w:r>
        <w:t xml:space="preserve"> reflecting subdued consumer spending and dwelling investment. Partly offsetting this, public demand is forecast to remain elevated, supported by the Government’s large pipeline of infrastructure investment. </w:t>
      </w:r>
    </w:p>
    <w:bookmarkEnd w:id="8"/>
    <w:p w14:paraId="4BB6B663" w14:textId="77777777" w:rsidR="00964B88" w:rsidRDefault="00964B88" w:rsidP="00F53820">
      <w:pPr>
        <w:pStyle w:val="HighlightBoxBullet"/>
      </w:pPr>
      <w:r>
        <w:t xml:space="preserve">Following the downturn in the property market, established residential property prices are now rising. This is occurring earlier than was expected in the </w:t>
      </w:r>
      <w:r w:rsidRPr="00931216">
        <w:rPr>
          <w:i/>
        </w:rPr>
        <w:t>2019-20 Budget</w:t>
      </w:r>
      <w:r>
        <w:t xml:space="preserve">, although this will take some time to flow through to increased transaction volumes and dwelling construction. Dwelling investment has slowed, but is anticipated to contribute to growth from 2020-21. </w:t>
      </w:r>
    </w:p>
    <w:p w14:paraId="3B7FC124" w14:textId="77777777" w:rsidR="00964B88" w:rsidRDefault="00964B88" w:rsidP="00F53820">
      <w:pPr>
        <w:pStyle w:val="HighlightBoxBullet"/>
      </w:pPr>
      <w:r>
        <w:t xml:space="preserve">Despite the modest downgrade to growth in 2019-20, the economic outlook for Victoria remains positive and a return to trend GSP growth is forecast in 2020-21. Real GSP per capita is expected to increase in 2019-20 and over the forward estimates. </w:t>
      </w:r>
    </w:p>
    <w:p w14:paraId="2F215F5D" w14:textId="77777777" w:rsidR="00964B88" w:rsidRDefault="00964B88" w:rsidP="00F53820">
      <w:pPr>
        <w:pStyle w:val="HighlightBoxBullet"/>
      </w:pPr>
      <w:r>
        <w:t xml:space="preserve">Labour market conditions are positive, with solid employment growth, record levels of labour force participation and a low unemployment rate. In line with slower GSP growth, the unemployment rate is expected to be slightly higher in 2019-20 than forecast in the </w:t>
      </w:r>
      <w:r w:rsidRPr="00931216">
        <w:rPr>
          <w:i/>
        </w:rPr>
        <w:t>2019-20 Budget</w:t>
      </w:r>
      <w:r>
        <w:t xml:space="preserve">, while the forecast for employment growth is broadly unchanged. </w:t>
      </w:r>
    </w:p>
    <w:p w14:paraId="2E545218" w14:textId="77777777" w:rsidR="00964B88" w:rsidRDefault="00495025" w:rsidP="0073799D">
      <w:pPr>
        <w:pStyle w:val="Heading10"/>
      </w:pPr>
      <w:bookmarkStart w:id="9" w:name="_Toc26788529"/>
      <w:r>
        <w:t>Victorian economic conditions and outlook</w:t>
      </w:r>
      <w:bookmarkEnd w:id="9"/>
    </w:p>
    <w:p w14:paraId="73DE3E5A" w14:textId="77777777" w:rsidR="00964B88" w:rsidRDefault="00964B88" w:rsidP="00BF5601">
      <w:pPr>
        <w:ind w:right="198"/>
      </w:pPr>
      <w:r>
        <w:t xml:space="preserve">The national and global economic backdrop has deteriorated since the </w:t>
      </w:r>
      <w:r w:rsidRPr="00434DBD">
        <w:rPr>
          <w:i/>
        </w:rPr>
        <w:t>2019-20 Budget</w:t>
      </w:r>
      <w:r>
        <w:t>. National economic growth slowed to its weakest rate in ten years over the year to June, led by a large decline in dwelling investment and weak consumer spending. Globally, the ongoing United States</w:t>
      </w:r>
      <w:r>
        <w:noBreakHyphen/>
        <w:t xml:space="preserve">China trade and technology dispute has contributed to a decline in global trade, industrial output and business investment. The International Monetary Fund (IMF) recently further lowered its 2019 global growth forecast. There remains considerable uncertainty about how these and other global developments will play out over the period ahead, although recent interest rate cuts by major central banks are expected to support global growth in 2020. </w:t>
      </w:r>
    </w:p>
    <w:p w14:paraId="300B0885" w14:textId="77777777" w:rsidR="00964B88" w:rsidRDefault="00964B88" w:rsidP="00F53820">
      <w:r>
        <w:lastRenderedPageBreak/>
        <w:t xml:space="preserve">Victoria’s economy has recorded above-trend growth over the past five years. Economic growth in 2018-19, as measured by gross state product (GSP), was in line with the </w:t>
      </w:r>
      <w:r w:rsidRPr="00434DBD">
        <w:rPr>
          <w:i/>
        </w:rPr>
        <w:t>2019</w:t>
      </w:r>
      <w:r>
        <w:rPr>
          <w:i/>
        </w:rPr>
        <w:noBreakHyphen/>
      </w:r>
      <w:r w:rsidRPr="00434DBD">
        <w:rPr>
          <w:i/>
        </w:rPr>
        <w:t>20</w:t>
      </w:r>
      <w:r>
        <w:rPr>
          <w:i/>
        </w:rPr>
        <w:t> </w:t>
      </w:r>
      <w:r w:rsidRPr="00434DBD">
        <w:rPr>
          <w:i/>
        </w:rPr>
        <w:t>Budget</w:t>
      </w:r>
      <w:r>
        <w:t xml:space="preserve"> forecast. Business investment, public consumption, household spending and services exports all made sizeable contributions to growth.</w:t>
      </w:r>
    </w:p>
    <w:p w14:paraId="325299AE" w14:textId="77777777" w:rsidR="00964B88" w:rsidRDefault="00964B88" w:rsidP="00F53820">
      <w:r>
        <w:t>Given this extended period of above-trend growth, a moderation in GSP growth in 2019</w:t>
      </w:r>
      <w:r>
        <w:noBreakHyphen/>
        <w:t xml:space="preserve">20 had been expected. This slowdown is now expected to be a little more pronounced than forecast in the </w:t>
      </w:r>
      <w:r w:rsidRPr="00434DBD">
        <w:rPr>
          <w:i/>
        </w:rPr>
        <w:t>2019-20 Budget</w:t>
      </w:r>
      <w:r>
        <w:t xml:space="preserve">. </w:t>
      </w:r>
    </w:p>
    <w:p w14:paraId="25DE6701" w14:textId="77777777" w:rsidR="00964B88" w:rsidRDefault="00964B88" w:rsidP="00F53820">
      <w:r>
        <w:t xml:space="preserve">The housing market is the main driver of the current slowdown in the Victorian economy. Consumers have reduced growth in spending amid falls in the value of their major asset. The number of new plans for housing construction has fallen significantly and the level of construction activity has declined. Further falls in activity are expected during 2019-20. </w:t>
      </w:r>
    </w:p>
    <w:p w14:paraId="60224D14" w14:textId="77777777" w:rsidR="00964B88" w:rsidRDefault="00964B88" w:rsidP="00BF5601">
      <w:pPr>
        <w:ind w:right="-86"/>
      </w:pPr>
      <w:r>
        <w:t>The recent housing downturn, initially triggered by a combination of tightening national bank lending standards, reduced foreign buyer demand and rising housing supply, constituted one of the largest declines in Melbourne dwelling prices on record. After a number of years of strong growth, prices fell by over 11 per cent between November</w:t>
      </w:r>
      <w:r w:rsidR="00BF5601">
        <w:t> </w:t>
      </w:r>
      <w:r>
        <w:t xml:space="preserve">2017 and May 2019. Despite these falls and the impact on household wealth, economic growth is projected to be only slightly below trend in 2019-20 and is forecast to return to trend from 2020-21. The economy will be supported by low interest rates, the lower Australian dollar and ongoing strong population growth. </w:t>
      </w:r>
    </w:p>
    <w:p w14:paraId="1EF3EF8E" w14:textId="77777777" w:rsidR="00964B88" w:rsidRDefault="00964B88" w:rsidP="00F53820">
      <w:r>
        <w:t>Employment growth is expected to remain solid and the unemployment rate to remain below its estimated trend this year and in 2020-21. If these forecasts are realised, this would represent a solid economic outcome in light of what has been a significant downturn in the property market cycle.</w:t>
      </w:r>
    </w:p>
    <w:p w14:paraId="0F39D4A9" w14:textId="77777777" w:rsidR="00964B88" w:rsidRDefault="00964B88">
      <w:pPr>
        <w:keepLines w:val="0"/>
      </w:pPr>
      <w:r>
        <w:br w:type="page"/>
      </w:r>
    </w:p>
    <w:p w14:paraId="38A0021B" w14:textId="77777777" w:rsidR="00964B88" w:rsidRDefault="00964B88" w:rsidP="00F53820">
      <w:r>
        <w:lastRenderedPageBreak/>
        <w:t xml:space="preserve">Table 2.1 sets out the economic forecasts, with the </w:t>
      </w:r>
      <w:r w:rsidRPr="00434DBD">
        <w:rPr>
          <w:i/>
        </w:rPr>
        <w:t>2019-20 Budget</w:t>
      </w:r>
      <w:r>
        <w:t xml:space="preserve"> forecasts in italics where different.</w:t>
      </w:r>
    </w:p>
    <w:p w14:paraId="6D7D8DD0" w14:textId="77777777" w:rsidR="00964B88" w:rsidRDefault="00964B88" w:rsidP="00F53820">
      <w:pPr>
        <w:pStyle w:val="TableHeading"/>
      </w:pPr>
      <w:r w:rsidRPr="00434DBD">
        <w:t>Table 2.1:</w:t>
      </w:r>
      <w:r w:rsidRPr="00434DBD">
        <w:tab/>
        <w:t xml:space="preserve">Victorian economic forecasts </w:t>
      </w:r>
      <w:r w:rsidRPr="00434DBD">
        <w:rPr>
          <w:vertAlign w:val="superscript"/>
        </w:rPr>
        <w:t>(a)</w:t>
      </w:r>
      <w:r w:rsidRPr="00434DBD">
        <w:tab/>
        <w:t>(per cent)</w:t>
      </w:r>
    </w:p>
    <w:tbl>
      <w:tblPr>
        <w:tblStyle w:val="DTFTable"/>
        <w:tblW w:w="7684" w:type="dxa"/>
        <w:tblLayout w:type="fixed"/>
        <w:tblLook w:val="06A0" w:firstRow="1" w:lastRow="0" w:firstColumn="1" w:lastColumn="0" w:noHBand="1" w:noVBand="1"/>
      </w:tblPr>
      <w:tblGrid>
        <w:gridCol w:w="2552"/>
        <w:gridCol w:w="1026"/>
        <w:gridCol w:w="1027"/>
        <w:gridCol w:w="1026"/>
        <w:gridCol w:w="1027"/>
        <w:gridCol w:w="1026"/>
      </w:tblGrid>
      <w:tr w:rsidR="00964B88" w:rsidRPr="003F1858" w14:paraId="28362638" w14:textId="77777777" w:rsidTr="00F53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4B653C3" w14:textId="77777777" w:rsidR="00964B88" w:rsidRPr="003F1858" w:rsidRDefault="00964B88" w:rsidP="00F53820">
            <w:pPr>
              <w:rPr>
                <w:rFonts w:eastAsia="Garamond" w:cs="Times New Roman"/>
                <w:lang w:eastAsia="en-AU"/>
              </w:rPr>
            </w:pPr>
          </w:p>
        </w:tc>
        <w:tc>
          <w:tcPr>
            <w:tcW w:w="1026" w:type="dxa"/>
          </w:tcPr>
          <w:p w14:paraId="61B8023B" w14:textId="77777777" w:rsidR="00964B88" w:rsidRPr="003F1858" w:rsidRDefault="00964B88" w:rsidP="00F53820">
            <w:pPr>
              <w:ind w:right="88"/>
              <w:cnfStyle w:val="100000000000" w:firstRow="1" w:lastRow="0" w:firstColumn="0" w:lastColumn="0" w:oddVBand="0" w:evenVBand="0" w:oddHBand="0" w:evenHBand="0" w:firstRowFirstColumn="0" w:firstRowLastColumn="0" w:lastRowFirstColumn="0" w:lastRowLastColumn="0"/>
              <w:rPr>
                <w:rFonts w:eastAsia="Garamond" w:cs="Calibri"/>
                <w:color w:val="FFFFFF"/>
                <w:szCs w:val="20"/>
                <w:lang w:eastAsia="en-AU"/>
              </w:rPr>
            </w:pPr>
            <w:r w:rsidRPr="003F1858">
              <w:rPr>
                <w:rFonts w:eastAsia="Garamond" w:cs="Calibri"/>
                <w:color w:val="FFFFFF"/>
                <w:szCs w:val="20"/>
                <w:lang w:eastAsia="en-AU"/>
              </w:rPr>
              <w:t>201</w:t>
            </w:r>
            <w:r>
              <w:rPr>
                <w:rFonts w:eastAsia="Garamond" w:cs="Calibri"/>
                <w:color w:val="FFFFFF"/>
                <w:szCs w:val="20"/>
                <w:lang w:eastAsia="en-AU"/>
              </w:rPr>
              <w:t>8</w:t>
            </w:r>
            <w:r w:rsidRPr="003F1858">
              <w:rPr>
                <w:rFonts w:eastAsia="Garamond" w:cs="Calibri"/>
                <w:color w:val="FFFFFF"/>
                <w:szCs w:val="20"/>
                <w:lang w:eastAsia="en-AU"/>
              </w:rPr>
              <w:t>-1</w:t>
            </w:r>
            <w:r>
              <w:rPr>
                <w:rFonts w:eastAsia="Garamond" w:cs="Calibri"/>
                <w:color w:val="FFFFFF"/>
                <w:szCs w:val="20"/>
                <w:lang w:eastAsia="en-AU"/>
              </w:rPr>
              <w:t>9</w:t>
            </w:r>
            <w:r w:rsidRPr="003F1858">
              <w:rPr>
                <w:rFonts w:eastAsia="Garamond" w:cs="Calibri"/>
                <w:color w:val="FFFFFF"/>
                <w:szCs w:val="20"/>
                <w:lang w:eastAsia="en-AU"/>
              </w:rPr>
              <w:br/>
              <w:t>actual</w:t>
            </w:r>
          </w:p>
        </w:tc>
        <w:tc>
          <w:tcPr>
            <w:tcW w:w="1027" w:type="dxa"/>
          </w:tcPr>
          <w:p w14:paraId="6B3A7995" w14:textId="77777777" w:rsidR="00964B88" w:rsidRPr="003F1858" w:rsidRDefault="00964B88" w:rsidP="00F53820">
            <w:pPr>
              <w:cnfStyle w:val="100000000000" w:firstRow="1" w:lastRow="0" w:firstColumn="0" w:lastColumn="0" w:oddVBand="0" w:evenVBand="0" w:oddHBand="0" w:evenHBand="0" w:firstRowFirstColumn="0" w:firstRowLastColumn="0" w:lastRowFirstColumn="0" w:lastRowLastColumn="0"/>
              <w:rPr>
                <w:rFonts w:eastAsia="Garamond" w:cs="Calibri"/>
                <w:color w:val="FFFFFF"/>
                <w:szCs w:val="20"/>
                <w:lang w:eastAsia="en-AU"/>
              </w:rPr>
            </w:pPr>
            <w:r w:rsidRPr="003F1858">
              <w:rPr>
                <w:rFonts w:eastAsia="Garamond" w:cs="Calibri"/>
                <w:color w:val="FFFFFF"/>
                <w:szCs w:val="20"/>
                <w:lang w:eastAsia="en-AU"/>
              </w:rPr>
              <w:t>201</w:t>
            </w:r>
            <w:r>
              <w:rPr>
                <w:rFonts w:eastAsia="Garamond" w:cs="Calibri"/>
                <w:color w:val="FFFFFF"/>
                <w:szCs w:val="20"/>
                <w:lang w:eastAsia="en-AU"/>
              </w:rPr>
              <w:t>9</w:t>
            </w:r>
            <w:r w:rsidRPr="003F1858">
              <w:rPr>
                <w:rFonts w:eastAsia="Garamond" w:cs="Calibri"/>
                <w:color w:val="FFFFFF"/>
                <w:szCs w:val="20"/>
                <w:lang w:eastAsia="en-AU"/>
              </w:rPr>
              <w:t>-</w:t>
            </w:r>
            <w:r>
              <w:rPr>
                <w:rFonts w:eastAsia="Garamond" w:cs="Calibri"/>
                <w:color w:val="FFFFFF"/>
                <w:szCs w:val="20"/>
                <w:lang w:eastAsia="en-AU"/>
              </w:rPr>
              <w:t>20</w:t>
            </w:r>
            <w:r w:rsidRPr="003F1858">
              <w:rPr>
                <w:rFonts w:eastAsia="Garamond" w:cs="Calibri"/>
                <w:color w:val="FFFFFF"/>
                <w:szCs w:val="20"/>
                <w:lang w:eastAsia="en-AU"/>
              </w:rPr>
              <w:br/>
              <w:t>forecast</w:t>
            </w:r>
          </w:p>
        </w:tc>
        <w:tc>
          <w:tcPr>
            <w:tcW w:w="1026" w:type="dxa"/>
          </w:tcPr>
          <w:p w14:paraId="3D573567" w14:textId="77777777" w:rsidR="00964B88" w:rsidRPr="003F1858" w:rsidRDefault="00964B88" w:rsidP="00F53820">
            <w:pPr>
              <w:cnfStyle w:val="100000000000" w:firstRow="1" w:lastRow="0" w:firstColumn="0" w:lastColumn="0" w:oddVBand="0" w:evenVBand="0" w:oddHBand="0" w:evenHBand="0" w:firstRowFirstColumn="0" w:firstRowLastColumn="0" w:lastRowFirstColumn="0" w:lastRowLastColumn="0"/>
              <w:rPr>
                <w:rFonts w:eastAsia="Garamond" w:cs="Calibri"/>
                <w:color w:val="FFFFFF"/>
                <w:szCs w:val="20"/>
                <w:lang w:eastAsia="en-AU"/>
              </w:rPr>
            </w:pPr>
            <w:r w:rsidRPr="003F1858">
              <w:rPr>
                <w:rFonts w:eastAsia="Garamond" w:cs="Calibri"/>
                <w:color w:val="FFFFFF"/>
                <w:szCs w:val="20"/>
                <w:lang w:eastAsia="en-AU"/>
              </w:rPr>
              <w:t>20</w:t>
            </w:r>
            <w:r>
              <w:rPr>
                <w:rFonts w:eastAsia="Garamond" w:cs="Calibri"/>
                <w:color w:val="FFFFFF"/>
                <w:szCs w:val="20"/>
                <w:lang w:eastAsia="en-AU"/>
              </w:rPr>
              <w:t>20</w:t>
            </w:r>
            <w:r w:rsidRPr="003F1858">
              <w:rPr>
                <w:rFonts w:eastAsia="Garamond" w:cs="Calibri"/>
                <w:color w:val="FFFFFF"/>
                <w:szCs w:val="20"/>
                <w:lang w:eastAsia="en-AU"/>
              </w:rPr>
              <w:t>-2</w:t>
            </w:r>
            <w:r>
              <w:rPr>
                <w:rFonts w:eastAsia="Garamond" w:cs="Calibri"/>
                <w:color w:val="FFFFFF"/>
                <w:szCs w:val="20"/>
                <w:lang w:eastAsia="en-AU"/>
              </w:rPr>
              <w:t>1</w:t>
            </w:r>
            <w:r w:rsidRPr="003F1858">
              <w:rPr>
                <w:rFonts w:eastAsia="Garamond" w:cs="Calibri"/>
                <w:color w:val="FFFFFF"/>
                <w:szCs w:val="20"/>
                <w:lang w:eastAsia="en-AU"/>
              </w:rPr>
              <w:br/>
              <w:t>forecast</w:t>
            </w:r>
          </w:p>
        </w:tc>
        <w:tc>
          <w:tcPr>
            <w:tcW w:w="1027" w:type="dxa"/>
          </w:tcPr>
          <w:p w14:paraId="55A87606" w14:textId="77777777" w:rsidR="00964B88" w:rsidRPr="003F1858" w:rsidRDefault="00964B88" w:rsidP="00F53820">
            <w:pPr>
              <w:cnfStyle w:val="100000000000" w:firstRow="1" w:lastRow="0" w:firstColumn="0" w:lastColumn="0" w:oddVBand="0" w:evenVBand="0" w:oddHBand="0" w:evenHBand="0" w:firstRowFirstColumn="0" w:firstRowLastColumn="0" w:lastRowFirstColumn="0" w:lastRowLastColumn="0"/>
              <w:rPr>
                <w:rFonts w:eastAsia="Garamond" w:cs="Calibri"/>
                <w:color w:val="FFFFFF"/>
                <w:szCs w:val="20"/>
                <w:lang w:eastAsia="en-AU"/>
              </w:rPr>
            </w:pPr>
            <w:r w:rsidRPr="003F1858">
              <w:rPr>
                <w:rFonts w:eastAsia="Garamond" w:cs="Calibri"/>
                <w:color w:val="FFFFFF"/>
                <w:szCs w:val="20"/>
                <w:lang w:eastAsia="en-AU"/>
              </w:rPr>
              <w:t>202</w:t>
            </w:r>
            <w:r>
              <w:rPr>
                <w:rFonts w:eastAsia="Garamond" w:cs="Calibri"/>
                <w:color w:val="FFFFFF"/>
                <w:szCs w:val="20"/>
                <w:lang w:eastAsia="en-AU"/>
              </w:rPr>
              <w:t>1</w:t>
            </w:r>
            <w:r w:rsidRPr="003F1858">
              <w:rPr>
                <w:rFonts w:eastAsia="Garamond" w:cs="Calibri"/>
                <w:color w:val="FFFFFF"/>
                <w:szCs w:val="20"/>
                <w:lang w:eastAsia="en-AU"/>
              </w:rPr>
              <w:t>-2</w:t>
            </w:r>
            <w:r>
              <w:rPr>
                <w:rFonts w:eastAsia="Garamond" w:cs="Calibri"/>
                <w:color w:val="FFFFFF"/>
                <w:szCs w:val="20"/>
                <w:lang w:eastAsia="en-AU"/>
              </w:rPr>
              <w:t>2</w:t>
            </w:r>
            <w:r w:rsidRPr="003F1858">
              <w:rPr>
                <w:rFonts w:eastAsia="Garamond" w:cs="Calibri"/>
                <w:color w:val="FFFFFF"/>
                <w:szCs w:val="20"/>
                <w:lang w:eastAsia="en-AU"/>
              </w:rPr>
              <w:br/>
              <w:t>projection</w:t>
            </w:r>
          </w:p>
        </w:tc>
        <w:tc>
          <w:tcPr>
            <w:tcW w:w="1026" w:type="dxa"/>
          </w:tcPr>
          <w:p w14:paraId="3AC4BA91" w14:textId="77777777" w:rsidR="00964B88" w:rsidRPr="003F1858" w:rsidRDefault="00964B88" w:rsidP="00F53820">
            <w:pPr>
              <w:cnfStyle w:val="100000000000" w:firstRow="1" w:lastRow="0" w:firstColumn="0" w:lastColumn="0" w:oddVBand="0" w:evenVBand="0" w:oddHBand="0" w:evenHBand="0" w:firstRowFirstColumn="0" w:firstRowLastColumn="0" w:lastRowFirstColumn="0" w:lastRowLastColumn="0"/>
              <w:rPr>
                <w:rFonts w:eastAsia="Garamond" w:cs="Calibri"/>
                <w:color w:val="FFFFFF"/>
                <w:szCs w:val="20"/>
                <w:lang w:eastAsia="en-AU"/>
              </w:rPr>
            </w:pPr>
            <w:r w:rsidRPr="003F1858">
              <w:rPr>
                <w:rFonts w:eastAsia="Garamond" w:cs="Calibri"/>
                <w:color w:val="FFFFFF"/>
                <w:szCs w:val="20"/>
                <w:lang w:eastAsia="en-AU"/>
              </w:rPr>
              <w:t>202</w:t>
            </w:r>
            <w:r>
              <w:rPr>
                <w:rFonts w:eastAsia="Garamond" w:cs="Calibri"/>
                <w:color w:val="FFFFFF"/>
                <w:szCs w:val="20"/>
                <w:lang w:eastAsia="en-AU"/>
              </w:rPr>
              <w:t>2</w:t>
            </w:r>
            <w:r w:rsidRPr="003F1858">
              <w:rPr>
                <w:rFonts w:eastAsia="Garamond" w:cs="Calibri"/>
                <w:color w:val="FFFFFF"/>
                <w:szCs w:val="20"/>
                <w:lang w:eastAsia="en-AU"/>
              </w:rPr>
              <w:t>-2</w:t>
            </w:r>
            <w:r>
              <w:rPr>
                <w:rFonts w:eastAsia="Garamond" w:cs="Calibri"/>
                <w:color w:val="FFFFFF"/>
                <w:szCs w:val="20"/>
                <w:lang w:eastAsia="en-AU"/>
              </w:rPr>
              <w:t>3</w:t>
            </w:r>
            <w:r w:rsidRPr="003F1858">
              <w:rPr>
                <w:rFonts w:eastAsia="Garamond" w:cs="Calibri"/>
                <w:color w:val="FFFFFF"/>
                <w:szCs w:val="20"/>
                <w:lang w:eastAsia="en-AU"/>
              </w:rPr>
              <w:br/>
              <w:t>projection</w:t>
            </w:r>
          </w:p>
        </w:tc>
      </w:tr>
      <w:tr w:rsidR="00964B88" w:rsidRPr="003F1858" w14:paraId="16055E9F" w14:textId="77777777" w:rsidTr="00F53820">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4064E824" w14:textId="77777777" w:rsidR="00964B88" w:rsidRPr="003F1858" w:rsidRDefault="00964B88" w:rsidP="00F53820">
            <w:pPr>
              <w:rPr>
                <w:rFonts w:eastAsia="Garamond" w:cs="Calibri"/>
                <w:szCs w:val="20"/>
                <w:lang w:eastAsia="en-AU"/>
              </w:rPr>
            </w:pPr>
            <w:r w:rsidRPr="003F1858">
              <w:rPr>
                <w:rFonts w:eastAsia="Garamond" w:cs="Calibri"/>
                <w:szCs w:val="20"/>
                <w:lang w:eastAsia="en-AU"/>
              </w:rPr>
              <w:t>Real gross state product</w:t>
            </w:r>
          </w:p>
        </w:tc>
        <w:tc>
          <w:tcPr>
            <w:tcW w:w="1026" w:type="dxa"/>
          </w:tcPr>
          <w:p w14:paraId="7A2A96F3" w14:textId="77777777" w:rsidR="00964B88" w:rsidRPr="003F1858" w:rsidRDefault="00964B88" w:rsidP="00F53820">
            <w:pPr>
              <w:ind w:right="88"/>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E13BA3">
              <w:rPr>
                <w:rFonts w:eastAsia="Garamond" w:cs="Calibri"/>
                <w:szCs w:val="20"/>
                <w:lang w:eastAsia="en-AU"/>
              </w:rPr>
              <w:t>3.0</w:t>
            </w:r>
          </w:p>
        </w:tc>
        <w:tc>
          <w:tcPr>
            <w:tcW w:w="1027" w:type="dxa"/>
          </w:tcPr>
          <w:p w14:paraId="4EEDDB5E"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Pr>
                <w:rFonts w:eastAsia="Garamond" w:cs="Calibri"/>
                <w:szCs w:val="20"/>
                <w:lang w:eastAsia="en-AU"/>
              </w:rPr>
              <w:t>2.50</w:t>
            </w:r>
          </w:p>
        </w:tc>
        <w:tc>
          <w:tcPr>
            <w:tcW w:w="1026" w:type="dxa"/>
          </w:tcPr>
          <w:p w14:paraId="16057EFE"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2.75</w:t>
            </w:r>
          </w:p>
        </w:tc>
        <w:tc>
          <w:tcPr>
            <w:tcW w:w="1027" w:type="dxa"/>
          </w:tcPr>
          <w:p w14:paraId="6BE58194"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2.75</w:t>
            </w:r>
          </w:p>
        </w:tc>
        <w:tc>
          <w:tcPr>
            <w:tcW w:w="1026" w:type="dxa"/>
          </w:tcPr>
          <w:p w14:paraId="5EA90A84"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2.75</w:t>
            </w:r>
          </w:p>
        </w:tc>
      </w:tr>
      <w:tr w:rsidR="00964B88" w:rsidRPr="003F1858" w14:paraId="28B6349B" w14:textId="77777777" w:rsidTr="00F53820">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670BA61E" w14:textId="77777777" w:rsidR="00964B88" w:rsidRPr="003F1858" w:rsidRDefault="00964B88" w:rsidP="00F53820">
            <w:pPr>
              <w:rPr>
                <w:rFonts w:eastAsia="Garamond" w:cs="Calibri"/>
                <w:i/>
                <w:szCs w:val="20"/>
                <w:lang w:eastAsia="en-AU"/>
              </w:rPr>
            </w:pPr>
          </w:p>
        </w:tc>
        <w:tc>
          <w:tcPr>
            <w:tcW w:w="1026" w:type="dxa"/>
          </w:tcPr>
          <w:p w14:paraId="44F0BB1E" w14:textId="77777777" w:rsidR="00964B88" w:rsidRPr="003F1858" w:rsidRDefault="00964B88" w:rsidP="00F53820">
            <w:pPr>
              <w:ind w:right="88"/>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c>
          <w:tcPr>
            <w:tcW w:w="1027" w:type="dxa"/>
          </w:tcPr>
          <w:p w14:paraId="62474F27"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r>
              <w:rPr>
                <w:rFonts w:eastAsia="Garamond" w:cs="Calibri"/>
                <w:i/>
                <w:szCs w:val="20"/>
                <w:lang w:eastAsia="en-AU"/>
              </w:rPr>
              <w:t>2.75</w:t>
            </w:r>
          </w:p>
        </w:tc>
        <w:tc>
          <w:tcPr>
            <w:tcW w:w="1026" w:type="dxa"/>
          </w:tcPr>
          <w:p w14:paraId="64B48287"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c>
          <w:tcPr>
            <w:tcW w:w="1027" w:type="dxa"/>
          </w:tcPr>
          <w:p w14:paraId="7C005C71"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c>
          <w:tcPr>
            <w:tcW w:w="1026" w:type="dxa"/>
          </w:tcPr>
          <w:p w14:paraId="34E74E5E"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r>
      <w:tr w:rsidR="00964B88" w:rsidRPr="003F1858" w14:paraId="74691F5E" w14:textId="77777777" w:rsidTr="00F53820">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710CEA95" w14:textId="77777777" w:rsidR="00964B88" w:rsidRPr="003F1858" w:rsidRDefault="00964B88" w:rsidP="00F53820">
            <w:pPr>
              <w:rPr>
                <w:rFonts w:eastAsia="Garamond" w:cs="Calibri"/>
                <w:szCs w:val="20"/>
                <w:lang w:eastAsia="en-AU"/>
              </w:rPr>
            </w:pPr>
            <w:r w:rsidRPr="003F1858">
              <w:rPr>
                <w:rFonts w:eastAsia="Garamond" w:cs="Calibri"/>
                <w:szCs w:val="20"/>
                <w:lang w:eastAsia="en-AU"/>
              </w:rPr>
              <w:t>Employment</w:t>
            </w:r>
          </w:p>
        </w:tc>
        <w:tc>
          <w:tcPr>
            <w:tcW w:w="1026" w:type="dxa"/>
          </w:tcPr>
          <w:p w14:paraId="179052E3" w14:textId="77777777" w:rsidR="00964B88" w:rsidRPr="003F1858" w:rsidRDefault="00964B88" w:rsidP="00F53820">
            <w:pPr>
              <w:ind w:right="88"/>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Pr>
                <w:rFonts w:eastAsia="Garamond" w:cs="Calibri"/>
                <w:szCs w:val="20"/>
                <w:lang w:eastAsia="en-AU"/>
              </w:rPr>
              <w:t>3.4</w:t>
            </w:r>
          </w:p>
        </w:tc>
        <w:tc>
          <w:tcPr>
            <w:tcW w:w="1027" w:type="dxa"/>
          </w:tcPr>
          <w:p w14:paraId="16C89294"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2.</w:t>
            </w:r>
            <w:r>
              <w:rPr>
                <w:rFonts w:eastAsia="Garamond" w:cs="Calibri"/>
                <w:szCs w:val="20"/>
                <w:lang w:eastAsia="en-AU"/>
              </w:rPr>
              <w:t>00</w:t>
            </w:r>
          </w:p>
        </w:tc>
        <w:tc>
          <w:tcPr>
            <w:tcW w:w="1026" w:type="dxa"/>
          </w:tcPr>
          <w:p w14:paraId="27ABEF84"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Pr>
                <w:rFonts w:eastAsia="Garamond" w:cs="Calibri"/>
                <w:szCs w:val="20"/>
                <w:lang w:eastAsia="en-AU"/>
              </w:rPr>
              <w:t>1.75</w:t>
            </w:r>
          </w:p>
        </w:tc>
        <w:tc>
          <w:tcPr>
            <w:tcW w:w="1027" w:type="dxa"/>
          </w:tcPr>
          <w:p w14:paraId="0A1053D4"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1.75</w:t>
            </w:r>
          </w:p>
        </w:tc>
        <w:tc>
          <w:tcPr>
            <w:tcW w:w="1026" w:type="dxa"/>
          </w:tcPr>
          <w:p w14:paraId="2F6C9A53"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1.75</w:t>
            </w:r>
          </w:p>
        </w:tc>
      </w:tr>
      <w:tr w:rsidR="00964B88" w:rsidRPr="003F1858" w14:paraId="125529DC" w14:textId="77777777" w:rsidTr="00F53820">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7FE54258" w14:textId="77777777" w:rsidR="00964B88" w:rsidRPr="003F1858" w:rsidRDefault="00964B88" w:rsidP="00F53820">
            <w:pPr>
              <w:rPr>
                <w:rFonts w:eastAsia="Garamond" w:cs="Calibri"/>
                <w:szCs w:val="20"/>
                <w:lang w:eastAsia="en-AU"/>
              </w:rPr>
            </w:pPr>
            <w:r w:rsidRPr="003F1858">
              <w:rPr>
                <w:rFonts w:eastAsia="Garamond" w:cs="Calibri"/>
                <w:szCs w:val="20"/>
                <w:lang w:eastAsia="en-AU"/>
              </w:rPr>
              <w:t xml:space="preserve">Unemployment rate </w:t>
            </w:r>
            <w:r w:rsidRPr="003F1858">
              <w:rPr>
                <w:rFonts w:eastAsia="Garamond" w:cs="Calibri"/>
                <w:szCs w:val="20"/>
                <w:vertAlign w:val="superscript"/>
                <w:lang w:eastAsia="en-AU"/>
              </w:rPr>
              <w:t>(b)</w:t>
            </w:r>
          </w:p>
        </w:tc>
        <w:tc>
          <w:tcPr>
            <w:tcW w:w="1026" w:type="dxa"/>
          </w:tcPr>
          <w:p w14:paraId="192F2B13" w14:textId="77777777" w:rsidR="00964B88" w:rsidRPr="003F1858" w:rsidRDefault="00964B88" w:rsidP="00F53820">
            <w:pPr>
              <w:ind w:right="88"/>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Pr>
                <w:rFonts w:eastAsia="Garamond" w:cs="Calibri"/>
                <w:szCs w:val="20"/>
                <w:lang w:eastAsia="en-AU"/>
              </w:rPr>
              <w:t>4.6</w:t>
            </w:r>
          </w:p>
        </w:tc>
        <w:tc>
          <w:tcPr>
            <w:tcW w:w="1027" w:type="dxa"/>
          </w:tcPr>
          <w:p w14:paraId="41942A2E"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Pr>
                <w:rFonts w:eastAsia="Garamond" w:cs="Calibri"/>
                <w:szCs w:val="20"/>
                <w:lang w:eastAsia="en-AU"/>
              </w:rPr>
              <w:t>5.00</w:t>
            </w:r>
          </w:p>
        </w:tc>
        <w:tc>
          <w:tcPr>
            <w:tcW w:w="1026" w:type="dxa"/>
          </w:tcPr>
          <w:p w14:paraId="6C22FBFA"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5.</w:t>
            </w:r>
            <w:r>
              <w:rPr>
                <w:rFonts w:eastAsia="Garamond" w:cs="Calibri"/>
                <w:szCs w:val="20"/>
                <w:lang w:eastAsia="en-AU"/>
              </w:rPr>
              <w:t>00</w:t>
            </w:r>
          </w:p>
        </w:tc>
        <w:tc>
          <w:tcPr>
            <w:tcW w:w="1027" w:type="dxa"/>
          </w:tcPr>
          <w:p w14:paraId="15299AC9"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5.25</w:t>
            </w:r>
          </w:p>
        </w:tc>
        <w:tc>
          <w:tcPr>
            <w:tcW w:w="1026" w:type="dxa"/>
          </w:tcPr>
          <w:p w14:paraId="7823D952"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5.50</w:t>
            </w:r>
          </w:p>
        </w:tc>
      </w:tr>
      <w:tr w:rsidR="00964B88" w:rsidRPr="003F1858" w14:paraId="505D0C17" w14:textId="77777777" w:rsidTr="00F53820">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68339531" w14:textId="77777777" w:rsidR="00964B88" w:rsidRPr="003F1858" w:rsidRDefault="00964B88" w:rsidP="00F53820">
            <w:pPr>
              <w:rPr>
                <w:rFonts w:eastAsia="Garamond" w:cs="Calibri"/>
                <w:szCs w:val="20"/>
                <w:lang w:eastAsia="en-AU"/>
              </w:rPr>
            </w:pPr>
          </w:p>
        </w:tc>
        <w:tc>
          <w:tcPr>
            <w:tcW w:w="1026" w:type="dxa"/>
          </w:tcPr>
          <w:p w14:paraId="1DEF6274" w14:textId="77777777" w:rsidR="00964B88" w:rsidRPr="00045BF2" w:rsidRDefault="00964B88" w:rsidP="00F53820">
            <w:pPr>
              <w:ind w:right="88"/>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c>
          <w:tcPr>
            <w:tcW w:w="1027" w:type="dxa"/>
          </w:tcPr>
          <w:p w14:paraId="03A0B3F7" w14:textId="77777777" w:rsidR="00964B88" w:rsidRPr="00045BF2"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r>
              <w:rPr>
                <w:rFonts w:eastAsia="Garamond" w:cs="Calibri"/>
                <w:i/>
                <w:szCs w:val="20"/>
                <w:lang w:eastAsia="en-AU"/>
              </w:rPr>
              <w:t>4.75</w:t>
            </w:r>
          </w:p>
        </w:tc>
        <w:tc>
          <w:tcPr>
            <w:tcW w:w="1026" w:type="dxa"/>
          </w:tcPr>
          <w:p w14:paraId="4724CA92" w14:textId="77777777" w:rsidR="00964B88" w:rsidRPr="00045BF2"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c>
          <w:tcPr>
            <w:tcW w:w="1027" w:type="dxa"/>
          </w:tcPr>
          <w:p w14:paraId="697C1396" w14:textId="77777777" w:rsidR="00964B88" w:rsidRPr="00045BF2"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c>
          <w:tcPr>
            <w:tcW w:w="1026" w:type="dxa"/>
          </w:tcPr>
          <w:p w14:paraId="58084572" w14:textId="77777777" w:rsidR="00964B88" w:rsidRPr="00045BF2"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r>
      <w:tr w:rsidR="00964B88" w:rsidRPr="003F1858" w14:paraId="01D1FBAB" w14:textId="77777777" w:rsidTr="00F53820">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1CA5BADB" w14:textId="77777777" w:rsidR="00964B88" w:rsidRPr="003F1858" w:rsidRDefault="00964B88" w:rsidP="00F53820">
            <w:pPr>
              <w:rPr>
                <w:rFonts w:eastAsia="Garamond" w:cs="Calibri"/>
                <w:szCs w:val="20"/>
                <w:lang w:eastAsia="en-AU"/>
              </w:rPr>
            </w:pPr>
            <w:r w:rsidRPr="003F1858">
              <w:rPr>
                <w:rFonts w:eastAsia="Garamond" w:cs="Calibri"/>
                <w:szCs w:val="20"/>
                <w:lang w:eastAsia="en-AU"/>
              </w:rPr>
              <w:t xml:space="preserve">Consumer price index </w:t>
            </w:r>
            <w:r w:rsidRPr="003F1858">
              <w:rPr>
                <w:rFonts w:eastAsia="Garamond" w:cs="Calibri"/>
                <w:szCs w:val="20"/>
                <w:vertAlign w:val="superscript"/>
                <w:lang w:eastAsia="en-AU"/>
              </w:rPr>
              <w:t>(c)</w:t>
            </w:r>
          </w:p>
        </w:tc>
        <w:tc>
          <w:tcPr>
            <w:tcW w:w="1026" w:type="dxa"/>
          </w:tcPr>
          <w:p w14:paraId="1CFE17A3" w14:textId="77777777" w:rsidR="00964B88" w:rsidRPr="003F1858" w:rsidRDefault="00964B88" w:rsidP="00F53820">
            <w:pPr>
              <w:ind w:right="88"/>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Pr>
                <w:rFonts w:eastAsia="Garamond" w:cs="Calibri"/>
                <w:szCs w:val="20"/>
                <w:lang w:eastAsia="en-AU"/>
              </w:rPr>
              <w:t>1.7</w:t>
            </w:r>
          </w:p>
        </w:tc>
        <w:tc>
          <w:tcPr>
            <w:tcW w:w="1027" w:type="dxa"/>
          </w:tcPr>
          <w:p w14:paraId="5ADD84E8"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Pr>
                <w:rFonts w:eastAsia="Garamond" w:cs="Calibri"/>
                <w:szCs w:val="20"/>
                <w:lang w:eastAsia="en-AU"/>
              </w:rPr>
              <w:t>1.75</w:t>
            </w:r>
          </w:p>
        </w:tc>
        <w:tc>
          <w:tcPr>
            <w:tcW w:w="1026" w:type="dxa"/>
          </w:tcPr>
          <w:p w14:paraId="7F409710"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2.</w:t>
            </w:r>
            <w:r>
              <w:rPr>
                <w:rFonts w:eastAsia="Garamond" w:cs="Calibri"/>
                <w:szCs w:val="20"/>
                <w:lang w:eastAsia="en-AU"/>
              </w:rPr>
              <w:t>0</w:t>
            </w:r>
            <w:r w:rsidRPr="003F1858">
              <w:rPr>
                <w:rFonts w:eastAsia="Garamond" w:cs="Calibri"/>
                <w:szCs w:val="20"/>
                <w:lang w:eastAsia="en-AU"/>
              </w:rPr>
              <w:t>0</w:t>
            </w:r>
          </w:p>
        </w:tc>
        <w:tc>
          <w:tcPr>
            <w:tcW w:w="1027" w:type="dxa"/>
          </w:tcPr>
          <w:p w14:paraId="6BF03865"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2.</w:t>
            </w:r>
            <w:r>
              <w:rPr>
                <w:rFonts w:eastAsia="Garamond" w:cs="Calibri"/>
                <w:szCs w:val="20"/>
                <w:lang w:eastAsia="en-AU"/>
              </w:rPr>
              <w:t>25</w:t>
            </w:r>
          </w:p>
        </w:tc>
        <w:tc>
          <w:tcPr>
            <w:tcW w:w="1026" w:type="dxa"/>
          </w:tcPr>
          <w:p w14:paraId="79B076FF"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2.50</w:t>
            </w:r>
          </w:p>
        </w:tc>
      </w:tr>
      <w:tr w:rsidR="00964B88" w:rsidRPr="003F1858" w14:paraId="1F1F23B0" w14:textId="77777777" w:rsidTr="00F53820">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6FB0794E" w14:textId="77777777" w:rsidR="00964B88" w:rsidRPr="003F1858" w:rsidRDefault="00964B88" w:rsidP="00F53820">
            <w:pPr>
              <w:rPr>
                <w:rFonts w:eastAsia="Garamond" w:cs="Calibri"/>
                <w:i/>
                <w:szCs w:val="20"/>
                <w:lang w:eastAsia="en-AU"/>
              </w:rPr>
            </w:pPr>
          </w:p>
        </w:tc>
        <w:tc>
          <w:tcPr>
            <w:tcW w:w="1026" w:type="dxa"/>
          </w:tcPr>
          <w:p w14:paraId="602A894A" w14:textId="77777777" w:rsidR="00964B88" w:rsidRPr="003F1858" w:rsidRDefault="00964B88" w:rsidP="00F53820">
            <w:pPr>
              <w:ind w:right="88"/>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c>
          <w:tcPr>
            <w:tcW w:w="1027" w:type="dxa"/>
          </w:tcPr>
          <w:p w14:paraId="5AE1D8A3"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r w:rsidRPr="003F1858">
              <w:rPr>
                <w:rFonts w:eastAsia="Garamond" w:cs="Calibri"/>
                <w:i/>
                <w:szCs w:val="20"/>
                <w:lang w:eastAsia="en-AU"/>
              </w:rPr>
              <w:t>2.</w:t>
            </w:r>
            <w:r>
              <w:rPr>
                <w:rFonts w:eastAsia="Garamond" w:cs="Calibri"/>
                <w:i/>
                <w:szCs w:val="20"/>
                <w:lang w:eastAsia="en-AU"/>
              </w:rPr>
              <w:t>00</w:t>
            </w:r>
          </w:p>
        </w:tc>
        <w:tc>
          <w:tcPr>
            <w:tcW w:w="1026" w:type="dxa"/>
          </w:tcPr>
          <w:p w14:paraId="2540CF9D"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r>
              <w:rPr>
                <w:rFonts w:eastAsia="Garamond" w:cs="Calibri"/>
                <w:i/>
                <w:szCs w:val="20"/>
                <w:lang w:eastAsia="en-AU"/>
              </w:rPr>
              <w:t>2.25</w:t>
            </w:r>
          </w:p>
        </w:tc>
        <w:tc>
          <w:tcPr>
            <w:tcW w:w="1027" w:type="dxa"/>
          </w:tcPr>
          <w:p w14:paraId="4269912D"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r>
              <w:rPr>
                <w:rFonts w:eastAsia="Garamond" w:cs="Calibri"/>
                <w:i/>
                <w:szCs w:val="20"/>
                <w:lang w:eastAsia="en-AU"/>
              </w:rPr>
              <w:t>2.50</w:t>
            </w:r>
          </w:p>
        </w:tc>
        <w:tc>
          <w:tcPr>
            <w:tcW w:w="1026" w:type="dxa"/>
          </w:tcPr>
          <w:p w14:paraId="66F34EB3"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r>
      <w:tr w:rsidR="00964B88" w:rsidRPr="003F1858" w14:paraId="632FC7EF" w14:textId="77777777" w:rsidTr="00F53820">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08A8D7AE" w14:textId="77777777" w:rsidR="00964B88" w:rsidRPr="003F1858" w:rsidRDefault="00964B88" w:rsidP="00F53820">
            <w:pPr>
              <w:rPr>
                <w:rFonts w:eastAsia="Garamond" w:cs="Calibri"/>
                <w:szCs w:val="20"/>
                <w:lang w:eastAsia="en-AU"/>
              </w:rPr>
            </w:pPr>
            <w:r w:rsidRPr="003F1858">
              <w:rPr>
                <w:rFonts w:eastAsia="Garamond" w:cs="Calibri"/>
                <w:szCs w:val="20"/>
                <w:lang w:eastAsia="en-AU"/>
              </w:rPr>
              <w:t xml:space="preserve">Wage price index </w:t>
            </w:r>
            <w:r w:rsidRPr="003F1858">
              <w:rPr>
                <w:rFonts w:eastAsia="Garamond" w:cs="Calibri"/>
                <w:szCs w:val="20"/>
                <w:vertAlign w:val="superscript"/>
                <w:lang w:eastAsia="en-AU"/>
              </w:rPr>
              <w:t>(d)</w:t>
            </w:r>
          </w:p>
        </w:tc>
        <w:tc>
          <w:tcPr>
            <w:tcW w:w="1026" w:type="dxa"/>
          </w:tcPr>
          <w:p w14:paraId="5066DF4A" w14:textId="77777777" w:rsidR="00964B88" w:rsidRPr="003F1858" w:rsidRDefault="00964B88" w:rsidP="00F53820">
            <w:pPr>
              <w:ind w:right="88"/>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2.</w:t>
            </w:r>
            <w:r>
              <w:rPr>
                <w:rFonts w:eastAsia="Garamond" w:cs="Calibri"/>
                <w:szCs w:val="20"/>
                <w:lang w:eastAsia="en-AU"/>
              </w:rPr>
              <w:t>7</w:t>
            </w:r>
          </w:p>
        </w:tc>
        <w:tc>
          <w:tcPr>
            <w:tcW w:w="1027" w:type="dxa"/>
          </w:tcPr>
          <w:p w14:paraId="1590F2C0"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Pr>
                <w:rFonts w:eastAsia="Garamond" w:cs="Calibri"/>
                <w:szCs w:val="20"/>
                <w:lang w:eastAsia="en-AU"/>
              </w:rPr>
              <w:t>3.00</w:t>
            </w:r>
          </w:p>
        </w:tc>
        <w:tc>
          <w:tcPr>
            <w:tcW w:w="1026" w:type="dxa"/>
          </w:tcPr>
          <w:p w14:paraId="74BD738F"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3.</w:t>
            </w:r>
            <w:r>
              <w:rPr>
                <w:rFonts w:eastAsia="Garamond" w:cs="Calibri"/>
                <w:szCs w:val="20"/>
                <w:lang w:eastAsia="en-AU"/>
              </w:rPr>
              <w:t>25</w:t>
            </w:r>
          </w:p>
        </w:tc>
        <w:tc>
          <w:tcPr>
            <w:tcW w:w="1027" w:type="dxa"/>
          </w:tcPr>
          <w:p w14:paraId="23071D8D"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3.25</w:t>
            </w:r>
          </w:p>
        </w:tc>
        <w:tc>
          <w:tcPr>
            <w:tcW w:w="1026" w:type="dxa"/>
          </w:tcPr>
          <w:p w14:paraId="63057393"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3.50</w:t>
            </w:r>
          </w:p>
        </w:tc>
      </w:tr>
      <w:tr w:rsidR="00964B88" w:rsidRPr="003F1858" w14:paraId="45AAD6F7" w14:textId="77777777" w:rsidTr="00F53820">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3B160D7E" w14:textId="77777777" w:rsidR="00964B88" w:rsidRPr="003F1858" w:rsidRDefault="00964B88" w:rsidP="00F53820">
            <w:pPr>
              <w:rPr>
                <w:rFonts w:eastAsia="Garamond" w:cs="Calibri"/>
                <w:szCs w:val="20"/>
                <w:lang w:eastAsia="en-AU"/>
              </w:rPr>
            </w:pPr>
          </w:p>
        </w:tc>
        <w:tc>
          <w:tcPr>
            <w:tcW w:w="1026" w:type="dxa"/>
          </w:tcPr>
          <w:p w14:paraId="5810634E" w14:textId="77777777" w:rsidR="00964B88" w:rsidRPr="00045BF2" w:rsidRDefault="00964B88" w:rsidP="00F53820">
            <w:pPr>
              <w:ind w:right="-57"/>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c>
          <w:tcPr>
            <w:tcW w:w="1027" w:type="dxa"/>
          </w:tcPr>
          <w:p w14:paraId="07BE7A96" w14:textId="77777777" w:rsidR="00964B88" w:rsidRPr="00045BF2"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c>
          <w:tcPr>
            <w:tcW w:w="1026" w:type="dxa"/>
          </w:tcPr>
          <w:p w14:paraId="31717867" w14:textId="77777777" w:rsidR="00964B88" w:rsidRPr="00045BF2"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c>
          <w:tcPr>
            <w:tcW w:w="1027" w:type="dxa"/>
          </w:tcPr>
          <w:p w14:paraId="6924CBD3" w14:textId="77777777" w:rsidR="00964B88" w:rsidRPr="00045BF2"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r>
              <w:rPr>
                <w:rFonts w:eastAsia="Garamond" w:cs="Calibri"/>
                <w:i/>
                <w:szCs w:val="20"/>
                <w:lang w:eastAsia="en-AU"/>
              </w:rPr>
              <w:t>3.50</w:t>
            </w:r>
          </w:p>
        </w:tc>
        <w:tc>
          <w:tcPr>
            <w:tcW w:w="1026" w:type="dxa"/>
          </w:tcPr>
          <w:p w14:paraId="43AC57A3" w14:textId="77777777" w:rsidR="00964B88" w:rsidRPr="00045BF2"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i/>
                <w:szCs w:val="20"/>
                <w:lang w:eastAsia="en-AU"/>
              </w:rPr>
            </w:pPr>
          </w:p>
        </w:tc>
      </w:tr>
      <w:tr w:rsidR="00964B88" w:rsidRPr="003F1858" w14:paraId="2CA711F0" w14:textId="77777777" w:rsidTr="00F53820">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460597E6" w14:textId="77777777" w:rsidR="00964B88" w:rsidRPr="003F1858" w:rsidRDefault="00964B88" w:rsidP="00F53820">
            <w:pPr>
              <w:rPr>
                <w:rFonts w:eastAsia="Garamond" w:cs="Calibri"/>
                <w:szCs w:val="20"/>
                <w:lang w:eastAsia="en-AU"/>
              </w:rPr>
            </w:pPr>
            <w:r w:rsidRPr="003F1858">
              <w:rPr>
                <w:rFonts w:eastAsia="Garamond" w:cs="Calibri"/>
                <w:szCs w:val="20"/>
                <w:lang w:eastAsia="en-AU"/>
              </w:rPr>
              <w:t xml:space="preserve">Population </w:t>
            </w:r>
            <w:r w:rsidRPr="003F1858">
              <w:rPr>
                <w:rFonts w:eastAsia="Garamond" w:cs="Calibri"/>
                <w:szCs w:val="20"/>
                <w:vertAlign w:val="superscript"/>
                <w:lang w:eastAsia="en-AU"/>
              </w:rPr>
              <w:t>(e)</w:t>
            </w:r>
          </w:p>
        </w:tc>
        <w:tc>
          <w:tcPr>
            <w:tcW w:w="1026" w:type="dxa"/>
          </w:tcPr>
          <w:p w14:paraId="5FA1280C" w14:textId="77777777" w:rsidR="00964B88" w:rsidRPr="003F1858" w:rsidRDefault="00964B88" w:rsidP="00F53820">
            <w:pPr>
              <w:ind w:right="-57"/>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2.</w:t>
            </w:r>
            <w:r>
              <w:rPr>
                <w:rFonts w:eastAsia="Garamond" w:cs="Calibri"/>
                <w:szCs w:val="20"/>
                <w:lang w:eastAsia="en-AU"/>
              </w:rPr>
              <w:t>1</w:t>
            </w:r>
            <w:r w:rsidRPr="003F1858">
              <w:rPr>
                <w:rFonts w:eastAsia="Garamond" w:cs="Calibri"/>
                <w:szCs w:val="20"/>
                <w:lang w:eastAsia="en-AU"/>
              </w:rPr>
              <w:t xml:space="preserve"> </w:t>
            </w:r>
            <w:r w:rsidRPr="003F1858">
              <w:rPr>
                <w:rFonts w:eastAsia="Garamond" w:cs="Calibri"/>
                <w:szCs w:val="20"/>
                <w:vertAlign w:val="superscript"/>
                <w:lang w:eastAsia="en-AU"/>
              </w:rPr>
              <w:t>(f)</w:t>
            </w:r>
          </w:p>
        </w:tc>
        <w:tc>
          <w:tcPr>
            <w:tcW w:w="1027" w:type="dxa"/>
          </w:tcPr>
          <w:p w14:paraId="448A37DD"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2.</w:t>
            </w:r>
            <w:r>
              <w:rPr>
                <w:rFonts w:eastAsia="Garamond" w:cs="Calibri"/>
                <w:szCs w:val="20"/>
                <w:lang w:eastAsia="en-AU"/>
              </w:rPr>
              <w:t>0</w:t>
            </w:r>
          </w:p>
        </w:tc>
        <w:tc>
          <w:tcPr>
            <w:tcW w:w="1026" w:type="dxa"/>
          </w:tcPr>
          <w:p w14:paraId="058DFB85"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Pr>
                <w:rFonts w:eastAsia="Garamond" w:cs="Calibri"/>
                <w:szCs w:val="20"/>
                <w:lang w:eastAsia="en-AU"/>
              </w:rPr>
              <w:t>1.9</w:t>
            </w:r>
          </w:p>
        </w:tc>
        <w:tc>
          <w:tcPr>
            <w:tcW w:w="1027" w:type="dxa"/>
          </w:tcPr>
          <w:p w14:paraId="32F6D5D0"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1.9</w:t>
            </w:r>
          </w:p>
        </w:tc>
        <w:tc>
          <w:tcPr>
            <w:tcW w:w="1026" w:type="dxa"/>
          </w:tcPr>
          <w:p w14:paraId="427564C1" w14:textId="77777777" w:rsidR="00964B88" w:rsidRPr="003F1858" w:rsidRDefault="00964B88" w:rsidP="00F53820">
            <w:pPr>
              <w:cnfStyle w:val="000000000000" w:firstRow="0" w:lastRow="0" w:firstColumn="0" w:lastColumn="0" w:oddVBand="0" w:evenVBand="0" w:oddHBand="0" w:evenHBand="0" w:firstRowFirstColumn="0" w:firstRowLastColumn="0" w:lastRowFirstColumn="0" w:lastRowLastColumn="0"/>
              <w:rPr>
                <w:rFonts w:eastAsia="Garamond" w:cs="Calibri"/>
                <w:szCs w:val="20"/>
                <w:lang w:eastAsia="en-AU"/>
              </w:rPr>
            </w:pPr>
            <w:r w:rsidRPr="003F1858">
              <w:rPr>
                <w:rFonts w:eastAsia="Garamond" w:cs="Calibri"/>
                <w:szCs w:val="20"/>
                <w:lang w:eastAsia="en-AU"/>
              </w:rPr>
              <w:t>1.</w:t>
            </w:r>
            <w:r>
              <w:rPr>
                <w:rFonts w:eastAsia="Garamond" w:cs="Calibri"/>
                <w:szCs w:val="20"/>
                <w:lang w:eastAsia="en-AU"/>
              </w:rPr>
              <w:t>8</w:t>
            </w:r>
          </w:p>
        </w:tc>
      </w:tr>
    </w:tbl>
    <w:p w14:paraId="2067E527" w14:textId="77777777" w:rsidR="00964B88" w:rsidRDefault="00964B88" w:rsidP="00F53820">
      <w:pPr>
        <w:pStyle w:val="Source"/>
      </w:pPr>
      <w:r>
        <w:t>Sources: Department of Treasury and Finance; Australian Bureau of Statistics</w:t>
      </w:r>
    </w:p>
    <w:p w14:paraId="4CCECF27" w14:textId="77777777" w:rsidR="00964B88" w:rsidRDefault="00964B88" w:rsidP="00F53820">
      <w:pPr>
        <w:pStyle w:val="Note"/>
      </w:pPr>
      <w:r>
        <w:t xml:space="preserve">Notes: </w:t>
      </w:r>
    </w:p>
    <w:p w14:paraId="34EDD7AC" w14:textId="77777777" w:rsidR="00964B88" w:rsidRDefault="00964B88" w:rsidP="00F53820">
      <w:pPr>
        <w:pStyle w:val="Note"/>
      </w:pPr>
      <w:r>
        <w:t>(a)</w:t>
      </w:r>
      <w:r>
        <w:tab/>
        <w:t>Percentage change in year average terms compared with previous year, except for the unemployment rate (see note (b)) and population (see note (e)). Forecasts are rounded to the nearest 0.25 percentage points, except for population (see note (e)).</w:t>
      </w:r>
    </w:p>
    <w:p w14:paraId="2377A66C" w14:textId="77777777" w:rsidR="00964B88" w:rsidRDefault="00964B88" w:rsidP="00F53820">
      <w:pPr>
        <w:pStyle w:val="Note"/>
      </w:pPr>
      <w:r>
        <w:tab/>
        <w:t>Projections for 2021-22 and 2022-23 represent long-run average growth rates, except for the wage price index, which remains below trend in 2021-22, and population growth, which remains above trend by 2021-22.</w:t>
      </w:r>
    </w:p>
    <w:p w14:paraId="403834E8" w14:textId="77777777" w:rsidR="00964B88" w:rsidRDefault="00964B88" w:rsidP="00F53820">
      <w:pPr>
        <w:pStyle w:val="Note"/>
      </w:pPr>
      <w:r>
        <w:tab/>
        <w:t xml:space="preserve">The key assumptions underlying the economic forecasts include: interest rates are reflective of movements in market expectations; an Australian dollar trade-weighted index of 60.2; and oil prices that follow the path suggested by the futures market. </w:t>
      </w:r>
    </w:p>
    <w:p w14:paraId="4752808C" w14:textId="77777777" w:rsidR="00964B88" w:rsidRDefault="00964B88" w:rsidP="00F53820">
      <w:pPr>
        <w:pStyle w:val="Note"/>
      </w:pPr>
      <w:r>
        <w:t>(b)</w:t>
      </w:r>
      <w:r>
        <w:tab/>
        <w:t>Year average, per cent.</w:t>
      </w:r>
    </w:p>
    <w:p w14:paraId="431A53A6" w14:textId="77777777" w:rsidR="00964B88" w:rsidRDefault="00964B88" w:rsidP="00F53820">
      <w:pPr>
        <w:pStyle w:val="Note"/>
      </w:pPr>
      <w:r>
        <w:t>(c)</w:t>
      </w:r>
      <w:r>
        <w:tab/>
        <w:t>Melbourne consumer price index.</w:t>
      </w:r>
    </w:p>
    <w:p w14:paraId="6407EA82" w14:textId="77777777" w:rsidR="00964B88" w:rsidRDefault="00964B88" w:rsidP="00F53820">
      <w:pPr>
        <w:pStyle w:val="Note"/>
      </w:pPr>
      <w:r>
        <w:t>(d)</w:t>
      </w:r>
      <w:r>
        <w:tab/>
        <w:t>Wage price index, Victoria (based on total hourly rates of pay, excluding bonuses).</w:t>
      </w:r>
    </w:p>
    <w:p w14:paraId="1EBC69F3" w14:textId="77777777" w:rsidR="00964B88" w:rsidRDefault="00964B88" w:rsidP="00F53820">
      <w:pPr>
        <w:pStyle w:val="Note"/>
      </w:pPr>
      <w:r>
        <w:t>(e)</w:t>
      </w:r>
      <w:r>
        <w:tab/>
        <w:t>Percentage change over the year to 30 June. Forecasts are rounded to the nearest 0.1 percentage point.</w:t>
      </w:r>
    </w:p>
    <w:p w14:paraId="3D395842" w14:textId="77777777" w:rsidR="00964B88" w:rsidRDefault="00964B88" w:rsidP="00F53820">
      <w:pPr>
        <w:pStyle w:val="Note"/>
      </w:pPr>
      <w:r>
        <w:t>(f)</w:t>
      </w:r>
      <w:r>
        <w:tab/>
        <w:t>Estimate, actual not yet available.</w:t>
      </w:r>
    </w:p>
    <w:p w14:paraId="5BFBB2AB" w14:textId="77777777" w:rsidR="00964B88" w:rsidRDefault="00964B88" w:rsidP="00F53820">
      <w:pPr>
        <w:pStyle w:val="Heading20"/>
      </w:pPr>
      <w:r>
        <w:t>Gross state product</w:t>
      </w:r>
    </w:p>
    <w:p w14:paraId="62022A07" w14:textId="77777777" w:rsidR="00964B88" w:rsidRDefault="00964B88" w:rsidP="00F53820">
      <w:r>
        <w:t>Victoria’s economy grew by 3.0 per cent in 2018</w:t>
      </w:r>
      <w:r>
        <w:noBreakHyphen/>
        <w:t xml:space="preserve">19, in line with the </w:t>
      </w:r>
      <w:r w:rsidRPr="00434DBD">
        <w:rPr>
          <w:i/>
        </w:rPr>
        <w:t>2019-20 Budget</w:t>
      </w:r>
      <w:r>
        <w:t xml:space="preserve"> forecast and delivering the fifth consecutive year of above-trend growth. Over this five</w:t>
      </w:r>
      <w:r>
        <w:noBreakHyphen/>
        <w:t>year period, annual GSP growth has averaged 3.3 per cent, well above the estimated trend rate of 2.75 per cent. The major contributors to growth in 2018</w:t>
      </w:r>
      <w:r>
        <w:noBreakHyphen/>
        <w:t>19 were business investment, public consumption, household consumption and services exports. The increase in GSP in 2018</w:t>
      </w:r>
      <w:r>
        <w:noBreakHyphen/>
        <w:t xml:space="preserve">19 marked the 27th year of uninterrupted growth in Victoria. </w:t>
      </w:r>
    </w:p>
    <w:p w14:paraId="08133B91" w14:textId="77777777" w:rsidR="00964B88" w:rsidRDefault="00964B88" w:rsidP="00BF5601">
      <w:pPr>
        <w:ind w:right="-369"/>
      </w:pPr>
      <w:r>
        <w:t>The forecast for real GSP growth in 2019</w:t>
      </w:r>
      <w:r>
        <w:noBreakHyphen/>
        <w:t xml:space="preserve">20 has been revised to 2.5 per cent, 0.25 percentage points below the </w:t>
      </w:r>
      <w:r w:rsidRPr="00E00FEC">
        <w:rPr>
          <w:i/>
        </w:rPr>
        <w:t>2019-20 Budget</w:t>
      </w:r>
      <w:r>
        <w:t xml:space="preserve"> forecast and slightly below trend growth. This mainly reflects the impact of the housing market downturn over 2018 and early 2019, which has weighed on consumer spending and the outlook for dwelling investment. </w:t>
      </w:r>
    </w:p>
    <w:p w14:paraId="64E0E82A" w14:textId="77777777" w:rsidR="00964B88" w:rsidRDefault="00964B88" w:rsidP="00BF5601">
      <w:pPr>
        <w:ind w:right="-86"/>
      </w:pPr>
      <w:r>
        <w:t>Growth in consumer spending eased in 2018</w:t>
      </w:r>
      <w:r>
        <w:noBreakHyphen/>
        <w:t xml:space="preserve">19, rising by 2.6 per cent. This was the smallest increase in six years, although it was the largest of all the states. The increase was weaker than expected in the </w:t>
      </w:r>
      <w:r w:rsidRPr="00E00FEC">
        <w:rPr>
          <w:i/>
        </w:rPr>
        <w:t>2019-20 Budget</w:t>
      </w:r>
      <w:r>
        <w:t xml:space="preserve">, and growth in 2019-20 is expected to moderate further. The slowdown in household spending reflects a number of factors, including ongoing sluggish income growth, high levels of household debt and heightened concern about the economic outlook. Declines in house prices have reduced household wealth, which is also likely to have weighed on spending, especially on discretionary items. These factors have partly offset the positive impacts of ongoing strong population and employment growth and recent cuts to interest rates. </w:t>
      </w:r>
    </w:p>
    <w:p w14:paraId="23377FD5" w14:textId="77777777" w:rsidR="00964B88" w:rsidRDefault="00964B88" w:rsidP="00F53820">
      <w:r>
        <w:lastRenderedPageBreak/>
        <w:t>Dwelling investment made a small contribution to GSP growth in 2018</w:t>
      </w:r>
      <w:r>
        <w:noBreakHyphen/>
        <w:t>19, although the level of investment has fallen in the past three quarters. Further falls are expected over much of 2019</w:t>
      </w:r>
      <w:r>
        <w:noBreakHyphen/>
        <w:t xml:space="preserve">20. The sharp fall in house prices over 2018 and early 2019 has contributed to a large decline in dwelling approvals, especially for high-density projects, and this has reduced the pipeline of residential construction activity. </w:t>
      </w:r>
    </w:p>
    <w:p w14:paraId="232FC96D" w14:textId="77777777" w:rsidR="00964B88" w:rsidRDefault="00964B88" w:rsidP="00F53820">
      <w:r>
        <w:t>However, there are recent signs of improvement in the established residential property market. The auction clearance rate is high, sales volumes are increasing from low levels, and dwelling prices (and consumers’ expectations of future prices) have rebounded from recent lows. Interest rate cuts and regulatory changes to the supply of credit are the key drivers of this improvement, and price growth is expected to accelerate further. Improving housing market conditions are likely to support new construction activity from 2020</w:t>
      </w:r>
      <w:r>
        <w:noBreakHyphen/>
        <w:t>21, rather than in 2019</w:t>
      </w:r>
      <w:r>
        <w:noBreakHyphen/>
        <w:t xml:space="preserve">20, reflecting a lag between the two especially for apartments (see Chart 2.1). Ongoing strong population growth is also a positive for the residential construction outlook over the medium term. Where the housing market presented a downside risk in the </w:t>
      </w:r>
      <w:r w:rsidRPr="002856B7">
        <w:rPr>
          <w:i/>
        </w:rPr>
        <w:t>2019-20 Budget</w:t>
      </w:r>
      <w:r>
        <w:t xml:space="preserve">, there is now a risk that a resurgent market may lead to higher growth in dwelling investment (and consumer spending) than currently forecast. </w:t>
      </w:r>
    </w:p>
    <w:p w14:paraId="7B4F132A" w14:textId="77777777" w:rsidR="00964B88" w:rsidRDefault="00964B88" w:rsidP="00F53820">
      <w:pPr>
        <w:pStyle w:val="TableHeading"/>
      </w:pPr>
      <w:r>
        <w:t>Chart 2.1:</w:t>
      </w:r>
      <w:r>
        <w:tab/>
        <w:t>Lagged relationship between dwelling investment and dwelling values</w:t>
      </w:r>
    </w:p>
    <w:p w14:paraId="239F37C8" w14:textId="77777777" w:rsidR="00BF5601" w:rsidRDefault="00BF5601" w:rsidP="00F53820">
      <w:pPr>
        <w:rPr>
          <w:rFonts w:ascii="Garamond" w:eastAsia="Garamond" w:hAnsi="Garamond" w:cs="Times New Roman"/>
        </w:rPr>
      </w:pPr>
      <w:r w:rsidRPr="00BF5601">
        <w:rPr>
          <w:noProof/>
        </w:rPr>
        <w:drawing>
          <wp:inline distT="0" distB="0" distL="0" distR="0" wp14:anchorId="00817E24" wp14:editId="02D0E1DB">
            <wp:extent cx="4895850" cy="334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3340100"/>
                    </a:xfrm>
                    <a:prstGeom prst="rect">
                      <a:avLst/>
                    </a:prstGeom>
                    <a:noFill/>
                    <a:ln>
                      <a:noFill/>
                    </a:ln>
                  </pic:spPr>
                </pic:pic>
              </a:graphicData>
            </a:graphic>
          </wp:inline>
        </w:drawing>
      </w:r>
    </w:p>
    <w:p w14:paraId="2E2BC182" w14:textId="77777777" w:rsidR="00964B88" w:rsidRDefault="00964B88" w:rsidP="00F53820">
      <w:pPr>
        <w:pStyle w:val="Source"/>
      </w:pPr>
      <w:r w:rsidRPr="00880A6F">
        <w:t>Sources: Department of Treasury and Finance; Australian Bureau of Statistics</w:t>
      </w:r>
    </w:p>
    <w:p w14:paraId="5FAB6780" w14:textId="77777777" w:rsidR="00964B88" w:rsidRDefault="00964B88" w:rsidP="00F53820">
      <w:r>
        <w:t>Business investment was strong in 2018</w:t>
      </w:r>
      <w:r>
        <w:noBreakHyphen/>
        <w:t>19, with all major components rising. Engineering construction has been particularly strong, driven in part by the Government’s investment in infrastructure, as well as high levels of investment in renewable energy generation. More generally, ongoing strong population and employment growth has underpinned higher levels of non-residential construction, including office buildings, industrial premises and education facilities. Growth in business investment is forecast to remain positive in 2019</w:t>
      </w:r>
      <w:r>
        <w:noBreakHyphen/>
        <w:t xml:space="preserve">20, although below the rates seen in the past two years. </w:t>
      </w:r>
    </w:p>
    <w:p w14:paraId="4DAE7A15" w14:textId="77777777" w:rsidR="00964B88" w:rsidRDefault="00964B88" w:rsidP="00BF5601">
      <w:pPr>
        <w:ind w:right="340"/>
      </w:pPr>
      <w:r>
        <w:lastRenderedPageBreak/>
        <w:t>Demand for government services and infrastructure has increased in recent years, as</w:t>
      </w:r>
      <w:r w:rsidR="00BF5601">
        <w:t> </w:t>
      </w:r>
      <w:r>
        <w:t>Victoria’s population has grown. The contribution to GSP growth from public demand has been strong and this is forecast to continue in 2019</w:t>
      </w:r>
      <w:r>
        <w:noBreakHyphen/>
        <w:t xml:space="preserve">20. This is supported by the Government’s large pipeline of infrastructure spending as well as State and Commonwealth spending on services. </w:t>
      </w:r>
    </w:p>
    <w:p w14:paraId="398E56A4" w14:textId="77777777" w:rsidR="00964B88" w:rsidRDefault="00964B88" w:rsidP="00F53820">
      <w:r>
        <w:t>Victoria’s exports of goods and services rose in 2018-19 largely due to another strong increase in services exports, up 10.8 per cent. Education services and tourism are particularly important to Victoria. Imports also rose, although by significantly less than exports, and goods imports were subdued, consistent with the moderation in consumer spending. Looking ahead, the contribution to GSP from net exports in 2019</w:t>
      </w:r>
      <w:r>
        <w:noBreakHyphen/>
        <w:t xml:space="preserve">20 is forecast to be larger than expected in the </w:t>
      </w:r>
      <w:r w:rsidRPr="008646C5">
        <w:rPr>
          <w:i/>
        </w:rPr>
        <w:t>2019-20 Budget</w:t>
      </w:r>
      <w:r>
        <w:t xml:space="preserve">, with another solid increase in service exports and lower growth in goods imports. The ongoing depreciation of the Australian dollar since early 2018, which is currently around decade lows, is a supportive factor. </w:t>
      </w:r>
    </w:p>
    <w:p w14:paraId="249E9158" w14:textId="77777777" w:rsidR="00964B88" w:rsidRDefault="00964B88" w:rsidP="00F53820">
      <w:r>
        <w:t>Overall, the economic outlook for Victoria remains positive, notwithstanding the modest downgrade to growth in 2019</w:t>
      </w:r>
      <w:r>
        <w:noBreakHyphen/>
        <w:t xml:space="preserve">20. Real GSP growth is expected to return to its trend rate of 2.75 per cent from 2020-21, unchanged from the </w:t>
      </w:r>
      <w:r w:rsidRPr="008646C5">
        <w:rPr>
          <w:i/>
        </w:rPr>
        <w:t>2019-20 Budget</w:t>
      </w:r>
      <w:r>
        <w:t xml:space="preserve"> forecast. </w:t>
      </w:r>
    </w:p>
    <w:p w14:paraId="723AA68C" w14:textId="77777777" w:rsidR="00964B88" w:rsidRDefault="00964B88" w:rsidP="00F53820">
      <w:pPr>
        <w:pStyle w:val="Heading20"/>
      </w:pPr>
      <w:r>
        <w:t>Labour market</w:t>
      </w:r>
    </w:p>
    <w:p w14:paraId="4F1430EF" w14:textId="77777777" w:rsidR="00964B88" w:rsidRDefault="00964B88" w:rsidP="00BF5601">
      <w:pPr>
        <w:ind w:right="-86"/>
      </w:pPr>
      <w:r>
        <w:t>Conditions in Victoria’s labour market are positive, with solid growth in employment, record rates of labour force participation and a low unemployment rate. Employment rose by 3.4 per cent in 2018</w:t>
      </w:r>
      <w:r>
        <w:noBreakHyphen/>
        <w:t xml:space="preserve">19, the largest increase of all the states, and the unemployment rate declined to an 11-year low of 4.6 per cent in year-average terms. Since November 2014 employment in Victoria has grown by 17.3 per cent, or 505 000 persons, including 334 000 </w:t>
      </w:r>
      <w:r w:rsidRPr="000A792B">
        <w:t>in</w:t>
      </w:r>
      <w:r w:rsidRPr="006F038D">
        <w:t xml:space="preserve"> </w:t>
      </w:r>
      <w:r>
        <w:t xml:space="preserve">full time jobs. Over this period, employment in regional Victoria has grown by more than 57 000 persons. The regional unemployment rate reached a record low of 3.6 per cent in the three months to August 2019 and remains the lowest of all the states. </w:t>
      </w:r>
    </w:p>
    <w:p w14:paraId="54A62634" w14:textId="77777777" w:rsidR="00964B88" w:rsidRDefault="00964B88" w:rsidP="00F53820">
      <w:r>
        <w:t xml:space="preserve">By industry, employment growth in 2018-19 was particularly strong in public administration and safety, administrative services, health services, utilities and professional and scientific services. In contrast, agricultural employment declined, reflecting ongoing dry conditions in parts of the State, and retail employment was also weaker. </w:t>
      </w:r>
    </w:p>
    <w:p w14:paraId="05146984" w14:textId="77777777" w:rsidR="00964B88" w:rsidRDefault="00964B88" w:rsidP="00F53820">
      <w:r>
        <w:t xml:space="preserve">Strong employment growth has continued to attract new entrants to the labour market. The labour force participation rate is around record high levels, with female participation driving the increase. Participation rates among older workers are also around record highs. </w:t>
      </w:r>
    </w:p>
    <w:p w14:paraId="7B20B182" w14:textId="77777777" w:rsidR="00964B88" w:rsidRDefault="00964B88" w:rsidP="00BF5601">
      <w:pPr>
        <w:ind w:right="-369"/>
      </w:pPr>
      <w:r>
        <w:t>Although labour market conditions remain positive, momentum in employment growth has eased into 2019</w:t>
      </w:r>
      <w:r>
        <w:noBreakHyphen/>
        <w:t xml:space="preserve">20, as anticipated in the </w:t>
      </w:r>
      <w:r w:rsidRPr="00581BA6">
        <w:rPr>
          <w:i/>
        </w:rPr>
        <w:t>2019-20 Budget</w:t>
      </w:r>
      <w:r>
        <w:t xml:space="preserve">. The unemployment rate is forecast to average 5.0 per cent in 2019-20, which is 0.25 percentage points higher than forecast in the </w:t>
      </w:r>
      <w:r w:rsidRPr="00581BA6">
        <w:rPr>
          <w:i/>
        </w:rPr>
        <w:t>2019-20 Budget</w:t>
      </w:r>
      <w:r>
        <w:t>. The outlook for employment growth is broadly unchanged, with employment forecast to rise by a further 2.0 per cent in 2019</w:t>
      </w:r>
      <w:r>
        <w:noBreakHyphen/>
        <w:t>20, while the participation rate is expected to remain around record highs. Beyond 2019</w:t>
      </w:r>
      <w:r>
        <w:noBreakHyphen/>
        <w:t xml:space="preserve">20, employment is forecast to grow at the trend rate of 1.75 per cent.  </w:t>
      </w:r>
    </w:p>
    <w:p w14:paraId="3046D026" w14:textId="77777777" w:rsidR="00964B88" w:rsidRDefault="00964B88" w:rsidP="00F53820">
      <w:pPr>
        <w:pStyle w:val="Heading20"/>
      </w:pPr>
      <w:r>
        <w:lastRenderedPageBreak/>
        <w:t>Prices and wages</w:t>
      </w:r>
    </w:p>
    <w:p w14:paraId="27AC0877" w14:textId="77777777" w:rsidR="00964B88" w:rsidRDefault="00964B88" w:rsidP="00F53820">
      <w:r>
        <w:t>Inflation pressures remain subdued, with the Melbourne consumer price index (CPI) rising by just 1.7 per cent in 2018</w:t>
      </w:r>
      <w:r>
        <w:noBreakHyphen/>
        <w:t xml:space="preserve">19, similar to the national increase. Ongoing low wages growth, strong competition in the retail sector and weakness in housing costs are some of the factors contributing to low inflation outcomes. Inflation remains below the Reserve Bank of Australia’s (RBA) 2-3 per cent target band. </w:t>
      </w:r>
    </w:p>
    <w:p w14:paraId="0DCD7BB9" w14:textId="77777777" w:rsidR="00964B88" w:rsidRDefault="00964B88" w:rsidP="00F53820">
      <w:r>
        <w:t>Inflation is forecast to increase by 1.75 per cent in 2019</w:t>
      </w:r>
      <w:r>
        <w:noBreakHyphen/>
        <w:t xml:space="preserve">20, a downward revision to the </w:t>
      </w:r>
      <w:r w:rsidRPr="00434DBD">
        <w:rPr>
          <w:i/>
        </w:rPr>
        <w:t>2019</w:t>
      </w:r>
      <w:r w:rsidRPr="00434DBD">
        <w:rPr>
          <w:i/>
        </w:rPr>
        <w:noBreakHyphen/>
        <w:t>20 Budget</w:t>
      </w:r>
      <w:r>
        <w:t xml:space="preserve"> forecast of 2.0 per cent. The CPI forecasts for 2020-21 and 2021-22 have also been lowered, both by 0.25 percentage points compared with the </w:t>
      </w:r>
      <w:r w:rsidRPr="003B43ED">
        <w:rPr>
          <w:i/>
        </w:rPr>
        <w:t>2019-20 Budget</w:t>
      </w:r>
      <w:r>
        <w:t xml:space="preserve"> forecast, with a more gradual return to the middle of the RBA’s target band than previously</w:t>
      </w:r>
      <w:r w:rsidRPr="003B43ED">
        <w:t xml:space="preserve"> </w:t>
      </w:r>
      <w:r>
        <w:t xml:space="preserve">anticipated. </w:t>
      </w:r>
    </w:p>
    <w:p w14:paraId="1F102E6B" w14:textId="77777777" w:rsidR="00964B88" w:rsidRDefault="00964B88" w:rsidP="00F53820">
      <w:r>
        <w:t>Wages growth has remained subdued despite the strength in employment in recent years, partly due to strong growth in labour supply. However, with labour demand expected to remain relatively strong, and the unemployment rate forecast to remain below its estimated trend rate for the next few years, wages growth is still expected to gradually increase over the forecast period. After rising by 2.7 per cent in 2018</w:t>
      </w:r>
      <w:r>
        <w:noBreakHyphen/>
        <w:t>19, an increase of 3.0 per cent is forecast for 2019</w:t>
      </w:r>
      <w:r>
        <w:noBreakHyphen/>
        <w:t xml:space="preserve">20, unchanged from the </w:t>
      </w:r>
      <w:r w:rsidRPr="00434DBD">
        <w:rPr>
          <w:i/>
        </w:rPr>
        <w:t>2019-20 Budget</w:t>
      </w:r>
      <w:r>
        <w:t xml:space="preserve"> forecast. Further out, the anticipated pickup in wages growth is expected to be more gradual than expected in the </w:t>
      </w:r>
      <w:r w:rsidRPr="00581BA6">
        <w:rPr>
          <w:i/>
        </w:rPr>
        <w:t>2019-20 Budget</w:t>
      </w:r>
      <w:r>
        <w:t xml:space="preserve">. </w:t>
      </w:r>
    </w:p>
    <w:p w14:paraId="4AD179EA" w14:textId="77777777" w:rsidR="00964B88" w:rsidRDefault="00964B88" w:rsidP="00F53820">
      <w:pPr>
        <w:pStyle w:val="Heading20"/>
      </w:pPr>
      <w:r>
        <w:t>Population</w:t>
      </w:r>
    </w:p>
    <w:p w14:paraId="613EE4F1" w14:textId="77777777" w:rsidR="00964B88" w:rsidRDefault="00964B88" w:rsidP="00F53820">
      <w:r>
        <w:t xml:space="preserve">Victoria’s population growth remains strong, rising by 2.1 per cent in the year to the March quarter 2019. This is considerably stronger than the increase of 1.6 per cent for Australia as a whole. </w:t>
      </w:r>
    </w:p>
    <w:p w14:paraId="44E1D0B6" w14:textId="77777777" w:rsidR="00964B88" w:rsidRDefault="00964B88" w:rsidP="00F53820">
      <w:r>
        <w:t>High levels of inward migration, both overseas and interstate, remain the key driver of Victoria’s population growth. Total migration has slowed from its peak in 2017, partly as overseas migration to Queensland and to a lesser extent Western Australia has increased. Victoria’s population growth in 2019</w:t>
      </w:r>
      <w:r>
        <w:noBreakHyphen/>
        <w:t>20 is forecast to moderate slightly to 2.0 per cent, from an estimated 2.1 per cent in 2018</w:t>
      </w:r>
      <w:r>
        <w:noBreakHyphen/>
        <w:t xml:space="preserve">19, unchanged from the </w:t>
      </w:r>
      <w:r w:rsidRPr="00434DBD">
        <w:rPr>
          <w:i/>
        </w:rPr>
        <w:t>2019-20 Budget</w:t>
      </w:r>
      <w:r>
        <w:t xml:space="preserve"> estimate. </w:t>
      </w:r>
    </w:p>
    <w:p w14:paraId="2610A3D2" w14:textId="77777777" w:rsidR="00964B88" w:rsidRDefault="00964B88">
      <w:pPr>
        <w:keepLines w:val="0"/>
        <w:rPr>
          <w:rFonts w:asciiTheme="majorHAnsi" w:eastAsiaTheme="majorEastAsia" w:hAnsiTheme="majorHAnsi" w:cstheme="majorBidi"/>
          <w:b/>
          <w:bCs/>
          <w:caps/>
          <w:spacing w:val="-2"/>
          <w:sz w:val="26"/>
          <w:szCs w:val="28"/>
        </w:rPr>
      </w:pPr>
      <w:r>
        <w:br w:type="page"/>
      </w:r>
    </w:p>
    <w:p w14:paraId="676970A0" w14:textId="77777777" w:rsidR="00964B88" w:rsidRDefault="00495025" w:rsidP="00495025">
      <w:pPr>
        <w:pStyle w:val="Heading10"/>
      </w:pPr>
      <w:bookmarkStart w:id="10" w:name="_Toc26788530"/>
      <w:r>
        <w:lastRenderedPageBreak/>
        <w:t>Australian economic conditions and outlook</w:t>
      </w:r>
      <w:bookmarkEnd w:id="10"/>
    </w:p>
    <w:p w14:paraId="531292F3" w14:textId="77777777" w:rsidR="00964B88" w:rsidRDefault="00964B88" w:rsidP="00F53820">
      <w:r>
        <w:t xml:space="preserve">Australia’s economy has softened since the </w:t>
      </w:r>
      <w:r w:rsidRPr="00434DBD">
        <w:rPr>
          <w:i/>
        </w:rPr>
        <w:t>2019-20 Budget</w:t>
      </w:r>
      <w:r>
        <w:t xml:space="preserve">. Over the year to the June quarter 2019, real gross domestic product (GDP) rose by 1.4 per cent, the slowest pace of growth since the global financial crisis in 2009. The slowdown reflects the impact of a prolonged fall in dwelling prices and tighter credit conditions, which have weighed on household consumption and dwelling investment. Due to a slowing economy and weak inflationary pressures, the RBA has reduced the cash rate three times since the </w:t>
      </w:r>
      <w:r w:rsidRPr="00434DBD">
        <w:rPr>
          <w:i/>
        </w:rPr>
        <w:t>2019</w:t>
      </w:r>
      <w:r w:rsidRPr="00434DBD">
        <w:rPr>
          <w:i/>
        </w:rPr>
        <w:noBreakHyphen/>
        <w:t>20</w:t>
      </w:r>
      <w:r>
        <w:rPr>
          <w:i/>
        </w:rPr>
        <w:t> </w:t>
      </w:r>
      <w:r w:rsidRPr="00434DBD">
        <w:rPr>
          <w:i/>
        </w:rPr>
        <w:t>Budget</w:t>
      </w:r>
      <w:r>
        <w:t xml:space="preserve">, to a record low of 0.75 per cent. </w:t>
      </w:r>
    </w:p>
    <w:p w14:paraId="0A9C528A" w14:textId="77777777" w:rsidR="00964B88" w:rsidRDefault="00964B88" w:rsidP="00F53820">
      <w:r>
        <w:t>Despite a subdued household sector, strong public demand and export growth have helped support Australia’s economic growth. Public demand has been led by the rollout of the National Disability Insurance Scheme and ongoing infrastructure projects on the eastern seaboard, especially in Victoria and New South Wales. Exports, particularly of iron ore and coal, have continued to grow and prices of these commodities have been buoyed by strong Chinese demand and global supply disruptions.</w:t>
      </w:r>
    </w:p>
    <w:p w14:paraId="2A173EF1" w14:textId="77777777" w:rsidR="00964B88" w:rsidRDefault="00964B88" w:rsidP="00F53820">
      <w:r>
        <w:t xml:space="preserve">In the November 2019 </w:t>
      </w:r>
      <w:r w:rsidRPr="000C7EF2">
        <w:rPr>
          <w:i/>
        </w:rPr>
        <w:t>Statement on Monetary Policy</w:t>
      </w:r>
      <w:r>
        <w:t>, the RBA forecast real GDP to grow by 2.25 per cent in 2019</w:t>
      </w:r>
      <w:r>
        <w:noBreakHyphen/>
        <w:t xml:space="preserve">20, a downgrade of 0.25 percentage points from the May 2019 </w:t>
      </w:r>
      <w:r w:rsidRPr="00880A6F">
        <w:rPr>
          <w:i/>
        </w:rPr>
        <w:t>Statement on Monetary Policy</w:t>
      </w:r>
      <w:r>
        <w:t>. Growth in 2019</w:t>
      </w:r>
      <w:r>
        <w:noBreakHyphen/>
        <w:t xml:space="preserve">20 is expected to be supported by accommodative monetary policy, some recovery in household income growth and solid growth in resources exports, particularly iron ore, coal and liquified natural gas. The RBA’s outlook for the labour market also remains solid, with the unemployment rate forecast to average 5.25 per cent in 2019-20. </w:t>
      </w:r>
    </w:p>
    <w:p w14:paraId="58D66FFA" w14:textId="77777777" w:rsidR="00964B88" w:rsidRDefault="00495025" w:rsidP="00495025">
      <w:pPr>
        <w:pStyle w:val="Heading10"/>
      </w:pPr>
      <w:bookmarkStart w:id="11" w:name="_Toc26788531"/>
      <w:r>
        <w:t>International economic conditions and outlook</w:t>
      </w:r>
      <w:bookmarkEnd w:id="11"/>
    </w:p>
    <w:p w14:paraId="3592AE26" w14:textId="77777777" w:rsidR="00964B88" w:rsidRDefault="00964B88" w:rsidP="00F53820">
      <w:r>
        <w:t xml:space="preserve">The outlook for the global economy has weakened since the </w:t>
      </w:r>
      <w:r w:rsidRPr="00434DBD">
        <w:rPr>
          <w:i/>
        </w:rPr>
        <w:t>2019</w:t>
      </w:r>
      <w:r w:rsidRPr="00434DBD">
        <w:rPr>
          <w:i/>
        </w:rPr>
        <w:noBreakHyphen/>
        <w:t>20 Budget</w:t>
      </w:r>
      <w:r>
        <w:t xml:space="preserve">, and downside risks have increased. The ongoing United States-China trade and technology dispute has led to higher tariffs and heightened levels of uncertainty, which has weighed on global business sentiment. As a result, business investment has fallen, imports of capital goods have declined and global trade volumes have softened. </w:t>
      </w:r>
    </w:p>
    <w:p w14:paraId="572FC9F6" w14:textId="77777777" w:rsidR="00964B88" w:rsidRDefault="00964B88" w:rsidP="00F53820">
      <w:r>
        <w:t xml:space="preserve">Reflecting these developments, the IMF has lowered its outlook for global economic growth in the near term. In its October 2019 </w:t>
      </w:r>
      <w:r w:rsidRPr="00434DBD">
        <w:rPr>
          <w:i/>
        </w:rPr>
        <w:t>World Economic Outlook</w:t>
      </w:r>
      <w:r>
        <w:t xml:space="preserve"> (WEO), the IMF forecast global growth of 3.0 per cent in 2019 and 3.4 per cent in 2020, a downgrade from its April forecast of 0.3 percentage points and 0.2 percentage points respectively. The forecast pickup in growth in 2020 mainly reflects an expected improvement among some emerging market economies that are currently experiencing severe economic stress (such as Argentina, Turkey and Venezuela) or are underperforming their typical growth rates (such as Brazil, Mexico and Russia). By contrast, and more relevant to Victoria, overall growth among the largest economies – the United States, China, the eurozone and Japan – is expected to continue to slow in 2020.</w:t>
      </w:r>
    </w:p>
    <w:p w14:paraId="5F63BA42" w14:textId="77777777" w:rsidR="00964B88" w:rsidRDefault="00964B88" w:rsidP="00F53820">
      <w:r>
        <w:t>In response to rising global risks and the softening global outlook, major central banks including the United States Federal Reserve and European Central Bank have cut rates and, in the case of the European Central Bank, recommenced quantitative easing. Risks to the global economy remain, though, and pose downside risks to the Victorian economy (see Box 2.1).</w:t>
      </w:r>
    </w:p>
    <w:p w14:paraId="0FED524B" w14:textId="77777777" w:rsidR="00964B88" w:rsidRDefault="00964B88" w:rsidP="00F53820">
      <w:pPr>
        <w:pStyle w:val="HighlightBoxHeading"/>
      </w:pPr>
      <w:r>
        <w:lastRenderedPageBreak/>
        <w:t>Box 2.1: Implications of global risks for Victoria’s economy</w:t>
      </w:r>
    </w:p>
    <w:p w14:paraId="1E7AB255" w14:textId="77777777" w:rsidR="00964B88" w:rsidRDefault="00964B88" w:rsidP="00F53820">
      <w:pPr>
        <w:pStyle w:val="HighlightBoxText"/>
      </w:pPr>
      <w:r>
        <w:t xml:space="preserve">Concerns about the global outlook have intensified since the </w:t>
      </w:r>
      <w:r w:rsidRPr="00311090">
        <w:rPr>
          <w:i/>
        </w:rPr>
        <w:t>2019-20 Budget</w:t>
      </w:r>
      <w:r>
        <w:t xml:space="preserve">, triggered in particular by an escalation in the United States-China trade and technology dispute, leading to sharp movements in financial markets. Other global geopolitical events also pose risks for global economic growth. For Victoria, these risks could potentially play out in the form of lower business investment, weaker exports – including Victoria’s largest export, education – and reduced employment growth. This box discusses recent developments relating to these global risks and how they could affect the Victorian economy if they materialise. </w:t>
      </w:r>
    </w:p>
    <w:p w14:paraId="64182B5D" w14:textId="77777777" w:rsidR="00964B88" w:rsidRDefault="00964B88" w:rsidP="00F53820">
      <w:pPr>
        <w:pStyle w:val="HighlightBoxText"/>
      </w:pPr>
      <w:r>
        <w:t xml:space="preserve">The most acute period of risk aversion in financial markets since the </w:t>
      </w:r>
      <w:r w:rsidRPr="00402191">
        <w:rPr>
          <w:i/>
        </w:rPr>
        <w:t>2019-20 Budget</w:t>
      </w:r>
      <w:r>
        <w:t xml:space="preserve"> occurred in August. United States-China trade tensions escalated sharply in early August after the United States administration announced a further round of tariffs on Chinese imports. A series of retaliatory responses followed. Investors’ concerns about the impact of these developments on economic growth led to large movements in financial markets, including sharp falls in bond yields. In the United States the yield curve inverted (that is, long-term bond yields were lower than short-term yields) – an occurrence that has historically been a good predictor of a recession in the</w:t>
      </w:r>
      <w:r w:rsidRPr="00402191">
        <w:t xml:space="preserve"> </w:t>
      </w:r>
      <w:r>
        <w:t xml:space="preserve">United States. While it is less clear that this indicator is a good predictor of recession in the current low-interest rate environment, it underscored the risks to global growth. In the meantime, the fall in bond yields over the past year will lower borrowing costs for governments, including Victoria, as well as some businesses. </w:t>
      </w:r>
    </w:p>
    <w:p w14:paraId="0E446960" w14:textId="77777777" w:rsidR="00964B88" w:rsidRDefault="00964B88" w:rsidP="00F53820">
      <w:pPr>
        <w:pStyle w:val="HighlightBoxHeading"/>
        <w:ind w:left="1134" w:hanging="1134"/>
      </w:pPr>
      <w:r>
        <w:t>Chart 2.2:</w:t>
      </w:r>
      <w:r>
        <w:tab/>
        <w:t xml:space="preserve">10-year bond yield, Australia, the United States and </w:t>
      </w:r>
      <w:r>
        <w:br/>
        <w:t>Treasury Corporation of Victoria</w:t>
      </w:r>
    </w:p>
    <w:p w14:paraId="718B5280" w14:textId="77777777" w:rsidR="00964B88" w:rsidRDefault="0038681A" w:rsidP="0038681A">
      <w:pPr>
        <w:pStyle w:val="HighlightBoxText"/>
      </w:pPr>
      <w:r w:rsidRPr="0038681A">
        <w:rPr>
          <w:noProof/>
        </w:rPr>
        <w:drawing>
          <wp:inline distT="0" distB="0" distL="0" distR="0" wp14:anchorId="22753992" wp14:editId="062E5F0F">
            <wp:extent cx="4822051" cy="3236267"/>
            <wp:effectExtent l="0" t="0" r="0" b="0"/>
            <wp:docPr id="13" name="Picture 4">
              <a:extLst xmlns:a="http://schemas.openxmlformats.org/drawingml/2006/main">
                <a:ext uri="{FF2B5EF4-FFF2-40B4-BE49-F238E27FC236}">
                  <a16:creationId xmlns:a16="http://schemas.microsoft.com/office/drawing/2014/main" id="{062AD925-7F9E-42A2-98BF-132E42B730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62AD925-7F9E-42A2-98BF-132E42B7300F}"/>
                        </a:ext>
                      </a:extLst>
                    </pic:cNvPr>
                    <pic:cNvPicPr>
                      <a:picLocks noChangeAspect="1"/>
                    </pic:cNvPicPr>
                  </pic:nvPicPr>
                  <pic:blipFill>
                    <a:blip r:embed="rId29"/>
                    <a:stretch>
                      <a:fillRect/>
                    </a:stretch>
                  </pic:blipFill>
                  <pic:spPr>
                    <a:xfrm>
                      <a:off x="0" y="0"/>
                      <a:ext cx="4822051" cy="3236267"/>
                    </a:xfrm>
                    <a:prstGeom prst="rect">
                      <a:avLst/>
                    </a:prstGeom>
                  </pic:spPr>
                </pic:pic>
              </a:graphicData>
            </a:graphic>
          </wp:inline>
        </w:drawing>
      </w:r>
    </w:p>
    <w:p w14:paraId="08E8F569" w14:textId="77777777" w:rsidR="00964B88" w:rsidRDefault="00964B88" w:rsidP="00F53820"/>
    <w:p w14:paraId="6C1B68D3" w14:textId="77777777" w:rsidR="00964B88" w:rsidRDefault="00964B88" w:rsidP="00F53820">
      <w:pPr>
        <w:pStyle w:val="HighlightBoxText"/>
      </w:pPr>
      <w:r>
        <w:lastRenderedPageBreak/>
        <w:t xml:space="preserve">Major central banks have responded to these risks with looser monetary policy. Trade tensions have eased somewhat since August, and markets have largely regained earlier losses as the United States and China reopened negotiations and central banks cut interest rates. Despite this, </w:t>
      </w:r>
      <w:r w:rsidRPr="000B736F">
        <w:t>there is still a high</w:t>
      </w:r>
      <w:r>
        <w:t xml:space="preserve"> level of uncertainty surrounding trade policy over the medium term. </w:t>
      </w:r>
    </w:p>
    <w:p w14:paraId="729162E1" w14:textId="77777777" w:rsidR="00964B88" w:rsidRPr="00434DBD" w:rsidRDefault="00964B88" w:rsidP="00F53820">
      <w:pPr>
        <w:pStyle w:val="HighlightBoxText"/>
      </w:pPr>
      <w:r>
        <w:t>The risk that growth slows considerably would present near-term risks to Victoria’s economy. For example, more intense or more persistent trade tensions – and associated uncertainty – could damage Victorian business confidence and lead to lower business investment or hiring. A sharper slowdown in the United States, China or other economies would likely impact Victorian exports, including the State’s major exports of education and tourism. Such outcomes would lead to lower overall economic performance than forecast.</w:t>
      </w:r>
    </w:p>
    <w:p w14:paraId="4E8B583C" w14:textId="77777777" w:rsidR="00964B88" w:rsidRDefault="00495025" w:rsidP="00495025">
      <w:pPr>
        <w:pStyle w:val="Heading10"/>
      </w:pPr>
      <w:bookmarkStart w:id="12" w:name="_Toc26788532"/>
      <w:r>
        <w:t>Risks to the Victorian outlook</w:t>
      </w:r>
      <w:bookmarkEnd w:id="12"/>
      <w:r>
        <w:t xml:space="preserve"> </w:t>
      </w:r>
    </w:p>
    <w:p w14:paraId="52C4D16F" w14:textId="77777777" w:rsidR="00964B88" w:rsidRDefault="00964B88" w:rsidP="00F53820">
      <w:r>
        <w:t xml:space="preserve">Risks to the Victorian economic outlook are broadly balanced, with a number of upside and downside risks facing the economy. </w:t>
      </w:r>
    </w:p>
    <w:p w14:paraId="63A36EC8" w14:textId="77777777" w:rsidR="00964B88" w:rsidRDefault="00964B88" w:rsidP="00F53820">
      <w:r>
        <w:t xml:space="preserve">At the time of the </w:t>
      </w:r>
      <w:r w:rsidRPr="00434DBD">
        <w:rPr>
          <w:i/>
        </w:rPr>
        <w:t>2019-20 Budget</w:t>
      </w:r>
      <w:r>
        <w:t xml:space="preserve">, there was significant uncertainty about the pace and size of the adjustment in the residential property market. Since then there has been a policy response to the downturn in the housing market and the risk of a deep and prolonged downturn weighing on household wealth and consumption has eased. Lower interest rates, regulatory changes to the supply of credit and improved buyer sentiment have led to firmer conditions in the property market. As a result, there is now some upside risk of a faster than anticipated recovery in the residential property market. This could lead to stronger growth in household consumption and dwelling investment than currently forecast, and therefore higher GSP and employment growth. </w:t>
      </w:r>
    </w:p>
    <w:p w14:paraId="0FDDD83C" w14:textId="77777777" w:rsidR="00964B88" w:rsidRDefault="00964B88" w:rsidP="00F53820">
      <w:r>
        <w:t xml:space="preserve">While the housing market now presents an upside risk to the outlook, the balance of risks to population growth remain on the downside. Population growth has been an important driver of economic activity in Victoria, underpinning consumer spending and dwelling investment. Population growth remains strong, although the rate of increase has moderated over the past few years and a further slowing is expected over the budget and forward estimates. However, there is uncertainty about the pace of the moderation. Slower Australian economic growth or Commonwealth policy changes could lead to a lower than forecast national net overseas migration pool. This could lead to lower population growth in Victoria, reducing household consumption and overall economic activity. </w:t>
      </w:r>
    </w:p>
    <w:p w14:paraId="4CBD26A6" w14:textId="77777777" w:rsidR="00964B88" w:rsidRDefault="00964B88" w:rsidP="00F53820">
      <w:r>
        <w:t xml:space="preserve">Along with population, global risks are skewed to the downside and, as discussed in Box 2.1, have increased since the </w:t>
      </w:r>
      <w:r w:rsidRPr="00434DBD">
        <w:rPr>
          <w:i/>
        </w:rPr>
        <w:t>2019</w:t>
      </w:r>
      <w:r w:rsidRPr="00434DBD">
        <w:rPr>
          <w:i/>
        </w:rPr>
        <w:noBreakHyphen/>
        <w:t>20 Budget</w:t>
      </w:r>
      <w:r>
        <w:t xml:space="preserve">. A faster than anticipated slowdown in global growth, which could be caused by a further escalation of global trade tensions or a slowdown in China’s domestic demand, could have negative implications for Victoria. However, these global risks are being at least partly mitigated by central bank interest rate cuts. </w:t>
      </w:r>
    </w:p>
    <w:p w14:paraId="0F8098A2" w14:textId="77777777" w:rsidR="00964B88" w:rsidRDefault="00964B88" w:rsidP="00F53820">
      <w:r>
        <w:lastRenderedPageBreak/>
        <w:t xml:space="preserve">Finally, the trend unemployment rate could be lower than currently estimated, which presents an upside risk to the economic forecasts. A lower than estimated trend unemployment rate could lead to higher employment and GSP growth without generating upward pressure on wages or inflation. This would be consistent with the experience of international jurisdictions, including in the United States where the unemployment rate has remained below estimates of trend for some time without raising inflation expectations. </w:t>
      </w:r>
    </w:p>
    <w:p w14:paraId="536C28A9" w14:textId="77777777" w:rsidR="00964B88" w:rsidRDefault="00964B88" w:rsidP="00F53820">
      <w:r>
        <w:t xml:space="preserve">See Appendix D </w:t>
      </w:r>
      <w:r w:rsidRPr="00434DBD">
        <w:rPr>
          <w:i/>
        </w:rPr>
        <w:t>Sensitivity Analysis</w:t>
      </w:r>
      <w:r>
        <w:t xml:space="preserve"> for further information on the estimated economic and fiscal impacts of weaker than anticipated population growth and a lower trend unemployment rate. </w:t>
      </w:r>
    </w:p>
    <w:p w14:paraId="7760C2DE" w14:textId="77777777" w:rsidR="0038681A" w:rsidRDefault="0038681A">
      <w:pPr>
        <w:keepLines w:val="0"/>
      </w:pPr>
    </w:p>
    <w:p w14:paraId="5620B8EE" w14:textId="77777777" w:rsidR="00964B88" w:rsidRDefault="00964B88" w:rsidP="00F53820"/>
    <w:bookmarkEnd w:id="6"/>
    <w:bookmarkEnd w:id="7"/>
    <w:p w14:paraId="40636D16" w14:textId="77777777" w:rsidR="00964B88" w:rsidRDefault="00964B88" w:rsidP="0052294D">
      <w:pPr>
        <w:sectPr w:rsidR="00964B88" w:rsidSect="0052294D">
          <w:headerReference w:type="even" r:id="rId30"/>
          <w:headerReference w:type="default" r:id="rId31"/>
          <w:footerReference w:type="even" r:id="rId32"/>
          <w:footerReference w:type="default" r:id="rId33"/>
          <w:headerReference w:type="first" r:id="rId34"/>
          <w:footerReference w:type="first" r:id="rId35"/>
          <w:type w:val="continuous"/>
          <w:pgSz w:w="9979" w:h="14175" w:code="34"/>
          <w:pgMar w:top="851" w:right="1134" w:bottom="851" w:left="1134" w:header="624" w:footer="567" w:gutter="0"/>
          <w:cols w:sep="1" w:space="567"/>
          <w:docGrid w:linePitch="360"/>
        </w:sectPr>
      </w:pPr>
    </w:p>
    <w:p w14:paraId="415CAAAD" w14:textId="77777777" w:rsidR="00964B88" w:rsidRDefault="00964B88" w:rsidP="00F53820">
      <w:pPr>
        <w:pStyle w:val="Chapterheading"/>
      </w:pPr>
      <w:bookmarkStart w:id="14" w:name="_Toc26788533"/>
      <w:r>
        <w:lastRenderedPageBreak/>
        <w:t>Chapter 3 – Budget position and outlook</w:t>
      </w:r>
      <w:bookmarkEnd w:id="14"/>
    </w:p>
    <w:p w14:paraId="1B0C85D8" w14:textId="77777777" w:rsidR="00964B88" w:rsidRDefault="00964B88" w:rsidP="00F53820">
      <w:pPr>
        <w:pStyle w:val="HighlightBoxBullet"/>
      </w:pPr>
      <w:r>
        <w:t>The general government sector operating surplus is estimated to be $618 m</w:t>
      </w:r>
      <w:r w:rsidRPr="006341FF">
        <w:t>illion</w:t>
      </w:r>
      <w:r>
        <w:t xml:space="preserve"> in 2019</w:t>
      </w:r>
      <w:r>
        <w:noBreakHyphen/>
        <w:t xml:space="preserve">20, with annual operating surpluses averaging $3.3 </w:t>
      </w:r>
      <w:r w:rsidRPr="006341FF">
        <w:t>billion</w:t>
      </w:r>
      <w:r>
        <w:t xml:space="preserve"> a year across the forward estimates.</w:t>
      </w:r>
    </w:p>
    <w:p w14:paraId="4A775E86" w14:textId="77777777" w:rsidR="00964B88" w:rsidRDefault="00964B88" w:rsidP="00F53820">
      <w:pPr>
        <w:pStyle w:val="HighlightBoxBullet"/>
      </w:pPr>
      <w:r>
        <w:t>Compared with</w:t>
      </w:r>
      <w:r w:rsidRPr="008726A1">
        <w:t xml:space="preserve"> the </w:t>
      </w:r>
      <w:r w:rsidRPr="00F92FA0">
        <w:rPr>
          <w:i/>
        </w:rPr>
        <w:t>2019</w:t>
      </w:r>
      <w:r w:rsidRPr="00F92FA0">
        <w:rPr>
          <w:i/>
        </w:rPr>
        <w:noBreakHyphen/>
        <w:t>20 Budget</w:t>
      </w:r>
      <w:r w:rsidRPr="008726A1">
        <w:t xml:space="preserve">, the net result from transactions has been revised </w:t>
      </w:r>
      <w:r>
        <w:t>down</w:t>
      </w:r>
      <w:r w:rsidRPr="008726A1">
        <w:t xml:space="preserve"> by </w:t>
      </w:r>
      <w:r>
        <w:t>an average of $193 million a year over the budget and forward estimates</w:t>
      </w:r>
      <w:r w:rsidRPr="008726A1">
        <w:t xml:space="preserve">. </w:t>
      </w:r>
      <w:r w:rsidRPr="00D4171B">
        <w:t xml:space="preserve">This largely </w:t>
      </w:r>
      <w:r w:rsidRPr="008426D5">
        <w:t xml:space="preserve">reflects the </w:t>
      </w:r>
      <w:r>
        <w:t xml:space="preserve">funding of new initiatives in priority areas </w:t>
      </w:r>
      <w:r w:rsidRPr="008426D5">
        <w:t>and</w:t>
      </w:r>
      <w:r>
        <w:t xml:space="preserve"> a reduction in expected </w:t>
      </w:r>
      <w:r w:rsidRPr="00D4171B">
        <w:t>GST revenue from the Commonwealth</w:t>
      </w:r>
      <w:r>
        <w:t xml:space="preserve"> due to the weaker macroeconomic outlook.</w:t>
      </w:r>
    </w:p>
    <w:p w14:paraId="60721737" w14:textId="77777777" w:rsidR="00964B88" w:rsidRDefault="00964B88" w:rsidP="00F53820">
      <w:pPr>
        <w:pStyle w:val="HighlightBoxBullet"/>
      </w:pPr>
      <w:r>
        <w:t>Revenue growth is expected to average 4.4</w:t>
      </w:r>
      <w:r w:rsidRPr="006341FF">
        <w:t> per cent</w:t>
      </w:r>
      <w:r>
        <w:t xml:space="preserve"> a year over the budget and forward estimates, exceeding average expense growth of 3.3</w:t>
      </w:r>
      <w:r w:rsidRPr="006341FF">
        <w:t> per cent</w:t>
      </w:r>
      <w:r>
        <w:t xml:space="preserve"> a year.</w:t>
      </w:r>
    </w:p>
    <w:p w14:paraId="13F17F56" w14:textId="77777777" w:rsidR="00964B88" w:rsidRDefault="00964B88" w:rsidP="00F53820">
      <w:pPr>
        <w:pStyle w:val="HighlightBoxBullet"/>
      </w:pPr>
      <w:bookmarkStart w:id="15" w:name="_Hlk5635661"/>
      <w:r w:rsidRPr="00F87383">
        <w:t>Net debt is projected to be $</w:t>
      </w:r>
      <w:r>
        <w:t>57</w:t>
      </w:r>
      <w:r w:rsidRPr="00F87383">
        <w:t>.</w:t>
      </w:r>
      <w:r>
        <w:t>8</w:t>
      </w:r>
      <w:r w:rsidRPr="00F87383">
        <w:t xml:space="preserve"> billion by June 2023. </w:t>
      </w:r>
      <w:bookmarkStart w:id="16" w:name="_Hlk8646342"/>
      <w:r w:rsidRPr="00F87383">
        <w:t xml:space="preserve">As a proportion of gross state product (GSP), net debt is projected to be </w:t>
      </w:r>
      <w:r>
        <w:t>8.5</w:t>
      </w:r>
      <w:r w:rsidRPr="00F87383">
        <w:t xml:space="preserve"> per cent at June 20</w:t>
      </w:r>
      <w:r>
        <w:t>20</w:t>
      </w:r>
      <w:r w:rsidRPr="00F87383">
        <w:t xml:space="preserve"> and increase to </w:t>
      </w:r>
      <w:r>
        <w:t>10</w:t>
      </w:r>
      <w:r w:rsidRPr="00F87383">
        <w:t>.</w:t>
      </w:r>
      <w:r>
        <w:t>5</w:t>
      </w:r>
      <w:r w:rsidRPr="00F87383">
        <w:t xml:space="preserve"> per cent by June 2023. </w:t>
      </w:r>
      <w:bookmarkEnd w:id="15"/>
      <w:bookmarkEnd w:id="16"/>
    </w:p>
    <w:p w14:paraId="32AEBE5D" w14:textId="77777777" w:rsidR="00964B88" w:rsidRDefault="00964B88" w:rsidP="00F53820">
      <w:pPr>
        <w:pStyle w:val="HighlightBoxBullet"/>
      </w:pPr>
      <w:r>
        <w:t>Government infrastructure investment (GII) is projected to average $13.9</w:t>
      </w:r>
      <w:r w:rsidRPr="006341FF">
        <w:t> billion</w:t>
      </w:r>
      <w:r>
        <w:t xml:space="preserve"> a year over the budget and forward estimates.</w:t>
      </w:r>
    </w:p>
    <w:p w14:paraId="74C9D17F" w14:textId="77777777" w:rsidR="00964B88" w:rsidRPr="00092586" w:rsidRDefault="00964B88" w:rsidP="00F53820">
      <w:pPr>
        <w:pStyle w:val="HighlightBoxBullet"/>
      </w:pPr>
      <w:bookmarkStart w:id="17" w:name="_Hlk8039383"/>
      <w:bookmarkStart w:id="18" w:name="_Hlk26196869"/>
      <w:r w:rsidRPr="00092586">
        <w:t>The Government is on track to fully fund the State’s unfunded superannuation liability by 2035.</w:t>
      </w:r>
      <w:bookmarkEnd w:id="17"/>
    </w:p>
    <w:bookmarkEnd w:id="18"/>
    <w:p w14:paraId="7D76DB8F" w14:textId="77777777" w:rsidR="00964B88" w:rsidRDefault="00964B88" w:rsidP="00F53820">
      <w:r>
        <w:t>This chapter presents the revised budget position of the Victorian public sector, incorporating the general government sector, the public non-financial corporations (PNFC) sector and the public financial corporations (PFC) sector for the budget year and forward estimates.</w:t>
      </w:r>
    </w:p>
    <w:p w14:paraId="53D208D7" w14:textId="77777777" w:rsidR="00964B88" w:rsidRDefault="00964B88" w:rsidP="00F53820">
      <w:r>
        <w:t xml:space="preserve">It </w:t>
      </w:r>
      <w:r w:rsidRPr="00C203E5">
        <w:t xml:space="preserve">takes into account the financial impacts as at </w:t>
      </w:r>
      <w:r>
        <w:t>29 November</w:t>
      </w:r>
      <w:r w:rsidRPr="00C203E5">
        <w:t xml:space="preserve"> 201</w:t>
      </w:r>
      <w:r>
        <w:t>9</w:t>
      </w:r>
      <w:r w:rsidRPr="00C203E5">
        <w:t xml:space="preserve"> of all decisions that affect the financial statements, unless otherwise stated.</w:t>
      </w:r>
    </w:p>
    <w:p w14:paraId="3BA9FEBE" w14:textId="77777777" w:rsidR="00964B88" w:rsidRDefault="00964B88" w:rsidP="00F53820">
      <w:r>
        <w:t xml:space="preserve">This chapter also reconciles and explains any movements since the </w:t>
      </w:r>
      <w:r w:rsidRPr="00E37FF2">
        <w:rPr>
          <w:i/>
        </w:rPr>
        <w:t>201</w:t>
      </w:r>
      <w:r>
        <w:rPr>
          <w:i/>
        </w:rPr>
        <w:t>9-20</w:t>
      </w:r>
      <w:r w:rsidRPr="00E37FF2">
        <w:rPr>
          <w:i/>
        </w:rPr>
        <w:t xml:space="preserve"> </w:t>
      </w:r>
      <w:r>
        <w:rPr>
          <w:i/>
        </w:rPr>
        <w:t>Budget</w:t>
      </w:r>
      <w:r>
        <w:t xml:space="preserve"> that affect the estimated net result from transactions.</w:t>
      </w:r>
    </w:p>
    <w:p w14:paraId="039E8250" w14:textId="77777777" w:rsidR="00964B88" w:rsidRPr="0055615D" w:rsidRDefault="00964B88" w:rsidP="00F53820">
      <w:r w:rsidRPr="0055615D">
        <w:br w:type="page"/>
      </w:r>
    </w:p>
    <w:p w14:paraId="72F9EEE2" w14:textId="77777777" w:rsidR="00964B88" w:rsidRDefault="00495025" w:rsidP="00495025">
      <w:pPr>
        <w:pStyle w:val="Heading10"/>
      </w:pPr>
      <w:bookmarkStart w:id="19" w:name="_Toc26788534"/>
      <w:r>
        <w:lastRenderedPageBreak/>
        <w:t>General government sector</w:t>
      </w:r>
      <w:bookmarkEnd w:id="19"/>
    </w:p>
    <w:p w14:paraId="794E3A4D" w14:textId="77777777" w:rsidR="00964B88" w:rsidRDefault="00964B88" w:rsidP="00F53820">
      <w:pPr>
        <w:pStyle w:val="Heading20"/>
      </w:pPr>
      <w:r>
        <w:t>Overview</w:t>
      </w:r>
    </w:p>
    <w:p w14:paraId="491F92E2" w14:textId="77777777" w:rsidR="00964B88" w:rsidRDefault="00964B88" w:rsidP="00F53820">
      <w:r>
        <w:t>The operating result (net result from transactions) for the general government sector in 2019</w:t>
      </w:r>
      <w:r>
        <w:noBreakHyphen/>
        <w:t>20 is forecast to be a surplus of $618</w:t>
      </w:r>
      <w:r w:rsidRPr="006341FF">
        <w:t> </w:t>
      </w:r>
      <w:r>
        <w:t>million, with annual operating surpluses averaging $3.3</w:t>
      </w:r>
      <w:r w:rsidRPr="006341FF">
        <w:t> billion</w:t>
      </w:r>
      <w:r>
        <w:t xml:space="preserve"> a year over the forward estimates (as shown in Table 3.1).</w:t>
      </w:r>
    </w:p>
    <w:p w14:paraId="5B52CC21" w14:textId="77777777" w:rsidR="00964B88" w:rsidRDefault="00964B88" w:rsidP="005B45CC">
      <w:pPr>
        <w:ind w:right="198"/>
      </w:pPr>
      <w:r>
        <w:t>Compared</w:t>
      </w:r>
      <w:r w:rsidRPr="008726A1">
        <w:t xml:space="preserve"> </w:t>
      </w:r>
      <w:r>
        <w:t>with</w:t>
      </w:r>
      <w:r w:rsidRPr="008726A1">
        <w:t xml:space="preserve"> the </w:t>
      </w:r>
      <w:r w:rsidRPr="008726A1">
        <w:rPr>
          <w:i/>
        </w:rPr>
        <w:t>201</w:t>
      </w:r>
      <w:r>
        <w:rPr>
          <w:i/>
        </w:rPr>
        <w:t>9</w:t>
      </w:r>
      <w:r w:rsidRPr="008726A1">
        <w:rPr>
          <w:i/>
        </w:rPr>
        <w:noBreakHyphen/>
      </w:r>
      <w:r>
        <w:rPr>
          <w:i/>
        </w:rPr>
        <w:t>20</w:t>
      </w:r>
      <w:r w:rsidRPr="008726A1">
        <w:rPr>
          <w:i/>
        </w:rPr>
        <w:t xml:space="preserve"> Budget</w:t>
      </w:r>
      <w:r w:rsidRPr="008726A1">
        <w:t xml:space="preserve">, the net result from transactions has been revised </w:t>
      </w:r>
      <w:r>
        <w:t>down</w:t>
      </w:r>
      <w:r w:rsidRPr="008726A1">
        <w:t xml:space="preserve"> by $</w:t>
      </w:r>
      <w:r>
        <w:t>432</w:t>
      </w:r>
      <w:r w:rsidRPr="008726A1">
        <w:t> million in 201</w:t>
      </w:r>
      <w:r>
        <w:t>9</w:t>
      </w:r>
      <w:r w:rsidRPr="008726A1">
        <w:noBreakHyphen/>
      </w:r>
      <w:r>
        <w:t>20</w:t>
      </w:r>
      <w:r w:rsidRPr="008726A1">
        <w:t>, by $</w:t>
      </w:r>
      <w:r>
        <w:t>232</w:t>
      </w:r>
      <w:r w:rsidRPr="008726A1">
        <w:t> million in 20</w:t>
      </w:r>
      <w:r>
        <w:t>20</w:t>
      </w:r>
      <w:r w:rsidRPr="008726A1">
        <w:noBreakHyphen/>
        <w:t>2</w:t>
      </w:r>
      <w:r>
        <w:t>1</w:t>
      </w:r>
      <w:r w:rsidRPr="008726A1">
        <w:t>, by $</w:t>
      </w:r>
      <w:r>
        <w:t>59</w:t>
      </w:r>
      <w:r w:rsidRPr="008726A1">
        <w:t> million in 202</w:t>
      </w:r>
      <w:r>
        <w:t>1</w:t>
      </w:r>
      <w:r w:rsidRPr="008726A1">
        <w:noBreakHyphen/>
        <w:t>2</w:t>
      </w:r>
      <w:r>
        <w:t xml:space="preserve">2 </w:t>
      </w:r>
      <w:r w:rsidRPr="008726A1">
        <w:t>and by $</w:t>
      </w:r>
      <w:r>
        <w:t>50</w:t>
      </w:r>
      <w:r w:rsidRPr="008726A1">
        <w:t> million in 202</w:t>
      </w:r>
      <w:r>
        <w:t>2</w:t>
      </w:r>
      <w:r w:rsidRPr="008726A1">
        <w:noBreakHyphen/>
        <w:t>2</w:t>
      </w:r>
      <w:r>
        <w:t>3</w:t>
      </w:r>
      <w:r w:rsidRPr="008726A1">
        <w:t xml:space="preserve">. </w:t>
      </w:r>
      <w:r w:rsidRPr="008426D5">
        <w:t xml:space="preserve">This largely reflects the impact of new </w:t>
      </w:r>
      <w:r>
        <w:t>initiatives</w:t>
      </w:r>
      <w:r w:rsidRPr="008426D5">
        <w:t xml:space="preserve"> and </w:t>
      </w:r>
      <w:r>
        <w:t>a reduction in expected</w:t>
      </w:r>
      <w:r w:rsidRPr="00D4171B">
        <w:t xml:space="preserve"> GST revenue</w:t>
      </w:r>
      <w:r>
        <w:t xml:space="preserve"> </w:t>
      </w:r>
      <w:r w:rsidRPr="00D4171B">
        <w:t>from the Commonwealth</w:t>
      </w:r>
      <w:r>
        <w:t xml:space="preserve"> due to weaker national consumption and dwelling investment. These are partly offset by the improved outlook for </w:t>
      </w:r>
      <w:r w:rsidRPr="00250670">
        <w:t>property-related revenu</w:t>
      </w:r>
      <w:r>
        <w:t>e,</w:t>
      </w:r>
      <w:r w:rsidRPr="00250670">
        <w:t xml:space="preserve"> consistent with residential property market conditions</w:t>
      </w:r>
      <w:r>
        <w:t xml:space="preserve">, and bringing forward Commonwealth funding for </w:t>
      </w:r>
      <w:r w:rsidRPr="00A154AC">
        <w:t>North East Link</w:t>
      </w:r>
      <w:r>
        <w:t xml:space="preserve"> and other transport projects.</w:t>
      </w:r>
    </w:p>
    <w:p w14:paraId="126DFAA3" w14:textId="77777777" w:rsidR="00964B88" w:rsidRDefault="00964B88" w:rsidP="00F53820">
      <w:r>
        <w:t xml:space="preserve">The Government is funding new initiatives in priority areas to service a growing population, including meeting the Government’s commitment to the National School Reform Agreement (NSRA). The Government is also managing urgent and important priorities such as cladding rectification works and providing additional support for drought-affected farmers. </w:t>
      </w:r>
    </w:p>
    <w:p w14:paraId="2035013B" w14:textId="77777777" w:rsidR="00964B88" w:rsidRPr="006341FF" w:rsidRDefault="00964B88" w:rsidP="00F53820">
      <w:r>
        <w:t>Revenue growth is expected to average 4.4</w:t>
      </w:r>
      <w:r w:rsidRPr="006341FF">
        <w:t> per cent</w:t>
      </w:r>
      <w:r>
        <w:t xml:space="preserve"> a year over the budget and forward estimates, compared with average expense growth of 3.3</w:t>
      </w:r>
      <w:r w:rsidRPr="006341FF">
        <w:t> per cent</w:t>
      </w:r>
      <w:r>
        <w:t xml:space="preserve"> a year.</w:t>
      </w:r>
    </w:p>
    <w:p w14:paraId="2C7CE8E3" w14:textId="77777777" w:rsidR="00964B88" w:rsidRPr="00C203E5" w:rsidRDefault="00964B88" w:rsidP="00F53820">
      <w:pPr>
        <w:pStyle w:val="TableHeading"/>
      </w:pPr>
      <w:r w:rsidRPr="00CD6C63">
        <w:t xml:space="preserve">Table 3.1: </w:t>
      </w:r>
      <w:r w:rsidRPr="00CD6C63">
        <w:tab/>
        <w:t>General government fiscal aggregates</w:t>
      </w:r>
      <w:r>
        <w:t xml:space="preserve"> </w:t>
      </w:r>
      <w:r w:rsidRPr="00F83B37">
        <w:rPr>
          <w:vertAlign w:val="superscript"/>
        </w:rPr>
        <w:t>(a)</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3517"/>
        <w:gridCol w:w="850"/>
        <w:gridCol w:w="850"/>
        <w:gridCol w:w="850"/>
        <w:gridCol w:w="850"/>
        <w:gridCol w:w="850"/>
      </w:tblGrid>
      <w:tr w:rsidR="005B45CC" w:rsidRPr="005B45CC" w14:paraId="210BE286" w14:textId="77777777" w:rsidTr="005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7" w:type="dxa"/>
            <w:tcBorders>
              <w:top w:val="nil"/>
              <w:left w:val="nil"/>
              <w:right w:val="nil"/>
            </w:tcBorders>
            <w:shd w:val="solid" w:color="000000" w:fill="FFFFFF"/>
          </w:tcPr>
          <w:p w14:paraId="4EFF05A2" w14:textId="77777777" w:rsidR="005B45CC" w:rsidRPr="005B45CC" w:rsidRDefault="005B45CC" w:rsidP="005B45CC">
            <w:r w:rsidRPr="005B45CC">
              <w:t xml:space="preserve"> </w:t>
            </w:r>
          </w:p>
        </w:tc>
        <w:tc>
          <w:tcPr>
            <w:tcW w:w="850" w:type="dxa"/>
            <w:tcBorders>
              <w:top w:val="nil"/>
              <w:left w:val="nil"/>
              <w:right w:val="nil"/>
            </w:tcBorders>
            <w:shd w:val="solid" w:color="000000" w:fill="FFFFFF"/>
            <w:vAlign w:val="center"/>
          </w:tcPr>
          <w:p w14:paraId="28880865" w14:textId="77777777" w:rsidR="005B45CC" w:rsidRPr="005B45CC" w:rsidRDefault="005B45CC" w:rsidP="005B45CC">
            <w:pPr>
              <w:jc w:val="center"/>
              <w:cnfStyle w:val="100000000000" w:firstRow="1" w:lastRow="0" w:firstColumn="0" w:lastColumn="0" w:oddVBand="0" w:evenVBand="0" w:oddHBand="0" w:evenHBand="0" w:firstRowFirstColumn="0" w:firstRowLastColumn="0" w:lastRowFirstColumn="0" w:lastRowLastColumn="0"/>
            </w:pPr>
            <w:r w:rsidRPr="005B45CC">
              <w:t>Unit of</w:t>
            </w:r>
            <w:r w:rsidRPr="005B45CC">
              <w:br/>
              <w:t>measure</w:t>
            </w:r>
          </w:p>
        </w:tc>
        <w:tc>
          <w:tcPr>
            <w:tcW w:w="850" w:type="dxa"/>
            <w:tcBorders>
              <w:top w:val="nil"/>
              <w:left w:val="nil"/>
              <w:right w:val="nil"/>
            </w:tcBorders>
            <w:shd w:val="solid" w:color="000000" w:fill="FFFFFF"/>
          </w:tcPr>
          <w:p w14:paraId="05B6DDCA"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pPr>
            <w:r w:rsidRPr="005B45CC">
              <w:t>2019-20</w:t>
            </w:r>
            <w:r w:rsidRPr="005B45CC">
              <w:br/>
              <w:t>revised</w:t>
            </w:r>
          </w:p>
        </w:tc>
        <w:tc>
          <w:tcPr>
            <w:tcW w:w="850" w:type="dxa"/>
            <w:tcBorders>
              <w:top w:val="nil"/>
              <w:left w:val="nil"/>
              <w:right w:val="nil"/>
            </w:tcBorders>
            <w:shd w:val="solid" w:color="000000" w:fill="FFFFFF"/>
          </w:tcPr>
          <w:p w14:paraId="536752B7"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pPr>
            <w:r w:rsidRPr="005B45CC">
              <w:t>2020-21</w:t>
            </w:r>
            <w:r w:rsidRPr="005B45CC">
              <w:br/>
              <w:t>estimate</w:t>
            </w:r>
          </w:p>
        </w:tc>
        <w:tc>
          <w:tcPr>
            <w:tcW w:w="850" w:type="dxa"/>
            <w:tcBorders>
              <w:top w:val="nil"/>
              <w:left w:val="nil"/>
              <w:right w:val="nil"/>
            </w:tcBorders>
            <w:shd w:val="solid" w:color="000000" w:fill="FFFFFF"/>
          </w:tcPr>
          <w:p w14:paraId="3DDD297F"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pPr>
            <w:r w:rsidRPr="005B45CC">
              <w:t>2021-22</w:t>
            </w:r>
            <w:r w:rsidRPr="005B45CC">
              <w:br/>
              <w:t>estimate</w:t>
            </w:r>
          </w:p>
        </w:tc>
        <w:tc>
          <w:tcPr>
            <w:tcW w:w="850" w:type="dxa"/>
            <w:tcBorders>
              <w:top w:val="nil"/>
              <w:left w:val="nil"/>
              <w:right w:val="nil"/>
            </w:tcBorders>
            <w:shd w:val="solid" w:color="000000" w:fill="FFFFFF"/>
          </w:tcPr>
          <w:p w14:paraId="688DC001"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pPr>
            <w:r w:rsidRPr="005B45CC">
              <w:t>2022-23</w:t>
            </w:r>
            <w:r w:rsidRPr="005B45CC">
              <w:br/>
              <w:t>estimate</w:t>
            </w:r>
          </w:p>
        </w:tc>
      </w:tr>
      <w:tr w:rsidR="00964B88" w:rsidRPr="00CD6C63" w14:paraId="5688C658"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14:paraId="5FFDE154" w14:textId="77777777" w:rsidR="00964B88" w:rsidRPr="00CD6C63" w:rsidRDefault="00964B88" w:rsidP="00F53820">
            <w:pPr>
              <w:rPr>
                <w:rFonts w:ascii="Calibri" w:hAnsi="Calibri" w:cs="Calibri"/>
                <w:color w:val="000000"/>
                <w:szCs w:val="17"/>
              </w:rPr>
            </w:pPr>
            <w:r w:rsidRPr="00CD6C63">
              <w:rPr>
                <w:rFonts w:ascii="Calibri" w:hAnsi="Calibri" w:cs="Calibri"/>
                <w:color w:val="000000"/>
                <w:szCs w:val="17"/>
              </w:rPr>
              <w:t>Net result from transactions</w:t>
            </w:r>
          </w:p>
        </w:tc>
        <w:tc>
          <w:tcPr>
            <w:tcW w:w="850" w:type="dxa"/>
            <w:tcBorders>
              <w:top w:val="nil"/>
              <w:left w:val="nil"/>
              <w:bottom w:val="nil"/>
              <w:right w:val="nil"/>
            </w:tcBorders>
          </w:tcPr>
          <w:p w14:paraId="29BA4BA1" w14:textId="77777777" w:rsidR="00964B88" w:rsidRPr="00CD6C63" w:rsidRDefault="00964B88" w:rsidP="00F538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CD6C63">
              <w:rPr>
                <w:rFonts w:ascii="Calibri" w:hAnsi="Calibri" w:cs="Calibri"/>
                <w:color w:val="000000"/>
                <w:szCs w:val="17"/>
              </w:rPr>
              <w:t>$ billion</w:t>
            </w:r>
          </w:p>
        </w:tc>
        <w:tc>
          <w:tcPr>
            <w:tcW w:w="850" w:type="dxa"/>
            <w:tcBorders>
              <w:top w:val="nil"/>
              <w:left w:val="nil"/>
              <w:bottom w:val="nil"/>
              <w:right w:val="nil"/>
            </w:tcBorders>
          </w:tcPr>
          <w:p w14:paraId="6AF4197B"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0.6 </w:t>
            </w:r>
          </w:p>
        </w:tc>
        <w:tc>
          <w:tcPr>
            <w:tcW w:w="850" w:type="dxa"/>
            <w:tcBorders>
              <w:top w:val="nil"/>
              <w:left w:val="nil"/>
              <w:bottom w:val="nil"/>
              <w:right w:val="nil"/>
            </w:tcBorders>
          </w:tcPr>
          <w:p w14:paraId="31827427"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1.2 </w:t>
            </w:r>
          </w:p>
        </w:tc>
        <w:tc>
          <w:tcPr>
            <w:tcW w:w="850" w:type="dxa"/>
            <w:tcBorders>
              <w:top w:val="nil"/>
              <w:left w:val="nil"/>
              <w:bottom w:val="nil"/>
              <w:right w:val="nil"/>
            </w:tcBorders>
          </w:tcPr>
          <w:p w14:paraId="74AEC85E"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3.8 </w:t>
            </w:r>
          </w:p>
        </w:tc>
        <w:tc>
          <w:tcPr>
            <w:tcW w:w="850" w:type="dxa"/>
            <w:tcBorders>
              <w:top w:val="nil"/>
              <w:left w:val="nil"/>
              <w:bottom w:val="nil"/>
              <w:right w:val="nil"/>
            </w:tcBorders>
          </w:tcPr>
          <w:p w14:paraId="7049B3EF"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4.9 </w:t>
            </w:r>
          </w:p>
        </w:tc>
      </w:tr>
      <w:tr w:rsidR="00964B88" w:rsidRPr="00CD6C63" w14:paraId="1C41B57D"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vAlign w:val="bottom"/>
          </w:tcPr>
          <w:p w14:paraId="582DF4CF" w14:textId="77777777" w:rsidR="00964B88" w:rsidRPr="00CD6C63" w:rsidRDefault="00964B88" w:rsidP="00F53820">
            <w:pPr>
              <w:rPr>
                <w:rFonts w:ascii="Calibri" w:hAnsi="Calibri" w:cs="Calibri"/>
                <w:color w:val="000000"/>
                <w:szCs w:val="17"/>
              </w:rPr>
            </w:pPr>
            <w:r w:rsidRPr="00CD6C63">
              <w:rPr>
                <w:rFonts w:ascii="Calibri" w:hAnsi="Calibri" w:cs="Calibri"/>
                <w:color w:val="000000"/>
                <w:szCs w:val="17"/>
              </w:rPr>
              <w:t xml:space="preserve">Government infrastructure investment </w:t>
            </w:r>
            <w:r w:rsidRPr="00CD6C63">
              <w:rPr>
                <w:rFonts w:ascii="Calibri" w:hAnsi="Calibri" w:cs="Calibri"/>
                <w:color w:val="000000"/>
                <w:szCs w:val="17"/>
                <w:vertAlign w:val="superscript"/>
              </w:rPr>
              <w:t>(</w:t>
            </w:r>
            <w:r>
              <w:rPr>
                <w:rFonts w:ascii="Calibri" w:hAnsi="Calibri" w:cs="Calibri"/>
                <w:color w:val="000000"/>
                <w:szCs w:val="17"/>
                <w:vertAlign w:val="superscript"/>
              </w:rPr>
              <w:t>b)</w:t>
            </w:r>
          </w:p>
        </w:tc>
        <w:tc>
          <w:tcPr>
            <w:tcW w:w="850" w:type="dxa"/>
            <w:tcBorders>
              <w:top w:val="nil"/>
              <w:left w:val="nil"/>
              <w:bottom w:val="nil"/>
              <w:right w:val="nil"/>
            </w:tcBorders>
          </w:tcPr>
          <w:p w14:paraId="7615970B" w14:textId="77777777" w:rsidR="00964B88" w:rsidRPr="00CD6C63" w:rsidRDefault="00964B88" w:rsidP="00F538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CD6C63">
              <w:rPr>
                <w:rFonts w:ascii="Calibri" w:hAnsi="Calibri" w:cs="Calibri"/>
                <w:color w:val="000000"/>
                <w:szCs w:val="17"/>
              </w:rPr>
              <w:t>$ billion</w:t>
            </w:r>
          </w:p>
        </w:tc>
        <w:tc>
          <w:tcPr>
            <w:tcW w:w="850" w:type="dxa"/>
            <w:tcBorders>
              <w:top w:val="nil"/>
              <w:left w:val="nil"/>
              <w:bottom w:val="nil"/>
              <w:right w:val="nil"/>
            </w:tcBorders>
          </w:tcPr>
          <w:p w14:paraId="355065C7"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15.8 </w:t>
            </w:r>
          </w:p>
        </w:tc>
        <w:tc>
          <w:tcPr>
            <w:tcW w:w="850" w:type="dxa"/>
            <w:tcBorders>
              <w:top w:val="nil"/>
              <w:left w:val="nil"/>
              <w:bottom w:val="nil"/>
              <w:right w:val="nil"/>
            </w:tcBorders>
          </w:tcPr>
          <w:p w14:paraId="685D429B"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15.1 </w:t>
            </w:r>
          </w:p>
        </w:tc>
        <w:tc>
          <w:tcPr>
            <w:tcW w:w="850" w:type="dxa"/>
            <w:tcBorders>
              <w:top w:val="nil"/>
              <w:left w:val="nil"/>
              <w:bottom w:val="nil"/>
              <w:right w:val="nil"/>
            </w:tcBorders>
          </w:tcPr>
          <w:p w14:paraId="5CD120CE"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12.4 </w:t>
            </w:r>
          </w:p>
        </w:tc>
        <w:tc>
          <w:tcPr>
            <w:tcW w:w="850" w:type="dxa"/>
            <w:tcBorders>
              <w:top w:val="nil"/>
              <w:left w:val="nil"/>
              <w:bottom w:val="nil"/>
              <w:right w:val="nil"/>
            </w:tcBorders>
          </w:tcPr>
          <w:p w14:paraId="5DE45946"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12.3 </w:t>
            </w:r>
          </w:p>
        </w:tc>
      </w:tr>
      <w:tr w:rsidR="00964B88" w:rsidRPr="00CD6C63" w14:paraId="31423B90"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14:paraId="1FDC34D5" w14:textId="77777777" w:rsidR="00964B88" w:rsidRPr="00CD6C63" w:rsidRDefault="00964B88" w:rsidP="00F53820">
            <w:pPr>
              <w:rPr>
                <w:rFonts w:ascii="Calibri" w:hAnsi="Calibri" w:cs="Calibri"/>
                <w:color w:val="000000"/>
                <w:szCs w:val="17"/>
              </w:rPr>
            </w:pPr>
            <w:r w:rsidRPr="00CD6C63">
              <w:rPr>
                <w:rFonts w:ascii="Calibri" w:hAnsi="Calibri" w:cs="Calibri"/>
                <w:color w:val="000000"/>
                <w:szCs w:val="17"/>
              </w:rPr>
              <w:t>Net debt</w:t>
            </w:r>
          </w:p>
        </w:tc>
        <w:tc>
          <w:tcPr>
            <w:tcW w:w="850" w:type="dxa"/>
            <w:tcBorders>
              <w:top w:val="nil"/>
              <w:left w:val="nil"/>
              <w:bottom w:val="nil"/>
              <w:right w:val="nil"/>
            </w:tcBorders>
          </w:tcPr>
          <w:p w14:paraId="5DE3A09A" w14:textId="77777777" w:rsidR="00964B88" w:rsidRPr="00CD6C63" w:rsidRDefault="00964B88" w:rsidP="00F538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CD6C63">
              <w:rPr>
                <w:rFonts w:ascii="Calibri" w:hAnsi="Calibri" w:cs="Calibri"/>
                <w:color w:val="000000"/>
                <w:szCs w:val="17"/>
              </w:rPr>
              <w:t>$ billion</w:t>
            </w:r>
          </w:p>
        </w:tc>
        <w:tc>
          <w:tcPr>
            <w:tcW w:w="850" w:type="dxa"/>
            <w:tcBorders>
              <w:top w:val="nil"/>
              <w:left w:val="nil"/>
              <w:bottom w:val="nil"/>
              <w:right w:val="nil"/>
            </w:tcBorders>
          </w:tcPr>
          <w:p w14:paraId="009509E4"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40.3 </w:t>
            </w:r>
          </w:p>
        </w:tc>
        <w:tc>
          <w:tcPr>
            <w:tcW w:w="850" w:type="dxa"/>
            <w:tcBorders>
              <w:top w:val="nil"/>
              <w:left w:val="nil"/>
              <w:bottom w:val="nil"/>
              <w:right w:val="nil"/>
            </w:tcBorders>
          </w:tcPr>
          <w:p w14:paraId="70A9306A"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49.3 </w:t>
            </w:r>
          </w:p>
        </w:tc>
        <w:tc>
          <w:tcPr>
            <w:tcW w:w="850" w:type="dxa"/>
            <w:tcBorders>
              <w:top w:val="nil"/>
              <w:left w:val="nil"/>
              <w:bottom w:val="nil"/>
              <w:right w:val="nil"/>
            </w:tcBorders>
          </w:tcPr>
          <w:p w14:paraId="25B34261"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53.9 </w:t>
            </w:r>
          </w:p>
        </w:tc>
        <w:tc>
          <w:tcPr>
            <w:tcW w:w="850" w:type="dxa"/>
            <w:tcBorders>
              <w:top w:val="nil"/>
              <w:left w:val="nil"/>
              <w:bottom w:val="nil"/>
              <w:right w:val="nil"/>
            </w:tcBorders>
          </w:tcPr>
          <w:p w14:paraId="69064998"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57.8 </w:t>
            </w:r>
          </w:p>
        </w:tc>
      </w:tr>
      <w:tr w:rsidR="00964B88" w:rsidRPr="00CD6C63" w14:paraId="632ECA91"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single" w:sz="12" w:space="0" w:color="auto"/>
              <w:right w:val="nil"/>
            </w:tcBorders>
          </w:tcPr>
          <w:p w14:paraId="54F3DA01" w14:textId="77777777" w:rsidR="00964B88" w:rsidRPr="00CD6C63" w:rsidRDefault="00964B88" w:rsidP="00F53820">
            <w:pPr>
              <w:rPr>
                <w:rFonts w:ascii="Calibri" w:hAnsi="Calibri" w:cs="Calibri"/>
                <w:color w:val="000000"/>
                <w:szCs w:val="17"/>
              </w:rPr>
            </w:pPr>
            <w:r w:rsidRPr="00CD6C63">
              <w:rPr>
                <w:rFonts w:ascii="Calibri" w:hAnsi="Calibri" w:cs="Calibri"/>
                <w:color w:val="000000"/>
                <w:szCs w:val="17"/>
              </w:rPr>
              <w:t xml:space="preserve">Net debt to GSP </w:t>
            </w:r>
            <w:r w:rsidRPr="00CD6C63">
              <w:rPr>
                <w:rFonts w:ascii="Calibri" w:hAnsi="Calibri" w:cs="Calibri"/>
                <w:color w:val="000000"/>
                <w:szCs w:val="17"/>
                <w:vertAlign w:val="superscript"/>
              </w:rPr>
              <w:t>(</w:t>
            </w:r>
            <w:r>
              <w:rPr>
                <w:rFonts w:ascii="Calibri" w:hAnsi="Calibri" w:cs="Calibri"/>
                <w:color w:val="000000"/>
                <w:szCs w:val="17"/>
                <w:vertAlign w:val="superscript"/>
              </w:rPr>
              <w:t>c</w:t>
            </w:r>
            <w:r w:rsidRPr="00CD6C63">
              <w:rPr>
                <w:rFonts w:ascii="Calibri" w:hAnsi="Calibri" w:cs="Calibri"/>
                <w:color w:val="000000"/>
                <w:szCs w:val="17"/>
                <w:vertAlign w:val="superscript"/>
              </w:rPr>
              <w:t>)</w:t>
            </w:r>
          </w:p>
        </w:tc>
        <w:tc>
          <w:tcPr>
            <w:tcW w:w="850" w:type="dxa"/>
            <w:tcBorders>
              <w:top w:val="nil"/>
              <w:left w:val="nil"/>
              <w:bottom w:val="single" w:sz="12" w:space="0" w:color="auto"/>
              <w:right w:val="nil"/>
            </w:tcBorders>
          </w:tcPr>
          <w:p w14:paraId="29FF3846" w14:textId="77777777" w:rsidR="00964B88" w:rsidRPr="00CD6C63" w:rsidRDefault="00964B88" w:rsidP="00F538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CD6C63">
              <w:rPr>
                <w:rFonts w:ascii="Calibri" w:hAnsi="Calibri" w:cs="Calibri"/>
                <w:color w:val="000000"/>
                <w:szCs w:val="17"/>
              </w:rPr>
              <w:t>per cent</w:t>
            </w:r>
          </w:p>
        </w:tc>
        <w:tc>
          <w:tcPr>
            <w:tcW w:w="850" w:type="dxa"/>
            <w:tcBorders>
              <w:top w:val="nil"/>
              <w:left w:val="nil"/>
              <w:bottom w:val="single" w:sz="12" w:space="0" w:color="auto"/>
              <w:right w:val="nil"/>
            </w:tcBorders>
          </w:tcPr>
          <w:p w14:paraId="3F1E9C16"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8.5 </w:t>
            </w:r>
          </w:p>
        </w:tc>
        <w:tc>
          <w:tcPr>
            <w:tcW w:w="850" w:type="dxa"/>
            <w:tcBorders>
              <w:top w:val="nil"/>
              <w:left w:val="nil"/>
              <w:bottom w:val="single" w:sz="12" w:space="0" w:color="auto"/>
              <w:right w:val="nil"/>
            </w:tcBorders>
          </w:tcPr>
          <w:p w14:paraId="1456DCD9"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9.9 </w:t>
            </w:r>
          </w:p>
        </w:tc>
        <w:tc>
          <w:tcPr>
            <w:tcW w:w="850" w:type="dxa"/>
            <w:tcBorders>
              <w:top w:val="nil"/>
              <w:left w:val="nil"/>
              <w:bottom w:val="single" w:sz="12" w:space="0" w:color="auto"/>
              <w:right w:val="nil"/>
            </w:tcBorders>
          </w:tcPr>
          <w:p w14:paraId="6363370A" w14:textId="77777777" w:rsidR="00964B88" w:rsidRPr="00F0379E"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10.3 </w:t>
            </w:r>
          </w:p>
        </w:tc>
        <w:tc>
          <w:tcPr>
            <w:tcW w:w="850" w:type="dxa"/>
            <w:tcBorders>
              <w:top w:val="nil"/>
              <w:left w:val="nil"/>
              <w:bottom w:val="single" w:sz="12" w:space="0" w:color="auto"/>
              <w:right w:val="nil"/>
            </w:tcBorders>
          </w:tcPr>
          <w:p w14:paraId="70435C09" w14:textId="77777777" w:rsidR="00964B88" w:rsidRDefault="00964B88" w:rsidP="00F53820">
            <w:pPr>
              <w:cnfStyle w:val="000000000000" w:firstRow="0" w:lastRow="0" w:firstColumn="0" w:lastColumn="0" w:oddVBand="0" w:evenVBand="0" w:oddHBand="0" w:evenHBand="0" w:firstRowFirstColumn="0" w:firstRowLastColumn="0" w:lastRowFirstColumn="0" w:lastRowLastColumn="0"/>
            </w:pPr>
            <w:r w:rsidRPr="00F0379E">
              <w:t xml:space="preserve">10.5 </w:t>
            </w:r>
          </w:p>
        </w:tc>
      </w:tr>
    </w:tbl>
    <w:p w14:paraId="151DFBEA" w14:textId="77777777" w:rsidR="00964B88" w:rsidRDefault="00964B88" w:rsidP="00F53820">
      <w:pPr>
        <w:pStyle w:val="Note"/>
      </w:pPr>
      <w:r w:rsidRPr="00C203E5">
        <w:t>Notes:</w:t>
      </w:r>
    </w:p>
    <w:p w14:paraId="3A55EE50" w14:textId="77777777" w:rsidR="00964B88" w:rsidRPr="00AE61AE" w:rsidRDefault="00964B88" w:rsidP="00F53820">
      <w:pPr>
        <w:pStyle w:val="Note"/>
        <w:rPr>
          <w:i w:val="0"/>
          <w:highlight w:val="yellow"/>
        </w:rPr>
      </w:pPr>
      <w:r>
        <w:t>(a)</w:t>
      </w:r>
      <w:r>
        <w:tab/>
      </w:r>
      <w:r w:rsidRPr="00F56DC3">
        <w:t xml:space="preserve">Includes the impact of accounting standards changes that require the classification of most operating leases as debt and the progressive recognition during construction of capital expenditure and related debt associated with financial service concession arrangements, including certain public private partnerships.  </w:t>
      </w:r>
    </w:p>
    <w:p w14:paraId="0DA456A5" w14:textId="77777777" w:rsidR="00964B88" w:rsidRPr="00C203E5" w:rsidRDefault="00964B88" w:rsidP="00F53820">
      <w:pPr>
        <w:pStyle w:val="Note"/>
      </w:pPr>
      <w:r w:rsidRPr="00C203E5">
        <w:t>(</w:t>
      </w:r>
      <w:r>
        <w:t>b</w:t>
      </w:r>
      <w:r w:rsidRPr="00C203E5">
        <w:t>)</w:t>
      </w:r>
      <w:r w:rsidRPr="00C203E5">
        <w:tab/>
        <w:t>Includes general government net infrastructure investment and estimated c</w:t>
      </w:r>
      <w:r>
        <w:t>onstruction costs</w:t>
      </w:r>
      <w:r w:rsidRPr="00C203E5">
        <w:t xml:space="preserve"> for </w:t>
      </w:r>
      <w:r>
        <w:t>public private partnership</w:t>
      </w:r>
      <w:r w:rsidRPr="00C203E5">
        <w:t xml:space="preserve"> projects.</w:t>
      </w:r>
    </w:p>
    <w:p w14:paraId="749CBAC6" w14:textId="77777777" w:rsidR="00964B88" w:rsidRPr="00C203E5" w:rsidRDefault="00964B88" w:rsidP="00F53820">
      <w:pPr>
        <w:pStyle w:val="Note"/>
      </w:pPr>
      <w:r w:rsidRPr="00C203E5">
        <w:t>(</w:t>
      </w:r>
      <w:r>
        <w:t>c</w:t>
      </w:r>
      <w:r w:rsidRPr="00C203E5">
        <w:t>)</w:t>
      </w:r>
      <w:r w:rsidRPr="00C203E5">
        <w:tab/>
        <w:t xml:space="preserve">The ratios to GSP may vary from publications year to year due to revisions to the </w:t>
      </w:r>
      <w:r>
        <w:t xml:space="preserve">Australian Bureau of Statistics </w:t>
      </w:r>
      <w:r w:rsidRPr="00C203E5">
        <w:t>GSP data.</w:t>
      </w:r>
    </w:p>
    <w:p w14:paraId="3BB63F08" w14:textId="77777777" w:rsidR="005B45CC" w:rsidRDefault="005B45CC" w:rsidP="00F53820"/>
    <w:p w14:paraId="599CEE8C" w14:textId="77777777" w:rsidR="00964B88" w:rsidRPr="00982A68" w:rsidRDefault="00964B88" w:rsidP="00F53820">
      <w:r w:rsidRPr="00982A68">
        <w:t>Government infrastructure investment is projected to average $13.9 billion a year over the budget and forward estimates, nearly triple the average of $4.9 billion a year from 2005</w:t>
      </w:r>
      <w:r w:rsidRPr="00982A68">
        <w:rPr>
          <w:rFonts w:ascii="Times New Roman" w:hAnsi="Times New Roman" w:cs="Times New Roman"/>
        </w:rPr>
        <w:t>‑</w:t>
      </w:r>
      <w:r w:rsidRPr="00982A68">
        <w:t>06 to 2014</w:t>
      </w:r>
      <w:r w:rsidRPr="00982A68">
        <w:rPr>
          <w:rFonts w:ascii="Times New Roman" w:hAnsi="Times New Roman" w:cs="Times New Roman"/>
        </w:rPr>
        <w:t>‑</w:t>
      </w:r>
      <w:r w:rsidRPr="00982A68">
        <w:t>15.</w:t>
      </w:r>
    </w:p>
    <w:p w14:paraId="74784620" w14:textId="77777777" w:rsidR="00964B88" w:rsidRPr="00B47C6D" w:rsidRDefault="00964B88" w:rsidP="00F53820">
      <w:r w:rsidRPr="00C203E5">
        <w:t>Net debt is expected to be $</w:t>
      </w:r>
      <w:r>
        <w:t>57.8 billion</w:t>
      </w:r>
      <w:r w:rsidRPr="00C203E5">
        <w:t xml:space="preserve"> by June 202</w:t>
      </w:r>
      <w:r>
        <w:t>3</w:t>
      </w:r>
      <w:r w:rsidRPr="00C203E5">
        <w:t xml:space="preserve">. As a proportion of GSP, net debt is </w:t>
      </w:r>
      <w:r>
        <w:t>proje</w:t>
      </w:r>
      <w:r w:rsidRPr="00381DB3">
        <w:t>cted to be 8.</w:t>
      </w:r>
      <w:r>
        <w:t>5</w:t>
      </w:r>
      <w:r w:rsidRPr="00381DB3">
        <w:t xml:space="preserve"> per cent at June 2020 and increase to 10.</w:t>
      </w:r>
      <w:r>
        <w:t>5</w:t>
      </w:r>
      <w:r w:rsidRPr="00381DB3">
        <w:t xml:space="preserve"> per cent by June 2023</w:t>
      </w:r>
      <w:r w:rsidRPr="00C203E5">
        <w:t>.</w:t>
      </w:r>
      <w:r>
        <w:t xml:space="preserve"> T</w:t>
      </w:r>
      <w:r w:rsidRPr="00B47C6D">
        <w:t xml:space="preserve">he Government </w:t>
      </w:r>
      <w:r>
        <w:t>has committed to</w:t>
      </w:r>
      <w:r w:rsidRPr="00B47C6D">
        <w:t xml:space="preserve"> prudently increase net debt to fund capital expenditure for major</w:t>
      </w:r>
      <w:r>
        <w:t xml:space="preserve"> </w:t>
      </w:r>
      <w:r w:rsidRPr="00B47C6D">
        <w:t>productivity-enhancing projects</w:t>
      </w:r>
      <w:r>
        <w:t>, including</w:t>
      </w:r>
      <w:r w:rsidRPr="00B47C6D">
        <w:t xml:space="preserve"> North East Link</w:t>
      </w:r>
      <w:r>
        <w:t>,</w:t>
      </w:r>
      <w:r w:rsidRPr="00B47C6D">
        <w:t xml:space="preserve"> Melbourne Airport Rail and the removal of an additional 25 level crossings by 2025.</w:t>
      </w:r>
    </w:p>
    <w:p w14:paraId="45272E97" w14:textId="77777777" w:rsidR="00964B88" w:rsidRDefault="00964B88" w:rsidP="005B45CC">
      <w:r w:rsidRPr="00334FE4">
        <w:lastRenderedPageBreak/>
        <w:t xml:space="preserve">As outlined in the </w:t>
      </w:r>
      <w:r w:rsidRPr="00334FE4">
        <w:rPr>
          <w:i/>
        </w:rPr>
        <w:t>2019-20 Budget</w:t>
      </w:r>
      <w:r w:rsidRPr="00334FE4">
        <w:t xml:space="preserve">, the Government is implementing savings and efficiencies to improve the effectiveness of spending and </w:t>
      </w:r>
      <w:r>
        <w:t>to ensure the Government continues to invest in the highest priority programs and services</w:t>
      </w:r>
      <w:r w:rsidRPr="00334FE4">
        <w:t>.</w:t>
      </w:r>
      <w:r>
        <w:t xml:space="preserve"> </w:t>
      </w:r>
      <w:r w:rsidRPr="00334FE4">
        <w:t>This includes a comprehensive program of expenditure base reviews</w:t>
      </w:r>
      <w:r>
        <w:t>,</w:t>
      </w:r>
      <w:r w:rsidRPr="00334FE4">
        <w:t xml:space="preserve"> which </w:t>
      </w:r>
      <w:r>
        <w:t>is currently</w:t>
      </w:r>
      <w:r w:rsidRPr="00334FE4">
        <w:t xml:space="preserve"> be</w:t>
      </w:r>
      <w:r>
        <w:t>ing</w:t>
      </w:r>
      <w:r w:rsidRPr="00334FE4">
        <w:t xml:space="preserve"> undertaken across all portfolios.</w:t>
      </w:r>
      <w:r>
        <w:t xml:space="preserve"> The Government’s rebalanced wages policy parameters are also being applied. </w:t>
      </w:r>
    </w:p>
    <w:p w14:paraId="0B331F2A" w14:textId="77777777" w:rsidR="00964B88" w:rsidRPr="00D1433F" w:rsidRDefault="00964B88" w:rsidP="00F53820">
      <w:r>
        <w:t xml:space="preserve">Revenue initiatives to diversify State-sourced revenue foreshadowed in the </w:t>
      </w:r>
      <w:r>
        <w:rPr>
          <w:i/>
        </w:rPr>
        <w:t>2019-20 Budget</w:t>
      </w:r>
      <w:r>
        <w:t xml:space="preserve"> are being implemented including increased foreigner property surcharges, expanded luxury motor vehicle duty and removing the exemption for gold from royalties.</w:t>
      </w:r>
    </w:p>
    <w:p w14:paraId="433F4C99" w14:textId="77777777" w:rsidR="00964B88" w:rsidRPr="00F107F7" w:rsidRDefault="00964B88" w:rsidP="00F53820">
      <w:r>
        <w:t>These initiatives will</w:t>
      </w:r>
      <w:r w:rsidRPr="00334FE4">
        <w:t xml:space="preserve"> support a return to stro</w:t>
      </w:r>
      <w:r>
        <w:t>nger</w:t>
      </w:r>
      <w:r w:rsidRPr="00334FE4">
        <w:t xml:space="preserve"> surpluses by the end of the forward estimates and facilitate reinvesting in key Government priorities in the </w:t>
      </w:r>
      <w:r w:rsidRPr="00E2588E">
        <w:t xml:space="preserve">2020-21 </w:t>
      </w:r>
      <w:r>
        <w:t>b</w:t>
      </w:r>
      <w:r w:rsidRPr="00E2588E">
        <w:t>udget</w:t>
      </w:r>
      <w:r>
        <w:t xml:space="preserve"> and over the coming years</w:t>
      </w:r>
      <w:r w:rsidRPr="00334FE4">
        <w:t>.</w:t>
      </w:r>
    </w:p>
    <w:p w14:paraId="6E6A6837" w14:textId="77777777" w:rsidR="00964B88" w:rsidRPr="00C203E5" w:rsidRDefault="00964B88" w:rsidP="00F53820">
      <w:pPr>
        <w:pStyle w:val="Heading10"/>
        <w:rPr>
          <w:rFonts w:eastAsiaTheme="minorHAnsi"/>
        </w:rPr>
      </w:pPr>
      <w:bookmarkStart w:id="20" w:name="_Toc449123067"/>
      <w:bookmarkStart w:id="21" w:name="_Toc481160573"/>
      <w:bookmarkStart w:id="22" w:name="_Toc481246481"/>
      <w:bookmarkStart w:id="23" w:name="_Toc512629767"/>
      <w:bookmarkStart w:id="24" w:name="_Toc26788535"/>
      <w:r w:rsidRPr="00C203E5">
        <w:rPr>
          <w:rFonts w:eastAsiaTheme="minorHAnsi"/>
        </w:rPr>
        <w:t>Budget and forward estimates outlook</w:t>
      </w:r>
      <w:bookmarkEnd w:id="20"/>
      <w:bookmarkEnd w:id="21"/>
      <w:bookmarkEnd w:id="22"/>
      <w:bookmarkEnd w:id="23"/>
      <w:bookmarkEnd w:id="24"/>
    </w:p>
    <w:p w14:paraId="032CEFA2" w14:textId="77777777" w:rsidR="00964B88" w:rsidRPr="00C203E5" w:rsidRDefault="00964B88" w:rsidP="00F53820">
      <w:pPr>
        <w:keepNext/>
      </w:pPr>
      <w:r w:rsidRPr="00C203E5">
        <w:t xml:space="preserve">Table </w:t>
      </w:r>
      <w:r>
        <w:t>3.2</w:t>
      </w:r>
      <w:r w:rsidRPr="00C203E5">
        <w:t xml:space="preserve"> summarises the operating statement for the general government sector. A comprehensive operating statement is presented in </w:t>
      </w:r>
      <w:r w:rsidRPr="004011BF">
        <w:t xml:space="preserve">Chapter </w:t>
      </w:r>
      <w:r>
        <w:t>4</w:t>
      </w:r>
      <w:r w:rsidRPr="004011BF">
        <w:t xml:space="preserve"> </w:t>
      </w:r>
      <w:r w:rsidRPr="004011BF">
        <w:rPr>
          <w:i/>
        </w:rPr>
        <w:t>Estimated financial statements and notes</w:t>
      </w:r>
      <w:r w:rsidRPr="004011BF">
        <w:t>.</w:t>
      </w:r>
    </w:p>
    <w:p w14:paraId="6DF1D1D2" w14:textId="77777777" w:rsidR="00964B88" w:rsidRPr="00F83B37" w:rsidRDefault="00964B88" w:rsidP="00F53820">
      <w:pPr>
        <w:pStyle w:val="TableHeading"/>
        <w:rPr>
          <w:bCs/>
          <w:lang w:val="en-US"/>
        </w:rPr>
      </w:pPr>
      <w:r w:rsidRPr="00F83B37">
        <w:t xml:space="preserve">Table 3.2: </w:t>
      </w:r>
      <w:r w:rsidRPr="00F83B37">
        <w:tab/>
        <w:t xml:space="preserve">Summary operating statement for the general government sector </w:t>
      </w:r>
      <w:r w:rsidRPr="00F83B37">
        <w:rPr>
          <w:vertAlign w:val="superscript"/>
        </w:rPr>
        <w:t>(a)</w:t>
      </w:r>
      <w:r w:rsidRPr="00F83B37">
        <w:rPr>
          <w:vertAlign w:val="superscript"/>
        </w:rPr>
        <w:tab/>
      </w:r>
      <w:r w:rsidRPr="00F83B37">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4367"/>
        <w:gridCol w:w="850"/>
        <w:gridCol w:w="850"/>
        <w:gridCol w:w="850"/>
        <w:gridCol w:w="850"/>
      </w:tblGrid>
      <w:tr w:rsidR="005B45CC" w:rsidRPr="005B45CC" w14:paraId="5194CC92" w14:textId="77777777" w:rsidTr="005B45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FFFFFF"/>
          </w:tcPr>
          <w:p w14:paraId="710B596D" w14:textId="77777777" w:rsidR="005B45CC" w:rsidRPr="005B45CC" w:rsidRDefault="005B45CC" w:rsidP="005B45CC">
            <w:pPr>
              <w:autoSpaceDE w:val="0"/>
              <w:autoSpaceDN w:val="0"/>
              <w:adjustRightInd w:val="0"/>
              <w:rPr>
                <w:rFonts w:cstheme="majorHAnsi"/>
              </w:rPr>
            </w:pPr>
            <w:r w:rsidRPr="005B45CC">
              <w:rPr>
                <w:rFonts w:cstheme="majorHAnsi"/>
              </w:rPr>
              <w:t xml:space="preserve">  </w:t>
            </w:r>
          </w:p>
        </w:tc>
        <w:tc>
          <w:tcPr>
            <w:tcW w:w="850" w:type="dxa"/>
            <w:tcBorders>
              <w:top w:val="nil"/>
              <w:left w:val="nil"/>
              <w:right w:val="nil"/>
            </w:tcBorders>
            <w:shd w:val="solid" w:color="000000" w:fill="FFFFFF"/>
          </w:tcPr>
          <w:p w14:paraId="5B72B058"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rPr>
            </w:pPr>
            <w:r w:rsidRPr="005B45CC">
              <w:rPr>
                <w:rFonts w:cstheme="majorHAnsi"/>
              </w:rPr>
              <w:t>2019-20</w:t>
            </w:r>
            <w:r w:rsidRPr="005B45CC">
              <w:rPr>
                <w:rFonts w:cstheme="majorHAnsi"/>
              </w:rPr>
              <w:br/>
              <w:t>revised</w:t>
            </w:r>
          </w:p>
        </w:tc>
        <w:tc>
          <w:tcPr>
            <w:tcW w:w="850" w:type="dxa"/>
            <w:tcBorders>
              <w:top w:val="nil"/>
              <w:left w:val="nil"/>
              <w:right w:val="nil"/>
            </w:tcBorders>
            <w:shd w:val="solid" w:color="000000" w:fill="FFFFFF"/>
          </w:tcPr>
          <w:p w14:paraId="59E402A6"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rPr>
            </w:pPr>
            <w:r w:rsidRPr="005B45CC">
              <w:rPr>
                <w:rFonts w:cstheme="majorHAnsi"/>
              </w:rPr>
              <w:t>2020-21</w:t>
            </w:r>
            <w:r w:rsidRPr="005B45CC">
              <w:rPr>
                <w:rFonts w:cstheme="majorHAnsi"/>
              </w:rPr>
              <w:br/>
              <w:t>estimate</w:t>
            </w:r>
          </w:p>
        </w:tc>
        <w:tc>
          <w:tcPr>
            <w:tcW w:w="850" w:type="dxa"/>
            <w:tcBorders>
              <w:top w:val="nil"/>
              <w:left w:val="nil"/>
              <w:right w:val="nil"/>
            </w:tcBorders>
            <w:shd w:val="solid" w:color="000000" w:fill="FFFFFF"/>
          </w:tcPr>
          <w:p w14:paraId="1B467C9D"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rPr>
            </w:pPr>
            <w:r w:rsidRPr="005B45CC">
              <w:rPr>
                <w:rFonts w:cstheme="majorHAnsi"/>
              </w:rPr>
              <w:t>2021-22</w:t>
            </w:r>
            <w:r w:rsidRPr="005B45CC">
              <w:rPr>
                <w:rFonts w:cstheme="majorHAnsi"/>
              </w:rPr>
              <w:br/>
              <w:t>estimate</w:t>
            </w:r>
          </w:p>
        </w:tc>
        <w:tc>
          <w:tcPr>
            <w:tcW w:w="850" w:type="dxa"/>
            <w:tcBorders>
              <w:top w:val="nil"/>
              <w:left w:val="nil"/>
              <w:right w:val="nil"/>
            </w:tcBorders>
            <w:shd w:val="solid" w:color="000000" w:fill="FFFFFF"/>
          </w:tcPr>
          <w:p w14:paraId="7A27527F"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rPr>
            </w:pPr>
            <w:r w:rsidRPr="005B45CC">
              <w:rPr>
                <w:rFonts w:cstheme="majorHAnsi"/>
              </w:rPr>
              <w:t>2022-23</w:t>
            </w:r>
            <w:r w:rsidRPr="005B45CC">
              <w:rPr>
                <w:rFonts w:cstheme="majorHAnsi"/>
              </w:rPr>
              <w:br/>
              <w:t>estimate</w:t>
            </w:r>
          </w:p>
        </w:tc>
      </w:tr>
      <w:tr w:rsidR="00964B88" w:rsidRPr="005B45CC" w14:paraId="350413AA"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5478CF62" w14:textId="77777777" w:rsidR="00964B88" w:rsidRPr="005B45CC" w:rsidRDefault="00964B88" w:rsidP="005B45CC">
            <w:pPr>
              <w:keepLines w:val="0"/>
              <w:autoSpaceDE w:val="0"/>
              <w:autoSpaceDN w:val="0"/>
              <w:adjustRightInd w:val="0"/>
              <w:rPr>
                <w:rFonts w:eastAsiaTheme="minorEastAsia" w:cstheme="majorHAnsi"/>
                <w:b/>
                <w:bCs/>
                <w:color w:val="000000"/>
                <w:szCs w:val="18"/>
                <w:lang w:eastAsia="en-AU"/>
              </w:rPr>
            </w:pPr>
            <w:r w:rsidRPr="005B45CC">
              <w:rPr>
                <w:rFonts w:eastAsiaTheme="minorEastAsia" w:cstheme="majorHAnsi"/>
                <w:b/>
                <w:bCs/>
                <w:color w:val="000000"/>
                <w:szCs w:val="18"/>
                <w:lang w:eastAsia="en-AU"/>
              </w:rPr>
              <w:t>Revenue</w:t>
            </w:r>
          </w:p>
        </w:tc>
        <w:tc>
          <w:tcPr>
            <w:tcW w:w="850" w:type="dxa"/>
            <w:tcBorders>
              <w:top w:val="nil"/>
              <w:left w:val="nil"/>
              <w:bottom w:val="nil"/>
              <w:right w:val="nil"/>
            </w:tcBorders>
          </w:tcPr>
          <w:p w14:paraId="39B8D45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 xml:space="preserve"> </w:t>
            </w:r>
          </w:p>
        </w:tc>
        <w:tc>
          <w:tcPr>
            <w:tcW w:w="850" w:type="dxa"/>
            <w:tcBorders>
              <w:top w:val="nil"/>
              <w:left w:val="nil"/>
              <w:bottom w:val="nil"/>
              <w:right w:val="nil"/>
            </w:tcBorders>
          </w:tcPr>
          <w:p w14:paraId="02B70379"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 xml:space="preserve"> </w:t>
            </w:r>
          </w:p>
        </w:tc>
        <w:tc>
          <w:tcPr>
            <w:tcW w:w="850" w:type="dxa"/>
            <w:tcBorders>
              <w:top w:val="nil"/>
              <w:left w:val="nil"/>
              <w:bottom w:val="nil"/>
              <w:right w:val="nil"/>
            </w:tcBorders>
          </w:tcPr>
          <w:p w14:paraId="420CE1B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 xml:space="preserve"> </w:t>
            </w:r>
          </w:p>
        </w:tc>
        <w:tc>
          <w:tcPr>
            <w:tcW w:w="850" w:type="dxa"/>
            <w:tcBorders>
              <w:top w:val="nil"/>
              <w:left w:val="nil"/>
              <w:bottom w:val="nil"/>
              <w:right w:val="nil"/>
            </w:tcBorders>
          </w:tcPr>
          <w:p w14:paraId="033C227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 xml:space="preserve"> </w:t>
            </w:r>
          </w:p>
        </w:tc>
      </w:tr>
      <w:tr w:rsidR="00964B88" w:rsidRPr="005B45CC" w14:paraId="68FF8123"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78733D12" w14:textId="77777777" w:rsidR="00964B88" w:rsidRPr="005B45CC" w:rsidRDefault="00964B88" w:rsidP="005B45CC">
            <w:pPr>
              <w:keepLines w:val="0"/>
              <w:autoSpaceDE w:val="0"/>
              <w:autoSpaceDN w:val="0"/>
              <w:adjustRightInd w:val="0"/>
              <w:rPr>
                <w:rFonts w:eastAsiaTheme="minorEastAsia" w:cstheme="majorHAnsi"/>
                <w:color w:val="000000"/>
                <w:szCs w:val="18"/>
                <w:lang w:eastAsia="en-AU"/>
              </w:rPr>
            </w:pPr>
            <w:r w:rsidRPr="005B45CC">
              <w:rPr>
                <w:rFonts w:eastAsiaTheme="minorEastAsia" w:cstheme="majorHAnsi"/>
                <w:color w:val="000000"/>
                <w:szCs w:val="18"/>
                <w:lang w:eastAsia="en-AU"/>
              </w:rPr>
              <w:t>Taxation</w:t>
            </w:r>
          </w:p>
        </w:tc>
        <w:tc>
          <w:tcPr>
            <w:tcW w:w="850" w:type="dxa"/>
            <w:tcBorders>
              <w:top w:val="nil"/>
              <w:left w:val="nil"/>
              <w:bottom w:val="nil"/>
              <w:right w:val="nil"/>
            </w:tcBorders>
          </w:tcPr>
          <w:p w14:paraId="77FAC3FC"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24 382</w:t>
            </w:r>
          </w:p>
        </w:tc>
        <w:tc>
          <w:tcPr>
            <w:tcW w:w="850" w:type="dxa"/>
            <w:tcBorders>
              <w:top w:val="nil"/>
              <w:left w:val="nil"/>
              <w:bottom w:val="nil"/>
              <w:right w:val="nil"/>
            </w:tcBorders>
          </w:tcPr>
          <w:p w14:paraId="6A3DA2D7"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25 427</w:t>
            </w:r>
          </w:p>
        </w:tc>
        <w:tc>
          <w:tcPr>
            <w:tcW w:w="850" w:type="dxa"/>
            <w:tcBorders>
              <w:top w:val="nil"/>
              <w:left w:val="nil"/>
              <w:bottom w:val="nil"/>
              <w:right w:val="nil"/>
            </w:tcBorders>
          </w:tcPr>
          <w:p w14:paraId="599CFB87"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26 791</w:t>
            </w:r>
          </w:p>
        </w:tc>
        <w:tc>
          <w:tcPr>
            <w:tcW w:w="850" w:type="dxa"/>
            <w:tcBorders>
              <w:top w:val="nil"/>
              <w:left w:val="nil"/>
              <w:bottom w:val="nil"/>
              <w:right w:val="nil"/>
            </w:tcBorders>
          </w:tcPr>
          <w:p w14:paraId="766A59A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28 356</w:t>
            </w:r>
          </w:p>
        </w:tc>
      </w:tr>
      <w:tr w:rsidR="00964B88" w:rsidRPr="005B45CC" w14:paraId="0818BA5E"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2D0A1194" w14:textId="77777777" w:rsidR="00964B88" w:rsidRPr="005B45CC" w:rsidRDefault="00964B88" w:rsidP="005B45CC">
            <w:pPr>
              <w:keepLines w:val="0"/>
              <w:autoSpaceDE w:val="0"/>
              <w:autoSpaceDN w:val="0"/>
              <w:adjustRightInd w:val="0"/>
              <w:rPr>
                <w:rFonts w:eastAsiaTheme="minorEastAsia" w:cstheme="majorHAnsi"/>
                <w:color w:val="000000"/>
                <w:szCs w:val="18"/>
                <w:lang w:eastAsia="en-AU"/>
              </w:rPr>
            </w:pPr>
            <w:r w:rsidRPr="005B45CC">
              <w:rPr>
                <w:rFonts w:eastAsiaTheme="minorEastAsia" w:cstheme="majorHAnsi"/>
                <w:color w:val="000000"/>
                <w:szCs w:val="18"/>
                <w:lang w:eastAsia="en-AU"/>
              </w:rPr>
              <w:t xml:space="preserve">Dividends, TER and interest </w:t>
            </w:r>
            <w:r w:rsidR="005B45CC" w:rsidRPr="005B45CC">
              <w:rPr>
                <w:rFonts w:eastAsiaTheme="minorEastAsia" w:cstheme="majorHAnsi"/>
                <w:color w:val="000000"/>
                <w:szCs w:val="18"/>
                <w:vertAlign w:val="superscript"/>
                <w:lang w:eastAsia="en-AU"/>
              </w:rPr>
              <w:t>(b)</w:t>
            </w:r>
          </w:p>
        </w:tc>
        <w:tc>
          <w:tcPr>
            <w:tcW w:w="850" w:type="dxa"/>
            <w:tcBorders>
              <w:top w:val="nil"/>
              <w:left w:val="nil"/>
              <w:bottom w:val="nil"/>
              <w:right w:val="nil"/>
            </w:tcBorders>
          </w:tcPr>
          <w:p w14:paraId="765129E3"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1 537</w:t>
            </w:r>
          </w:p>
        </w:tc>
        <w:tc>
          <w:tcPr>
            <w:tcW w:w="850" w:type="dxa"/>
            <w:tcBorders>
              <w:top w:val="nil"/>
              <w:left w:val="nil"/>
              <w:bottom w:val="nil"/>
              <w:right w:val="nil"/>
            </w:tcBorders>
          </w:tcPr>
          <w:p w14:paraId="22C0E27A"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1 207</w:t>
            </w:r>
          </w:p>
        </w:tc>
        <w:tc>
          <w:tcPr>
            <w:tcW w:w="850" w:type="dxa"/>
            <w:tcBorders>
              <w:top w:val="nil"/>
              <w:left w:val="nil"/>
              <w:bottom w:val="nil"/>
              <w:right w:val="nil"/>
            </w:tcBorders>
          </w:tcPr>
          <w:p w14:paraId="5CBD234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1 206</w:t>
            </w:r>
          </w:p>
        </w:tc>
        <w:tc>
          <w:tcPr>
            <w:tcW w:w="850" w:type="dxa"/>
            <w:tcBorders>
              <w:top w:val="nil"/>
              <w:left w:val="nil"/>
              <w:bottom w:val="nil"/>
              <w:right w:val="nil"/>
            </w:tcBorders>
          </w:tcPr>
          <w:p w14:paraId="5EFF6D80"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1 240</w:t>
            </w:r>
          </w:p>
        </w:tc>
      </w:tr>
      <w:tr w:rsidR="00964B88" w:rsidRPr="005B45CC" w14:paraId="34972D55"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37B26D15" w14:textId="77777777" w:rsidR="00964B88" w:rsidRPr="005B45CC" w:rsidRDefault="00964B88" w:rsidP="005B45CC">
            <w:pPr>
              <w:keepLines w:val="0"/>
              <w:autoSpaceDE w:val="0"/>
              <w:autoSpaceDN w:val="0"/>
              <w:adjustRightInd w:val="0"/>
              <w:rPr>
                <w:rFonts w:eastAsiaTheme="minorEastAsia" w:cstheme="majorHAnsi"/>
                <w:color w:val="000000"/>
                <w:szCs w:val="18"/>
                <w:lang w:eastAsia="en-AU"/>
              </w:rPr>
            </w:pPr>
            <w:r w:rsidRPr="005B45CC">
              <w:rPr>
                <w:rFonts w:eastAsiaTheme="minorEastAsia" w:cstheme="majorHAnsi"/>
                <w:color w:val="000000"/>
                <w:szCs w:val="18"/>
                <w:lang w:eastAsia="en-AU"/>
              </w:rPr>
              <w:t>Sales of goods and services</w:t>
            </w:r>
          </w:p>
        </w:tc>
        <w:tc>
          <w:tcPr>
            <w:tcW w:w="850" w:type="dxa"/>
            <w:tcBorders>
              <w:top w:val="nil"/>
              <w:left w:val="nil"/>
              <w:bottom w:val="nil"/>
              <w:right w:val="nil"/>
            </w:tcBorders>
          </w:tcPr>
          <w:p w14:paraId="530F9CAA"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8 118</w:t>
            </w:r>
          </w:p>
        </w:tc>
        <w:tc>
          <w:tcPr>
            <w:tcW w:w="850" w:type="dxa"/>
            <w:tcBorders>
              <w:top w:val="nil"/>
              <w:left w:val="nil"/>
              <w:bottom w:val="nil"/>
              <w:right w:val="nil"/>
            </w:tcBorders>
          </w:tcPr>
          <w:p w14:paraId="18F9FE07"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8 791</w:t>
            </w:r>
          </w:p>
        </w:tc>
        <w:tc>
          <w:tcPr>
            <w:tcW w:w="850" w:type="dxa"/>
            <w:tcBorders>
              <w:top w:val="nil"/>
              <w:left w:val="nil"/>
              <w:bottom w:val="nil"/>
              <w:right w:val="nil"/>
            </w:tcBorders>
          </w:tcPr>
          <w:p w14:paraId="499304F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9 086</w:t>
            </w:r>
          </w:p>
        </w:tc>
        <w:tc>
          <w:tcPr>
            <w:tcW w:w="850" w:type="dxa"/>
            <w:tcBorders>
              <w:top w:val="nil"/>
              <w:left w:val="nil"/>
              <w:bottom w:val="nil"/>
              <w:right w:val="nil"/>
            </w:tcBorders>
          </w:tcPr>
          <w:p w14:paraId="2832814D"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9 243</w:t>
            </w:r>
          </w:p>
        </w:tc>
      </w:tr>
      <w:tr w:rsidR="00964B88" w:rsidRPr="005B45CC" w14:paraId="1E3E3467"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26B2DEDC" w14:textId="77777777" w:rsidR="00964B88" w:rsidRPr="005B45CC" w:rsidRDefault="00964B88" w:rsidP="005B45CC">
            <w:pPr>
              <w:keepLines w:val="0"/>
              <w:autoSpaceDE w:val="0"/>
              <w:autoSpaceDN w:val="0"/>
              <w:adjustRightInd w:val="0"/>
              <w:rPr>
                <w:rFonts w:eastAsiaTheme="minorEastAsia" w:cstheme="majorHAnsi"/>
                <w:color w:val="000000"/>
                <w:szCs w:val="18"/>
                <w:lang w:eastAsia="en-AU"/>
              </w:rPr>
            </w:pPr>
            <w:r w:rsidRPr="005B45CC">
              <w:rPr>
                <w:rFonts w:eastAsiaTheme="minorEastAsia" w:cstheme="majorHAnsi"/>
                <w:color w:val="000000"/>
                <w:szCs w:val="18"/>
                <w:lang w:eastAsia="en-AU"/>
              </w:rPr>
              <w:t>Grant revenue</w:t>
            </w:r>
          </w:p>
        </w:tc>
        <w:tc>
          <w:tcPr>
            <w:tcW w:w="850" w:type="dxa"/>
            <w:tcBorders>
              <w:top w:val="nil"/>
              <w:left w:val="nil"/>
              <w:bottom w:val="nil"/>
              <w:right w:val="nil"/>
            </w:tcBorders>
          </w:tcPr>
          <w:p w14:paraId="371C749D"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33 889</w:t>
            </w:r>
          </w:p>
        </w:tc>
        <w:tc>
          <w:tcPr>
            <w:tcW w:w="850" w:type="dxa"/>
            <w:tcBorders>
              <w:top w:val="nil"/>
              <w:left w:val="nil"/>
              <w:bottom w:val="nil"/>
              <w:right w:val="nil"/>
            </w:tcBorders>
          </w:tcPr>
          <w:p w14:paraId="59B28AF1"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35 922</w:t>
            </w:r>
          </w:p>
        </w:tc>
        <w:tc>
          <w:tcPr>
            <w:tcW w:w="850" w:type="dxa"/>
            <w:tcBorders>
              <w:top w:val="nil"/>
              <w:left w:val="nil"/>
              <w:bottom w:val="nil"/>
              <w:right w:val="nil"/>
            </w:tcBorders>
          </w:tcPr>
          <w:p w14:paraId="31892C93"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37 910</w:t>
            </w:r>
          </w:p>
        </w:tc>
        <w:tc>
          <w:tcPr>
            <w:tcW w:w="850" w:type="dxa"/>
            <w:tcBorders>
              <w:top w:val="nil"/>
              <w:left w:val="nil"/>
              <w:bottom w:val="nil"/>
              <w:right w:val="nil"/>
            </w:tcBorders>
          </w:tcPr>
          <w:p w14:paraId="767FC1E4"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40 345</w:t>
            </w:r>
          </w:p>
        </w:tc>
      </w:tr>
      <w:tr w:rsidR="00964B88" w:rsidRPr="005B45CC" w14:paraId="57C02B77"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14:paraId="536D0E89" w14:textId="77777777" w:rsidR="00964B88" w:rsidRPr="005B45CC" w:rsidRDefault="00964B88" w:rsidP="005B45CC">
            <w:pPr>
              <w:keepLines w:val="0"/>
              <w:autoSpaceDE w:val="0"/>
              <w:autoSpaceDN w:val="0"/>
              <w:adjustRightInd w:val="0"/>
              <w:rPr>
                <w:rFonts w:eastAsiaTheme="minorEastAsia" w:cstheme="majorHAnsi"/>
                <w:color w:val="000000"/>
                <w:szCs w:val="18"/>
                <w:lang w:eastAsia="en-AU"/>
              </w:rPr>
            </w:pPr>
            <w:r w:rsidRPr="005B45CC">
              <w:rPr>
                <w:rFonts w:eastAsiaTheme="minorEastAsia" w:cstheme="majorHAnsi"/>
                <w:color w:val="000000"/>
                <w:szCs w:val="18"/>
                <w:lang w:eastAsia="en-AU"/>
              </w:rPr>
              <w:t>Other current revenue</w:t>
            </w:r>
          </w:p>
        </w:tc>
        <w:tc>
          <w:tcPr>
            <w:tcW w:w="850" w:type="dxa"/>
            <w:tcBorders>
              <w:top w:val="nil"/>
              <w:left w:val="nil"/>
              <w:bottom w:val="single" w:sz="6" w:space="0" w:color="auto"/>
              <w:right w:val="nil"/>
            </w:tcBorders>
          </w:tcPr>
          <w:p w14:paraId="19D383AD"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3 025</w:t>
            </w:r>
          </w:p>
        </w:tc>
        <w:tc>
          <w:tcPr>
            <w:tcW w:w="850" w:type="dxa"/>
            <w:tcBorders>
              <w:top w:val="nil"/>
              <w:left w:val="nil"/>
              <w:bottom w:val="single" w:sz="6" w:space="0" w:color="auto"/>
              <w:right w:val="nil"/>
            </w:tcBorders>
          </w:tcPr>
          <w:p w14:paraId="626F3885"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3 170</w:t>
            </w:r>
          </w:p>
        </w:tc>
        <w:tc>
          <w:tcPr>
            <w:tcW w:w="850" w:type="dxa"/>
            <w:tcBorders>
              <w:top w:val="nil"/>
              <w:left w:val="nil"/>
              <w:bottom w:val="single" w:sz="6" w:space="0" w:color="auto"/>
              <w:right w:val="nil"/>
            </w:tcBorders>
          </w:tcPr>
          <w:p w14:paraId="5FD83AC1"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3 268</w:t>
            </w:r>
          </w:p>
        </w:tc>
        <w:tc>
          <w:tcPr>
            <w:tcW w:w="850" w:type="dxa"/>
            <w:tcBorders>
              <w:top w:val="nil"/>
              <w:left w:val="nil"/>
              <w:bottom w:val="single" w:sz="6" w:space="0" w:color="auto"/>
              <w:right w:val="nil"/>
            </w:tcBorders>
          </w:tcPr>
          <w:p w14:paraId="0552E24C"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3 382</w:t>
            </w:r>
          </w:p>
        </w:tc>
      </w:tr>
      <w:tr w:rsidR="00964B88" w:rsidRPr="005B45CC" w14:paraId="1D44643F"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0250545E" w14:textId="77777777" w:rsidR="00964B88" w:rsidRPr="005B45CC" w:rsidRDefault="00964B88" w:rsidP="005B45CC">
            <w:pPr>
              <w:keepLines w:val="0"/>
              <w:autoSpaceDE w:val="0"/>
              <w:autoSpaceDN w:val="0"/>
              <w:adjustRightInd w:val="0"/>
              <w:rPr>
                <w:rFonts w:eastAsiaTheme="minorEastAsia" w:cstheme="majorHAnsi"/>
                <w:b/>
                <w:bCs/>
                <w:color w:val="000000"/>
                <w:szCs w:val="18"/>
                <w:lang w:eastAsia="en-AU"/>
              </w:rPr>
            </w:pPr>
            <w:r w:rsidRPr="005B45CC">
              <w:rPr>
                <w:rFonts w:eastAsiaTheme="minorEastAsia" w:cstheme="majorHAnsi"/>
                <w:b/>
                <w:bCs/>
                <w:color w:val="000000"/>
                <w:szCs w:val="18"/>
                <w:lang w:eastAsia="en-AU"/>
              </w:rPr>
              <w:t>Total revenue</w:t>
            </w:r>
          </w:p>
        </w:tc>
        <w:tc>
          <w:tcPr>
            <w:tcW w:w="850" w:type="dxa"/>
            <w:tcBorders>
              <w:top w:val="nil"/>
              <w:left w:val="nil"/>
              <w:bottom w:val="nil"/>
              <w:right w:val="nil"/>
            </w:tcBorders>
          </w:tcPr>
          <w:p w14:paraId="5EC14F59"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70 951</w:t>
            </w:r>
          </w:p>
        </w:tc>
        <w:tc>
          <w:tcPr>
            <w:tcW w:w="850" w:type="dxa"/>
            <w:tcBorders>
              <w:top w:val="nil"/>
              <w:left w:val="nil"/>
              <w:bottom w:val="nil"/>
              <w:right w:val="nil"/>
            </w:tcBorders>
          </w:tcPr>
          <w:p w14:paraId="390DE1D3"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74 517</w:t>
            </w:r>
          </w:p>
        </w:tc>
        <w:tc>
          <w:tcPr>
            <w:tcW w:w="850" w:type="dxa"/>
            <w:tcBorders>
              <w:top w:val="nil"/>
              <w:left w:val="nil"/>
              <w:bottom w:val="nil"/>
              <w:right w:val="nil"/>
            </w:tcBorders>
          </w:tcPr>
          <w:p w14:paraId="649D39FC"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78 260</w:t>
            </w:r>
          </w:p>
        </w:tc>
        <w:tc>
          <w:tcPr>
            <w:tcW w:w="850" w:type="dxa"/>
            <w:tcBorders>
              <w:top w:val="nil"/>
              <w:left w:val="nil"/>
              <w:bottom w:val="nil"/>
              <w:right w:val="nil"/>
            </w:tcBorders>
          </w:tcPr>
          <w:p w14:paraId="7EC66CA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82 566</w:t>
            </w:r>
          </w:p>
        </w:tc>
      </w:tr>
      <w:tr w:rsidR="00964B88" w:rsidRPr="005B45CC" w14:paraId="3305D772"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63C6834D" w14:textId="77777777" w:rsidR="00964B88" w:rsidRPr="005B45CC" w:rsidRDefault="00964B88" w:rsidP="005B45CC">
            <w:pPr>
              <w:keepLines w:val="0"/>
              <w:autoSpaceDE w:val="0"/>
              <w:autoSpaceDN w:val="0"/>
              <w:adjustRightInd w:val="0"/>
              <w:rPr>
                <w:rFonts w:eastAsiaTheme="minorEastAsia" w:cstheme="majorHAnsi"/>
                <w:i/>
                <w:iCs/>
                <w:color w:val="000000"/>
                <w:szCs w:val="18"/>
                <w:lang w:eastAsia="en-AU"/>
              </w:rPr>
            </w:pPr>
            <w:r w:rsidRPr="005B45CC">
              <w:rPr>
                <w:rFonts w:eastAsiaTheme="minorEastAsia" w:cstheme="majorHAnsi"/>
                <w:i/>
                <w:iCs/>
                <w:color w:val="000000"/>
                <w:szCs w:val="18"/>
                <w:lang w:eastAsia="en-AU"/>
              </w:rPr>
              <w:t>% change</w:t>
            </w:r>
          </w:p>
        </w:tc>
        <w:tc>
          <w:tcPr>
            <w:tcW w:w="850" w:type="dxa"/>
            <w:tcBorders>
              <w:top w:val="nil"/>
              <w:left w:val="nil"/>
              <w:bottom w:val="nil"/>
              <w:right w:val="nil"/>
            </w:tcBorders>
          </w:tcPr>
          <w:p w14:paraId="51A80693"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i/>
              </w:rPr>
            </w:pPr>
            <w:r>
              <w:rPr>
                <w:rFonts w:cstheme="majorHAnsi"/>
                <w:i/>
              </w:rPr>
              <w:t>1.9</w:t>
            </w:r>
          </w:p>
        </w:tc>
        <w:tc>
          <w:tcPr>
            <w:tcW w:w="850" w:type="dxa"/>
            <w:tcBorders>
              <w:top w:val="nil"/>
              <w:left w:val="nil"/>
              <w:bottom w:val="nil"/>
              <w:right w:val="nil"/>
            </w:tcBorders>
          </w:tcPr>
          <w:p w14:paraId="36111AEE"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i/>
              </w:rPr>
            </w:pPr>
            <w:r>
              <w:rPr>
                <w:rFonts w:cstheme="majorHAnsi"/>
                <w:i/>
              </w:rPr>
              <w:t>5.0</w:t>
            </w:r>
          </w:p>
        </w:tc>
        <w:tc>
          <w:tcPr>
            <w:tcW w:w="850" w:type="dxa"/>
            <w:tcBorders>
              <w:top w:val="nil"/>
              <w:left w:val="nil"/>
              <w:bottom w:val="nil"/>
              <w:right w:val="nil"/>
            </w:tcBorders>
          </w:tcPr>
          <w:p w14:paraId="4942FB05"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i/>
              </w:rPr>
            </w:pPr>
            <w:r>
              <w:rPr>
                <w:rFonts w:cstheme="majorHAnsi"/>
                <w:i/>
              </w:rPr>
              <w:t>5.0</w:t>
            </w:r>
          </w:p>
        </w:tc>
        <w:tc>
          <w:tcPr>
            <w:tcW w:w="850" w:type="dxa"/>
            <w:tcBorders>
              <w:top w:val="nil"/>
              <w:left w:val="nil"/>
              <w:bottom w:val="nil"/>
              <w:right w:val="nil"/>
            </w:tcBorders>
          </w:tcPr>
          <w:p w14:paraId="29A4D180"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i/>
              </w:rPr>
            </w:pPr>
            <w:r>
              <w:rPr>
                <w:rFonts w:cstheme="majorHAnsi"/>
                <w:i/>
              </w:rPr>
              <w:t>5.5</w:t>
            </w:r>
          </w:p>
        </w:tc>
      </w:tr>
      <w:tr w:rsidR="00964B88" w:rsidRPr="005B45CC" w14:paraId="320B2C8C"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0226EFE2" w14:textId="77777777" w:rsidR="00964B88" w:rsidRPr="005B45CC" w:rsidRDefault="00964B88" w:rsidP="005B45CC">
            <w:pPr>
              <w:keepLines w:val="0"/>
              <w:autoSpaceDE w:val="0"/>
              <w:autoSpaceDN w:val="0"/>
              <w:adjustRightInd w:val="0"/>
              <w:rPr>
                <w:rFonts w:eastAsiaTheme="minorEastAsia" w:cstheme="majorHAnsi"/>
                <w:b/>
                <w:bCs/>
                <w:color w:val="000000"/>
                <w:szCs w:val="18"/>
                <w:lang w:eastAsia="en-AU"/>
              </w:rPr>
            </w:pPr>
            <w:r w:rsidRPr="005B45CC">
              <w:rPr>
                <w:rFonts w:eastAsiaTheme="minorEastAsia" w:cstheme="majorHAnsi"/>
                <w:b/>
                <w:bCs/>
                <w:color w:val="000000"/>
                <w:szCs w:val="18"/>
                <w:lang w:eastAsia="en-AU"/>
              </w:rPr>
              <w:t>Expenses</w:t>
            </w:r>
          </w:p>
        </w:tc>
        <w:tc>
          <w:tcPr>
            <w:tcW w:w="850" w:type="dxa"/>
            <w:tcBorders>
              <w:top w:val="nil"/>
              <w:left w:val="nil"/>
              <w:bottom w:val="nil"/>
              <w:right w:val="nil"/>
            </w:tcBorders>
          </w:tcPr>
          <w:p w14:paraId="2ACD5EC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 xml:space="preserve"> </w:t>
            </w:r>
          </w:p>
        </w:tc>
        <w:tc>
          <w:tcPr>
            <w:tcW w:w="850" w:type="dxa"/>
            <w:tcBorders>
              <w:top w:val="nil"/>
              <w:left w:val="nil"/>
              <w:bottom w:val="nil"/>
              <w:right w:val="nil"/>
            </w:tcBorders>
          </w:tcPr>
          <w:p w14:paraId="23BAFD66"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 xml:space="preserve"> </w:t>
            </w:r>
          </w:p>
        </w:tc>
        <w:tc>
          <w:tcPr>
            <w:tcW w:w="850" w:type="dxa"/>
            <w:tcBorders>
              <w:top w:val="nil"/>
              <w:left w:val="nil"/>
              <w:bottom w:val="nil"/>
              <w:right w:val="nil"/>
            </w:tcBorders>
          </w:tcPr>
          <w:p w14:paraId="5798067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 xml:space="preserve"> </w:t>
            </w:r>
          </w:p>
        </w:tc>
        <w:tc>
          <w:tcPr>
            <w:tcW w:w="850" w:type="dxa"/>
            <w:tcBorders>
              <w:top w:val="nil"/>
              <w:left w:val="nil"/>
              <w:bottom w:val="nil"/>
              <w:right w:val="nil"/>
            </w:tcBorders>
          </w:tcPr>
          <w:p w14:paraId="7E3E2B2C"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 xml:space="preserve"> </w:t>
            </w:r>
          </w:p>
        </w:tc>
      </w:tr>
      <w:tr w:rsidR="00964B88" w:rsidRPr="005B45CC" w14:paraId="1A9618E9"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71B8D08C" w14:textId="77777777" w:rsidR="00964B88" w:rsidRPr="005B45CC" w:rsidRDefault="00964B88" w:rsidP="005B45CC">
            <w:pPr>
              <w:keepLines w:val="0"/>
              <w:autoSpaceDE w:val="0"/>
              <w:autoSpaceDN w:val="0"/>
              <w:adjustRightInd w:val="0"/>
              <w:rPr>
                <w:rFonts w:eastAsiaTheme="minorEastAsia" w:cstheme="majorHAnsi"/>
                <w:color w:val="000000"/>
                <w:szCs w:val="18"/>
                <w:lang w:eastAsia="en-AU"/>
              </w:rPr>
            </w:pPr>
            <w:r w:rsidRPr="005B45CC">
              <w:rPr>
                <w:rFonts w:eastAsiaTheme="minorEastAsia" w:cstheme="majorHAnsi"/>
                <w:color w:val="000000"/>
                <w:szCs w:val="18"/>
                <w:lang w:eastAsia="en-AU"/>
              </w:rPr>
              <w:t>Employee expenses</w:t>
            </w:r>
          </w:p>
        </w:tc>
        <w:tc>
          <w:tcPr>
            <w:tcW w:w="850" w:type="dxa"/>
            <w:tcBorders>
              <w:top w:val="nil"/>
              <w:left w:val="nil"/>
              <w:bottom w:val="nil"/>
              <w:right w:val="nil"/>
            </w:tcBorders>
          </w:tcPr>
          <w:p w14:paraId="5A2574F5"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26 089</w:t>
            </w:r>
          </w:p>
        </w:tc>
        <w:tc>
          <w:tcPr>
            <w:tcW w:w="850" w:type="dxa"/>
            <w:tcBorders>
              <w:top w:val="nil"/>
              <w:left w:val="nil"/>
              <w:bottom w:val="nil"/>
              <w:right w:val="nil"/>
            </w:tcBorders>
          </w:tcPr>
          <w:p w14:paraId="6A04BCA2"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27 536</w:t>
            </w:r>
          </w:p>
        </w:tc>
        <w:tc>
          <w:tcPr>
            <w:tcW w:w="850" w:type="dxa"/>
            <w:tcBorders>
              <w:top w:val="nil"/>
              <w:left w:val="nil"/>
              <w:bottom w:val="nil"/>
              <w:right w:val="nil"/>
            </w:tcBorders>
          </w:tcPr>
          <w:p w14:paraId="52C586B1"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28 409</w:t>
            </w:r>
          </w:p>
        </w:tc>
        <w:tc>
          <w:tcPr>
            <w:tcW w:w="850" w:type="dxa"/>
            <w:tcBorders>
              <w:top w:val="nil"/>
              <w:left w:val="nil"/>
              <w:bottom w:val="nil"/>
              <w:right w:val="nil"/>
            </w:tcBorders>
          </w:tcPr>
          <w:p w14:paraId="7ECD071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29 765</w:t>
            </w:r>
          </w:p>
        </w:tc>
      </w:tr>
      <w:tr w:rsidR="00964B88" w:rsidRPr="005B45CC" w14:paraId="4E5DF397"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0B46596C" w14:textId="77777777" w:rsidR="00964B88" w:rsidRPr="005B45CC" w:rsidRDefault="00964B88" w:rsidP="005B45CC">
            <w:pPr>
              <w:keepLines w:val="0"/>
              <w:autoSpaceDE w:val="0"/>
              <w:autoSpaceDN w:val="0"/>
              <w:adjustRightInd w:val="0"/>
              <w:rPr>
                <w:rFonts w:eastAsiaTheme="minorEastAsia" w:cstheme="majorHAnsi"/>
                <w:color w:val="000000"/>
                <w:szCs w:val="18"/>
                <w:lang w:eastAsia="en-AU"/>
              </w:rPr>
            </w:pPr>
            <w:r w:rsidRPr="005B45CC">
              <w:rPr>
                <w:rFonts w:eastAsiaTheme="minorEastAsia" w:cstheme="majorHAnsi"/>
                <w:color w:val="000000"/>
                <w:szCs w:val="18"/>
                <w:lang w:eastAsia="en-AU"/>
              </w:rPr>
              <w:t xml:space="preserve">Superannuation </w:t>
            </w:r>
            <w:r w:rsidR="005B45CC" w:rsidRPr="005B45CC">
              <w:rPr>
                <w:rFonts w:eastAsiaTheme="minorEastAsia" w:cstheme="majorHAnsi"/>
                <w:color w:val="000000"/>
                <w:szCs w:val="18"/>
                <w:vertAlign w:val="superscript"/>
                <w:lang w:eastAsia="en-AU"/>
              </w:rPr>
              <w:t>(c)</w:t>
            </w:r>
          </w:p>
        </w:tc>
        <w:tc>
          <w:tcPr>
            <w:tcW w:w="850" w:type="dxa"/>
            <w:tcBorders>
              <w:top w:val="nil"/>
              <w:left w:val="nil"/>
              <w:bottom w:val="nil"/>
              <w:right w:val="nil"/>
            </w:tcBorders>
          </w:tcPr>
          <w:p w14:paraId="24E12F3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3 373</w:t>
            </w:r>
          </w:p>
        </w:tc>
        <w:tc>
          <w:tcPr>
            <w:tcW w:w="850" w:type="dxa"/>
            <w:tcBorders>
              <w:top w:val="nil"/>
              <w:left w:val="nil"/>
              <w:bottom w:val="nil"/>
              <w:right w:val="nil"/>
            </w:tcBorders>
          </w:tcPr>
          <w:p w14:paraId="6DDE4166"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3 376</w:t>
            </w:r>
          </w:p>
        </w:tc>
        <w:tc>
          <w:tcPr>
            <w:tcW w:w="850" w:type="dxa"/>
            <w:tcBorders>
              <w:top w:val="nil"/>
              <w:left w:val="nil"/>
              <w:bottom w:val="nil"/>
              <w:right w:val="nil"/>
            </w:tcBorders>
          </w:tcPr>
          <w:p w14:paraId="027FEB22"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3 459</w:t>
            </w:r>
          </w:p>
        </w:tc>
        <w:tc>
          <w:tcPr>
            <w:tcW w:w="850" w:type="dxa"/>
            <w:tcBorders>
              <w:top w:val="nil"/>
              <w:left w:val="nil"/>
              <w:bottom w:val="nil"/>
              <w:right w:val="nil"/>
            </w:tcBorders>
          </w:tcPr>
          <w:p w14:paraId="006C1B3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3 538</w:t>
            </w:r>
          </w:p>
        </w:tc>
      </w:tr>
      <w:tr w:rsidR="00964B88" w:rsidRPr="005B45CC" w14:paraId="0A50DED0"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0556BF12" w14:textId="77777777" w:rsidR="00964B88" w:rsidRPr="005B45CC" w:rsidRDefault="00964B88" w:rsidP="005B45CC">
            <w:pPr>
              <w:keepLines w:val="0"/>
              <w:autoSpaceDE w:val="0"/>
              <w:autoSpaceDN w:val="0"/>
              <w:adjustRightInd w:val="0"/>
              <w:rPr>
                <w:rFonts w:eastAsiaTheme="minorEastAsia" w:cstheme="majorHAnsi"/>
                <w:color w:val="000000"/>
                <w:szCs w:val="18"/>
                <w:lang w:eastAsia="en-AU"/>
              </w:rPr>
            </w:pPr>
            <w:r w:rsidRPr="005B45CC">
              <w:rPr>
                <w:rFonts w:eastAsiaTheme="minorEastAsia" w:cstheme="majorHAnsi"/>
                <w:color w:val="000000"/>
                <w:szCs w:val="18"/>
                <w:lang w:eastAsia="en-AU"/>
              </w:rPr>
              <w:t>Depreciation</w:t>
            </w:r>
          </w:p>
        </w:tc>
        <w:tc>
          <w:tcPr>
            <w:tcW w:w="850" w:type="dxa"/>
            <w:tcBorders>
              <w:top w:val="nil"/>
              <w:left w:val="nil"/>
              <w:bottom w:val="nil"/>
              <w:right w:val="nil"/>
            </w:tcBorders>
          </w:tcPr>
          <w:p w14:paraId="6BECC664"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3 717</w:t>
            </w:r>
          </w:p>
        </w:tc>
        <w:tc>
          <w:tcPr>
            <w:tcW w:w="850" w:type="dxa"/>
            <w:tcBorders>
              <w:top w:val="nil"/>
              <w:left w:val="nil"/>
              <w:bottom w:val="nil"/>
              <w:right w:val="nil"/>
            </w:tcBorders>
          </w:tcPr>
          <w:p w14:paraId="7583D4A6"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4 113</w:t>
            </w:r>
          </w:p>
        </w:tc>
        <w:tc>
          <w:tcPr>
            <w:tcW w:w="850" w:type="dxa"/>
            <w:tcBorders>
              <w:top w:val="nil"/>
              <w:left w:val="nil"/>
              <w:bottom w:val="nil"/>
              <w:right w:val="nil"/>
            </w:tcBorders>
          </w:tcPr>
          <w:p w14:paraId="5D81DAEA"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4 343</w:t>
            </w:r>
          </w:p>
        </w:tc>
        <w:tc>
          <w:tcPr>
            <w:tcW w:w="850" w:type="dxa"/>
            <w:tcBorders>
              <w:top w:val="nil"/>
              <w:left w:val="nil"/>
              <w:bottom w:val="nil"/>
              <w:right w:val="nil"/>
            </w:tcBorders>
          </w:tcPr>
          <w:p w14:paraId="59B83187"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4 647</w:t>
            </w:r>
          </w:p>
        </w:tc>
      </w:tr>
      <w:tr w:rsidR="00964B88" w:rsidRPr="005B45CC" w14:paraId="0FA13ABF"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5B809213" w14:textId="77777777" w:rsidR="00964B88" w:rsidRPr="005B45CC" w:rsidRDefault="00964B88" w:rsidP="005B45CC">
            <w:pPr>
              <w:keepLines w:val="0"/>
              <w:autoSpaceDE w:val="0"/>
              <w:autoSpaceDN w:val="0"/>
              <w:adjustRightInd w:val="0"/>
              <w:rPr>
                <w:rFonts w:eastAsiaTheme="minorEastAsia" w:cstheme="majorHAnsi"/>
                <w:color w:val="000000"/>
                <w:szCs w:val="18"/>
                <w:lang w:eastAsia="en-AU"/>
              </w:rPr>
            </w:pPr>
            <w:r w:rsidRPr="005B45CC">
              <w:rPr>
                <w:rFonts w:eastAsiaTheme="minorEastAsia" w:cstheme="majorHAnsi"/>
                <w:color w:val="000000"/>
                <w:szCs w:val="18"/>
                <w:lang w:eastAsia="en-AU"/>
              </w:rPr>
              <w:t>Interest expense</w:t>
            </w:r>
          </w:p>
        </w:tc>
        <w:tc>
          <w:tcPr>
            <w:tcW w:w="850" w:type="dxa"/>
            <w:tcBorders>
              <w:top w:val="nil"/>
              <w:left w:val="nil"/>
              <w:bottom w:val="nil"/>
              <w:right w:val="nil"/>
            </w:tcBorders>
          </w:tcPr>
          <w:p w14:paraId="6E70CBCD"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2 556</w:t>
            </w:r>
          </w:p>
        </w:tc>
        <w:tc>
          <w:tcPr>
            <w:tcW w:w="850" w:type="dxa"/>
            <w:tcBorders>
              <w:top w:val="nil"/>
              <w:left w:val="nil"/>
              <w:bottom w:val="nil"/>
              <w:right w:val="nil"/>
            </w:tcBorders>
          </w:tcPr>
          <w:p w14:paraId="78475CB3"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2 622</w:t>
            </w:r>
          </w:p>
        </w:tc>
        <w:tc>
          <w:tcPr>
            <w:tcW w:w="850" w:type="dxa"/>
            <w:tcBorders>
              <w:top w:val="nil"/>
              <w:left w:val="nil"/>
              <w:bottom w:val="nil"/>
              <w:right w:val="nil"/>
            </w:tcBorders>
          </w:tcPr>
          <w:p w14:paraId="64BC2826"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2 752</w:t>
            </w:r>
          </w:p>
        </w:tc>
        <w:tc>
          <w:tcPr>
            <w:tcW w:w="850" w:type="dxa"/>
            <w:tcBorders>
              <w:top w:val="nil"/>
              <w:left w:val="nil"/>
              <w:bottom w:val="nil"/>
              <w:right w:val="nil"/>
            </w:tcBorders>
          </w:tcPr>
          <w:p w14:paraId="215D3404"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2 875</w:t>
            </w:r>
          </w:p>
        </w:tc>
      </w:tr>
      <w:tr w:rsidR="00964B88" w:rsidRPr="005B45CC" w14:paraId="399683B9"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37577B31" w14:textId="77777777" w:rsidR="00964B88" w:rsidRPr="005B45CC" w:rsidRDefault="00964B88" w:rsidP="005B45CC">
            <w:pPr>
              <w:keepLines w:val="0"/>
              <w:autoSpaceDE w:val="0"/>
              <w:autoSpaceDN w:val="0"/>
              <w:adjustRightInd w:val="0"/>
              <w:rPr>
                <w:rFonts w:eastAsiaTheme="minorEastAsia" w:cstheme="majorHAnsi"/>
                <w:color w:val="000000"/>
                <w:szCs w:val="18"/>
                <w:lang w:eastAsia="en-AU"/>
              </w:rPr>
            </w:pPr>
            <w:r w:rsidRPr="005B45CC">
              <w:rPr>
                <w:rFonts w:eastAsiaTheme="minorEastAsia" w:cstheme="majorHAnsi"/>
                <w:color w:val="000000"/>
                <w:szCs w:val="18"/>
                <w:lang w:eastAsia="en-AU"/>
              </w:rPr>
              <w:t>Grant expense</w:t>
            </w:r>
          </w:p>
        </w:tc>
        <w:tc>
          <w:tcPr>
            <w:tcW w:w="850" w:type="dxa"/>
            <w:tcBorders>
              <w:top w:val="nil"/>
              <w:left w:val="nil"/>
              <w:bottom w:val="nil"/>
              <w:right w:val="nil"/>
            </w:tcBorders>
          </w:tcPr>
          <w:p w14:paraId="321DDD6B"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13 015</w:t>
            </w:r>
          </w:p>
        </w:tc>
        <w:tc>
          <w:tcPr>
            <w:tcW w:w="850" w:type="dxa"/>
            <w:tcBorders>
              <w:top w:val="nil"/>
              <w:left w:val="nil"/>
              <w:bottom w:val="nil"/>
              <w:right w:val="nil"/>
            </w:tcBorders>
          </w:tcPr>
          <w:p w14:paraId="3EC42AD0"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14 869</w:t>
            </w:r>
          </w:p>
        </w:tc>
        <w:tc>
          <w:tcPr>
            <w:tcW w:w="850" w:type="dxa"/>
            <w:tcBorders>
              <w:top w:val="nil"/>
              <w:left w:val="nil"/>
              <w:bottom w:val="nil"/>
              <w:right w:val="nil"/>
            </w:tcBorders>
          </w:tcPr>
          <w:p w14:paraId="06AB385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15 306</w:t>
            </w:r>
          </w:p>
        </w:tc>
        <w:tc>
          <w:tcPr>
            <w:tcW w:w="850" w:type="dxa"/>
            <w:tcBorders>
              <w:top w:val="nil"/>
              <w:left w:val="nil"/>
              <w:bottom w:val="nil"/>
              <w:right w:val="nil"/>
            </w:tcBorders>
          </w:tcPr>
          <w:p w14:paraId="719D4615"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15 915</w:t>
            </w:r>
          </w:p>
        </w:tc>
      </w:tr>
      <w:tr w:rsidR="00964B88" w:rsidRPr="005B45CC" w14:paraId="4EE026D6"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4" w:space="0" w:color="auto"/>
              <w:right w:val="nil"/>
            </w:tcBorders>
          </w:tcPr>
          <w:p w14:paraId="5E481FDB" w14:textId="77777777" w:rsidR="00964B88" w:rsidRPr="005B45CC" w:rsidRDefault="00964B88" w:rsidP="005B45CC">
            <w:pPr>
              <w:keepLines w:val="0"/>
              <w:autoSpaceDE w:val="0"/>
              <w:autoSpaceDN w:val="0"/>
              <w:adjustRightInd w:val="0"/>
              <w:rPr>
                <w:rFonts w:eastAsiaTheme="minorEastAsia" w:cstheme="majorHAnsi"/>
                <w:color w:val="000000"/>
                <w:szCs w:val="18"/>
                <w:lang w:eastAsia="en-AU"/>
              </w:rPr>
            </w:pPr>
            <w:r w:rsidRPr="005B45CC">
              <w:rPr>
                <w:rFonts w:eastAsiaTheme="minorEastAsia" w:cstheme="majorHAnsi"/>
                <w:color w:val="000000"/>
                <w:szCs w:val="18"/>
                <w:lang w:eastAsia="en-AU"/>
              </w:rPr>
              <w:t>Other operating expenses</w:t>
            </w:r>
          </w:p>
        </w:tc>
        <w:tc>
          <w:tcPr>
            <w:tcW w:w="850" w:type="dxa"/>
            <w:tcBorders>
              <w:top w:val="nil"/>
              <w:left w:val="nil"/>
              <w:bottom w:val="single" w:sz="4" w:space="0" w:color="auto"/>
              <w:right w:val="nil"/>
            </w:tcBorders>
          </w:tcPr>
          <w:p w14:paraId="0FFAF19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21 584</w:t>
            </w:r>
          </w:p>
        </w:tc>
        <w:tc>
          <w:tcPr>
            <w:tcW w:w="850" w:type="dxa"/>
            <w:tcBorders>
              <w:top w:val="nil"/>
              <w:left w:val="nil"/>
              <w:bottom w:val="single" w:sz="4" w:space="0" w:color="auto"/>
              <w:right w:val="nil"/>
            </w:tcBorders>
          </w:tcPr>
          <w:p w14:paraId="29142B2B"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20 779</w:t>
            </w:r>
          </w:p>
        </w:tc>
        <w:tc>
          <w:tcPr>
            <w:tcW w:w="850" w:type="dxa"/>
            <w:tcBorders>
              <w:top w:val="nil"/>
              <w:left w:val="nil"/>
              <w:bottom w:val="single" w:sz="4" w:space="0" w:color="auto"/>
              <w:right w:val="nil"/>
            </w:tcBorders>
          </w:tcPr>
          <w:p w14:paraId="05C8D243"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20 149</w:t>
            </w:r>
          </w:p>
        </w:tc>
        <w:tc>
          <w:tcPr>
            <w:tcW w:w="850" w:type="dxa"/>
            <w:tcBorders>
              <w:top w:val="nil"/>
              <w:left w:val="nil"/>
              <w:bottom w:val="single" w:sz="4" w:space="0" w:color="auto"/>
              <w:right w:val="nil"/>
            </w:tcBorders>
          </w:tcPr>
          <w:p w14:paraId="04370C51"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20 929</w:t>
            </w:r>
          </w:p>
        </w:tc>
      </w:tr>
      <w:tr w:rsidR="00964B88" w:rsidRPr="005B45CC" w14:paraId="155041D5"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single" w:sz="4" w:space="0" w:color="auto"/>
              <w:left w:val="nil"/>
              <w:bottom w:val="nil"/>
              <w:right w:val="nil"/>
            </w:tcBorders>
          </w:tcPr>
          <w:p w14:paraId="083ECE6A" w14:textId="77777777" w:rsidR="00964B88" w:rsidRPr="005B45CC" w:rsidRDefault="00964B88" w:rsidP="005B45CC">
            <w:pPr>
              <w:keepLines w:val="0"/>
              <w:autoSpaceDE w:val="0"/>
              <w:autoSpaceDN w:val="0"/>
              <w:adjustRightInd w:val="0"/>
              <w:rPr>
                <w:rFonts w:eastAsiaTheme="minorEastAsia" w:cstheme="majorHAnsi"/>
                <w:b/>
                <w:bCs/>
                <w:color w:val="000000"/>
                <w:szCs w:val="18"/>
                <w:lang w:eastAsia="en-AU"/>
              </w:rPr>
            </w:pPr>
            <w:r w:rsidRPr="005B45CC">
              <w:rPr>
                <w:rFonts w:eastAsiaTheme="minorEastAsia" w:cstheme="majorHAnsi"/>
                <w:b/>
                <w:bCs/>
                <w:color w:val="000000"/>
                <w:szCs w:val="18"/>
                <w:lang w:eastAsia="en-AU"/>
              </w:rPr>
              <w:t>Total expenses</w:t>
            </w:r>
          </w:p>
        </w:tc>
        <w:tc>
          <w:tcPr>
            <w:tcW w:w="850" w:type="dxa"/>
            <w:tcBorders>
              <w:top w:val="single" w:sz="4" w:space="0" w:color="auto"/>
              <w:left w:val="nil"/>
              <w:bottom w:val="nil"/>
              <w:right w:val="nil"/>
            </w:tcBorders>
          </w:tcPr>
          <w:p w14:paraId="6C8176D9"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70 333</w:t>
            </w:r>
          </w:p>
        </w:tc>
        <w:tc>
          <w:tcPr>
            <w:tcW w:w="850" w:type="dxa"/>
            <w:tcBorders>
              <w:top w:val="single" w:sz="4" w:space="0" w:color="auto"/>
              <w:left w:val="nil"/>
              <w:bottom w:val="nil"/>
              <w:right w:val="nil"/>
            </w:tcBorders>
          </w:tcPr>
          <w:p w14:paraId="3DB9417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73 295</w:t>
            </w:r>
          </w:p>
        </w:tc>
        <w:tc>
          <w:tcPr>
            <w:tcW w:w="850" w:type="dxa"/>
            <w:tcBorders>
              <w:top w:val="single" w:sz="4" w:space="0" w:color="auto"/>
              <w:left w:val="nil"/>
              <w:bottom w:val="nil"/>
              <w:right w:val="nil"/>
            </w:tcBorders>
          </w:tcPr>
          <w:p w14:paraId="07115BF5"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74 419</w:t>
            </w:r>
          </w:p>
        </w:tc>
        <w:tc>
          <w:tcPr>
            <w:tcW w:w="850" w:type="dxa"/>
            <w:tcBorders>
              <w:top w:val="single" w:sz="4" w:space="0" w:color="auto"/>
              <w:left w:val="nil"/>
              <w:bottom w:val="nil"/>
              <w:right w:val="nil"/>
            </w:tcBorders>
          </w:tcPr>
          <w:p w14:paraId="400184CB"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77 668</w:t>
            </w:r>
          </w:p>
        </w:tc>
      </w:tr>
      <w:tr w:rsidR="00964B88" w:rsidRPr="005B45CC" w14:paraId="454B18E2"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42FA32F0" w14:textId="77777777" w:rsidR="00964B88" w:rsidRPr="005B45CC" w:rsidRDefault="00964B88" w:rsidP="005B45CC">
            <w:pPr>
              <w:keepLines w:val="0"/>
              <w:autoSpaceDE w:val="0"/>
              <w:autoSpaceDN w:val="0"/>
              <w:adjustRightInd w:val="0"/>
              <w:rPr>
                <w:rFonts w:eastAsiaTheme="minorEastAsia" w:cstheme="majorHAnsi"/>
                <w:i/>
                <w:iCs/>
                <w:color w:val="000000"/>
                <w:szCs w:val="18"/>
                <w:lang w:eastAsia="en-AU"/>
              </w:rPr>
            </w:pPr>
            <w:r w:rsidRPr="005B45CC">
              <w:rPr>
                <w:rFonts w:eastAsiaTheme="minorEastAsia" w:cstheme="majorHAnsi"/>
                <w:i/>
                <w:iCs/>
                <w:color w:val="000000"/>
                <w:szCs w:val="18"/>
                <w:lang w:eastAsia="en-AU"/>
              </w:rPr>
              <w:t>% change</w:t>
            </w:r>
          </w:p>
        </w:tc>
        <w:tc>
          <w:tcPr>
            <w:tcW w:w="850" w:type="dxa"/>
            <w:tcBorders>
              <w:top w:val="nil"/>
              <w:left w:val="nil"/>
              <w:bottom w:val="nil"/>
              <w:right w:val="nil"/>
            </w:tcBorders>
          </w:tcPr>
          <w:p w14:paraId="138101A0"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i/>
              </w:rPr>
            </w:pPr>
            <w:r>
              <w:rPr>
                <w:rFonts w:cstheme="majorHAnsi"/>
                <w:i/>
              </w:rPr>
              <w:t>3.1</w:t>
            </w:r>
          </w:p>
        </w:tc>
        <w:tc>
          <w:tcPr>
            <w:tcW w:w="850" w:type="dxa"/>
            <w:tcBorders>
              <w:top w:val="nil"/>
              <w:left w:val="nil"/>
              <w:bottom w:val="nil"/>
              <w:right w:val="nil"/>
            </w:tcBorders>
          </w:tcPr>
          <w:p w14:paraId="572801D5"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i/>
              </w:rPr>
            </w:pPr>
            <w:r>
              <w:rPr>
                <w:rFonts w:cstheme="majorHAnsi"/>
                <w:i/>
              </w:rPr>
              <w:t>4.2</w:t>
            </w:r>
          </w:p>
        </w:tc>
        <w:tc>
          <w:tcPr>
            <w:tcW w:w="850" w:type="dxa"/>
            <w:tcBorders>
              <w:top w:val="nil"/>
              <w:left w:val="nil"/>
              <w:bottom w:val="nil"/>
              <w:right w:val="nil"/>
            </w:tcBorders>
          </w:tcPr>
          <w:p w14:paraId="34DB36C0"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i/>
              </w:rPr>
            </w:pPr>
            <w:r>
              <w:rPr>
                <w:rFonts w:cstheme="majorHAnsi"/>
                <w:i/>
              </w:rPr>
              <w:t>1.5</w:t>
            </w:r>
          </w:p>
        </w:tc>
        <w:tc>
          <w:tcPr>
            <w:tcW w:w="850" w:type="dxa"/>
            <w:tcBorders>
              <w:top w:val="nil"/>
              <w:left w:val="nil"/>
              <w:bottom w:val="nil"/>
              <w:right w:val="nil"/>
            </w:tcBorders>
          </w:tcPr>
          <w:p w14:paraId="58D02C94"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i/>
              </w:rPr>
            </w:pPr>
            <w:r>
              <w:rPr>
                <w:rFonts w:cstheme="majorHAnsi"/>
                <w:i/>
              </w:rPr>
              <w:t>4.4</w:t>
            </w:r>
          </w:p>
        </w:tc>
      </w:tr>
      <w:tr w:rsidR="00964B88" w:rsidRPr="005B45CC" w14:paraId="54ECCE73"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14:paraId="6D067E40" w14:textId="77777777" w:rsidR="00964B88" w:rsidRPr="005B45CC" w:rsidRDefault="00964B88" w:rsidP="005B45CC">
            <w:pPr>
              <w:keepLines w:val="0"/>
              <w:autoSpaceDE w:val="0"/>
              <w:autoSpaceDN w:val="0"/>
              <w:adjustRightInd w:val="0"/>
              <w:rPr>
                <w:rFonts w:eastAsiaTheme="minorEastAsia" w:cstheme="majorHAnsi"/>
                <w:b/>
                <w:bCs/>
                <w:color w:val="000000"/>
                <w:szCs w:val="18"/>
                <w:lang w:eastAsia="en-AU"/>
              </w:rPr>
            </w:pPr>
            <w:r w:rsidRPr="005B45CC">
              <w:rPr>
                <w:rFonts w:eastAsiaTheme="minorEastAsia" w:cstheme="majorHAnsi"/>
                <w:b/>
                <w:bCs/>
                <w:color w:val="000000"/>
                <w:szCs w:val="18"/>
                <w:lang w:eastAsia="en-AU"/>
              </w:rPr>
              <w:t>Net result from transactions</w:t>
            </w:r>
          </w:p>
        </w:tc>
        <w:tc>
          <w:tcPr>
            <w:tcW w:w="850" w:type="dxa"/>
            <w:tcBorders>
              <w:top w:val="single" w:sz="6" w:space="0" w:color="auto"/>
              <w:left w:val="nil"/>
              <w:bottom w:val="single" w:sz="6" w:space="0" w:color="auto"/>
              <w:right w:val="nil"/>
            </w:tcBorders>
          </w:tcPr>
          <w:p w14:paraId="2D264986"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618</w:t>
            </w:r>
          </w:p>
        </w:tc>
        <w:tc>
          <w:tcPr>
            <w:tcW w:w="850" w:type="dxa"/>
            <w:tcBorders>
              <w:top w:val="single" w:sz="6" w:space="0" w:color="auto"/>
              <w:left w:val="nil"/>
              <w:bottom w:val="single" w:sz="6" w:space="0" w:color="auto"/>
              <w:right w:val="nil"/>
            </w:tcBorders>
          </w:tcPr>
          <w:p w14:paraId="30DF5F4A"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1 222</w:t>
            </w:r>
          </w:p>
        </w:tc>
        <w:tc>
          <w:tcPr>
            <w:tcW w:w="850" w:type="dxa"/>
            <w:tcBorders>
              <w:top w:val="single" w:sz="6" w:space="0" w:color="auto"/>
              <w:left w:val="nil"/>
              <w:bottom w:val="single" w:sz="6" w:space="0" w:color="auto"/>
              <w:right w:val="nil"/>
            </w:tcBorders>
          </w:tcPr>
          <w:p w14:paraId="045769E9"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3 841</w:t>
            </w:r>
          </w:p>
        </w:tc>
        <w:tc>
          <w:tcPr>
            <w:tcW w:w="850" w:type="dxa"/>
            <w:tcBorders>
              <w:top w:val="single" w:sz="6" w:space="0" w:color="auto"/>
              <w:left w:val="nil"/>
              <w:bottom w:val="single" w:sz="6" w:space="0" w:color="auto"/>
              <w:right w:val="nil"/>
            </w:tcBorders>
          </w:tcPr>
          <w:p w14:paraId="2886C2D3"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4 898</w:t>
            </w:r>
          </w:p>
        </w:tc>
      </w:tr>
      <w:tr w:rsidR="00964B88" w:rsidRPr="005B45CC" w14:paraId="1D760C42"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14:paraId="1BB8FBA7" w14:textId="77777777" w:rsidR="00964B88" w:rsidRPr="005B45CC" w:rsidRDefault="00964B88" w:rsidP="005B45CC">
            <w:pPr>
              <w:keepLines w:val="0"/>
              <w:autoSpaceDE w:val="0"/>
              <w:autoSpaceDN w:val="0"/>
              <w:adjustRightInd w:val="0"/>
              <w:rPr>
                <w:rFonts w:eastAsiaTheme="minorEastAsia" w:cstheme="majorHAnsi"/>
                <w:b/>
                <w:bCs/>
                <w:color w:val="000000"/>
                <w:szCs w:val="18"/>
                <w:lang w:eastAsia="en-AU"/>
              </w:rPr>
            </w:pPr>
            <w:r w:rsidRPr="005B45CC">
              <w:rPr>
                <w:rFonts w:eastAsiaTheme="minorEastAsia" w:cstheme="majorHAnsi"/>
                <w:b/>
                <w:bCs/>
                <w:color w:val="000000"/>
                <w:szCs w:val="18"/>
                <w:lang w:eastAsia="en-AU"/>
              </w:rPr>
              <w:t xml:space="preserve">Total other economic flows included in net result </w:t>
            </w:r>
            <w:r w:rsidR="005B45CC" w:rsidRPr="005B45CC">
              <w:rPr>
                <w:rFonts w:eastAsiaTheme="minorEastAsia" w:cstheme="majorHAnsi"/>
                <w:b/>
                <w:bCs/>
                <w:color w:val="000000"/>
                <w:szCs w:val="18"/>
                <w:vertAlign w:val="superscript"/>
                <w:lang w:eastAsia="en-AU"/>
              </w:rPr>
              <w:t>(d)</w:t>
            </w:r>
          </w:p>
        </w:tc>
        <w:tc>
          <w:tcPr>
            <w:tcW w:w="850" w:type="dxa"/>
            <w:tcBorders>
              <w:top w:val="single" w:sz="6" w:space="0" w:color="auto"/>
              <w:left w:val="nil"/>
              <w:bottom w:val="single" w:sz="6" w:space="0" w:color="auto"/>
              <w:right w:val="nil"/>
            </w:tcBorders>
          </w:tcPr>
          <w:p w14:paraId="229B0266"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(339)</w:t>
            </w:r>
          </w:p>
        </w:tc>
        <w:tc>
          <w:tcPr>
            <w:tcW w:w="850" w:type="dxa"/>
            <w:tcBorders>
              <w:top w:val="single" w:sz="6" w:space="0" w:color="auto"/>
              <w:left w:val="nil"/>
              <w:bottom w:val="single" w:sz="6" w:space="0" w:color="auto"/>
              <w:right w:val="nil"/>
            </w:tcBorders>
          </w:tcPr>
          <w:p w14:paraId="2FB7B688"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(370)</w:t>
            </w:r>
          </w:p>
        </w:tc>
        <w:tc>
          <w:tcPr>
            <w:tcW w:w="850" w:type="dxa"/>
            <w:tcBorders>
              <w:top w:val="single" w:sz="6" w:space="0" w:color="auto"/>
              <w:left w:val="nil"/>
              <w:bottom w:val="single" w:sz="6" w:space="0" w:color="auto"/>
              <w:right w:val="nil"/>
            </w:tcBorders>
          </w:tcPr>
          <w:p w14:paraId="35E25114"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(355)</w:t>
            </w:r>
          </w:p>
        </w:tc>
        <w:tc>
          <w:tcPr>
            <w:tcW w:w="850" w:type="dxa"/>
            <w:tcBorders>
              <w:top w:val="single" w:sz="6" w:space="0" w:color="auto"/>
              <w:left w:val="nil"/>
              <w:bottom w:val="single" w:sz="6" w:space="0" w:color="auto"/>
              <w:right w:val="nil"/>
            </w:tcBorders>
          </w:tcPr>
          <w:p w14:paraId="464D45A8"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(361)</w:t>
            </w:r>
          </w:p>
        </w:tc>
      </w:tr>
      <w:tr w:rsidR="00964B88" w:rsidRPr="005B45CC" w14:paraId="150B3516" w14:textId="77777777" w:rsidTr="005B45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14:paraId="54C10BBA" w14:textId="77777777" w:rsidR="00964B88" w:rsidRPr="005B45CC" w:rsidRDefault="00964B88" w:rsidP="005B45CC">
            <w:pPr>
              <w:keepLines w:val="0"/>
              <w:autoSpaceDE w:val="0"/>
              <w:autoSpaceDN w:val="0"/>
              <w:adjustRightInd w:val="0"/>
              <w:rPr>
                <w:rFonts w:eastAsiaTheme="minorEastAsia" w:cstheme="majorHAnsi"/>
                <w:bCs/>
                <w:color w:val="000000"/>
                <w:szCs w:val="18"/>
                <w:lang w:eastAsia="en-AU"/>
              </w:rPr>
            </w:pPr>
            <w:r w:rsidRPr="005B45CC">
              <w:rPr>
                <w:rFonts w:eastAsiaTheme="minorEastAsia" w:cstheme="majorHAnsi"/>
                <w:bCs/>
                <w:color w:val="000000"/>
                <w:szCs w:val="18"/>
                <w:lang w:eastAsia="en-AU"/>
              </w:rPr>
              <w:t>Net result</w:t>
            </w:r>
          </w:p>
        </w:tc>
        <w:tc>
          <w:tcPr>
            <w:tcW w:w="850" w:type="dxa"/>
            <w:tcBorders>
              <w:top w:val="single" w:sz="6" w:space="0" w:color="auto"/>
              <w:bottom w:val="single" w:sz="12" w:space="0" w:color="auto"/>
            </w:tcBorders>
          </w:tcPr>
          <w:p w14:paraId="0CEBD0EA" w14:textId="77777777" w:rsidR="00964B88" w:rsidRPr="005B45CC" w:rsidRDefault="005B45CC" w:rsidP="005B45CC">
            <w:pPr>
              <w:cnfStyle w:val="010000000000" w:firstRow="0" w:lastRow="1" w:firstColumn="0" w:lastColumn="0" w:oddVBand="0" w:evenVBand="0" w:oddHBand="0" w:evenHBand="0" w:firstRowFirstColumn="0" w:firstRowLastColumn="0" w:lastRowFirstColumn="0" w:lastRowLastColumn="0"/>
              <w:rPr>
                <w:rFonts w:cstheme="majorHAnsi"/>
              </w:rPr>
            </w:pPr>
            <w:r>
              <w:rPr>
                <w:rFonts w:cstheme="majorHAnsi"/>
              </w:rPr>
              <w:t>279</w:t>
            </w:r>
          </w:p>
        </w:tc>
        <w:tc>
          <w:tcPr>
            <w:tcW w:w="850" w:type="dxa"/>
            <w:tcBorders>
              <w:top w:val="single" w:sz="6" w:space="0" w:color="auto"/>
              <w:bottom w:val="single" w:sz="12" w:space="0" w:color="auto"/>
            </w:tcBorders>
          </w:tcPr>
          <w:p w14:paraId="4DBA5B87" w14:textId="77777777" w:rsidR="00964B88" w:rsidRPr="005B45CC" w:rsidRDefault="005B45CC" w:rsidP="005B45CC">
            <w:pPr>
              <w:cnfStyle w:val="010000000000" w:firstRow="0" w:lastRow="1" w:firstColumn="0" w:lastColumn="0" w:oddVBand="0" w:evenVBand="0" w:oddHBand="0" w:evenHBand="0" w:firstRowFirstColumn="0" w:firstRowLastColumn="0" w:lastRowFirstColumn="0" w:lastRowLastColumn="0"/>
              <w:rPr>
                <w:rFonts w:cstheme="majorHAnsi"/>
              </w:rPr>
            </w:pPr>
            <w:r>
              <w:rPr>
                <w:rFonts w:cstheme="majorHAnsi"/>
              </w:rPr>
              <w:t>852</w:t>
            </w:r>
          </w:p>
        </w:tc>
        <w:tc>
          <w:tcPr>
            <w:tcW w:w="850" w:type="dxa"/>
            <w:tcBorders>
              <w:top w:val="single" w:sz="6" w:space="0" w:color="auto"/>
              <w:bottom w:val="single" w:sz="12" w:space="0" w:color="auto"/>
            </w:tcBorders>
          </w:tcPr>
          <w:p w14:paraId="01561E91" w14:textId="77777777" w:rsidR="00964B88" w:rsidRPr="005B45CC" w:rsidRDefault="00964B88" w:rsidP="005B45CC">
            <w:pPr>
              <w:cnfStyle w:val="010000000000" w:firstRow="0" w:lastRow="1" w:firstColumn="0" w:lastColumn="0" w:oddVBand="0" w:evenVBand="0" w:oddHBand="0" w:evenHBand="0" w:firstRowFirstColumn="0" w:firstRowLastColumn="0" w:lastRowFirstColumn="0" w:lastRowLastColumn="0"/>
              <w:rPr>
                <w:rFonts w:cstheme="majorHAnsi"/>
              </w:rPr>
            </w:pPr>
            <w:r w:rsidRPr="005B45CC">
              <w:rPr>
                <w:rFonts w:cstheme="majorHAnsi"/>
              </w:rPr>
              <w:t>3 486</w:t>
            </w:r>
          </w:p>
        </w:tc>
        <w:tc>
          <w:tcPr>
            <w:tcW w:w="850" w:type="dxa"/>
            <w:tcBorders>
              <w:top w:val="single" w:sz="6" w:space="0" w:color="auto"/>
              <w:bottom w:val="single" w:sz="12" w:space="0" w:color="auto"/>
            </w:tcBorders>
          </w:tcPr>
          <w:p w14:paraId="5FDF4FF4" w14:textId="77777777" w:rsidR="00964B88" w:rsidRPr="005B45CC" w:rsidRDefault="00964B88" w:rsidP="005B45CC">
            <w:pPr>
              <w:cnfStyle w:val="010000000000" w:firstRow="0" w:lastRow="1" w:firstColumn="0" w:lastColumn="0" w:oddVBand="0" w:evenVBand="0" w:oddHBand="0" w:evenHBand="0" w:firstRowFirstColumn="0" w:firstRowLastColumn="0" w:lastRowFirstColumn="0" w:lastRowLastColumn="0"/>
              <w:rPr>
                <w:rFonts w:cstheme="majorHAnsi"/>
              </w:rPr>
            </w:pPr>
            <w:r w:rsidRPr="005B45CC">
              <w:rPr>
                <w:rFonts w:cstheme="majorHAnsi"/>
              </w:rPr>
              <w:t>4 537</w:t>
            </w:r>
          </w:p>
        </w:tc>
      </w:tr>
    </w:tbl>
    <w:p w14:paraId="6A004C14" w14:textId="77777777" w:rsidR="00964B88" w:rsidRPr="00C203E5" w:rsidRDefault="00964B88" w:rsidP="00F53820">
      <w:pPr>
        <w:pStyle w:val="Note"/>
      </w:pPr>
      <w:r w:rsidRPr="00C203E5">
        <w:t>Notes:</w:t>
      </w:r>
    </w:p>
    <w:p w14:paraId="28739939" w14:textId="77777777" w:rsidR="00964B88" w:rsidRPr="00C203E5" w:rsidRDefault="00964B88" w:rsidP="00F53820">
      <w:pPr>
        <w:pStyle w:val="Note"/>
      </w:pPr>
      <w:r w:rsidRPr="00C203E5">
        <w:t xml:space="preserve">(a) </w:t>
      </w:r>
      <w:r w:rsidRPr="00C203E5">
        <w:tab/>
        <w:t>Figures in this table are subject to rounding to the nearest</w:t>
      </w:r>
      <w:r>
        <w:t> million</w:t>
      </w:r>
      <w:r w:rsidRPr="00C203E5">
        <w:t xml:space="preserve"> and may not add up to totals.</w:t>
      </w:r>
    </w:p>
    <w:p w14:paraId="75C9E024" w14:textId="77777777" w:rsidR="00964B88" w:rsidRPr="00C203E5" w:rsidRDefault="00964B88" w:rsidP="00F53820">
      <w:pPr>
        <w:pStyle w:val="Note"/>
      </w:pPr>
      <w:r w:rsidRPr="00C203E5">
        <w:t xml:space="preserve">(b) </w:t>
      </w:r>
      <w:r w:rsidRPr="00C203E5">
        <w:tab/>
        <w:t>Comprises dividends, income tax and rate equivalent revenue and interest.</w:t>
      </w:r>
    </w:p>
    <w:p w14:paraId="5CA8CD5F" w14:textId="77777777" w:rsidR="00964B88" w:rsidRPr="00C203E5" w:rsidRDefault="00964B88" w:rsidP="00F53820">
      <w:pPr>
        <w:pStyle w:val="Note"/>
      </w:pPr>
      <w:r>
        <w:t>(c</w:t>
      </w:r>
      <w:r w:rsidRPr="00C203E5">
        <w:t>)</w:t>
      </w:r>
      <w:r w:rsidRPr="00C203E5">
        <w:tab/>
        <w:t>Comprises superannuation interest expense and other superannuation expenses.</w:t>
      </w:r>
    </w:p>
    <w:p w14:paraId="52DB9EEF" w14:textId="77777777" w:rsidR="00964B88" w:rsidRDefault="00964B88" w:rsidP="00F53820">
      <w:pPr>
        <w:pStyle w:val="Note"/>
      </w:pPr>
      <w:r w:rsidRPr="00C203E5">
        <w:t>(</w:t>
      </w:r>
      <w:r>
        <w:t>d</w:t>
      </w:r>
      <w:r w:rsidRPr="00C203E5">
        <w:t xml:space="preserve">) </w:t>
      </w:r>
      <w:r w:rsidRPr="00C203E5">
        <w:tab/>
        <w:t>This typically includes gains and losses from the disposal of non</w:t>
      </w:r>
      <w:r w:rsidRPr="00C203E5">
        <w:noBreakHyphen/>
        <w:t>financial assets, adjustments for bad and doubtful debts and revaluations of financial assets and liabilities.</w:t>
      </w:r>
    </w:p>
    <w:p w14:paraId="4E6D2678" w14:textId="77777777" w:rsidR="00964B88" w:rsidRPr="006829A2" w:rsidRDefault="00964B88" w:rsidP="00F53820">
      <w:pPr>
        <w:pStyle w:val="Heading20"/>
        <w:rPr>
          <w:rFonts w:eastAsiaTheme="minorHAnsi"/>
          <w:b w:val="0"/>
        </w:rPr>
      </w:pPr>
      <w:bookmarkStart w:id="25" w:name="_Hlk26197313"/>
      <w:r w:rsidRPr="006829A2">
        <w:rPr>
          <w:rFonts w:eastAsiaTheme="minorHAnsi"/>
        </w:rPr>
        <w:lastRenderedPageBreak/>
        <w:t>Revenue outlook</w:t>
      </w:r>
    </w:p>
    <w:bookmarkEnd w:id="25"/>
    <w:p w14:paraId="4C6995CC" w14:textId="77777777" w:rsidR="00964B88" w:rsidRDefault="00964B88" w:rsidP="00F53820">
      <w:pPr>
        <w:pStyle w:val="Heading30"/>
        <w:rPr>
          <w:rFonts w:asciiTheme="minorHAnsi" w:eastAsiaTheme="minorHAnsi" w:hAnsiTheme="minorHAnsi" w:cstheme="minorHAnsi"/>
          <w:b w:val="0"/>
          <w:bCs w:val="0"/>
          <w:color w:val="000000"/>
          <w:spacing w:val="0"/>
          <w:szCs w:val="22"/>
        </w:rPr>
      </w:pPr>
      <w:r w:rsidRPr="007C361F">
        <w:rPr>
          <w:rFonts w:asciiTheme="minorHAnsi" w:eastAsiaTheme="minorHAnsi" w:hAnsiTheme="minorHAnsi" w:cstheme="minorHAnsi"/>
          <w:b w:val="0"/>
          <w:bCs w:val="0"/>
          <w:color w:val="000000"/>
          <w:spacing w:val="0"/>
          <w:szCs w:val="22"/>
        </w:rPr>
        <w:t>Total revenue for the general government sector is expected to be $</w:t>
      </w:r>
      <w:r>
        <w:rPr>
          <w:rFonts w:asciiTheme="minorHAnsi" w:eastAsiaTheme="minorHAnsi" w:hAnsiTheme="minorHAnsi" w:cstheme="minorHAnsi"/>
          <w:b w:val="0"/>
          <w:bCs w:val="0"/>
          <w:color w:val="000000"/>
          <w:spacing w:val="0"/>
          <w:szCs w:val="22"/>
        </w:rPr>
        <w:t>71.0</w:t>
      </w:r>
      <w:r w:rsidRPr="007C361F">
        <w:rPr>
          <w:rFonts w:asciiTheme="minorHAnsi" w:eastAsiaTheme="minorHAnsi" w:hAnsiTheme="minorHAnsi" w:cstheme="minorHAnsi"/>
          <w:b w:val="0"/>
          <w:bCs w:val="0"/>
          <w:color w:val="000000"/>
          <w:spacing w:val="0"/>
          <w:szCs w:val="22"/>
        </w:rPr>
        <w:t xml:space="preserve"> billion in 2019</w:t>
      </w:r>
      <w:r>
        <w:rPr>
          <w:rFonts w:asciiTheme="minorHAnsi" w:eastAsiaTheme="minorHAnsi" w:hAnsiTheme="minorHAnsi" w:cstheme="minorHAnsi"/>
          <w:b w:val="0"/>
          <w:bCs w:val="0"/>
          <w:color w:val="000000"/>
          <w:spacing w:val="0"/>
          <w:szCs w:val="22"/>
        </w:rPr>
        <w:noBreakHyphen/>
      </w:r>
      <w:r w:rsidRPr="007C361F">
        <w:rPr>
          <w:rFonts w:asciiTheme="minorHAnsi" w:eastAsiaTheme="minorHAnsi" w:hAnsiTheme="minorHAnsi" w:cstheme="minorHAnsi"/>
          <w:b w:val="0"/>
          <w:bCs w:val="0"/>
          <w:color w:val="000000"/>
          <w:spacing w:val="0"/>
          <w:szCs w:val="22"/>
        </w:rPr>
        <w:t xml:space="preserve">20, with growth projected to average </w:t>
      </w:r>
      <w:r>
        <w:rPr>
          <w:rFonts w:asciiTheme="minorHAnsi" w:eastAsiaTheme="minorHAnsi" w:hAnsiTheme="minorHAnsi" w:cstheme="minorHAnsi"/>
          <w:b w:val="0"/>
          <w:bCs w:val="0"/>
          <w:color w:val="000000"/>
          <w:spacing w:val="0"/>
          <w:szCs w:val="22"/>
        </w:rPr>
        <w:t>4.4</w:t>
      </w:r>
      <w:r w:rsidRPr="007C361F">
        <w:rPr>
          <w:rFonts w:asciiTheme="minorHAnsi" w:eastAsiaTheme="minorHAnsi" w:hAnsiTheme="minorHAnsi" w:cstheme="minorHAnsi"/>
          <w:b w:val="0"/>
          <w:bCs w:val="0"/>
          <w:color w:val="000000"/>
          <w:spacing w:val="0"/>
          <w:szCs w:val="22"/>
        </w:rPr>
        <w:t xml:space="preserve"> per cent a year over the budget and forward estimates. </w:t>
      </w:r>
      <w:r>
        <w:rPr>
          <w:rFonts w:asciiTheme="minorHAnsi" w:eastAsiaTheme="minorHAnsi" w:hAnsiTheme="minorHAnsi" w:cstheme="minorHAnsi"/>
          <w:b w:val="0"/>
          <w:bCs w:val="0"/>
          <w:color w:val="000000"/>
          <w:spacing w:val="0"/>
          <w:szCs w:val="22"/>
        </w:rPr>
        <w:t>Compared</w:t>
      </w:r>
      <w:r w:rsidRPr="007E3003">
        <w:rPr>
          <w:rFonts w:asciiTheme="minorHAnsi" w:eastAsiaTheme="minorHAnsi" w:hAnsiTheme="minorHAnsi" w:cstheme="minorHAnsi"/>
          <w:b w:val="0"/>
          <w:bCs w:val="0"/>
          <w:color w:val="000000"/>
          <w:spacing w:val="0"/>
          <w:szCs w:val="22"/>
        </w:rPr>
        <w:t xml:space="preserve"> </w:t>
      </w:r>
      <w:r>
        <w:rPr>
          <w:rFonts w:asciiTheme="minorHAnsi" w:eastAsiaTheme="minorHAnsi" w:hAnsiTheme="minorHAnsi" w:cstheme="minorHAnsi"/>
          <w:b w:val="0"/>
          <w:bCs w:val="0"/>
          <w:color w:val="000000"/>
          <w:spacing w:val="0"/>
          <w:szCs w:val="22"/>
        </w:rPr>
        <w:t>with</w:t>
      </w:r>
      <w:r w:rsidRPr="007E3003">
        <w:rPr>
          <w:rFonts w:asciiTheme="minorHAnsi" w:eastAsiaTheme="minorHAnsi" w:hAnsiTheme="minorHAnsi" w:cstheme="minorHAnsi"/>
          <w:b w:val="0"/>
          <w:bCs w:val="0"/>
          <w:color w:val="000000"/>
          <w:spacing w:val="0"/>
          <w:szCs w:val="22"/>
        </w:rPr>
        <w:t xml:space="preserve"> the </w:t>
      </w:r>
      <w:r w:rsidRPr="004A59EA">
        <w:rPr>
          <w:rFonts w:asciiTheme="minorHAnsi" w:eastAsiaTheme="minorHAnsi" w:hAnsiTheme="minorHAnsi" w:cstheme="minorHAnsi"/>
          <w:b w:val="0"/>
          <w:bCs w:val="0"/>
          <w:i/>
          <w:color w:val="000000"/>
          <w:spacing w:val="0"/>
          <w:szCs w:val="22"/>
        </w:rPr>
        <w:t>2019-20 Budget</w:t>
      </w:r>
      <w:r w:rsidRPr="007E3003">
        <w:rPr>
          <w:rFonts w:asciiTheme="minorHAnsi" w:eastAsiaTheme="minorHAnsi" w:hAnsiTheme="minorHAnsi" w:cstheme="minorHAnsi"/>
          <w:b w:val="0"/>
          <w:bCs w:val="0"/>
          <w:color w:val="000000"/>
          <w:spacing w:val="0"/>
          <w:szCs w:val="22"/>
        </w:rPr>
        <w:t xml:space="preserve">, </w:t>
      </w:r>
      <w:r>
        <w:rPr>
          <w:rFonts w:asciiTheme="minorHAnsi" w:eastAsiaTheme="minorHAnsi" w:hAnsiTheme="minorHAnsi" w:cstheme="minorHAnsi"/>
          <w:b w:val="0"/>
          <w:bCs w:val="0"/>
          <w:color w:val="000000"/>
          <w:spacing w:val="0"/>
          <w:szCs w:val="22"/>
        </w:rPr>
        <w:t xml:space="preserve">forecast growth in </w:t>
      </w:r>
      <w:r w:rsidRPr="007E3003">
        <w:rPr>
          <w:rFonts w:asciiTheme="minorHAnsi" w:eastAsiaTheme="minorHAnsi" w:hAnsiTheme="minorHAnsi" w:cstheme="minorHAnsi"/>
          <w:b w:val="0"/>
          <w:bCs w:val="0"/>
          <w:color w:val="000000"/>
          <w:spacing w:val="0"/>
          <w:szCs w:val="22"/>
        </w:rPr>
        <w:t>GST revenue and some non</w:t>
      </w:r>
      <w:r>
        <w:rPr>
          <w:rFonts w:asciiTheme="minorHAnsi" w:eastAsiaTheme="minorHAnsi" w:hAnsiTheme="minorHAnsi" w:cstheme="minorHAnsi"/>
          <w:b w:val="0"/>
          <w:bCs w:val="0"/>
          <w:color w:val="000000"/>
          <w:spacing w:val="0"/>
          <w:szCs w:val="22"/>
        </w:rPr>
        <w:noBreakHyphen/>
      </w:r>
      <w:r w:rsidRPr="007E3003">
        <w:rPr>
          <w:rFonts w:asciiTheme="minorHAnsi" w:eastAsiaTheme="minorHAnsi" w:hAnsiTheme="minorHAnsi" w:cstheme="minorHAnsi"/>
          <w:b w:val="0"/>
          <w:bCs w:val="0"/>
          <w:color w:val="000000"/>
          <w:spacing w:val="0"/>
          <w:szCs w:val="22"/>
        </w:rPr>
        <w:t>property taxes ha</w:t>
      </w:r>
      <w:r>
        <w:rPr>
          <w:rFonts w:asciiTheme="minorHAnsi" w:eastAsiaTheme="minorHAnsi" w:hAnsiTheme="minorHAnsi" w:cstheme="minorHAnsi"/>
          <w:b w:val="0"/>
          <w:bCs w:val="0"/>
          <w:color w:val="000000"/>
          <w:spacing w:val="0"/>
          <w:szCs w:val="22"/>
        </w:rPr>
        <w:t>s</w:t>
      </w:r>
      <w:r w:rsidRPr="007E3003">
        <w:rPr>
          <w:rFonts w:asciiTheme="minorHAnsi" w:eastAsiaTheme="minorHAnsi" w:hAnsiTheme="minorHAnsi" w:cstheme="minorHAnsi"/>
          <w:b w:val="0"/>
          <w:bCs w:val="0"/>
          <w:color w:val="000000"/>
          <w:spacing w:val="0"/>
          <w:szCs w:val="22"/>
        </w:rPr>
        <w:t xml:space="preserve"> been downgraded, consistent with revisions to the macroeconomic outlook. This is offset by an improved outlook for property-related taxes and increases in revenue from other sources.</w:t>
      </w:r>
    </w:p>
    <w:p w14:paraId="09A48289" w14:textId="77777777" w:rsidR="00964B88" w:rsidRPr="00C203E5" w:rsidRDefault="00964B88" w:rsidP="00F53820">
      <w:pPr>
        <w:pStyle w:val="Heading30"/>
        <w:rPr>
          <w:rFonts w:eastAsiaTheme="minorHAnsi"/>
        </w:rPr>
      </w:pPr>
      <w:r w:rsidRPr="00C203E5">
        <w:rPr>
          <w:rFonts w:eastAsiaTheme="minorHAnsi"/>
        </w:rPr>
        <w:t>Taxation</w:t>
      </w:r>
    </w:p>
    <w:p w14:paraId="073089EE" w14:textId="77777777" w:rsidR="00964B88" w:rsidRPr="00A001B4" w:rsidRDefault="00964B88" w:rsidP="00F53820">
      <w:pPr>
        <w:rPr>
          <w:rFonts w:cstheme="minorHAnsi"/>
          <w:color w:val="000000"/>
        </w:rPr>
      </w:pPr>
      <w:r w:rsidRPr="00A001B4">
        <w:rPr>
          <w:rFonts w:cstheme="minorHAnsi"/>
          <w:color w:val="000000"/>
        </w:rPr>
        <w:t>State taxation revenue is forecast to be $24.4 billion in 2019-20, and is expected to grow by an average of 5.</w:t>
      </w:r>
      <w:r>
        <w:rPr>
          <w:rFonts w:cstheme="minorHAnsi"/>
          <w:color w:val="000000"/>
        </w:rPr>
        <w:t>2</w:t>
      </w:r>
      <w:r w:rsidRPr="00A001B4">
        <w:rPr>
          <w:rFonts w:cstheme="minorHAnsi"/>
          <w:color w:val="000000"/>
        </w:rPr>
        <w:t xml:space="preserve"> per cent a year over the forward estimates. </w:t>
      </w:r>
      <w:r w:rsidRPr="0005689C">
        <w:rPr>
          <w:rFonts w:cstheme="minorHAnsi"/>
          <w:color w:val="000000"/>
        </w:rPr>
        <w:t xml:space="preserve">Following significant downward revisions in the </w:t>
      </w:r>
      <w:r w:rsidRPr="001E281A">
        <w:rPr>
          <w:rFonts w:cstheme="minorHAnsi"/>
          <w:i/>
          <w:color w:val="000000"/>
        </w:rPr>
        <w:t>2019-20 Budget</w:t>
      </w:r>
      <w:r w:rsidRPr="0005689C">
        <w:rPr>
          <w:rFonts w:cstheme="minorHAnsi"/>
          <w:color w:val="000000"/>
        </w:rPr>
        <w:t>, property-related taxes have been modestly revised, consistent with improvements in the property market.</w:t>
      </w:r>
    </w:p>
    <w:p w14:paraId="6C281FDD" w14:textId="77777777" w:rsidR="00964B88" w:rsidRDefault="00964B88" w:rsidP="00F53820">
      <w:pPr>
        <w:pStyle w:val="ListBullet"/>
        <w:numPr>
          <w:ilvl w:val="0"/>
          <w:numId w:val="20"/>
        </w:numPr>
      </w:pPr>
      <w:r>
        <w:t xml:space="preserve">Land transfer duty revenue is forecast to be $6.0 billion in 2019-20 and grow by an average of 6.3 per cent a year over the forward estimates. </w:t>
      </w:r>
      <w:r w:rsidRPr="00F61BBA">
        <w:t xml:space="preserve">Following downgrades of $5.2 billion to land transfer duty in the </w:t>
      </w:r>
      <w:r w:rsidRPr="00F65420">
        <w:rPr>
          <w:i/>
        </w:rPr>
        <w:t>2018 Pre-election Budget Update</w:t>
      </w:r>
      <w:r w:rsidRPr="00F65420">
        <w:t xml:space="preserve"> and</w:t>
      </w:r>
      <w:r>
        <w:t xml:space="preserve"> the</w:t>
      </w:r>
      <w:r w:rsidRPr="00F65420">
        <w:t xml:space="preserve"> </w:t>
      </w:r>
      <w:r w:rsidRPr="0061295D">
        <w:rPr>
          <w:i/>
        </w:rPr>
        <w:t>2019</w:t>
      </w:r>
      <w:r>
        <w:rPr>
          <w:i/>
        </w:rPr>
        <w:noBreakHyphen/>
      </w:r>
      <w:r w:rsidRPr="0061295D">
        <w:rPr>
          <w:i/>
        </w:rPr>
        <w:t>20</w:t>
      </w:r>
      <w:r>
        <w:rPr>
          <w:i/>
        </w:rPr>
        <w:t> </w:t>
      </w:r>
      <w:r w:rsidRPr="0061295D">
        <w:rPr>
          <w:i/>
        </w:rPr>
        <w:t>Budget</w:t>
      </w:r>
      <w:r w:rsidRPr="00F61BBA">
        <w:t>, residential property prices, auction clearance rates and housing sentiment have improved earlier than expected. However, below-average housing turnover, high levels of household debt and elevated global uncertainty are still weighing on the property market.</w:t>
      </w:r>
    </w:p>
    <w:p w14:paraId="5A5B4829" w14:textId="77777777" w:rsidR="00964B88" w:rsidRDefault="00964B88" w:rsidP="00F53820">
      <w:pPr>
        <w:pStyle w:val="ListBullet"/>
        <w:numPr>
          <w:ilvl w:val="0"/>
          <w:numId w:val="20"/>
        </w:numPr>
      </w:pPr>
      <w:r>
        <w:t xml:space="preserve">Land tax revenue has been downgraded since the </w:t>
      </w:r>
      <w:r w:rsidRPr="000B0192">
        <w:rPr>
          <w:i/>
        </w:rPr>
        <w:t>2019-20 Budget</w:t>
      </w:r>
      <w:r>
        <w:t xml:space="preserve"> due to fewer properties being liable</w:t>
      </w:r>
      <w:r w:rsidRPr="00073D86">
        <w:t xml:space="preserve"> </w:t>
      </w:r>
      <w:r>
        <w:t xml:space="preserve">for land tax than previously anticipated. Land tax revenue is forecast to increase by 1.0 per cent to $3.5 billion in 2019-20. </w:t>
      </w:r>
      <w:r w:rsidRPr="00C40DEB">
        <w:t xml:space="preserve">Land tax collections reflect land valuations </w:t>
      </w:r>
      <w:r>
        <w:t xml:space="preserve">as well as </w:t>
      </w:r>
      <w:r w:rsidRPr="00C40DEB">
        <w:t>the number of properties liable for land tax</w:t>
      </w:r>
      <w:r>
        <w:t xml:space="preserve">. Improvements in </w:t>
      </w:r>
      <w:r w:rsidRPr="00C40DEB">
        <w:t xml:space="preserve">the residential property market </w:t>
      </w:r>
      <w:r>
        <w:t xml:space="preserve">are expected to increase </w:t>
      </w:r>
      <w:r w:rsidRPr="00C40DEB">
        <w:t xml:space="preserve">land valuations </w:t>
      </w:r>
      <w:r>
        <w:t xml:space="preserve">and land tax collections </w:t>
      </w:r>
      <w:r w:rsidRPr="00C40DEB">
        <w:t>over the forward estimates</w:t>
      </w:r>
      <w:r>
        <w:t>.</w:t>
      </w:r>
    </w:p>
    <w:p w14:paraId="7AEC35DE" w14:textId="77777777" w:rsidR="00964B88" w:rsidRPr="00C04C22" w:rsidRDefault="00964B88" w:rsidP="00F53820">
      <w:pPr>
        <w:pStyle w:val="ListBullet"/>
        <w:numPr>
          <w:ilvl w:val="0"/>
          <w:numId w:val="0"/>
        </w:numPr>
      </w:pPr>
      <w:r w:rsidRPr="00C04C22">
        <w:rPr>
          <w:rFonts w:cstheme="minorHAnsi"/>
          <w:color w:val="000000"/>
        </w:rPr>
        <w:t xml:space="preserve">Despite the dampening impact of the weaker macroeconomic outlook, sector-specific factors along with modest wage and price growth are expected to support non-property tax </w:t>
      </w:r>
      <w:r>
        <w:rPr>
          <w:rFonts w:cstheme="minorHAnsi"/>
          <w:color w:val="000000"/>
        </w:rPr>
        <w:t xml:space="preserve">revenue </w:t>
      </w:r>
      <w:r w:rsidRPr="00C04C22">
        <w:rPr>
          <w:rFonts w:cstheme="minorHAnsi"/>
          <w:color w:val="000000"/>
        </w:rPr>
        <w:t>over the forward estimates.</w:t>
      </w:r>
    </w:p>
    <w:p w14:paraId="52DB71D8" w14:textId="77777777" w:rsidR="00964B88" w:rsidRDefault="00964B88" w:rsidP="00F53820">
      <w:pPr>
        <w:pStyle w:val="ListBullet"/>
        <w:numPr>
          <w:ilvl w:val="0"/>
          <w:numId w:val="20"/>
        </w:numPr>
      </w:pPr>
      <w:r>
        <w:t>Payroll tax revenue is forecast to grow by 4.9 per cent to $6.6 billion in 2019-20, and increase by an average of 4.2 per cent a year over the forward estimates. Wages growth is expected to gradually improve, as excess capacity in the labour market is further absorbed.</w:t>
      </w:r>
    </w:p>
    <w:p w14:paraId="47AB5066" w14:textId="77777777" w:rsidR="00964B88" w:rsidRDefault="00964B88" w:rsidP="00F53820">
      <w:pPr>
        <w:pStyle w:val="ListBullet"/>
        <w:numPr>
          <w:ilvl w:val="0"/>
          <w:numId w:val="20"/>
        </w:numPr>
      </w:pPr>
      <w:r>
        <w:t>Insurance tax revenue is forecast to grow by 6.9 per cent to $1.5 billion in 2019-20, and increase by an average of 6.4 per cent a year over the forward estimates, reflecting growth in some consumer and commercial products.</w:t>
      </w:r>
    </w:p>
    <w:p w14:paraId="1238263C" w14:textId="77777777" w:rsidR="00964B88" w:rsidRDefault="00964B88" w:rsidP="00F53820">
      <w:pPr>
        <w:pStyle w:val="ListBullet"/>
        <w:numPr>
          <w:ilvl w:val="0"/>
          <w:numId w:val="20"/>
        </w:numPr>
      </w:pPr>
      <w:r>
        <w:t>Gambling tax revenue is forecast to grow by 0.5 per cent to $2.0 billion in 2019-20, following strong growth in 2018-19. Revenue is forecast to increase by an average of 2.4 per cent a year over the forward estimates reflecting higher lottery and wagering tax collections.</w:t>
      </w:r>
    </w:p>
    <w:p w14:paraId="0F1F82B9" w14:textId="77777777" w:rsidR="00964B88" w:rsidRPr="00F81483" w:rsidRDefault="00964B88" w:rsidP="005B45CC">
      <w:pPr>
        <w:pStyle w:val="ListBullet"/>
        <w:numPr>
          <w:ilvl w:val="0"/>
          <w:numId w:val="20"/>
        </w:numPr>
        <w:ind w:right="-86"/>
      </w:pPr>
      <w:r>
        <w:t>Motor vehicle tax revenue is forecast to grow by 8.8 per cent to $2.8 billion in 2019</w:t>
      </w:r>
      <w:r w:rsidR="005B45CC">
        <w:noBreakHyphen/>
      </w:r>
      <w:r>
        <w:t xml:space="preserve">20, reflecting the commencement of new policy decisions announced in the </w:t>
      </w:r>
      <w:r w:rsidRPr="00B12DA9">
        <w:rPr>
          <w:i/>
        </w:rPr>
        <w:t>2019</w:t>
      </w:r>
      <w:r>
        <w:rPr>
          <w:i/>
        </w:rPr>
        <w:noBreakHyphen/>
      </w:r>
      <w:r w:rsidRPr="00B12DA9">
        <w:rPr>
          <w:i/>
        </w:rPr>
        <w:t>20</w:t>
      </w:r>
      <w:r w:rsidR="005B45CC">
        <w:rPr>
          <w:i/>
        </w:rPr>
        <w:t> </w:t>
      </w:r>
      <w:r w:rsidRPr="00B12DA9">
        <w:rPr>
          <w:i/>
        </w:rPr>
        <w:t>Budget</w:t>
      </w:r>
      <w:r>
        <w:t>. Motor vehicle tax revenue is forecast to grow by an average of 4.4 per cent a year over the forward estimates.</w:t>
      </w:r>
    </w:p>
    <w:p w14:paraId="46E6AC27" w14:textId="77777777" w:rsidR="00964B88" w:rsidRPr="00F81483" w:rsidRDefault="00964B88" w:rsidP="00F53820">
      <w:pPr>
        <w:pStyle w:val="Heading30"/>
        <w:spacing w:before="180"/>
        <w:rPr>
          <w:rFonts w:eastAsiaTheme="minorHAnsi"/>
        </w:rPr>
      </w:pPr>
      <w:bookmarkStart w:id="26" w:name="_Hlk26197210"/>
      <w:r w:rsidRPr="00F81483">
        <w:rPr>
          <w:rFonts w:eastAsiaTheme="minorHAnsi"/>
        </w:rPr>
        <w:lastRenderedPageBreak/>
        <w:t>Dividends, income tax equivalent and interest</w:t>
      </w:r>
    </w:p>
    <w:p w14:paraId="1A672FCF" w14:textId="77777777" w:rsidR="00964B88" w:rsidRDefault="00964B88" w:rsidP="00F53820">
      <w:r w:rsidRPr="006A5456">
        <w:t>Dividend and income tax equivalent revenue is projected to be $8</w:t>
      </w:r>
      <w:r>
        <w:t>25</w:t>
      </w:r>
      <w:r w:rsidRPr="006A5456">
        <w:t xml:space="preserve"> million in 2019</w:t>
      </w:r>
      <w:r>
        <w:t>-</w:t>
      </w:r>
      <w:r w:rsidRPr="006A5456">
        <w:t>20 and decrease by an average of 11.</w:t>
      </w:r>
      <w:r>
        <w:t>6</w:t>
      </w:r>
      <w:r w:rsidRPr="006A5456">
        <w:t xml:space="preserve"> per cent a year over the </w:t>
      </w:r>
      <w:r>
        <w:t>forward estimates</w:t>
      </w:r>
      <w:r w:rsidRPr="006A5456">
        <w:t>. The higher revenue in 2019-20 is largely due to dividends from metropolitan water authorities, the Victorian Managed Insurance Authority, and the Treasury Corporation of Victoria.</w:t>
      </w:r>
    </w:p>
    <w:bookmarkEnd w:id="26"/>
    <w:p w14:paraId="03A1D14C" w14:textId="77777777" w:rsidR="00964B88" w:rsidRPr="006A0642" w:rsidRDefault="00964B88" w:rsidP="00F53820">
      <w:r w:rsidRPr="006A0642">
        <w:t>Interest income is earned on holdings of cash and deposits. Total interest income is expected to be $</w:t>
      </w:r>
      <w:r>
        <w:t>712</w:t>
      </w:r>
      <w:r w:rsidRPr="006A0642">
        <w:t> million in 2019</w:t>
      </w:r>
      <w:r w:rsidRPr="006A0642">
        <w:noBreakHyphen/>
        <w:t xml:space="preserve">20, and is forecast to decline by an average of </w:t>
      </w:r>
      <w:r>
        <w:t>2.0</w:t>
      </w:r>
      <w:r w:rsidRPr="006A0642">
        <w:t xml:space="preserve"> per cent a year </w:t>
      </w:r>
      <w:r w:rsidRPr="006A5456">
        <w:t xml:space="preserve">over the </w:t>
      </w:r>
      <w:r>
        <w:t>forward estimates</w:t>
      </w:r>
      <w:r w:rsidRPr="006A0642">
        <w:t xml:space="preserve">, </w:t>
      </w:r>
      <w:r>
        <w:t xml:space="preserve">largely due to </w:t>
      </w:r>
      <w:r w:rsidRPr="001F69F4">
        <w:t xml:space="preserve">money </w:t>
      </w:r>
      <w:r>
        <w:t>being</w:t>
      </w:r>
      <w:r w:rsidRPr="001F69F4">
        <w:t xml:space="preserve"> drawn down from the Victorian Transport Fund to fund infrastructure. </w:t>
      </w:r>
    </w:p>
    <w:p w14:paraId="71E713D1" w14:textId="77777777" w:rsidR="00964B88" w:rsidRPr="00C203E5" w:rsidRDefault="00964B88" w:rsidP="00F53820">
      <w:pPr>
        <w:pStyle w:val="Heading30"/>
        <w:spacing w:before="180"/>
        <w:rPr>
          <w:rFonts w:eastAsiaTheme="minorHAnsi"/>
        </w:rPr>
      </w:pPr>
      <w:r w:rsidRPr="00C203E5">
        <w:rPr>
          <w:rFonts w:eastAsiaTheme="minorHAnsi"/>
        </w:rPr>
        <w:t>Sales of goods and services</w:t>
      </w:r>
    </w:p>
    <w:p w14:paraId="48F03681" w14:textId="77777777" w:rsidR="00964B88" w:rsidRDefault="00964B88" w:rsidP="005B45CC">
      <w:pPr>
        <w:ind w:right="56"/>
      </w:pPr>
      <w:r w:rsidRPr="00C203E5">
        <w:t xml:space="preserve">Revenue from the sales of goods and services is expected to grow by </w:t>
      </w:r>
      <w:r>
        <w:t>4.7</w:t>
      </w:r>
      <w:r w:rsidRPr="00C203E5">
        <w:t> per cent in 201</w:t>
      </w:r>
      <w:r>
        <w:t>9</w:t>
      </w:r>
      <w:r w:rsidRPr="00C203E5">
        <w:noBreakHyphen/>
      </w:r>
      <w:r>
        <w:t>20</w:t>
      </w:r>
      <w:r w:rsidRPr="00C203E5">
        <w:t xml:space="preserve"> to $</w:t>
      </w:r>
      <w:r>
        <w:t>8.1 billion</w:t>
      </w:r>
      <w:r w:rsidRPr="00C203E5">
        <w:t xml:space="preserve">. </w:t>
      </w:r>
      <w:r>
        <w:t>Growth o</w:t>
      </w:r>
      <w:r w:rsidRPr="00C203E5">
        <w:t>ver the forward estimates</w:t>
      </w:r>
      <w:r>
        <w:t xml:space="preserve"> </w:t>
      </w:r>
      <w:r w:rsidRPr="00C203E5">
        <w:t xml:space="preserve">is expected to average </w:t>
      </w:r>
      <w:r>
        <w:t>4.4</w:t>
      </w:r>
      <w:r w:rsidRPr="00C203E5">
        <w:t xml:space="preserve"> per cent a year. </w:t>
      </w:r>
      <w:r w:rsidRPr="007465C5">
        <w:t xml:space="preserve">This growth largely reflects </w:t>
      </w:r>
      <w:r>
        <w:t xml:space="preserve">increases in the </w:t>
      </w:r>
      <w:r w:rsidRPr="006236EA">
        <w:t>capital asset charge revenue from VicTrack associated with an increase in its asset base, along with an increase in TAFE fees for service due to</w:t>
      </w:r>
      <w:r>
        <w:t xml:space="preserve"> higher</w:t>
      </w:r>
      <w:r w:rsidRPr="006236EA">
        <w:t xml:space="preserve"> </w:t>
      </w:r>
      <w:r>
        <w:t>expected</w:t>
      </w:r>
      <w:r w:rsidRPr="006236EA">
        <w:t xml:space="preserve"> student numbers.</w:t>
      </w:r>
    </w:p>
    <w:p w14:paraId="4267DD30" w14:textId="77777777" w:rsidR="00964B88" w:rsidRDefault="00964B88" w:rsidP="00F53820">
      <w:pPr>
        <w:pStyle w:val="Heading30"/>
        <w:spacing w:before="180"/>
        <w:rPr>
          <w:rFonts w:eastAsiaTheme="minorHAnsi"/>
        </w:rPr>
      </w:pPr>
      <w:bookmarkStart w:id="27" w:name="_Hlk26197404"/>
      <w:r w:rsidRPr="00C203E5">
        <w:rPr>
          <w:rFonts w:eastAsiaTheme="minorHAnsi"/>
        </w:rPr>
        <w:t>Grants</w:t>
      </w:r>
    </w:p>
    <w:bookmarkEnd w:id="27"/>
    <w:p w14:paraId="259D4A9D" w14:textId="77777777" w:rsidR="00964B88" w:rsidRDefault="00964B88" w:rsidP="005B45CC">
      <w:r w:rsidRPr="003C7629">
        <w:t xml:space="preserve">Total grants revenue is expected to </w:t>
      </w:r>
      <w:r w:rsidRPr="008C31D9">
        <w:t xml:space="preserve">grow by </w:t>
      </w:r>
      <w:r>
        <w:t>1</w:t>
      </w:r>
      <w:r w:rsidRPr="008C31D9">
        <w:t>.</w:t>
      </w:r>
      <w:r>
        <w:t>8</w:t>
      </w:r>
      <w:r w:rsidRPr="008C31D9">
        <w:t> per cent</w:t>
      </w:r>
      <w:r w:rsidRPr="003C7629">
        <w:t xml:space="preserve"> to $3</w:t>
      </w:r>
      <w:r>
        <w:t>3</w:t>
      </w:r>
      <w:r w:rsidRPr="003C7629">
        <w:t>.</w:t>
      </w:r>
      <w:r>
        <w:t>9</w:t>
      </w:r>
      <w:r w:rsidRPr="003C7629">
        <w:t xml:space="preserve"> billion in 2019-20, and by an average of </w:t>
      </w:r>
      <w:r>
        <w:t>6</w:t>
      </w:r>
      <w:r w:rsidRPr="003C7629">
        <w:t>.</w:t>
      </w:r>
      <w:r>
        <w:t>0</w:t>
      </w:r>
      <w:r w:rsidRPr="003C7629">
        <w:t xml:space="preserve"> per cent a year over the forward estimates. Total grant revenue growth over the next four years is largely driven by GST revenue.</w:t>
      </w:r>
    </w:p>
    <w:p w14:paraId="1E442A26" w14:textId="77777777" w:rsidR="00964B88" w:rsidRDefault="00964B88" w:rsidP="00F53820">
      <w:r>
        <w:t xml:space="preserve">In 2019-20, GST revenue is expected to grow by 1.8 per cent to $17.0 billion. GST revenue has been downgraded </w:t>
      </w:r>
      <w:r w:rsidRPr="00C83789">
        <w:t>by $1.2 billion</w:t>
      </w:r>
      <w:r>
        <w:t xml:space="preserve"> over the budget and forward estimates, reflecting slower growth in the national GST pool, driven by a weaker outlook for household consumption and dwelling investment. </w:t>
      </w:r>
    </w:p>
    <w:p w14:paraId="3811C7BA" w14:textId="77777777" w:rsidR="00964B88" w:rsidRDefault="00964B88" w:rsidP="00F53820">
      <w:r>
        <w:t>Over the forward estimates, GST revenue is expected to grow by an average rate of 7.9 per cent a year. Victoria’s GST relativity is forecast to increase, consistent with Victoria’s growing population share and the associated need for additional infrastructure. Continued strength in commodity prices will likely sustain high royalty revenue for Queensland and Western Australia that will also contribute to higher GST grants to Victoria.</w:t>
      </w:r>
    </w:p>
    <w:p w14:paraId="1D27EED5" w14:textId="77777777" w:rsidR="00964B88" w:rsidRDefault="00964B88" w:rsidP="00F53820">
      <w:r w:rsidRPr="00671FF5">
        <w:t>Commonwealth grants for specific purposes are projected to average $16.</w:t>
      </w:r>
      <w:r>
        <w:t>6</w:t>
      </w:r>
      <w:r w:rsidRPr="00671FF5">
        <w:t> billion a year across the budget and forward estimates. The Commonwealth provides these grants as contributions towards healthcare, education, disability and other services, and major infrastructure investment.</w:t>
      </w:r>
    </w:p>
    <w:p w14:paraId="20022711" w14:textId="77777777" w:rsidR="00964B88" w:rsidRPr="00C203E5" w:rsidRDefault="00964B88" w:rsidP="00F53820">
      <w:bookmarkStart w:id="28" w:name="_Hlk26197413"/>
      <w:r w:rsidRPr="00AA4662">
        <w:t>Commonwealth grants for specific purposes</w:t>
      </w:r>
      <w:r>
        <w:t xml:space="preserve"> are forecast to</w:t>
      </w:r>
      <w:r w:rsidRPr="00AA4662">
        <w:t xml:space="preserve"> decrease in 2019</w:t>
      </w:r>
      <w:r w:rsidRPr="00AA4662">
        <w:noBreakHyphen/>
        <w:t>20 largely due to the transfer of responsibility for disability services from Victoria to the National Disability Insurance Agency</w:t>
      </w:r>
      <w:r>
        <w:t xml:space="preserve"> (NDIA)</w:t>
      </w:r>
      <w:r w:rsidRPr="00AA4662">
        <w:t xml:space="preserve"> as part of the full roll</w:t>
      </w:r>
      <w:r w:rsidRPr="00AA4662">
        <w:noBreakHyphen/>
        <w:t>out of the National Disability Insurance Scheme (NDIS).</w:t>
      </w:r>
    </w:p>
    <w:bookmarkEnd w:id="28"/>
    <w:p w14:paraId="0DA167CF" w14:textId="77777777" w:rsidR="00964B88" w:rsidRPr="00C203E5" w:rsidRDefault="00964B88" w:rsidP="00F53820">
      <w:pPr>
        <w:pStyle w:val="Heading30"/>
        <w:spacing w:before="180"/>
        <w:rPr>
          <w:rFonts w:eastAsiaTheme="minorHAnsi"/>
        </w:rPr>
      </w:pPr>
      <w:r w:rsidRPr="00C203E5">
        <w:rPr>
          <w:rFonts w:eastAsiaTheme="minorHAnsi"/>
        </w:rPr>
        <w:lastRenderedPageBreak/>
        <w:t>Other current revenue</w:t>
      </w:r>
    </w:p>
    <w:p w14:paraId="04181F42" w14:textId="77777777" w:rsidR="00964B88" w:rsidRPr="0028415C" w:rsidRDefault="00964B88" w:rsidP="00F53820">
      <w:pPr>
        <w:ind w:right="481"/>
      </w:pPr>
      <w:r w:rsidRPr="00852544">
        <w:t>Other current revenue includes fines, royalties, donations and gifts, assets received free of charge and other miscellaneous revenues. Other current revenue is projected to be $3.0 billion in 2019</w:t>
      </w:r>
      <w:r w:rsidRPr="00852544">
        <w:noBreakHyphen/>
        <w:t>20 and increase by an average of</w:t>
      </w:r>
      <w:r>
        <w:t xml:space="preserve"> 3</w:t>
      </w:r>
      <w:r w:rsidRPr="00852544">
        <w:t>.</w:t>
      </w:r>
      <w:r>
        <w:t>8</w:t>
      </w:r>
      <w:r w:rsidRPr="00852544">
        <w:t> per cent a year across the forward estimates.</w:t>
      </w:r>
    </w:p>
    <w:p w14:paraId="2C73DD27" w14:textId="77777777" w:rsidR="00964B88" w:rsidRPr="00C203E5" w:rsidRDefault="00964B88" w:rsidP="00F53820">
      <w:pPr>
        <w:pStyle w:val="Heading20"/>
        <w:rPr>
          <w:rFonts w:eastAsiaTheme="minorHAnsi"/>
        </w:rPr>
      </w:pPr>
      <w:bookmarkStart w:id="29" w:name="_Hlk26197429"/>
      <w:r w:rsidRPr="00C203E5">
        <w:rPr>
          <w:rFonts w:eastAsiaTheme="minorHAnsi"/>
        </w:rPr>
        <w:t>Expenses outlook</w:t>
      </w:r>
    </w:p>
    <w:bookmarkEnd w:id="29"/>
    <w:p w14:paraId="73F7E127" w14:textId="77777777" w:rsidR="00964B88" w:rsidRPr="00293435" w:rsidRDefault="00964B88" w:rsidP="00F53820">
      <w:r w:rsidRPr="00293435">
        <w:t>Total expenses for the general government sector are expected to be $70.</w:t>
      </w:r>
      <w:r>
        <w:t>3</w:t>
      </w:r>
      <w:r w:rsidRPr="00293435">
        <w:t> billion in 2019</w:t>
      </w:r>
      <w:r w:rsidRPr="00293435">
        <w:noBreakHyphen/>
        <w:t>20. Total expenses are expected to grow by 3.3 per cent a year on average over four</w:t>
      </w:r>
      <w:r>
        <w:t> </w:t>
      </w:r>
      <w:r w:rsidRPr="00293435">
        <w:t>years to $77.</w:t>
      </w:r>
      <w:r>
        <w:t>7</w:t>
      </w:r>
      <w:r w:rsidRPr="00293435">
        <w:t> billion in 2022</w:t>
      </w:r>
      <w:r w:rsidRPr="00293435">
        <w:noBreakHyphen/>
        <w:t xml:space="preserve">23. </w:t>
      </w:r>
    </w:p>
    <w:p w14:paraId="07859A05" w14:textId="77777777" w:rsidR="00964B88" w:rsidRDefault="00964B88" w:rsidP="00F53820">
      <w:pPr>
        <w:pStyle w:val="ListBullet"/>
      </w:pPr>
      <w:bookmarkStart w:id="30" w:name="_Hlk26197555"/>
      <w:r>
        <w:t>E</w:t>
      </w:r>
      <w:r w:rsidRPr="00AA09FF">
        <w:t xml:space="preserve">mployee expenses (including superannuation) are forecast to grow by </w:t>
      </w:r>
      <w:r>
        <w:t>2.0</w:t>
      </w:r>
      <w:r w:rsidRPr="00AA09FF">
        <w:t> per cent in 2019</w:t>
      </w:r>
      <w:r w:rsidRPr="00AA09FF">
        <w:noBreakHyphen/>
        <w:t xml:space="preserve">20, </w:t>
      </w:r>
      <w:r>
        <w:t>followed by</w:t>
      </w:r>
      <w:r w:rsidRPr="00AA09FF">
        <w:t xml:space="preserve"> average annual increase</w:t>
      </w:r>
      <w:r>
        <w:t>s</w:t>
      </w:r>
      <w:r w:rsidRPr="00AA09FF">
        <w:t xml:space="preserve"> of 4.2 per cent over the forward estimates. </w:t>
      </w:r>
      <w:r w:rsidRPr="00BD1078">
        <w:t>The growth over the forward estimates reflects increased service delivery, primarily in respect to health, education and police, as well as increased remuneration consistent with enterprise bargaining agreements</w:t>
      </w:r>
      <w:r>
        <w:t>;</w:t>
      </w:r>
    </w:p>
    <w:bookmarkEnd w:id="30"/>
    <w:p w14:paraId="2B72673E" w14:textId="77777777" w:rsidR="00964B88" w:rsidRDefault="00964B88" w:rsidP="00F53820">
      <w:pPr>
        <w:pStyle w:val="ListBullet"/>
      </w:pPr>
      <w:r>
        <w:t>D</w:t>
      </w:r>
      <w:r w:rsidRPr="00F87383">
        <w:t xml:space="preserve">epreciation expense is forecast to grow by </w:t>
      </w:r>
      <w:r>
        <w:t>29</w:t>
      </w:r>
      <w:r w:rsidRPr="00F87383">
        <w:t>.</w:t>
      </w:r>
      <w:r>
        <w:t>7</w:t>
      </w:r>
      <w:r w:rsidRPr="00F87383">
        <w:t> per cent to $3.</w:t>
      </w:r>
      <w:r>
        <w:t>7</w:t>
      </w:r>
      <w:r w:rsidRPr="00F87383">
        <w:t xml:space="preserve"> billion in 2019-20 and </w:t>
      </w:r>
      <w:r w:rsidRPr="00385FEA">
        <w:t xml:space="preserve">increase by </w:t>
      </w:r>
      <w:r>
        <w:t>7</w:t>
      </w:r>
      <w:r w:rsidRPr="00385FEA">
        <w:t>.</w:t>
      </w:r>
      <w:r>
        <w:t>7</w:t>
      </w:r>
      <w:r w:rsidRPr="00385FEA">
        <w:t> per cent a year on average over the forward estimates. The increase in 2019-20 is principally due to the impact of accounting standard</w:t>
      </w:r>
      <w:r>
        <w:t>s</w:t>
      </w:r>
      <w:r w:rsidRPr="00385FEA">
        <w:t xml:space="preserve"> changes, which increase depreciation expense as a result of the additional assets now recognised;</w:t>
      </w:r>
    </w:p>
    <w:p w14:paraId="5EEF7C8E" w14:textId="77777777" w:rsidR="00964B88" w:rsidRDefault="00964B88" w:rsidP="00F53820">
      <w:pPr>
        <w:pStyle w:val="ListBullet"/>
      </w:pPr>
      <w:r>
        <w:t>I</w:t>
      </w:r>
      <w:r w:rsidRPr="00385FEA">
        <w:t>nterest expense is forecast to grow by 2</w:t>
      </w:r>
      <w:r>
        <w:t>1.5</w:t>
      </w:r>
      <w:r w:rsidRPr="00385FEA">
        <w:t xml:space="preserve"> per cent to $2.</w:t>
      </w:r>
      <w:r>
        <w:t>6</w:t>
      </w:r>
      <w:r w:rsidRPr="00385FEA">
        <w:t xml:space="preserve"> billion in 2019-20, largely due to the impact of accounting standard</w:t>
      </w:r>
      <w:r>
        <w:t>s</w:t>
      </w:r>
      <w:r w:rsidRPr="00385FEA">
        <w:t xml:space="preserve"> changes associated with the first-time recognition </w:t>
      </w:r>
      <w:r w:rsidRPr="00112D18">
        <w:t>of additional lease liabilities (which does not increase the</w:t>
      </w:r>
      <w:r>
        <w:t xml:space="preserve"> underlying</w:t>
      </w:r>
      <w:r w:rsidRPr="00112D18">
        <w:t xml:space="preserve"> cost of borrowings). Growth is then expected to moderate, with interest expense forecast to increase by an average of </w:t>
      </w:r>
      <w:r>
        <w:t>4</w:t>
      </w:r>
      <w:r w:rsidRPr="00112D18">
        <w:t>.</w:t>
      </w:r>
      <w:r>
        <w:t>0</w:t>
      </w:r>
      <w:r w:rsidRPr="00112D18">
        <w:t xml:space="preserve"> per cent a year over the forward estimates;</w:t>
      </w:r>
    </w:p>
    <w:p w14:paraId="248A34EB" w14:textId="77777777" w:rsidR="00964B88" w:rsidRDefault="00964B88" w:rsidP="00F53820">
      <w:pPr>
        <w:pStyle w:val="ListBullet"/>
      </w:pPr>
      <w:r>
        <w:t>G</w:t>
      </w:r>
      <w:r w:rsidRPr="00385FEA">
        <w:t xml:space="preserve">rants expense </w:t>
      </w:r>
      <w:r>
        <w:t>is</w:t>
      </w:r>
      <w:r w:rsidRPr="00385FEA">
        <w:t xml:space="preserve"> forecast to decline by </w:t>
      </w:r>
      <w:r>
        <w:t>2.5</w:t>
      </w:r>
      <w:r w:rsidRPr="00385FEA">
        <w:t> per cent to $1</w:t>
      </w:r>
      <w:r>
        <w:t>3</w:t>
      </w:r>
      <w:r w:rsidRPr="00385FEA">
        <w:t>.</w:t>
      </w:r>
      <w:r>
        <w:t>0</w:t>
      </w:r>
      <w:r w:rsidRPr="00385FEA">
        <w:t> billion in 2019-20, largely due to a change in the payment schedule for local government assistance grants th</w:t>
      </w:r>
      <w:r w:rsidRPr="00F87383">
        <w:t>e State on-passes on behalf of the Commonwealth</w:t>
      </w:r>
      <w:r>
        <w:t xml:space="preserve">. Thereafter, </w:t>
      </w:r>
      <w:r w:rsidRPr="00051E47">
        <w:t>growth is expected to average 6.</w:t>
      </w:r>
      <w:r>
        <w:t>9</w:t>
      </w:r>
      <w:r w:rsidRPr="00051E47">
        <w:t> per cent a year over the forward estimates</w:t>
      </w:r>
      <w:r>
        <w:t>; and</w:t>
      </w:r>
    </w:p>
    <w:p w14:paraId="651CF356" w14:textId="77777777" w:rsidR="00964B88" w:rsidRPr="00D836B0" w:rsidRDefault="00964B88" w:rsidP="00F53820">
      <w:pPr>
        <w:pStyle w:val="ListBullet"/>
        <w:ind w:right="-94"/>
      </w:pPr>
      <w:bookmarkStart w:id="31" w:name="_Hlk26197437"/>
      <w:r>
        <w:t>O</w:t>
      </w:r>
      <w:r w:rsidRPr="00D836B0">
        <w:t>ther operating expenses are forecast to increase by</w:t>
      </w:r>
      <w:r>
        <w:t xml:space="preserve"> 2</w:t>
      </w:r>
      <w:r w:rsidRPr="00D836B0">
        <w:t>.</w:t>
      </w:r>
      <w:r>
        <w:t>8</w:t>
      </w:r>
      <w:r w:rsidRPr="00D836B0">
        <w:t xml:space="preserve"> per cent </w:t>
      </w:r>
      <w:r>
        <w:t xml:space="preserve">to $21.6 billion </w:t>
      </w:r>
      <w:r w:rsidRPr="00D836B0">
        <w:t>in 2019</w:t>
      </w:r>
      <w:r w:rsidRPr="00D836B0">
        <w:noBreakHyphen/>
        <w:t>20</w:t>
      </w:r>
      <w:r>
        <w:t>. O</w:t>
      </w:r>
      <w:r w:rsidRPr="00C203E5">
        <w:t xml:space="preserve">ther operating expenses </w:t>
      </w:r>
      <w:r>
        <w:t>are expected to</w:t>
      </w:r>
      <w:r w:rsidRPr="00C203E5">
        <w:t xml:space="preserve"> decrease by an average of 1.</w:t>
      </w:r>
      <w:r>
        <w:t>0</w:t>
      </w:r>
      <w:r w:rsidRPr="00C203E5">
        <w:t> per cent a year over the forward estimates</w:t>
      </w:r>
      <w:r>
        <w:t>,</w:t>
      </w:r>
      <w:r w:rsidRPr="00AC6D80">
        <w:t xml:space="preserve"> </w:t>
      </w:r>
      <w:r>
        <w:t xml:space="preserve">partly </w:t>
      </w:r>
      <w:r w:rsidRPr="005A5DDD">
        <w:t xml:space="preserve">reflecting the </w:t>
      </w:r>
      <w:r>
        <w:t>transition of services to the Commonwealth for the NDIS.</w:t>
      </w:r>
    </w:p>
    <w:bookmarkEnd w:id="31"/>
    <w:p w14:paraId="22B00D86" w14:textId="77777777" w:rsidR="00964B88" w:rsidRPr="007E621E" w:rsidRDefault="00964B88" w:rsidP="00F53820">
      <w:r w:rsidRPr="007E621E">
        <w:br w:type="page"/>
      </w:r>
    </w:p>
    <w:p w14:paraId="57039B01" w14:textId="77777777" w:rsidR="00964B88" w:rsidRPr="00F6096E" w:rsidRDefault="00964B88" w:rsidP="00F53820">
      <w:pPr>
        <w:pStyle w:val="Heading20"/>
        <w:rPr>
          <w:rFonts w:eastAsiaTheme="minorHAnsi"/>
        </w:rPr>
      </w:pPr>
      <w:bookmarkStart w:id="32" w:name="_Hlk24646935"/>
      <w:r w:rsidRPr="00F6096E">
        <w:rPr>
          <w:rFonts w:eastAsiaTheme="minorHAnsi"/>
        </w:rPr>
        <w:lastRenderedPageBreak/>
        <w:t xml:space="preserve">Reconciliation of estimates to the </w:t>
      </w:r>
      <w:r w:rsidRPr="00F6096E">
        <w:rPr>
          <w:rFonts w:eastAsiaTheme="minorHAnsi"/>
          <w:i/>
        </w:rPr>
        <w:t>2019</w:t>
      </w:r>
      <w:r w:rsidRPr="00F6096E">
        <w:rPr>
          <w:rFonts w:eastAsiaTheme="minorHAnsi"/>
          <w:i/>
        </w:rPr>
        <w:noBreakHyphen/>
        <w:t>20 Budget</w:t>
      </w:r>
    </w:p>
    <w:bookmarkEnd w:id="32"/>
    <w:p w14:paraId="405E6096" w14:textId="77777777" w:rsidR="00964B88" w:rsidRPr="00F6096E" w:rsidRDefault="00964B88" w:rsidP="00F53820">
      <w:r>
        <w:t>Compared</w:t>
      </w:r>
      <w:r w:rsidRPr="00F6096E">
        <w:t xml:space="preserve"> </w:t>
      </w:r>
      <w:r>
        <w:t>with</w:t>
      </w:r>
      <w:r w:rsidRPr="00F6096E">
        <w:t xml:space="preserve"> the </w:t>
      </w:r>
      <w:r w:rsidRPr="00F6096E">
        <w:rPr>
          <w:i/>
        </w:rPr>
        <w:t>2019</w:t>
      </w:r>
      <w:r w:rsidRPr="00F6096E">
        <w:rPr>
          <w:i/>
        </w:rPr>
        <w:noBreakHyphen/>
        <w:t>20 Budget</w:t>
      </w:r>
      <w:r w:rsidRPr="00F6096E">
        <w:t xml:space="preserve">, the net result from transactions has been revised down by </w:t>
      </w:r>
      <w:r w:rsidRPr="008726A1">
        <w:t>$</w:t>
      </w:r>
      <w:r>
        <w:t>432</w:t>
      </w:r>
      <w:r w:rsidRPr="008726A1">
        <w:t> million in 201</w:t>
      </w:r>
      <w:r>
        <w:t>9</w:t>
      </w:r>
      <w:r w:rsidRPr="008726A1">
        <w:noBreakHyphen/>
      </w:r>
      <w:r>
        <w:t>20</w:t>
      </w:r>
      <w:r w:rsidRPr="008726A1">
        <w:t>, by $</w:t>
      </w:r>
      <w:r>
        <w:t>232</w:t>
      </w:r>
      <w:r w:rsidRPr="008726A1">
        <w:t> million in 20</w:t>
      </w:r>
      <w:r>
        <w:t>20</w:t>
      </w:r>
      <w:r w:rsidRPr="008726A1">
        <w:noBreakHyphen/>
        <w:t>2</w:t>
      </w:r>
      <w:r>
        <w:t>1</w:t>
      </w:r>
      <w:r w:rsidRPr="008726A1">
        <w:t>, by $</w:t>
      </w:r>
      <w:r>
        <w:t>59</w:t>
      </w:r>
      <w:r w:rsidRPr="008726A1">
        <w:t> million in 202</w:t>
      </w:r>
      <w:r>
        <w:t>1</w:t>
      </w:r>
      <w:r w:rsidRPr="008726A1">
        <w:noBreakHyphen/>
        <w:t>2</w:t>
      </w:r>
      <w:r>
        <w:t>2</w:t>
      </w:r>
      <w:r w:rsidRPr="008726A1">
        <w:t xml:space="preserve"> and by $</w:t>
      </w:r>
      <w:r>
        <w:t>50</w:t>
      </w:r>
      <w:r w:rsidRPr="008726A1">
        <w:t> million in 202</w:t>
      </w:r>
      <w:r>
        <w:t>2</w:t>
      </w:r>
      <w:r w:rsidRPr="008726A1">
        <w:noBreakHyphen/>
        <w:t>2</w:t>
      </w:r>
      <w:r>
        <w:t>3</w:t>
      </w:r>
      <w:r w:rsidRPr="00F6096E">
        <w:t xml:space="preserve"> (</w:t>
      </w:r>
      <w:r>
        <w:t>as shown in T</w:t>
      </w:r>
      <w:r w:rsidRPr="00F6096E">
        <w:t>able 3.3).</w:t>
      </w:r>
    </w:p>
    <w:p w14:paraId="7FAC318E" w14:textId="77777777" w:rsidR="00964B88" w:rsidRPr="00BD6B76" w:rsidRDefault="00964B88" w:rsidP="00F53820">
      <w:pPr>
        <w:pStyle w:val="TableHeading"/>
      </w:pPr>
      <w:r w:rsidRPr="00BD6B76">
        <w:t xml:space="preserve">Table 3.3: </w:t>
      </w:r>
      <w:r w:rsidRPr="00BD6B76">
        <w:tab/>
        <w:t xml:space="preserve">Reconciliation of estimates to the </w:t>
      </w:r>
      <w:r w:rsidRPr="00BD6B76">
        <w:rPr>
          <w:i/>
        </w:rPr>
        <w:t xml:space="preserve">2019-20 Budget </w:t>
      </w:r>
      <w:r w:rsidRPr="00BD6B76">
        <w:rPr>
          <w:vertAlign w:val="superscript"/>
        </w:rPr>
        <w:t>(a)</w:t>
      </w:r>
      <w:r w:rsidRPr="00BD6B76">
        <w:t xml:space="preserve"> </w:t>
      </w:r>
      <w:r w:rsidRPr="00BD6B76">
        <w:tab/>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4367"/>
        <w:gridCol w:w="850"/>
        <w:gridCol w:w="850"/>
        <w:gridCol w:w="850"/>
        <w:gridCol w:w="850"/>
      </w:tblGrid>
      <w:tr w:rsidR="005B45CC" w:rsidRPr="005B45CC" w14:paraId="36F351AA" w14:textId="77777777" w:rsidTr="005B45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FFFFFF"/>
          </w:tcPr>
          <w:p w14:paraId="0BF61757" w14:textId="77777777" w:rsidR="005B45CC" w:rsidRPr="005B45CC" w:rsidRDefault="005B45CC" w:rsidP="005B45CC">
            <w:pPr>
              <w:keepLines w:val="0"/>
              <w:autoSpaceDE w:val="0"/>
              <w:autoSpaceDN w:val="0"/>
              <w:adjustRightInd w:val="0"/>
              <w:rPr>
                <w:rFonts w:cstheme="majorHAnsi"/>
              </w:rPr>
            </w:pPr>
            <w:r w:rsidRPr="005B45CC">
              <w:rPr>
                <w:rFonts w:cstheme="majorHAnsi"/>
              </w:rPr>
              <w:t xml:space="preserve">  </w:t>
            </w:r>
          </w:p>
        </w:tc>
        <w:tc>
          <w:tcPr>
            <w:tcW w:w="850" w:type="dxa"/>
            <w:tcBorders>
              <w:top w:val="nil"/>
              <w:left w:val="nil"/>
              <w:right w:val="nil"/>
            </w:tcBorders>
            <w:shd w:val="solid" w:color="000000" w:fill="FFFFFF"/>
          </w:tcPr>
          <w:p w14:paraId="7AEA16BB"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rPr>
            </w:pPr>
            <w:r w:rsidRPr="005B45CC">
              <w:rPr>
                <w:rFonts w:cstheme="majorHAnsi"/>
              </w:rPr>
              <w:t>2019-20</w:t>
            </w:r>
            <w:r w:rsidRPr="005B45CC">
              <w:rPr>
                <w:rFonts w:cstheme="majorHAnsi"/>
              </w:rPr>
              <w:br/>
              <w:t>revised</w:t>
            </w:r>
          </w:p>
        </w:tc>
        <w:tc>
          <w:tcPr>
            <w:tcW w:w="850" w:type="dxa"/>
            <w:tcBorders>
              <w:top w:val="nil"/>
              <w:left w:val="nil"/>
              <w:right w:val="nil"/>
            </w:tcBorders>
            <w:shd w:val="solid" w:color="000000" w:fill="FFFFFF"/>
          </w:tcPr>
          <w:p w14:paraId="0176F1A2"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rPr>
            </w:pPr>
            <w:r w:rsidRPr="005B45CC">
              <w:rPr>
                <w:rFonts w:cstheme="majorHAnsi"/>
              </w:rPr>
              <w:t>2020-21</w:t>
            </w:r>
            <w:r w:rsidRPr="005B45CC">
              <w:rPr>
                <w:rFonts w:cstheme="majorHAnsi"/>
              </w:rPr>
              <w:br/>
              <w:t>estimate</w:t>
            </w:r>
          </w:p>
        </w:tc>
        <w:tc>
          <w:tcPr>
            <w:tcW w:w="850" w:type="dxa"/>
            <w:tcBorders>
              <w:top w:val="nil"/>
              <w:left w:val="nil"/>
              <w:right w:val="nil"/>
            </w:tcBorders>
            <w:shd w:val="solid" w:color="000000" w:fill="FFFFFF"/>
          </w:tcPr>
          <w:p w14:paraId="4B208454"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rPr>
            </w:pPr>
            <w:r w:rsidRPr="005B45CC">
              <w:rPr>
                <w:rFonts w:cstheme="majorHAnsi"/>
              </w:rPr>
              <w:t>2021-22</w:t>
            </w:r>
            <w:r w:rsidRPr="005B45CC">
              <w:rPr>
                <w:rFonts w:cstheme="majorHAnsi"/>
              </w:rPr>
              <w:br/>
              <w:t>estimate</w:t>
            </w:r>
          </w:p>
        </w:tc>
        <w:tc>
          <w:tcPr>
            <w:tcW w:w="850" w:type="dxa"/>
            <w:tcBorders>
              <w:top w:val="nil"/>
              <w:left w:val="nil"/>
              <w:right w:val="nil"/>
            </w:tcBorders>
            <w:shd w:val="solid" w:color="000000" w:fill="FFFFFF"/>
          </w:tcPr>
          <w:p w14:paraId="3981785D"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rPr>
            </w:pPr>
            <w:r w:rsidRPr="005B45CC">
              <w:rPr>
                <w:rFonts w:cstheme="majorHAnsi"/>
              </w:rPr>
              <w:t>2022-23</w:t>
            </w:r>
            <w:r w:rsidRPr="005B45CC">
              <w:rPr>
                <w:rFonts w:cstheme="majorHAnsi"/>
              </w:rPr>
              <w:br/>
              <w:t>estimate</w:t>
            </w:r>
          </w:p>
        </w:tc>
      </w:tr>
      <w:tr w:rsidR="00964B88" w:rsidRPr="005B45CC" w14:paraId="18C5AFF9"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2F90C458" w14:textId="77777777" w:rsidR="00964B88" w:rsidRPr="005B45CC" w:rsidRDefault="00964B88" w:rsidP="005B45CC">
            <w:pPr>
              <w:keepLines w:val="0"/>
              <w:rPr>
                <w:rFonts w:cstheme="majorHAnsi"/>
                <w:b/>
                <w:bCs/>
                <w:color w:val="000000"/>
                <w:szCs w:val="17"/>
              </w:rPr>
            </w:pPr>
            <w:r w:rsidRPr="005B45CC">
              <w:rPr>
                <w:rFonts w:cstheme="majorHAnsi"/>
                <w:b/>
                <w:bCs/>
                <w:color w:val="000000"/>
                <w:szCs w:val="17"/>
              </w:rPr>
              <w:t xml:space="preserve">Net result from transactions: </w:t>
            </w:r>
            <w:r w:rsidRPr="005B45CC">
              <w:rPr>
                <w:rFonts w:cstheme="majorHAnsi"/>
                <w:b/>
                <w:bCs/>
                <w:i/>
                <w:color w:val="000000"/>
                <w:szCs w:val="17"/>
              </w:rPr>
              <w:t>2019-20 Budget</w:t>
            </w:r>
          </w:p>
        </w:tc>
        <w:tc>
          <w:tcPr>
            <w:tcW w:w="850" w:type="dxa"/>
            <w:tcBorders>
              <w:top w:val="nil"/>
              <w:left w:val="nil"/>
              <w:bottom w:val="nil"/>
              <w:right w:val="nil"/>
            </w:tcBorders>
          </w:tcPr>
          <w:p w14:paraId="5FC938C9"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1 050</w:t>
            </w:r>
          </w:p>
        </w:tc>
        <w:tc>
          <w:tcPr>
            <w:tcW w:w="850" w:type="dxa"/>
            <w:tcBorders>
              <w:top w:val="nil"/>
              <w:left w:val="nil"/>
              <w:bottom w:val="nil"/>
              <w:right w:val="nil"/>
            </w:tcBorders>
          </w:tcPr>
          <w:p w14:paraId="45946889"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1 453</w:t>
            </w:r>
          </w:p>
        </w:tc>
        <w:tc>
          <w:tcPr>
            <w:tcW w:w="850" w:type="dxa"/>
            <w:tcBorders>
              <w:top w:val="nil"/>
              <w:left w:val="nil"/>
              <w:bottom w:val="nil"/>
              <w:right w:val="nil"/>
            </w:tcBorders>
          </w:tcPr>
          <w:p w14:paraId="697B30B9"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3 901</w:t>
            </w:r>
          </w:p>
        </w:tc>
        <w:tc>
          <w:tcPr>
            <w:tcW w:w="850" w:type="dxa"/>
            <w:tcBorders>
              <w:top w:val="nil"/>
              <w:left w:val="nil"/>
              <w:bottom w:val="nil"/>
              <w:right w:val="nil"/>
            </w:tcBorders>
          </w:tcPr>
          <w:p w14:paraId="36092B0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4 947</w:t>
            </w:r>
          </w:p>
        </w:tc>
      </w:tr>
      <w:tr w:rsidR="00964B88" w:rsidRPr="005B45CC" w14:paraId="1BE976BC"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72FCAEE8" w14:textId="77777777" w:rsidR="00964B88" w:rsidRPr="005B45CC" w:rsidRDefault="00964B88" w:rsidP="005B45CC">
            <w:pPr>
              <w:rPr>
                <w:rFonts w:cstheme="majorHAnsi"/>
                <w:b/>
                <w:bCs/>
                <w:color w:val="000000"/>
                <w:szCs w:val="17"/>
              </w:rPr>
            </w:pPr>
            <w:r w:rsidRPr="005B45CC">
              <w:rPr>
                <w:rFonts w:cstheme="majorHAnsi"/>
                <w:b/>
                <w:bCs/>
                <w:color w:val="000000"/>
                <w:szCs w:val="17"/>
              </w:rPr>
              <w:t>Policy variations</w:t>
            </w:r>
          </w:p>
        </w:tc>
        <w:tc>
          <w:tcPr>
            <w:tcW w:w="850" w:type="dxa"/>
            <w:tcBorders>
              <w:top w:val="nil"/>
              <w:left w:val="nil"/>
              <w:bottom w:val="nil"/>
              <w:right w:val="nil"/>
            </w:tcBorders>
          </w:tcPr>
          <w:p w14:paraId="62CEF71C"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c>
          <w:tcPr>
            <w:tcW w:w="850" w:type="dxa"/>
            <w:tcBorders>
              <w:top w:val="nil"/>
              <w:left w:val="nil"/>
              <w:bottom w:val="nil"/>
              <w:right w:val="nil"/>
            </w:tcBorders>
          </w:tcPr>
          <w:p w14:paraId="38EADEB0"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c>
          <w:tcPr>
            <w:tcW w:w="850" w:type="dxa"/>
            <w:tcBorders>
              <w:top w:val="nil"/>
              <w:left w:val="nil"/>
              <w:bottom w:val="nil"/>
              <w:right w:val="nil"/>
            </w:tcBorders>
          </w:tcPr>
          <w:p w14:paraId="256DE6E6"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c>
          <w:tcPr>
            <w:tcW w:w="850" w:type="dxa"/>
            <w:tcBorders>
              <w:top w:val="nil"/>
              <w:left w:val="nil"/>
              <w:bottom w:val="nil"/>
              <w:right w:val="nil"/>
            </w:tcBorders>
          </w:tcPr>
          <w:p w14:paraId="043FBAA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r>
      <w:tr w:rsidR="00964B88" w:rsidRPr="005B45CC" w14:paraId="1C9CAF5F"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667CD5BF" w14:textId="77777777" w:rsidR="00964B88" w:rsidRPr="005B45CC" w:rsidRDefault="00964B88" w:rsidP="005B45CC">
            <w:pPr>
              <w:rPr>
                <w:rFonts w:cstheme="majorHAnsi"/>
                <w:color w:val="000000"/>
                <w:szCs w:val="17"/>
              </w:rPr>
            </w:pPr>
            <w:r w:rsidRPr="005B45CC">
              <w:rPr>
                <w:rFonts w:cstheme="majorHAnsi"/>
                <w:color w:val="000000"/>
                <w:szCs w:val="17"/>
              </w:rPr>
              <w:t xml:space="preserve">   Revenue policy initiatives</w:t>
            </w:r>
          </w:p>
        </w:tc>
        <w:tc>
          <w:tcPr>
            <w:tcW w:w="850" w:type="dxa"/>
            <w:tcBorders>
              <w:top w:val="nil"/>
              <w:left w:val="nil"/>
              <w:bottom w:val="nil"/>
              <w:right w:val="nil"/>
            </w:tcBorders>
          </w:tcPr>
          <w:p w14:paraId="5E20FD37"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w:t>
            </w:r>
          </w:p>
        </w:tc>
        <w:tc>
          <w:tcPr>
            <w:tcW w:w="850" w:type="dxa"/>
            <w:tcBorders>
              <w:top w:val="nil"/>
              <w:left w:val="nil"/>
              <w:bottom w:val="nil"/>
              <w:right w:val="nil"/>
            </w:tcBorders>
          </w:tcPr>
          <w:p w14:paraId="329F1859"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w:t>
            </w:r>
          </w:p>
        </w:tc>
        <w:tc>
          <w:tcPr>
            <w:tcW w:w="850" w:type="dxa"/>
            <w:tcBorders>
              <w:top w:val="nil"/>
              <w:left w:val="nil"/>
              <w:bottom w:val="nil"/>
              <w:right w:val="nil"/>
            </w:tcBorders>
          </w:tcPr>
          <w:p w14:paraId="1C75E15B"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w:t>
            </w:r>
          </w:p>
        </w:tc>
        <w:tc>
          <w:tcPr>
            <w:tcW w:w="850" w:type="dxa"/>
            <w:tcBorders>
              <w:top w:val="nil"/>
              <w:left w:val="nil"/>
              <w:bottom w:val="nil"/>
              <w:right w:val="nil"/>
            </w:tcBorders>
          </w:tcPr>
          <w:p w14:paraId="71531D6C"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w:t>
            </w:r>
          </w:p>
        </w:tc>
      </w:tr>
      <w:tr w:rsidR="00964B88" w:rsidRPr="005B45CC" w14:paraId="4329BE4F"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4200A228" w14:textId="77777777" w:rsidR="00964B88" w:rsidRPr="005B45CC" w:rsidRDefault="00964B88" w:rsidP="005B45CC">
            <w:pPr>
              <w:rPr>
                <w:rFonts w:cstheme="majorHAnsi"/>
                <w:color w:val="000000"/>
                <w:szCs w:val="17"/>
              </w:rPr>
            </w:pPr>
            <w:r w:rsidRPr="005B45CC">
              <w:rPr>
                <w:rFonts w:cstheme="majorHAnsi"/>
                <w:color w:val="000000"/>
                <w:szCs w:val="17"/>
              </w:rPr>
              <w:t xml:space="preserve">   Output policy initiatives </w:t>
            </w:r>
            <w:r w:rsidR="005B45CC" w:rsidRPr="005B45CC">
              <w:rPr>
                <w:rFonts w:cstheme="majorHAnsi"/>
                <w:color w:val="000000"/>
                <w:szCs w:val="17"/>
                <w:vertAlign w:val="superscript"/>
              </w:rPr>
              <w:t>(b)</w:t>
            </w:r>
          </w:p>
        </w:tc>
        <w:tc>
          <w:tcPr>
            <w:tcW w:w="850" w:type="dxa"/>
            <w:tcBorders>
              <w:top w:val="nil"/>
              <w:left w:val="nil"/>
              <w:bottom w:val="single" w:sz="6" w:space="0" w:color="auto"/>
              <w:right w:val="nil"/>
            </w:tcBorders>
          </w:tcPr>
          <w:p w14:paraId="2D59BFC9"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(443)</w:t>
            </w:r>
          </w:p>
        </w:tc>
        <w:tc>
          <w:tcPr>
            <w:tcW w:w="850" w:type="dxa"/>
            <w:tcBorders>
              <w:top w:val="nil"/>
              <w:left w:val="nil"/>
              <w:bottom w:val="single" w:sz="6" w:space="0" w:color="auto"/>
              <w:right w:val="nil"/>
            </w:tcBorders>
          </w:tcPr>
          <w:p w14:paraId="671F4108"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(250)</w:t>
            </w:r>
          </w:p>
        </w:tc>
        <w:tc>
          <w:tcPr>
            <w:tcW w:w="850" w:type="dxa"/>
            <w:tcBorders>
              <w:top w:val="nil"/>
              <w:left w:val="nil"/>
              <w:bottom w:val="single" w:sz="6" w:space="0" w:color="auto"/>
              <w:right w:val="nil"/>
            </w:tcBorders>
          </w:tcPr>
          <w:p w14:paraId="350EC6E5"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(331)</w:t>
            </w:r>
          </w:p>
        </w:tc>
        <w:tc>
          <w:tcPr>
            <w:tcW w:w="850" w:type="dxa"/>
            <w:tcBorders>
              <w:top w:val="nil"/>
              <w:left w:val="nil"/>
              <w:bottom w:val="single" w:sz="6" w:space="0" w:color="auto"/>
              <w:right w:val="nil"/>
            </w:tcBorders>
          </w:tcPr>
          <w:p w14:paraId="12F103C1"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(476)</w:t>
            </w:r>
          </w:p>
        </w:tc>
      </w:tr>
      <w:tr w:rsidR="00964B88" w:rsidRPr="005B45CC" w14:paraId="550CDCE6"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3376A335" w14:textId="77777777" w:rsidR="00964B88" w:rsidRPr="005B45CC" w:rsidRDefault="00964B88" w:rsidP="005B45CC">
            <w:pPr>
              <w:ind w:firstLineChars="100" w:firstLine="171"/>
              <w:rPr>
                <w:rFonts w:cstheme="majorHAnsi"/>
                <w:b/>
                <w:bCs/>
                <w:color w:val="000000"/>
                <w:szCs w:val="17"/>
              </w:rPr>
            </w:pPr>
            <w:r w:rsidRPr="005B45CC">
              <w:rPr>
                <w:rFonts w:cstheme="majorHAnsi"/>
                <w:b/>
                <w:bCs/>
                <w:color w:val="000000"/>
                <w:szCs w:val="17"/>
              </w:rPr>
              <w:t xml:space="preserve"> </w:t>
            </w:r>
          </w:p>
        </w:tc>
        <w:tc>
          <w:tcPr>
            <w:tcW w:w="850" w:type="dxa"/>
            <w:tcBorders>
              <w:top w:val="nil"/>
              <w:left w:val="nil"/>
              <w:bottom w:val="nil"/>
              <w:right w:val="nil"/>
            </w:tcBorders>
          </w:tcPr>
          <w:p w14:paraId="695FFF2B"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(443)</w:t>
            </w:r>
          </w:p>
        </w:tc>
        <w:tc>
          <w:tcPr>
            <w:tcW w:w="850" w:type="dxa"/>
            <w:tcBorders>
              <w:top w:val="nil"/>
              <w:left w:val="nil"/>
              <w:bottom w:val="nil"/>
              <w:right w:val="nil"/>
            </w:tcBorders>
          </w:tcPr>
          <w:p w14:paraId="22CD0970"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(250)</w:t>
            </w:r>
          </w:p>
        </w:tc>
        <w:tc>
          <w:tcPr>
            <w:tcW w:w="850" w:type="dxa"/>
            <w:tcBorders>
              <w:top w:val="nil"/>
              <w:left w:val="nil"/>
              <w:bottom w:val="nil"/>
              <w:right w:val="nil"/>
            </w:tcBorders>
          </w:tcPr>
          <w:p w14:paraId="2EEFC7FC"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(331)</w:t>
            </w:r>
          </w:p>
        </w:tc>
        <w:tc>
          <w:tcPr>
            <w:tcW w:w="850" w:type="dxa"/>
            <w:tcBorders>
              <w:top w:val="nil"/>
              <w:left w:val="nil"/>
              <w:bottom w:val="nil"/>
              <w:right w:val="nil"/>
            </w:tcBorders>
          </w:tcPr>
          <w:p w14:paraId="3FD7CE29"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(476)</w:t>
            </w:r>
          </w:p>
        </w:tc>
      </w:tr>
      <w:tr w:rsidR="00964B88" w:rsidRPr="005B45CC" w14:paraId="12B4C956"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698353DF" w14:textId="77777777" w:rsidR="00964B88" w:rsidRPr="005B45CC" w:rsidRDefault="00964B88" w:rsidP="005B45CC">
            <w:pPr>
              <w:ind w:left="0" w:firstLine="0"/>
              <w:rPr>
                <w:rFonts w:cstheme="majorHAnsi"/>
                <w:b/>
                <w:bCs/>
                <w:color w:val="000000"/>
                <w:szCs w:val="17"/>
              </w:rPr>
            </w:pPr>
            <w:r w:rsidRPr="005B45CC">
              <w:rPr>
                <w:rFonts w:cstheme="majorHAnsi"/>
                <w:b/>
                <w:bCs/>
                <w:color w:val="000000"/>
                <w:szCs w:val="17"/>
              </w:rPr>
              <w:t>Economic/demographic variations</w:t>
            </w:r>
          </w:p>
        </w:tc>
        <w:tc>
          <w:tcPr>
            <w:tcW w:w="850" w:type="dxa"/>
            <w:tcBorders>
              <w:top w:val="nil"/>
              <w:left w:val="nil"/>
              <w:bottom w:val="nil"/>
              <w:right w:val="nil"/>
            </w:tcBorders>
          </w:tcPr>
          <w:p w14:paraId="6E357690"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p>
        </w:tc>
        <w:tc>
          <w:tcPr>
            <w:tcW w:w="850" w:type="dxa"/>
            <w:tcBorders>
              <w:top w:val="nil"/>
              <w:left w:val="nil"/>
              <w:bottom w:val="nil"/>
              <w:right w:val="nil"/>
            </w:tcBorders>
          </w:tcPr>
          <w:p w14:paraId="14126960"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p>
        </w:tc>
        <w:tc>
          <w:tcPr>
            <w:tcW w:w="850" w:type="dxa"/>
            <w:tcBorders>
              <w:top w:val="nil"/>
              <w:left w:val="nil"/>
              <w:bottom w:val="nil"/>
              <w:right w:val="nil"/>
            </w:tcBorders>
          </w:tcPr>
          <w:p w14:paraId="2161537B"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p>
        </w:tc>
        <w:tc>
          <w:tcPr>
            <w:tcW w:w="850" w:type="dxa"/>
            <w:tcBorders>
              <w:top w:val="nil"/>
              <w:left w:val="nil"/>
              <w:bottom w:val="nil"/>
              <w:right w:val="nil"/>
            </w:tcBorders>
          </w:tcPr>
          <w:p w14:paraId="2DCC53BA"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p>
        </w:tc>
      </w:tr>
      <w:tr w:rsidR="00964B88" w:rsidRPr="005B45CC" w14:paraId="236AF2CD"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3C9C95A6" w14:textId="77777777" w:rsidR="00964B88" w:rsidRPr="005B45CC" w:rsidRDefault="00964B88" w:rsidP="005B45CC">
            <w:pPr>
              <w:rPr>
                <w:rFonts w:cstheme="majorHAnsi"/>
                <w:color w:val="000000"/>
                <w:szCs w:val="17"/>
              </w:rPr>
            </w:pPr>
            <w:r w:rsidRPr="005B45CC">
              <w:rPr>
                <w:rFonts w:cstheme="majorHAnsi"/>
                <w:color w:val="000000"/>
                <w:szCs w:val="17"/>
              </w:rPr>
              <w:t xml:space="preserve">   Taxation</w:t>
            </w:r>
          </w:p>
        </w:tc>
        <w:tc>
          <w:tcPr>
            <w:tcW w:w="850" w:type="dxa"/>
            <w:tcBorders>
              <w:top w:val="nil"/>
              <w:left w:val="nil"/>
              <w:bottom w:val="nil"/>
              <w:right w:val="nil"/>
            </w:tcBorders>
          </w:tcPr>
          <w:p w14:paraId="5E25DDFD"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54</w:t>
            </w:r>
          </w:p>
        </w:tc>
        <w:tc>
          <w:tcPr>
            <w:tcW w:w="850" w:type="dxa"/>
            <w:tcBorders>
              <w:top w:val="nil"/>
              <w:left w:val="nil"/>
              <w:bottom w:val="nil"/>
              <w:right w:val="nil"/>
            </w:tcBorders>
          </w:tcPr>
          <w:p w14:paraId="6DC22732"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123</w:t>
            </w:r>
          </w:p>
        </w:tc>
        <w:tc>
          <w:tcPr>
            <w:tcW w:w="850" w:type="dxa"/>
            <w:tcBorders>
              <w:top w:val="nil"/>
              <w:left w:val="nil"/>
              <w:bottom w:val="nil"/>
              <w:right w:val="nil"/>
            </w:tcBorders>
          </w:tcPr>
          <w:p w14:paraId="4C66A5C5"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171</w:t>
            </w:r>
          </w:p>
        </w:tc>
        <w:tc>
          <w:tcPr>
            <w:tcW w:w="850" w:type="dxa"/>
            <w:tcBorders>
              <w:top w:val="nil"/>
              <w:left w:val="nil"/>
              <w:bottom w:val="nil"/>
              <w:right w:val="nil"/>
            </w:tcBorders>
          </w:tcPr>
          <w:p w14:paraId="18F2531B"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216</w:t>
            </w:r>
          </w:p>
        </w:tc>
      </w:tr>
      <w:tr w:rsidR="00964B88" w:rsidRPr="005B45CC" w14:paraId="16DAEEEA"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58F15A98" w14:textId="77777777" w:rsidR="00964B88" w:rsidRPr="005B45CC" w:rsidRDefault="00964B88" w:rsidP="005B45CC">
            <w:pPr>
              <w:rPr>
                <w:rFonts w:cstheme="majorHAnsi"/>
                <w:color w:val="000000"/>
                <w:szCs w:val="17"/>
              </w:rPr>
            </w:pPr>
            <w:r w:rsidRPr="005B45CC">
              <w:rPr>
                <w:rFonts w:cstheme="majorHAnsi"/>
                <w:color w:val="000000"/>
                <w:szCs w:val="17"/>
              </w:rPr>
              <w:t xml:space="preserve">   Investment income </w:t>
            </w:r>
            <w:r w:rsidR="005B45CC" w:rsidRPr="005B45CC">
              <w:rPr>
                <w:rFonts w:cstheme="majorHAnsi"/>
                <w:color w:val="000000"/>
                <w:szCs w:val="17"/>
                <w:vertAlign w:val="superscript"/>
              </w:rPr>
              <w:t>(c)</w:t>
            </w:r>
          </w:p>
        </w:tc>
        <w:tc>
          <w:tcPr>
            <w:tcW w:w="850" w:type="dxa"/>
            <w:tcBorders>
              <w:top w:val="nil"/>
              <w:left w:val="nil"/>
              <w:bottom w:val="single" w:sz="6" w:space="0" w:color="auto"/>
              <w:right w:val="nil"/>
            </w:tcBorders>
          </w:tcPr>
          <w:p w14:paraId="3E2D54EE"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(37)</w:t>
            </w:r>
          </w:p>
        </w:tc>
        <w:tc>
          <w:tcPr>
            <w:tcW w:w="850" w:type="dxa"/>
            <w:tcBorders>
              <w:top w:val="nil"/>
              <w:left w:val="nil"/>
              <w:bottom w:val="single" w:sz="6" w:space="0" w:color="auto"/>
              <w:right w:val="nil"/>
            </w:tcBorders>
          </w:tcPr>
          <w:p w14:paraId="6C2014E3"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(51)</w:t>
            </w:r>
          </w:p>
        </w:tc>
        <w:tc>
          <w:tcPr>
            <w:tcW w:w="850" w:type="dxa"/>
            <w:tcBorders>
              <w:top w:val="nil"/>
              <w:left w:val="nil"/>
              <w:bottom w:val="single" w:sz="6" w:space="0" w:color="auto"/>
              <w:right w:val="nil"/>
            </w:tcBorders>
          </w:tcPr>
          <w:p w14:paraId="25CE2DEB"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(28)</w:t>
            </w:r>
          </w:p>
        </w:tc>
        <w:tc>
          <w:tcPr>
            <w:tcW w:w="850" w:type="dxa"/>
            <w:tcBorders>
              <w:top w:val="nil"/>
              <w:left w:val="nil"/>
              <w:bottom w:val="single" w:sz="6" w:space="0" w:color="auto"/>
              <w:right w:val="nil"/>
            </w:tcBorders>
          </w:tcPr>
          <w:p w14:paraId="71C4681C"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(24)</w:t>
            </w:r>
          </w:p>
        </w:tc>
      </w:tr>
      <w:tr w:rsidR="00964B88" w:rsidRPr="005B45CC" w14:paraId="67E929E0"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680C3A7B" w14:textId="77777777" w:rsidR="00964B88" w:rsidRPr="005B45CC" w:rsidRDefault="00964B88" w:rsidP="005B45CC">
            <w:pPr>
              <w:ind w:firstLineChars="100" w:firstLine="171"/>
              <w:rPr>
                <w:rFonts w:cstheme="majorHAnsi"/>
                <w:b/>
                <w:bCs/>
                <w:color w:val="000000"/>
                <w:szCs w:val="17"/>
              </w:rPr>
            </w:pPr>
            <w:r w:rsidRPr="005B45CC">
              <w:rPr>
                <w:rFonts w:cstheme="majorHAnsi"/>
                <w:b/>
                <w:bCs/>
                <w:color w:val="000000"/>
                <w:szCs w:val="17"/>
              </w:rPr>
              <w:t xml:space="preserve"> </w:t>
            </w:r>
          </w:p>
        </w:tc>
        <w:tc>
          <w:tcPr>
            <w:tcW w:w="850" w:type="dxa"/>
            <w:tcBorders>
              <w:top w:val="nil"/>
              <w:left w:val="nil"/>
              <w:bottom w:val="nil"/>
              <w:right w:val="nil"/>
            </w:tcBorders>
          </w:tcPr>
          <w:p w14:paraId="382C78B8"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17</w:t>
            </w:r>
          </w:p>
        </w:tc>
        <w:tc>
          <w:tcPr>
            <w:tcW w:w="850" w:type="dxa"/>
            <w:tcBorders>
              <w:top w:val="nil"/>
              <w:left w:val="nil"/>
              <w:bottom w:val="nil"/>
              <w:right w:val="nil"/>
            </w:tcBorders>
          </w:tcPr>
          <w:p w14:paraId="1D20043C"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73</w:t>
            </w:r>
          </w:p>
        </w:tc>
        <w:tc>
          <w:tcPr>
            <w:tcW w:w="850" w:type="dxa"/>
            <w:tcBorders>
              <w:top w:val="nil"/>
              <w:left w:val="nil"/>
              <w:bottom w:val="nil"/>
              <w:right w:val="nil"/>
            </w:tcBorders>
          </w:tcPr>
          <w:p w14:paraId="704F4005"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143</w:t>
            </w:r>
          </w:p>
        </w:tc>
        <w:tc>
          <w:tcPr>
            <w:tcW w:w="850" w:type="dxa"/>
            <w:tcBorders>
              <w:top w:val="nil"/>
              <w:left w:val="nil"/>
              <w:bottom w:val="nil"/>
              <w:right w:val="nil"/>
            </w:tcBorders>
          </w:tcPr>
          <w:p w14:paraId="2B57F1EF"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192</w:t>
            </w:r>
          </w:p>
        </w:tc>
      </w:tr>
      <w:tr w:rsidR="00964B88" w:rsidRPr="005B45CC" w14:paraId="3E87CBA1"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76F85E39" w14:textId="77777777" w:rsidR="00964B88" w:rsidRPr="005B45CC" w:rsidRDefault="00964B88" w:rsidP="005B45CC">
            <w:pPr>
              <w:ind w:left="0" w:firstLine="0"/>
              <w:rPr>
                <w:rFonts w:cstheme="majorHAnsi"/>
                <w:b/>
                <w:bCs/>
                <w:color w:val="000000"/>
                <w:szCs w:val="17"/>
              </w:rPr>
            </w:pPr>
            <w:r w:rsidRPr="005B45CC">
              <w:rPr>
                <w:rFonts w:cstheme="majorHAnsi"/>
                <w:b/>
                <w:bCs/>
                <w:color w:val="000000"/>
                <w:szCs w:val="17"/>
              </w:rPr>
              <w:t>Commonwealth grant variations</w:t>
            </w:r>
          </w:p>
        </w:tc>
        <w:tc>
          <w:tcPr>
            <w:tcW w:w="850" w:type="dxa"/>
            <w:tcBorders>
              <w:top w:val="nil"/>
              <w:left w:val="nil"/>
              <w:bottom w:val="nil"/>
              <w:right w:val="nil"/>
            </w:tcBorders>
          </w:tcPr>
          <w:p w14:paraId="3143A77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c>
          <w:tcPr>
            <w:tcW w:w="850" w:type="dxa"/>
            <w:tcBorders>
              <w:top w:val="nil"/>
              <w:left w:val="nil"/>
              <w:bottom w:val="nil"/>
              <w:right w:val="nil"/>
            </w:tcBorders>
          </w:tcPr>
          <w:p w14:paraId="0B7C7CB1"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c>
          <w:tcPr>
            <w:tcW w:w="850" w:type="dxa"/>
            <w:tcBorders>
              <w:top w:val="nil"/>
              <w:left w:val="nil"/>
              <w:bottom w:val="nil"/>
              <w:right w:val="nil"/>
            </w:tcBorders>
          </w:tcPr>
          <w:p w14:paraId="41C83A76"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c>
          <w:tcPr>
            <w:tcW w:w="850" w:type="dxa"/>
            <w:tcBorders>
              <w:top w:val="nil"/>
              <w:left w:val="nil"/>
              <w:bottom w:val="nil"/>
              <w:right w:val="nil"/>
            </w:tcBorders>
          </w:tcPr>
          <w:p w14:paraId="3977A87E"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r>
      <w:tr w:rsidR="00964B88" w:rsidRPr="005B45CC" w14:paraId="4442031B"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7A9BC1DE" w14:textId="77777777" w:rsidR="00964B88" w:rsidRPr="005B45CC" w:rsidRDefault="00964B88" w:rsidP="005B45CC">
            <w:pPr>
              <w:rPr>
                <w:rFonts w:cstheme="majorHAnsi"/>
                <w:color w:val="000000"/>
                <w:szCs w:val="17"/>
              </w:rPr>
            </w:pPr>
            <w:r w:rsidRPr="005B45CC">
              <w:rPr>
                <w:rFonts w:cstheme="majorHAnsi"/>
                <w:color w:val="000000"/>
                <w:szCs w:val="17"/>
              </w:rPr>
              <w:t xml:space="preserve">   General purpose grants</w:t>
            </w:r>
          </w:p>
        </w:tc>
        <w:tc>
          <w:tcPr>
            <w:tcW w:w="850" w:type="dxa"/>
            <w:tcBorders>
              <w:top w:val="nil"/>
              <w:left w:val="nil"/>
              <w:bottom w:val="nil"/>
              <w:right w:val="nil"/>
            </w:tcBorders>
          </w:tcPr>
          <w:p w14:paraId="44694E72"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(506)</w:t>
            </w:r>
          </w:p>
        </w:tc>
        <w:tc>
          <w:tcPr>
            <w:tcW w:w="850" w:type="dxa"/>
            <w:tcBorders>
              <w:top w:val="nil"/>
              <w:left w:val="nil"/>
              <w:bottom w:val="nil"/>
              <w:right w:val="nil"/>
            </w:tcBorders>
          </w:tcPr>
          <w:p w14:paraId="16F33B5E"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(443)</w:t>
            </w:r>
          </w:p>
        </w:tc>
        <w:tc>
          <w:tcPr>
            <w:tcW w:w="850" w:type="dxa"/>
            <w:tcBorders>
              <w:top w:val="nil"/>
              <w:left w:val="nil"/>
              <w:bottom w:val="nil"/>
              <w:right w:val="nil"/>
            </w:tcBorders>
          </w:tcPr>
          <w:p w14:paraId="0C39315C"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(173)</w:t>
            </w:r>
          </w:p>
        </w:tc>
        <w:tc>
          <w:tcPr>
            <w:tcW w:w="850" w:type="dxa"/>
            <w:tcBorders>
              <w:top w:val="nil"/>
              <w:left w:val="nil"/>
              <w:bottom w:val="nil"/>
              <w:right w:val="nil"/>
            </w:tcBorders>
          </w:tcPr>
          <w:p w14:paraId="09275058"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(28)</w:t>
            </w:r>
          </w:p>
        </w:tc>
      </w:tr>
      <w:tr w:rsidR="00964B88" w:rsidRPr="005B45CC" w14:paraId="3DADC6F5"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337DF30F" w14:textId="77777777" w:rsidR="00964B88" w:rsidRPr="005B45CC" w:rsidRDefault="00964B88" w:rsidP="005B45CC">
            <w:pPr>
              <w:rPr>
                <w:rFonts w:cstheme="majorHAnsi"/>
                <w:color w:val="000000"/>
                <w:szCs w:val="17"/>
              </w:rPr>
            </w:pPr>
            <w:r w:rsidRPr="005B45CC">
              <w:rPr>
                <w:rFonts w:cstheme="majorHAnsi"/>
                <w:color w:val="000000"/>
                <w:szCs w:val="17"/>
              </w:rPr>
              <w:t xml:space="preserve">   Specific purpose grants </w:t>
            </w:r>
            <w:r w:rsidR="005B45CC" w:rsidRPr="005B45CC">
              <w:rPr>
                <w:rFonts w:cstheme="majorHAnsi"/>
                <w:color w:val="000000"/>
                <w:szCs w:val="17"/>
                <w:vertAlign w:val="superscript"/>
              </w:rPr>
              <w:t>(d)</w:t>
            </w:r>
          </w:p>
        </w:tc>
        <w:tc>
          <w:tcPr>
            <w:tcW w:w="850" w:type="dxa"/>
            <w:tcBorders>
              <w:top w:val="nil"/>
              <w:left w:val="nil"/>
              <w:bottom w:val="single" w:sz="6" w:space="0" w:color="auto"/>
              <w:right w:val="nil"/>
            </w:tcBorders>
          </w:tcPr>
          <w:p w14:paraId="01E24E89"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250</w:t>
            </w:r>
          </w:p>
        </w:tc>
        <w:tc>
          <w:tcPr>
            <w:tcW w:w="850" w:type="dxa"/>
            <w:tcBorders>
              <w:top w:val="nil"/>
              <w:left w:val="nil"/>
              <w:bottom w:val="single" w:sz="6" w:space="0" w:color="auto"/>
              <w:right w:val="nil"/>
            </w:tcBorders>
          </w:tcPr>
          <w:p w14:paraId="61EB8734"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135</w:t>
            </w:r>
          </w:p>
        </w:tc>
        <w:tc>
          <w:tcPr>
            <w:tcW w:w="850" w:type="dxa"/>
            <w:tcBorders>
              <w:top w:val="nil"/>
              <w:left w:val="nil"/>
              <w:bottom w:val="single" w:sz="6" w:space="0" w:color="auto"/>
              <w:right w:val="nil"/>
            </w:tcBorders>
          </w:tcPr>
          <w:p w14:paraId="23AEC0E5"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(15)</w:t>
            </w:r>
          </w:p>
        </w:tc>
        <w:tc>
          <w:tcPr>
            <w:tcW w:w="850" w:type="dxa"/>
            <w:tcBorders>
              <w:top w:val="nil"/>
              <w:left w:val="nil"/>
              <w:bottom w:val="single" w:sz="6" w:space="0" w:color="auto"/>
              <w:right w:val="nil"/>
            </w:tcBorders>
          </w:tcPr>
          <w:p w14:paraId="022AC3FF"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(21)</w:t>
            </w:r>
          </w:p>
        </w:tc>
      </w:tr>
      <w:tr w:rsidR="00964B88" w:rsidRPr="005B45CC" w14:paraId="41F84668"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4EB67D1F" w14:textId="77777777" w:rsidR="00964B88" w:rsidRPr="005B45CC" w:rsidRDefault="00964B88" w:rsidP="005B45CC">
            <w:pPr>
              <w:ind w:firstLineChars="100" w:firstLine="171"/>
              <w:rPr>
                <w:rFonts w:cstheme="majorHAnsi"/>
                <w:b/>
                <w:bCs/>
                <w:color w:val="000000"/>
                <w:szCs w:val="17"/>
              </w:rPr>
            </w:pPr>
            <w:r w:rsidRPr="005B45CC">
              <w:rPr>
                <w:rFonts w:cstheme="majorHAnsi"/>
                <w:b/>
                <w:bCs/>
                <w:color w:val="000000"/>
                <w:szCs w:val="17"/>
              </w:rPr>
              <w:t xml:space="preserve"> </w:t>
            </w:r>
          </w:p>
        </w:tc>
        <w:tc>
          <w:tcPr>
            <w:tcW w:w="850" w:type="dxa"/>
            <w:tcBorders>
              <w:top w:val="nil"/>
              <w:left w:val="nil"/>
              <w:bottom w:val="nil"/>
              <w:right w:val="nil"/>
            </w:tcBorders>
          </w:tcPr>
          <w:p w14:paraId="49EAF01E"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(256)</w:t>
            </w:r>
          </w:p>
        </w:tc>
        <w:tc>
          <w:tcPr>
            <w:tcW w:w="850" w:type="dxa"/>
            <w:tcBorders>
              <w:top w:val="nil"/>
              <w:left w:val="nil"/>
              <w:bottom w:val="nil"/>
              <w:right w:val="nil"/>
            </w:tcBorders>
          </w:tcPr>
          <w:p w14:paraId="550A9147"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(308)</w:t>
            </w:r>
          </w:p>
        </w:tc>
        <w:tc>
          <w:tcPr>
            <w:tcW w:w="850" w:type="dxa"/>
            <w:tcBorders>
              <w:top w:val="nil"/>
              <w:left w:val="nil"/>
              <w:bottom w:val="nil"/>
              <w:right w:val="nil"/>
            </w:tcBorders>
          </w:tcPr>
          <w:p w14:paraId="11743D98"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(188)</w:t>
            </w:r>
          </w:p>
        </w:tc>
        <w:tc>
          <w:tcPr>
            <w:tcW w:w="850" w:type="dxa"/>
            <w:tcBorders>
              <w:top w:val="nil"/>
              <w:left w:val="nil"/>
              <w:bottom w:val="nil"/>
              <w:right w:val="nil"/>
            </w:tcBorders>
          </w:tcPr>
          <w:p w14:paraId="336B99CE"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(49)</w:t>
            </w:r>
          </w:p>
        </w:tc>
      </w:tr>
      <w:tr w:rsidR="00964B88" w:rsidRPr="005B45CC" w14:paraId="5E7CA8EB"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6CB1E410" w14:textId="77777777" w:rsidR="00964B88" w:rsidRPr="005B45CC" w:rsidRDefault="00964B88" w:rsidP="005B45CC">
            <w:pPr>
              <w:ind w:left="0" w:firstLine="0"/>
              <w:rPr>
                <w:rFonts w:cstheme="majorHAnsi"/>
                <w:b/>
                <w:bCs/>
                <w:color w:val="000000"/>
                <w:szCs w:val="17"/>
              </w:rPr>
            </w:pPr>
            <w:r w:rsidRPr="005B45CC">
              <w:rPr>
                <w:rFonts w:cstheme="majorHAnsi"/>
                <w:b/>
                <w:bCs/>
                <w:color w:val="000000"/>
                <w:szCs w:val="17"/>
              </w:rPr>
              <w:t>Administrative variations</w:t>
            </w:r>
          </w:p>
        </w:tc>
        <w:tc>
          <w:tcPr>
            <w:tcW w:w="850" w:type="dxa"/>
            <w:tcBorders>
              <w:top w:val="nil"/>
              <w:left w:val="nil"/>
              <w:bottom w:val="nil"/>
              <w:right w:val="nil"/>
            </w:tcBorders>
          </w:tcPr>
          <w:p w14:paraId="7F87234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c>
          <w:tcPr>
            <w:tcW w:w="850" w:type="dxa"/>
            <w:tcBorders>
              <w:top w:val="nil"/>
              <w:left w:val="nil"/>
              <w:bottom w:val="nil"/>
              <w:right w:val="nil"/>
            </w:tcBorders>
          </w:tcPr>
          <w:p w14:paraId="7E62844F"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c>
          <w:tcPr>
            <w:tcW w:w="850" w:type="dxa"/>
            <w:tcBorders>
              <w:top w:val="nil"/>
              <w:left w:val="nil"/>
              <w:bottom w:val="nil"/>
              <w:right w:val="nil"/>
            </w:tcBorders>
          </w:tcPr>
          <w:p w14:paraId="247AB93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c>
          <w:tcPr>
            <w:tcW w:w="850" w:type="dxa"/>
            <w:tcBorders>
              <w:top w:val="nil"/>
              <w:left w:val="nil"/>
              <w:bottom w:val="nil"/>
              <w:right w:val="nil"/>
            </w:tcBorders>
          </w:tcPr>
          <w:p w14:paraId="13207030"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p>
        </w:tc>
      </w:tr>
      <w:tr w:rsidR="00964B88" w:rsidRPr="005B45CC" w14:paraId="53321C56"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6F692426" w14:textId="77777777" w:rsidR="00964B88" w:rsidRPr="005B45CC" w:rsidRDefault="00964B88" w:rsidP="005B45CC">
            <w:pPr>
              <w:rPr>
                <w:rFonts w:cstheme="majorHAnsi"/>
                <w:color w:val="000000"/>
                <w:szCs w:val="17"/>
              </w:rPr>
            </w:pPr>
            <w:r w:rsidRPr="005B45CC">
              <w:rPr>
                <w:rFonts w:cstheme="majorHAnsi"/>
                <w:color w:val="000000"/>
                <w:szCs w:val="17"/>
              </w:rPr>
              <w:t xml:space="preserve">   Contingency offset for new policy initiatives </w:t>
            </w:r>
            <w:r w:rsidR="005B45CC" w:rsidRPr="005B45CC">
              <w:rPr>
                <w:rFonts w:cstheme="majorHAnsi"/>
                <w:color w:val="000000"/>
                <w:szCs w:val="17"/>
                <w:vertAlign w:val="superscript"/>
              </w:rPr>
              <w:t>(e)</w:t>
            </w:r>
          </w:p>
        </w:tc>
        <w:tc>
          <w:tcPr>
            <w:tcW w:w="850" w:type="dxa"/>
            <w:tcBorders>
              <w:top w:val="nil"/>
              <w:left w:val="nil"/>
              <w:bottom w:val="nil"/>
              <w:right w:val="nil"/>
            </w:tcBorders>
          </w:tcPr>
          <w:p w14:paraId="2F9CAB69"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w:t>
            </w:r>
          </w:p>
        </w:tc>
        <w:tc>
          <w:tcPr>
            <w:tcW w:w="850" w:type="dxa"/>
            <w:tcBorders>
              <w:top w:val="nil"/>
              <w:left w:val="nil"/>
              <w:bottom w:val="nil"/>
              <w:right w:val="nil"/>
            </w:tcBorders>
          </w:tcPr>
          <w:p w14:paraId="28689A50"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w:t>
            </w:r>
          </w:p>
        </w:tc>
        <w:tc>
          <w:tcPr>
            <w:tcW w:w="850" w:type="dxa"/>
            <w:tcBorders>
              <w:top w:val="nil"/>
              <w:left w:val="nil"/>
              <w:bottom w:val="nil"/>
              <w:right w:val="nil"/>
            </w:tcBorders>
          </w:tcPr>
          <w:p w14:paraId="4FF4A742"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w:t>
            </w:r>
          </w:p>
        </w:tc>
        <w:tc>
          <w:tcPr>
            <w:tcW w:w="850" w:type="dxa"/>
            <w:tcBorders>
              <w:top w:val="nil"/>
              <w:left w:val="nil"/>
              <w:bottom w:val="nil"/>
              <w:right w:val="nil"/>
            </w:tcBorders>
          </w:tcPr>
          <w:p w14:paraId="77C171A7"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w:t>
            </w:r>
          </w:p>
        </w:tc>
      </w:tr>
      <w:tr w:rsidR="00964B88" w:rsidRPr="005B45CC" w14:paraId="4526645E"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vAlign w:val="center"/>
          </w:tcPr>
          <w:p w14:paraId="4475F512" w14:textId="77777777" w:rsidR="00964B88" w:rsidRPr="005B45CC" w:rsidRDefault="00964B88" w:rsidP="005B45CC">
            <w:pPr>
              <w:rPr>
                <w:rFonts w:cstheme="majorHAnsi"/>
                <w:color w:val="000000"/>
                <w:szCs w:val="17"/>
              </w:rPr>
            </w:pPr>
            <w:r w:rsidRPr="005B45CC">
              <w:rPr>
                <w:rFonts w:cstheme="majorHAnsi"/>
                <w:color w:val="000000"/>
                <w:szCs w:val="17"/>
              </w:rPr>
              <w:t xml:space="preserve">   Other administrative variations</w:t>
            </w:r>
          </w:p>
        </w:tc>
        <w:tc>
          <w:tcPr>
            <w:tcW w:w="850" w:type="dxa"/>
            <w:tcBorders>
              <w:top w:val="nil"/>
              <w:left w:val="nil"/>
              <w:bottom w:val="single" w:sz="6" w:space="0" w:color="auto"/>
              <w:right w:val="nil"/>
            </w:tcBorders>
          </w:tcPr>
          <w:p w14:paraId="7C47879B"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251</w:t>
            </w:r>
          </w:p>
        </w:tc>
        <w:tc>
          <w:tcPr>
            <w:tcW w:w="850" w:type="dxa"/>
            <w:tcBorders>
              <w:top w:val="nil"/>
              <w:left w:val="nil"/>
              <w:bottom w:val="single" w:sz="6" w:space="0" w:color="auto"/>
              <w:right w:val="nil"/>
            </w:tcBorders>
          </w:tcPr>
          <w:p w14:paraId="5F2A3DDE"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254</w:t>
            </w:r>
          </w:p>
        </w:tc>
        <w:tc>
          <w:tcPr>
            <w:tcW w:w="850" w:type="dxa"/>
            <w:tcBorders>
              <w:top w:val="nil"/>
              <w:left w:val="nil"/>
              <w:bottom w:val="single" w:sz="6" w:space="0" w:color="auto"/>
              <w:right w:val="nil"/>
            </w:tcBorders>
          </w:tcPr>
          <w:p w14:paraId="72945186"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317</w:t>
            </w:r>
          </w:p>
        </w:tc>
        <w:tc>
          <w:tcPr>
            <w:tcW w:w="850" w:type="dxa"/>
            <w:tcBorders>
              <w:top w:val="nil"/>
              <w:left w:val="nil"/>
              <w:bottom w:val="single" w:sz="6" w:space="0" w:color="auto"/>
              <w:right w:val="nil"/>
            </w:tcBorders>
          </w:tcPr>
          <w:p w14:paraId="3F0886C1"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284</w:t>
            </w:r>
          </w:p>
        </w:tc>
      </w:tr>
      <w:tr w:rsidR="00964B88" w:rsidRPr="005B45CC" w14:paraId="5AFECB27"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6CE54436" w14:textId="77777777" w:rsidR="00964B88" w:rsidRPr="005B45CC" w:rsidRDefault="00964B88" w:rsidP="005B45CC">
            <w:pPr>
              <w:keepLines w:val="0"/>
              <w:autoSpaceDE w:val="0"/>
              <w:autoSpaceDN w:val="0"/>
              <w:adjustRightInd w:val="0"/>
              <w:rPr>
                <w:rFonts w:eastAsiaTheme="minorEastAsia" w:cstheme="majorHAnsi"/>
                <w:color w:val="000000"/>
                <w:szCs w:val="20"/>
                <w:lang w:eastAsia="en-AU"/>
              </w:rPr>
            </w:pPr>
            <w:r w:rsidRPr="005B45CC">
              <w:rPr>
                <w:rFonts w:eastAsiaTheme="minorEastAsia" w:cstheme="majorHAnsi"/>
                <w:color w:val="000000"/>
                <w:szCs w:val="20"/>
                <w:lang w:eastAsia="en-AU"/>
              </w:rPr>
              <w:t xml:space="preserve"> </w:t>
            </w:r>
          </w:p>
        </w:tc>
        <w:tc>
          <w:tcPr>
            <w:tcW w:w="850" w:type="dxa"/>
            <w:tcBorders>
              <w:top w:val="nil"/>
              <w:left w:val="nil"/>
              <w:bottom w:val="nil"/>
              <w:right w:val="nil"/>
            </w:tcBorders>
          </w:tcPr>
          <w:p w14:paraId="3276B232"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251</w:t>
            </w:r>
          </w:p>
        </w:tc>
        <w:tc>
          <w:tcPr>
            <w:tcW w:w="850" w:type="dxa"/>
            <w:tcBorders>
              <w:top w:val="nil"/>
              <w:left w:val="nil"/>
              <w:bottom w:val="nil"/>
              <w:right w:val="nil"/>
            </w:tcBorders>
          </w:tcPr>
          <w:p w14:paraId="0E9EF545"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254</w:t>
            </w:r>
          </w:p>
        </w:tc>
        <w:tc>
          <w:tcPr>
            <w:tcW w:w="850" w:type="dxa"/>
            <w:tcBorders>
              <w:top w:val="nil"/>
              <w:left w:val="nil"/>
              <w:bottom w:val="nil"/>
              <w:right w:val="nil"/>
            </w:tcBorders>
          </w:tcPr>
          <w:p w14:paraId="03340806"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317</w:t>
            </w:r>
          </w:p>
        </w:tc>
        <w:tc>
          <w:tcPr>
            <w:tcW w:w="850" w:type="dxa"/>
            <w:tcBorders>
              <w:top w:val="nil"/>
              <w:left w:val="nil"/>
              <w:bottom w:val="nil"/>
              <w:right w:val="nil"/>
            </w:tcBorders>
          </w:tcPr>
          <w:p w14:paraId="7E248B3E"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284</w:t>
            </w:r>
          </w:p>
        </w:tc>
      </w:tr>
      <w:tr w:rsidR="00964B88" w:rsidRPr="005B45CC" w14:paraId="55D09D87" w14:textId="77777777" w:rsidTr="005B45CC">
        <w:trPr>
          <w:trHeight w:hRule="exact" w:val="120"/>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7BC46ADC" w14:textId="77777777" w:rsidR="00964B88" w:rsidRPr="005B45CC" w:rsidRDefault="00964B88" w:rsidP="005B45CC">
            <w:pPr>
              <w:keepLines w:val="0"/>
              <w:autoSpaceDE w:val="0"/>
              <w:autoSpaceDN w:val="0"/>
              <w:adjustRightInd w:val="0"/>
              <w:rPr>
                <w:rFonts w:eastAsiaTheme="minorEastAsia" w:cstheme="majorHAnsi"/>
                <w:color w:val="000000"/>
                <w:szCs w:val="20"/>
                <w:lang w:eastAsia="en-AU"/>
              </w:rPr>
            </w:pPr>
            <w:r w:rsidRPr="005B45CC">
              <w:rPr>
                <w:rFonts w:eastAsiaTheme="minorEastAsia" w:cstheme="majorHAnsi"/>
                <w:color w:val="000000"/>
                <w:szCs w:val="20"/>
                <w:lang w:eastAsia="en-AU"/>
              </w:rPr>
              <w:t xml:space="preserve"> </w:t>
            </w:r>
          </w:p>
        </w:tc>
        <w:tc>
          <w:tcPr>
            <w:tcW w:w="850" w:type="dxa"/>
            <w:tcBorders>
              <w:top w:val="nil"/>
              <w:left w:val="nil"/>
              <w:bottom w:val="nil"/>
              <w:right w:val="nil"/>
            </w:tcBorders>
          </w:tcPr>
          <w:p w14:paraId="39447601"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p>
        </w:tc>
        <w:tc>
          <w:tcPr>
            <w:tcW w:w="850" w:type="dxa"/>
            <w:tcBorders>
              <w:top w:val="nil"/>
              <w:left w:val="nil"/>
              <w:bottom w:val="nil"/>
              <w:right w:val="nil"/>
            </w:tcBorders>
          </w:tcPr>
          <w:p w14:paraId="126FD66A"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p>
        </w:tc>
        <w:tc>
          <w:tcPr>
            <w:tcW w:w="850" w:type="dxa"/>
            <w:tcBorders>
              <w:top w:val="nil"/>
              <w:left w:val="nil"/>
              <w:bottom w:val="nil"/>
              <w:right w:val="nil"/>
            </w:tcBorders>
          </w:tcPr>
          <w:p w14:paraId="67815003"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p>
        </w:tc>
        <w:tc>
          <w:tcPr>
            <w:tcW w:w="850" w:type="dxa"/>
            <w:tcBorders>
              <w:top w:val="nil"/>
              <w:left w:val="nil"/>
              <w:bottom w:val="nil"/>
              <w:right w:val="nil"/>
            </w:tcBorders>
          </w:tcPr>
          <w:p w14:paraId="66E76312"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p>
        </w:tc>
      </w:tr>
      <w:tr w:rsidR="00964B88" w:rsidRPr="005B45CC" w14:paraId="509DA2A0"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3F3824C7" w14:textId="77777777" w:rsidR="00964B88" w:rsidRPr="005B45CC" w:rsidRDefault="00964B88" w:rsidP="005B45CC">
            <w:pPr>
              <w:keepLines w:val="0"/>
              <w:autoSpaceDE w:val="0"/>
              <w:autoSpaceDN w:val="0"/>
              <w:adjustRightInd w:val="0"/>
              <w:rPr>
                <w:rFonts w:eastAsiaTheme="minorEastAsia" w:cstheme="majorHAnsi"/>
                <w:b/>
                <w:bCs/>
                <w:i/>
                <w:iCs/>
                <w:color w:val="000000"/>
                <w:szCs w:val="18"/>
                <w:lang w:eastAsia="en-AU"/>
              </w:rPr>
            </w:pPr>
            <w:r w:rsidRPr="005B45CC">
              <w:rPr>
                <w:rFonts w:eastAsiaTheme="minorEastAsia" w:cstheme="majorHAnsi"/>
                <w:b/>
                <w:bCs/>
                <w:color w:val="000000"/>
                <w:szCs w:val="18"/>
                <w:lang w:eastAsia="en-AU"/>
              </w:rPr>
              <w:t xml:space="preserve">Total variation since </w:t>
            </w:r>
            <w:r w:rsidRPr="005B45CC">
              <w:rPr>
                <w:rFonts w:eastAsiaTheme="minorEastAsia" w:cstheme="majorHAnsi"/>
                <w:b/>
                <w:bCs/>
                <w:i/>
                <w:iCs/>
                <w:color w:val="000000"/>
                <w:szCs w:val="18"/>
                <w:lang w:eastAsia="en-AU"/>
              </w:rPr>
              <w:t>2019-20 Budget</w:t>
            </w:r>
          </w:p>
        </w:tc>
        <w:tc>
          <w:tcPr>
            <w:tcW w:w="850" w:type="dxa"/>
            <w:tcBorders>
              <w:top w:val="nil"/>
              <w:left w:val="nil"/>
              <w:bottom w:val="single" w:sz="6" w:space="0" w:color="auto"/>
              <w:right w:val="nil"/>
            </w:tcBorders>
          </w:tcPr>
          <w:p w14:paraId="67E7ACE0"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(432)</w:t>
            </w:r>
          </w:p>
        </w:tc>
        <w:tc>
          <w:tcPr>
            <w:tcW w:w="850" w:type="dxa"/>
            <w:tcBorders>
              <w:top w:val="nil"/>
              <w:left w:val="nil"/>
              <w:bottom w:val="single" w:sz="6" w:space="0" w:color="auto"/>
              <w:right w:val="nil"/>
            </w:tcBorders>
          </w:tcPr>
          <w:p w14:paraId="3DDFEB43"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(232)</w:t>
            </w:r>
          </w:p>
        </w:tc>
        <w:tc>
          <w:tcPr>
            <w:tcW w:w="850" w:type="dxa"/>
            <w:tcBorders>
              <w:top w:val="nil"/>
              <w:left w:val="nil"/>
              <w:bottom w:val="single" w:sz="6" w:space="0" w:color="auto"/>
              <w:right w:val="nil"/>
            </w:tcBorders>
          </w:tcPr>
          <w:p w14:paraId="525133AB"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(59)</w:t>
            </w:r>
          </w:p>
        </w:tc>
        <w:tc>
          <w:tcPr>
            <w:tcW w:w="850" w:type="dxa"/>
            <w:tcBorders>
              <w:top w:val="nil"/>
              <w:left w:val="nil"/>
              <w:bottom w:val="single" w:sz="6" w:space="0" w:color="auto"/>
              <w:right w:val="nil"/>
            </w:tcBorders>
          </w:tcPr>
          <w:p w14:paraId="10380828"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(50)</w:t>
            </w:r>
          </w:p>
        </w:tc>
      </w:tr>
      <w:tr w:rsidR="00964B88" w:rsidRPr="005B45CC" w14:paraId="6BFB6E17" w14:textId="77777777" w:rsidTr="005B45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14:paraId="4A74A187" w14:textId="77777777" w:rsidR="00964B88" w:rsidRPr="005B45CC" w:rsidRDefault="00964B88" w:rsidP="005B45CC">
            <w:pPr>
              <w:keepLines w:val="0"/>
              <w:autoSpaceDE w:val="0"/>
              <w:autoSpaceDN w:val="0"/>
              <w:adjustRightInd w:val="0"/>
              <w:rPr>
                <w:rFonts w:eastAsiaTheme="minorEastAsia" w:cstheme="majorHAnsi"/>
                <w:bCs/>
                <w:color w:val="000000"/>
                <w:szCs w:val="18"/>
                <w:lang w:eastAsia="en-AU"/>
              </w:rPr>
            </w:pPr>
            <w:r w:rsidRPr="005B45CC">
              <w:rPr>
                <w:rFonts w:eastAsiaTheme="minorEastAsia" w:cstheme="majorHAnsi"/>
                <w:bCs/>
                <w:color w:val="000000"/>
                <w:szCs w:val="18"/>
                <w:lang w:eastAsia="en-AU"/>
              </w:rPr>
              <w:t xml:space="preserve">Net result from transactions: </w:t>
            </w:r>
            <w:r w:rsidRPr="005B45CC">
              <w:rPr>
                <w:rFonts w:eastAsiaTheme="minorEastAsia" w:cstheme="majorHAnsi"/>
                <w:bCs/>
                <w:i/>
                <w:color w:val="000000"/>
                <w:szCs w:val="18"/>
                <w:lang w:eastAsia="en-AU"/>
              </w:rPr>
              <w:t>2019-20 Budget Update</w:t>
            </w:r>
          </w:p>
        </w:tc>
        <w:tc>
          <w:tcPr>
            <w:tcW w:w="850" w:type="dxa"/>
            <w:tcBorders>
              <w:top w:val="nil"/>
              <w:bottom w:val="single" w:sz="12" w:space="0" w:color="auto"/>
            </w:tcBorders>
          </w:tcPr>
          <w:p w14:paraId="776583DE" w14:textId="77777777" w:rsidR="00964B88" w:rsidRPr="005B45CC" w:rsidRDefault="005B45CC" w:rsidP="005B45CC">
            <w:pPr>
              <w:cnfStyle w:val="010000000000" w:firstRow="0" w:lastRow="1" w:firstColumn="0" w:lastColumn="0" w:oddVBand="0" w:evenVBand="0" w:oddHBand="0" w:evenHBand="0" w:firstRowFirstColumn="0" w:firstRowLastColumn="0" w:lastRowFirstColumn="0" w:lastRowLastColumn="0"/>
              <w:rPr>
                <w:rFonts w:cstheme="majorHAnsi"/>
              </w:rPr>
            </w:pPr>
            <w:r>
              <w:rPr>
                <w:rFonts w:cstheme="majorHAnsi"/>
              </w:rPr>
              <w:t>618</w:t>
            </w:r>
          </w:p>
        </w:tc>
        <w:tc>
          <w:tcPr>
            <w:tcW w:w="850" w:type="dxa"/>
            <w:tcBorders>
              <w:top w:val="nil"/>
              <w:bottom w:val="single" w:sz="12" w:space="0" w:color="auto"/>
            </w:tcBorders>
          </w:tcPr>
          <w:p w14:paraId="0C80D4F6" w14:textId="77777777" w:rsidR="00964B88" w:rsidRPr="005B45CC" w:rsidRDefault="00964B88" w:rsidP="005B45CC">
            <w:pPr>
              <w:cnfStyle w:val="010000000000" w:firstRow="0" w:lastRow="1" w:firstColumn="0" w:lastColumn="0" w:oddVBand="0" w:evenVBand="0" w:oddHBand="0" w:evenHBand="0" w:firstRowFirstColumn="0" w:firstRowLastColumn="0" w:lastRowFirstColumn="0" w:lastRowLastColumn="0"/>
              <w:rPr>
                <w:rFonts w:cstheme="majorHAnsi"/>
              </w:rPr>
            </w:pPr>
            <w:r w:rsidRPr="005B45CC">
              <w:rPr>
                <w:rFonts w:cstheme="majorHAnsi"/>
              </w:rPr>
              <w:t>1 222</w:t>
            </w:r>
          </w:p>
        </w:tc>
        <w:tc>
          <w:tcPr>
            <w:tcW w:w="850" w:type="dxa"/>
            <w:tcBorders>
              <w:top w:val="nil"/>
              <w:bottom w:val="single" w:sz="12" w:space="0" w:color="auto"/>
            </w:tcBorders>
          </w:tcPr>
          <w:p w14:paraId="457697D7" w14:textId="77777777" w:rsidR="00964B88" w:rsidRPr="005B45CC" w:rsidRDefault="00964B88" w:rsidP="005B45CC">
            <w:pPr>
              <w:cnfStyle w:val="010000000000" w:firstRow="0" w:lastRow="1" w:firstColumn="0" w:lastColumn="0" w:oddVBand="0" w:evenVBand="0" w:oddHBand="0" w:evenHBand="0" w:firstRowFirstColumn="0" w:firstRowLastColumn="0" w:lastRowFirstColumn="0" w:lastRowLastColumn="0"/>
              <w:rPr>
                <w:rFonts w:cstheme="majorHAnsi"/>
              </w:rPr>
            </w:pPr>
            <w:r w:rsidRPr="005B45CC">
              <w:rPr>
                <w:rFonts w:cstheme="majorHAnsi"/>
              </w:rPr>
              <w:t>3 841</w:t>
            </w:r>
          </w:p>
        </w:tc>
        <w:tc>
          <w:tcPr>
            <w:tcW w:w="850" w:type="dxa"/>
            <w:tcBorders>
              <w:top w:val="nil"/>
              <w:bottom w:val="single" w:sz="12" w:space="0" w:color="auto"/>
            </w:tcBorders>
          </w:tcPr>
          <w:p w14:paraId="71ABEEF7" w14:textId="77777777" w:rsidR="00964B88" w:rsidRPr="005B45CC" w:rsidRDefault="00964B88" w:rsidP="005B45CC">
            <w:pPr>
              <w:cnfStyle w:val="010000000000" w:firstRow="0" w:lastRow="1" w:firstColumn="0" w:lastColumn="0" w:oddVBand="0" w:evenVBand="0" w:oddHBand="0" w:evenHBand="0" w:firstRowFirstColumn="0" w:firstRowLastColumn="0" w:lastRowFirstColumn="0" w:lastRowLastColumn="0"/>
              <w:rPr>
                <w:rFonts w:cstheme="majorHAnsi"/>
              </w:rPr>
            </w:pPr>
            <w:r w:rsidRPr="005B45CC">
              <w:rPr>
                <w:rFonts w:cstheme="majorHAnsi"/>
              </w:rPr>
              <w:t>4 898</w:t>
            </w:r>
          </w:p>
        </w:tc>
      </w:tr>
    </w:tbl>
    <w:p w14:paraId="27BB6C02" w14:textId="77777777" w:rsidR="00964B88" w:rsidRPr="00F6096E" w:rsidRDefault="00964B88" w:rsidP="00F53820">
      <w:pPr>
        <w:pStyle w:val="Note"/>
      </w:pPr>
      <w:r w:rsidRPr="00F6096E">
        <w:t>Notes:</w:t>
      </w:r>
    </w:p>
    <w:p w14:paraId="5C2B41BF" w14:textId="77777777" w:rsidR="00964B88" w:rsidRPr="00F6096E" w:rsidRDefault="00964B88" w:rsidP="00F53820">
      <w:pPr>
        <w:pStyle w:val="Note"/>
      </w:pPr>
      <w:r w:rsidRPr="00F6096E">
        <w:t xml:space="preserve">(a) </w:t>
      </w:r>
      <w:r w:rsidRPr="00F6096E">
        <w:tab/>
        <w:t>Figures in this table are subject to rounding to the nearest million and may not add up to totals.</w:t>
      </w:r>
    </w:p>
    <w:p w14:paraId="02861EFF" w14:textId="77777777" w:rsidR="00964B88" w:rsidRPr="00F6096E" w:rsidRDefault="00964B88" w:rsidP="00F53820">
      <w:pPr>
        <w:pStyle w:val="Note"/>
      </w:pPr>
      <w:r w:rsidRPr="00F6096E">
        <w:t xml:space="preserve">(b) </w:t>
      </w:r>
      <w:r w:rsidRPr="00F6096E">
        <w:tab/>
        <w:t>This is represented in Table 3.4</w:t>
      </w:r>
      <w:r>
        <w:t xml:space="preserve"> </w:t>
      </w:r>
      <w:r w:rsidRPr="00991654">
        <w:t xml:space="preserve">as the </w:t>
      </w:r>
      <w:r w:rsidRPr="00991654">
        <w:rPr>
          <w:i w:val="0"/>
        </w:rPr>
        <w:t>2019</w:t>
      </w:r>
      <w:r w:rsidRPr="00991654">
        <w:rPr>
          <w:i w:val="0"/>
        </w:rPr>
        <w:noBreakHyphen/>
        <w:t>20 Budget</w:t>
      </w:r>
      <w:r>
        <w:rPr>
          <w:i w:val="0"/>
        </w:rPr>
        <w:t xml:space="preserve"> Update</w:t>
      </w:r>
      <w:r w:rsidRPr="00991654">
        <w:t xml:space="preserve"> output policy initiatives.</w:t>
      </w:r>
    </w:p>
    <w:p w14:paraId="6E5FD19C" w14:textId="77777777" w:rsidR="00964B88" w:rsidRPr="00F6096E" w:rsidRDefault="00964B88" w:rsidP="00F53820">
      <w:pPr>
        <w:pStyle w:val="Note"/>
      </w:pPr>
      <w:r w:rsidRPr="00F6096E">
        <w:t>(c)</w:t>
      </w:r>
      <w:r w:rsidRPr="00F6096E">
        <w:tab/>
        <w:t>Comprises dividends, income tax and rate equivalent revenue and interest.</w:t>
      </w:r>
    </w:p>
    <w:p w14:paraId="6CF9379F" w14:textId="77777777" w:rsidR="00964B88" w:rsidRPr="00F6096E" w:rsidRDefault="00964B88" w:rsidP="00F53820">
      <w:pPr>
        <w:pStyle w:val="Note"/>
      </w:pPr>
      <w:r w:rsidRPr="00F6096E">
        <w:t>(d)</w:t>
      </w:r>
      <w:r w:rsidRPr="00F6096E">
        <w:tab/>
        <w:t xml:space="preserve">Reflects the change in </w:t>
      </w:r>
      <w:r>
        <w:t>g</w:t>
      </w:r>
      <w:r w:rsidRPr="00F6096E">
        <w:t xml:space="preserve">rant </w:t>
      </w:r>
      <w:r>
        <w:t>r</w:t>
      </w:r>
      <w:r w:rsidRPr="00F6096E">
        <w:t>evenue as per Note 4.2.4</w:t>
      </w:r>
      <w:r>
        <w:t xml:space="preserve"> of </w:t>
      </w:r>
      <w:r w:rsidRPr="00F6096E">
        <w:t xml:space="preserve">Chapter 4 </w:t>
      </w:r>
      <w:r w:rsidRPr="00F6096E">
        <w:rPr>
          <w:i w:val="0"/>
        </w:rPr>
        <w:t>Estimated Financial Statements and notes</w:t>
      </w:r>
      <w:r w:rsidRPr="00B71C0B">
        <w:t xml:space="preserve"> less associated expense movements.</w:t>
      </w:r>
      <w:r w:rsidRPr="00F6096E">
        <w:t xml:space="preserve"> </w:t>
      </w:r>
    </w:p>
    <w:p w14:paraId="2FD7B989" w14:textId="77777777" w:rsidR="00964B88" w:rsidRPr="00F6096E" w:rsidRDefault="00964B88" w:rsidP="00F53820">
      <w:pPr>
        <w:pStyle w:val="Note"/>
      </w:pPr>
      <w:r w:rsidRPr="00F6096E">
        <w:t>(e)</w:t>
      </w:r>
      <w:r w:rsidRPr="00F6096E">
        <w:tab/>
        <w:t xml:space="preserve">Represents releases from the funding not allocated to specific purposes contingency </w:t>
      </w:r>
      <w:r>
        <w:t>included in the</w:t>
      </w:r>
      <w:r w:rsidRPr="00F6096E">
        <w:t xml:space="preserve"> </w:t>
      </w:r>
      <w:r w:rsidRPr="00F6096E">
        <w:rPr>
          <w:i w:val="0"/>
        </w:rPr>
        <w:t>201</w:t>
      </w:r>
      <w:r>
        <w:rPr>
          <w:i w:val="0"/>
        </w:rPr>
        <w:t>9</w:t>
      </w:r>
      <w:r w:rsidRPr="00F6096E">
        <w:rPr>
          <w:i w:val="0"/>
        </w:rPr>
        <w:t>-</w:t>
      </w:r>
      <w:r>
        <w:rPr>
          <w:i w:val="0"/>
        </w:rPr>
        <w:t>20</w:t>
      </w:r>
      <w:r w:rsidRPr="00F6096E">
        <w:rPr>
          <w:i w:val="0"/>
        </w:rPr>
        <w:t xml:space="preserve"> Budget</w:t>
      </w:r>
      <w:r w:rsidRPr="00F6096E">
        <w:t xml:space="preserve">. Further information on total output contingencies can be found at Note 4.3.5 of Chapter 4 </w:t>
      </w:r>
      <w:r w:rsidRPr="00F6096E">
        <w:rPr>
          <w:i w:val="0"/>
        </w:rPr>
        <w:t>Estimated Financial Statements and notes</w:t>
      </w:r>
      <w:r w:rsidRPr="00F6096E">
        <w:t>.</w:t>
      </w:r>
    </w:p>
    <w:p w14:paraId="01F59078" w14:textId="77777777" w:rsidR="00964B88" w:rsidRPr="00F6096E" w:rsidRDefault="00964B88" w:rsidP="00F53820">
      <w:pPr>
        <w:keepLines w:val="0"/>
        <w:rPr>
          <w:rFonts w:asciiTheme="majorHAnsi" w:hAnsiTheme="majorHAnsi" w:cstheme="majorBidi"/>
          <w:b/>
          <w:bCs/>
          <w:spacing w:val="-2"/>
          <w:sz w:val="23"/>
          <w:szCs w:val="26"/>
        </w:rPr>
      </w:pPr>
      <w:r w:rsidRPr="00F6096E">
        <w:br w:type="page"/>
      </w:r>
    </w:p>
    <w:p w14:paraId="44B3FAF3" w14:textId="77777777" w:rsidR="00964B88" w:rsidRPr="00577637" w:rsidRDefault="00964B88" w:rsidP="00F53820">
      <w:pPr>
        <w:pStyle w:val="Heading4"/>
        <w:rPr>
          <w:rFonts w:eastAsiaTheme="minorHAnsi"/>
          <w:b/>
        </w:rPr>
      </w:pPr>
      <w:r w:rsidRPr="00577637">
        <w:rPr>
          <w:rFonts w:eastAsiaTheme="minorHAnsi"/>
        </w:rPr>
        <w:lastRenderedPageBreak/>
        <w:t>Policy variations</w:t>
      </w:r>
    </w:p>
    <w:p w14:paraId="47AF0E53" w14:textId="77777777" w:rsidR="00964B88" w:rsidRPr="00577637" w:rsidRDefault="00964B88" w:rsidP="00F53820">
      <w:r w:rsidRPr="00577637">
        <w:t xml:space="preserve">Policy variations reflect specific initiatives by the Government that have an impact on the </w:t>
      </w:r>
      <w:r>
        <w:t>budget and forward estimates</w:t>
      </w:r>
      <w:r w:rsidRPr="00577637">
        <w:t xml:space="preserve"> and are related to a new policy or represent a change in the Government’s existing policy position since the previous publication.</w:t>
      </w:r>
    </w:p>
    <w:p w14:paraId="21C57306" w14:textId="77777777" w:rsidR="00964B88" w:rsidRPr="00577637" w:rsidRDefault="00964B88" w:rsidP="00F53820">
      <w:r w:rsidRPr="00577637">
        <w:t xml:space="preserve">Appendix A </w:t>
      </w:r>
      <w:r w:rsidRPr="00577637">
        <w:rPr>
          <w:i/>
        </w:rPr>
        <w:t>Specific policy initiatives affecting budget position</w:t>
      </w:r>
      <w:r w:rsidRPr="00577637">
        <w:t xml:space="preserve"> details the specific new output and revenue policy initiatives.</w:t>
      </w:r>
      <w:r>
        <w:t xml:space="preserve"> </w:t>
      </w:r>
    </w:p>
    <w:p w14:paraId="2EDA8419" w14:textId="77777777" w:rsidR="00964B88" w:rsidRPr="00577637" w:rsidRDefault="00964B88" w:rsidP="00F53820">
      <w:pPr>
        <w:pStyle w:val="TableHeading"/>
      </w:pPr>
      <w:r w:rsidRPr="00B5124A">
        <w:t>Table 3.4:</w:t>
      </w:r>
      <w:r w:rsidRPr="00B5124A">
        <w:tab/>
        <w:t xml:space="preserve">Net impact of new output initiatives since the </w:t>
      </w:r>
      <w:r w:rsidRPr="00B5124A">
        <w:rPr>
          <w:i/>
        </w:rPr>
        <w:t>2019</w:t>
      </w:r>
      <w:r w:rsidRPr="00B5124A">
        <w:rPr>
          <w:i/>
        </w:rPr>
        <w:noBreakHyphen/>
        <w:t>20 Budget</w:t>
      </w:r>
      <w:r w:rsidRPr="00B5124A">
        <w:t xml:space="preserve"> </w:t>
      </w:r>
      <w:r w:rsidRPr="00B5124A">
        <w:rPr>
          <w:vertAlign w:val="superscript"/>
        </w:rPr>
        <w:t>(a)</w:t>
      </w:r>
      <w:r w:rsidRPr="00B5124A">
        <w:t xml:space="preserve"> </w:t>
      </w:r>
      <w:r w:rsidRPr="00B5124A">
        <w:tab/>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4367"/>
        <w:gridCol w:w="850"/>
        <w:gridCol w:w="850"/>
        <w:gridCol w:w="850"/>
        <w:gridCol w:w="850"/>
      </w:tblGrid>
      <w:tr w:rsidR="005B45CC" w:rsidRPr="005B45CC" w14:paraId="1C974B79" w14:textId="77777777" w:rsidTr="005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tcBorders>
              <w:top w:val="nil"/>
              <w:left w:val="nil"/>
              <w:right w:val="nil"/>
            </w:tcBorders>
            <w:shd w:val="solid" w:color="000000" w:fill="auto"/>
          </w:tcPr>
          <w:p w14:paraId="100A8189" w14:textId="77777777" w:rsidR="005B45CC" w:rsidRPr="005B45CC" w:rsidRDefault="005B45CC" w:rsidP="005B45CC">
            <w:pPr>
              <w:keepLines w:val="0"/>
              <w:autoSpaceDE w:val="0"/>
              <w:autoSpaceDN w:val="0"/>
              <w:adjustRightInd w:val="0"/>
            </w:pPr>
            <w:r w:rsidRPr="005B45CC">
              <w:t xml:space="preserve">  </w:t>
            </w:r>
          </w:p>
        </w:tc>
        <w:tc>
          <w:tcPr>
            <w:tcW w:w="850" w:type="dxa"/>
            <w:tcBorders>
              <w:top w:val="nil"/>
              <w:left w:val="nil"/>
              <w:right w:val="nil"/>
            </w:tcBorders>
            <w:shd w:val="solid" w:color="000000" w:fill="auto"/>
          </w:tcPr>
          <w:p w14:paraId="7E181F0F"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pPr>
            <w:r w:rsidRPr="005B45CC">
              <w:t>2019-20</w:t>
            </w:r>
            <w:r w:rsidRPr="005B45CC">
              <w:br/>
              <w:t>revised</w:t>
            </w:r>
          </w:p>
        </w:tc>
        <w:tc>
          <w:tcPr>
            <w:tcW w:w="850" w:type="dxa"/>
            <w:tcBorders>
              <w:top w:val="nil"/>
              <w:left w:val="nil"/>
              <w:right w:val="nil"/>
            </w:tcBorders>
            <w:shd w:val="solid" w:color="000000" w:fill="auto"/>
          </w:tcPr>
          <w:p w14:paraId="7E6C8EC9"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pPr>
            <w:r w:rsidRPr="005B45CC">
              <w:t>2020-21</w:t>
            </w:r>
            <w:r w:rsidRPr="005B45CC">
              <w:br/>
              <w:t>estimate</w:t>
            </w:r>
          </w:p>
        </w:tc>
        <w:tc>
          <w:tcPr>
            <w:tcW w:w="850" w:type="dxa"/>
            <w:tcBorders>
              <w:top w:val="nil"/>
              <w:left w:val="nil"/>
              <w:right w:val="nil"/>
            </w:tcBorders>
            <w:shd w:val="solid" w:color="000000" w:fill="auto"/>
          </w:tcPr>
          <w:p w14:paraId="25AEBD77"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pPr>
            <w:r w:rsidRPr="005B45CC">
              <w:t>2021-22</w:t>
            </w:r>
            <w:r w:rsidRPr="005B45CC">
              <w:br/>
              <w:t>estimate</w:t>
            </w:r>
          </w:p>
        </w:tc>
        <w:tc>
          <w:tcPr>
            <w:tcW w:w="850" w:type="dxa"/>
            <w:tcBorders>
              <w:top w:val="nil"/>
              <w:left w:val="nil"/>
              <w:right w:val="nil"/>
            </w:tcBorders>
            <w:shd w:val="solid" w:color="000000" w:fill="auto"/>
          </w:tcPr>
          <w:p w14:paraId="3BA74F3B"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pPr>
            <w:r w:rsidRPr="005B45CC">
              <w:t>2022-23</w:t>
            </w:r>
            <w:r w:rsidRPr="005B45CC">
              <w:br/>
              <w:t>estimate</w:t>
            </w:r>
          </w:p>
        </w:tc>
      </w:tr>
      <w:tr w:rsidR="00964B88" w:rsidRPr="00980F8D" w14:paraId="3B36E05D" w14:textId="77777777" w:rsidTr="00F5382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14:paraId="73372DE8" w14:textId="77777777" w:rsidR="00964B88" w:rsidRPr="00577637" w:rsidRDefault="00964B88" w:rsidP="00F53820">
            <w:pPr>
              <w:keepLines w:val="0"/>
              <w:autoSpaceDE w:val="0"/>
              <w:autoSpaceDN w:val="0"/>
              <w:adjustRightInd w:val="0"/>
              <w:rPr>
                <w:rFonts w:eastAsiaTheme="minorEastAsia" w:cstheme="majorHAnsi"/>
                <w:b/>
                <w:bCs/>
                <w:color w:val="000000"/>
                <w:szCs w:val="17"/>
                <w:lang w:eastAsia="en-AU"/>
              </w:rPr>
            </w:pPr>
            <w:r w:rsidRPr="00577637">
              <w:rPr>
                <w:rFonts w:eastAsiaTheme="minorEastAsia" w:cstheme="majorHAnsi"/>
                <w:b/>
                <w:bCs/>
                <w:color w:val="000000"/>
                <w:szCs w:val="17"/>
                <w:lang w:eastAsia="en-AU"/>
              </w:rPr>
              <w:t>New output initiatives</w:t>
            </w:r>
          </w:p>
        </w:tc>
        <w:tc>
          <w:tcPr>
            <w:tcW w:w="850" w:type="dxa"/>
            <w:tcBorders>
              <w:top w:val="nil"/>
              <w:left w:val="nil"/>
              <w:bottom w:val="nil"/>
              <w:right w:val="nil"/>
            </w:tcBorders>
          </w:tcPr>
          <w:p w14:paraId="26E90C07" w14:textId="77777777" w:rsidR="00964B88" w:rsidRPr="00510A7E"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10A7E">
              <w:rPr>
                <w:b/>
              </w:rPr>
              <w:t>699</w:t>
            </w:r>
          </w:p>
        </w:tc>
        <w:tc>
          <w:tcPr>
            <w:tcW w:w="850" w:type="dxa"/>
            <w:tcBorders>
              <w:top w:val="nil"/>
              <w:left w:val="nil"/>
              <w:bottom w:val="nil"/>
              <w:right w:val="nil"/>
            </w:tcBorders>
          </w:tcPr>
          <w:p w14:paraId="557F2E00" w14:textId="77777777" w:rsidR="00964B88" w:rsidRPr="00510A7E"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10A7E">
              <w:rPr>
                <w:b/>
              </w:rPr>
              <w:t>593</w:t>
            </w:r>
          </w:p>
        </w:tc>
        <w:tc>
          <w:tcPr>
            <w:tcW w:w="850" w:type="dxa"/>
            <w:tcBorders>
              <w:top w:val="nil"/>
              <w:left w:val="nil"/>
              <w:bottom w:val="nil"/>
              <w:right w:val="nil"/>
            </w:tcBorders>
          </w:tcPr>
          <w:p w14:paraId="0B149E74" w14:textId="77777777" w:rsidR="00964B88" w:rsidRPr="00510A7E"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10A7E">
              <w:rPr>
                <w:b/>
              </w:rPr>
              <w:t>464</w:t>
            </w:r>
          </w:p>
        </w:tc>
        <w:tc>
          <w:tcPr>
            <w:tcW w:w="850" w:type="dxa"/>
            <w:tcBorders>
              <w:top w:val="nil"/>
              <w:left w:val="nil"/>
              <w:bottom w:val="nil"/>
              <w:right w:val="nil"/>
            </w:tcBorders>
          </w:tcPr>
          <w:p w14:paraId="310F838F" w14:textId="77777777" w:rsidR="00964B88" w:rsidRPr="00510A7E"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10A7E">
              <w:rPr>
                <w:b/>
              </w:rPr>
              <w:t>403</w:t>
            </w:r>
          </w:p>
        </w:tc>
      </w:tr>
      <w:tr w:rsidR="00964B88" w:rsidRPr="00577637" w14:paraId="58D8AD37" w14:textId="77777777" w:rsidTr="00F5382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14:paraId="434A1A57" w14:textId="77777777" w:rsidR="00964B88" w:rsidRPr="00577637" w:rsidRDefault="00964B88" w:rsidP="00F53820">
            <w:pPr>
              <w:keepLines w:val="0"/>
              <w:autoSpaceDE w:val="0"/>
              <w:autoSpaceDN w:val="0"/>
              <w:adjustRightInd w:val="0"/>
              <w:rPr>
                <w:rFonts w:eastAsiaTheme="minorEastAsia" w:cstheme="majorHAnsi"/>
                <w:color w:val="000000"/>
                <w:szCs w:val="17"/>
                <w:lang w:eastAsia="en-AU"/>
              </w:rPr>
            </w:pPr>
            <w:r w:rsidRPr="00577637">
              <w:rPr>
                <w:rFonts w:eastAsiaTheme="minorEastAsia" w:cstheme="majorHAnsi"/>
                <w:color w:val="000000"/>
                <w:szCs w:val="17"/>
                <w:lang w:eastAsia="en-AU"/>
              </w:rPr>
              <w:t>Less:</w:t>
            </w:r>
          </w:p>
        </w:tc>
        <w:tc>
          <w:tcPr>
            <w:tcW w:w="850" w:type="dxa"/>
            <w:tcBorders>
              <w:top w:val="nil"/>
              <w:left w:val="nil"/>
              <w:bottom w:val="nil"/>
              <w:right w:val="nil"/>
            </w:tcBorders>
          </w:tcPr>
          <w:p w14:paraId="0CE14B2F"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 xml:space="preserve"> </w:t>
            </w:r>
          </w:p>
        </w:tc>
        <w:tc>
          <w:tcPr>
            <w:tcW w:w="850" w:type="dxa"/>
            <w:tcBorders>
              <w:top w:val="nil"/>
              <w:left w:val="nil"/>
              <w:bottom w:val="nil"/>
              <w:right w:val="nil"/>
            </w:tcBorders>
          </w:tcPr>
          <w:p w14:paraId="3A0DF9CE"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 xml:space="preserve"> </w:t>
            </w:r>
          </w:p>
        </w:tc>
        <w:tc>
          <w:tcPr>
            <w:tcW w:w="850" w:type="dxa"/>
            <w:tcBorders>
              <w:top w:val="nil"/>
              <w:left w:val="nil"/>
              <w:bottom w:val="nil"/>
              <w:right w:val="nil"/>
            </w:tcBorders>
          </w:tcPr>
          <w:p w14:paraId="4535225C"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 xml:space="preserve"> </w:t>
            </w:r>
          </w:p>
        </w:tc>
        <w:tc>
          <w:tcPr>
            <w:tcW w:w="850" w:type="dxa"/>
            <w:tcBorders>
              <w:top w:val="nil"/>
              <w:left w:val="nil"/>
              <w:bottom w:val="nil"/>
              <w:right w:val="nil"/>
            </w:tcBorders>
          </w:tcPr>
          <w:p w14:paraId="22740B0D"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 xml:space="preserve"> </w:t>
            </w:r>
          </w:p>
        </w:tc>
      </w:tr>
      <w:tr w:rsidR="00964B88" w:rsidRPr="00577637" w14:paraId="485FEAC1" w14:textId="77777777" w:rsidTr="00F5382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14:paraId="0B79F95D" w14:textId="77777777" w:rsidR="00964B88" w:rsidRPr="00577637" w:rsidRDefault="00964B88" w:rsidP="00F53820">
            <w:pPr>
              <w:keepLines w:val="0"/>
              <w:autoSpaceDE w:val="0"/>
              <w:autoSpaceDN w:val="0"/>
              <w:adjustRightInd w:val="0"/>
              <w:rPr>
                <w:rFonts w:eastAsiaTheme="minorEastAsia" w:cstheme="majorHAnsi"/>
                <w:color w:val="000000"/>
                <w:szCs w:val="17"/>
                <w:lang w:eastAsia="en-AU"/>
              </w:rPr>
            </w:pPr>
            <w:r w:rsidRPr="00577637">
              <w:rPr>
                <w:rFonts w:eastAsiaTheme="minorEastAsia" w:cstheme="majorHAnsi"/>
                <w:color w:val="000000"/>
                <w:szCs w:val="17"/>
                <w:lang w:eastAsia="en-AU"/>
              </w:rPr>
              <w:t xml:space="preserve">   Reprioritisations and revenue offsets </w:t>
            </w:r>
            <w:r w:rsidRPr="00577637">
              <w:rPr>
                <w:rFonts w:eastAsiaTheme="minorEastAsia" w:cstheme="majorHAnsi"/>
                <w:color w:val="000000"/>
                <w:szCs w:val="17"/>
                <w:vertAlign w:val="superscript"/>
                <w:lang w:eastAsia="en-AU"/>
              </w:rPr>
              <w:t>(b)</w:t>
            </w:r>
          </w:p>
        </w:tc>
        <w:tc>
          <w:tcPr>
            <w:tcW w:w="850" w:type="dxa"/>
            <w:tcBorders>
              <w:top w:val="nil"/>
              <w:left w:val="nil"/>
              <w:bottom w:val="nil"/>
              <w:right w:val="nil"/>
            </w:tcBorders>
          </w:tcPr>
          <w:p w14:paraId="61602B37"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37</w:t>
            </w:r>
          </w:p>
        </w:tc>
        <w:tc>
          <w:tcPr>
            <w:tcW w:w="850" w:type="dxa"/>
            <w:tcBorders>
              <w:top w:val="nil"/>
              <w:left w:val="nil"/>
              <w:bottom w:val="nil"/>
              <w:right w:val="nil"/>
            </w:tcBorders>
          </w:tcPr>
          <w:p w14:paraId="4166D34B"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182</w:t>
            </w:r>
          </w:p>
        </w:tc>
        <w:tc>
          <w:tcPr>
            <w:tcW w:w="850" w:type="dxa"/>
            <w:tcBorders>
              <w:top w:val="nil"/>
              <w:left w:val="nil"/>
              <w:bottom w:val="nil"/>
              <w:right w:val="nil"/>
            </w:tcBorders>
          </w:tcPr>
          <w:p w14:paraId="20C4B6D2"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216</w:t>
            </w:r>
          </w:p>
        </w:tc>
        <w:tc>
          <w:tcPr>
            <w:tcW w:w="850" w:type="dxa"/>
            <w:tcBorders>
              <w:top w:val="nil"/>
              <w:left w:val="nil"/>
              <w:bottom w:val="nil"/>
              <w:right w:val="nil"/>
            </w:tcBorders>
          </w:tcPr>
          <w:p w14:paraId="35A65036"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186</w:t>
            </w:r>
          </w:p>
        </w:tc>
      </w:tr>
      <w:tr w:rsidR="00964B88" w:rsidRPr="00577637" w14:paraId="0E9BCDE0" w14:textId="77777777" w:rsidTr="00F5382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14:paraId="22BDBE5D" w14:textId="77777777" w:rsidR="00964B88" w:rsidRPr="00577637" w:rsidRDefault="00964B88" w:rsidP="00F53820">
            <w:pPr>
              <w:keepLines w:val="0"/>
              <w:autoSpaceDE w:val="0"/>
              <w:autoSpaceDN w:val="0"/>
              <w:adjustRightInd w:val="0"/>
              <w:rPr>
                <w:rFonts w:eastAsiaTheme="minorEastAsia" w:cstheme="majorHAnsi"/>
                <w:color w:val="000000"/>
                <w:szCs w:val="17"/>
                <w:lang w:eastAsia="en-AU"/>
              </w:rPr>
            </w:pPr>
            <w:r w:rsidRPr="00577637">
              <w:rPr>
                <w:rFonts w:eastAsiaTheme="minorEastAsia" w:cstheme="majorHAnsi"/>
                <w:color w:val="000000"/>
                <w:szCs w:val="17"/>
                <w:lang w:eastAsia="en-AU"/>
              </w:rPr>
              <w:t xml:space="preserve">   Adjustments </w:t>
            </w:r>
            <w:r w:rsidRPr="00577637">
              <w:rPr>
                <w:rFonts w:eastAsiaTheme="minorEastAsia" w:cstheme="majorHAnsi"/>
                <w:color w:val="000000"/>
                <w:szCs w:val="17"/>
                <w:vertAlign w:val="superscript"/>
                <w:lang w:eastAsia="en-AU"/>
              </w:rPr>
              <w:t>(c)</w:t>
            </w:r>
          </w:p>
        </w:tc>
        <w:tc>
          <w:tcPr>
            <w:tcW w:w="850" w:type="dxa"/>
            <w:tcBorders>
              <w:top w:val="nil"/>
              <w:left w:val="nil"/>
              <w:bottom w:val="nil"/>
              <w:right w:val="nil"/>
            </w:tcBorders>
          </w:tcPr>
          <w:p w14:paraId="643CBDDD"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219</w:t>
            </w:r>
          </w:p>
        </w:tc>
        <w:tc>
          <w:tcPr>
            <w:tcW w:w="850" w:type="dxa"/>
            <w:tcBorders>
              <w:top w:val="nil"/>
              <w:left w:val="nil"/>
              <w:bottom w:val="nil"/>
              <w:right w:val="nil"/>
            </w:tcBorders>
          </w:tcPr>
          <w:p w14:paraId="094CBD73"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161</w:t>
            </w:r>
          </w:p>
        </w:tc>
        <w:tc>
          <w:tcPr>
            <w:tcW w:w="850" w:type="dxa"/>
            <w:tcBorders>
              <w:top w:val="nil"/>
              <w:left w:val="nil"/>
              <w:bottom w:val="nil"/>
              <w:right w:val="nil"/>
            </w:tcBorders>
          </w:tcPr>
          <w:p w14:paraId="600CA969"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(83)</w:t>
            </w:r>
          </w:p>
        </w:tc>
        <w:tc>
          <w:tcPr>
            <w:tcW w:w="850" w:type="dxa"/>
            <w:tcBorders>
              <w:top w:val="nil"/>
              <w:left w:val="nil"/>
              <w:bottom w:val="nil"/>
              <w:right w:val="nil"/>
            </w:tcBorders>
          </w:tcPr>
          <w:p w14:paraId="60CC09AB"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(259)</w:t>
            </w:r>
          </w:p>
        </w:tc>
      </w:tr>
      <w:tr w:rsidR="00964B88" w:rsidRPr="00577637" w14:paraId="0F1FED02" w14:textId="77777777" w:rsidTr="00F5382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14:paraId="0A35BB4F" w14:textId="77777777" w:rsidR="00964B88" w:rsidRPr="00577637" w:rsidRDefault="00964B88" w:rsidP="00F53820">
            <w:pPr>
              <w:keepLines w:val="0"/>
              <w:autoSpaceDE w:val="0"/>
              <w:autoSpaceDN w:val="0"/>
              <w:adjustRightInd w:val="0"/>
              <w:rPr>
                <w:rFonts w:eastAsiaTheme="minorEastAsia" w:cstheme="majorHAnsi"/>
                <w:color w:val="000000"/>
                <w:szCs w:val="17"/>
                <w:lang w:eastAsia="en-AU"/>
              </w:rPr>
            </w:pPr>
            <w:r w:rsidRPr="00577637">
              <w:rPr>
                <w:rFonts w:eastAsiaTheme="minorEastAsia" w:cstheme="majorHAnsi"/>
                <w:color w:val="000000"/>
                <w:szCs w:val="17"/>
                <w:lang w:eastAsia="en-AU"/>
              </w:rPr>
              <w:t xml:space="preserve">   Savings</w:t>
            </w:r>
          </w:p>
        </w:tc>
        <w:tc>
          <w:tcPr>
            <w:tcW w:w="850" w:type="dxa"/>
            <w:tcBorders>
              <w:top w:val="nil"/>
              <w:left w:val="nil"/>
              <w:bottom w:val="nil"/>
              <w:right w:val="nil"/>
            </w:tcBorders>
          </w:tcPr>
          <w:p w14:paraId="4A5F6A44"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w:t>
            </w:r>
          </w:p>
        </w:tc>
        <w:tc>
          <w:tcPr>
            <w:tcW w:w="850" w:type="dxa"/>
            <w:tcBorders>
              <w:top w:val="nil"/>
              <w:left w:val="nil"/>
              <w:bottom w:val="nil"/>
              <w:right w:val="nil"/>
            </w:tcBorders>
          </w:tcPr>
          <w:p w14:paraId="497C7EC1"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w:t>
            </w:r>
          </w:p>
        </w:tc>
        <w:tc>
          <w:tcPr>
            <w:tcW w:w="850" w:type="dxa"/>
            <w:tcBorders>
              <w:top w:val="nil"/>
              <w:left w:val="nil"/>
              <w:bottom w:val="nil"/>
              <w:right w:val="nil"/>
            </w:tcBorders>
          </w:tcPr>
          <w:p w14:paraId="481799F7"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w:t>
            </w:r>
          </w:p>
        </w:tc>
        <w:tc>
          <w:tcPr>
            <w:tcW w:w="850" w:type="dxa"/>
            <w:tcBorders>
              <w:top w:val="nil"/>
              <w:left w:val="nil"/>
              <w:bottom w:val="nil"/>
              <w:right w:val="nil"/>
            </w:tcBorders>
          </w:tcPr>
          <w:p w14:paraId="4C7A6921"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w:t>
            </w:r>
          </w:p>
        </w:tc>
      </w:tr>
      <w:tr w:rsidR="00964B88" w:rsidRPr="00CA0AA2" w14:paraId="229F8513" w14:textId="77777777" w:rsidTr="00F53820">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left w:val="nil"/>
              <w:bottom w:val="single" w:sz="6" w:space="0" w:color="auto"/>
              <w:right w:val="nil"/>
            </w:tcBorders>
          </w:tcPr>
          <w:p w14:paraId="56D42D48" w14:textId="77777777" w:rsidR="00964B88" w:rsidRPr="00577637" w:rsidRDefault="00964B88" w:rsidP="00F53820">
            <w:pPr>
              <w:keepLines w:val="0"/>
              <w:autoSpaceDE w:val="0"/>
              <w:autoSpaceDN w:val="0"/>
              <w:adjustRightInd w:val="0"/>
              <w:rPr>
                <w:rFonts w:eastAsiaTheme="minorEastAsia" w:cstheme="majorHAnsi"/>
                <w:b/>
                <w:bCs/>
                <w:i/>
                <w:iCs/>
                <w:color w:val="000000"/>
                <w:szCs w:val="17"/>
                <w:lang w:eastAsia="en-AU"/>
              </w:rPr>
            </w:pPr>
            <w:r w:rsidRPr="00EE3215">
              <w:rPr>
                <w:rFonts w:eastAsiaTheme="minorEastAsia" w:cstheme="majorHAnsi"/>
                <w:b/>
                <w:bCs/>
                <w:color w:val="000000"/>
                <w:szCs w:val="17"/>
                <w:lang w:eastAsia="en-AU"/>
              </w:rPr>
              <w:t>2019-20 Budget Update</w:t>
            </w:r>
            <w:r>
              <w:rPr>
                <w:rFonts w:eastAsiaTheme="minorEastAsia" w:cstheme="majorHAnsi"/>
                <w:b/>
                <w:bCs/>
                <w:i/>
                <w:color w:val="000000"/>
                <w:szCs w:val="17"/>
                <w:lang w:eastAsia="en-AU"/>
              </w:rPr>
              <w:t xml:space="preserve"> </w:t>
            </w:r>
            <w:r w:rsidRPr="00577637">
              <w:rPr>
                <w:rFonts w:eastAsiaTheme="minorEastAsia" w:cstheme="majorHAnsi"/>
                <w:b/>
                <w:bCs/>
                <w:i/>
                <w:iCs/>
                <w:color w:val="000000"/>
                <w:szCs w:val="17"/>
                <w:lang w:eastAsia="en-AU"/>
              </w:rPr>
              <w:t>output policy initiatives</w:t>
            </w:r>
          </w:p>
        </w:tc>
        <w:tc>
          <w:tcPr>
            <w:tcW w:w="850" w:type="dxa"/>
            <w:tcBorders>
              <w:top w:val="single" w:sz="6" w:space="0" w:color="auto"/>
              <w:left w:val="nil"/>
              <w:bottom w:val="single" w:sz="6" w:space="0" w:color="auto"/>
              <w:right w:val="nil"/>
            </w:tcBorders>
          </w:tcPr>
          <w:p w14:paraId="24DA0EE8" w14:textId="77777777" w:rsidR="00964B88" w:rsidRPr="00510A7E"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10A7E">
              <w:rPr>
                <w:b/>
              </w:rPr>
              <w:t>443</w:t>
            </w:r>
          </w:p>
        </w:tc>
        <w:tc>
          <w:tcPr>
            <w:tcW w:w="850" w:type="dxa"/>
            <w:tcBorders>
              <w:top w:val="single" w:sz="6" w:space="0" w:color="auto"/>
              <w:left w:val="nil"/>
              <w:bottom w:val="single" w:sz="6" w:space="0" w:color="auto"/>
              <w:right w:val="nil"/>
            </w:tcBorders>
          </w:tcPr>
          <w:p w14:paraId="5C7A9566" w14:textId="77777777" w:rsidR="00964B88" w:rsidRPr="00510A7E"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10A7E">
              <w:rPr>
                <w:b/>
              </w:rPr>
              <w:t>250</w:t>
            </w:r>
          </w:p>
        </w:tc>
        <w:tc>
          <w:tcPr>
            <w:tcW w:w="850" w:type="dxa"/>
            <w:tcBorders>
              <w:top w:val="single" w:sz="6" w:space="0" w:color="auto"/>
              <w:left w:val="nil"/>
              <w:bottom w:val="single" w:sz="6" w:space="0" w:color="auto"/>
              <w:right w:val="nil"/>
            </w:tcBorders>
          </w:tcPr>
          <w:p w14:paraId="65C24FF5" w14:textId="77777777" w:rsidR="00964B88" w:rsidRPr="00510A7E"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10A7E">
              <w:rPr>
                <w:b/>
              </w:rPr>
              <w:t>331</w:t>
            </w:r>
          </w:p>
        </w:tc>
        <w:tc>
          <w:tcPr>
            <w:tcW w:w="850" w:type="dxa"/>
            <w:tcBorders>
              <w:top w:val="single" w:sz="6" w:space="0" w:color="auto"/>
              <w:left w:val="nil"/>
              <w:bottom w:val="single" w:sz="6" w:space="0" w:color="auto"/>
              <w:right w:val="nil"/>
            </w:tcBorders>
          </w:tcPr>
          <w:p w14:paraId="6A82450A" w14:textId="77777777" w:rsidR="00964B88" w:rsidRPr="00510A7E"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10A7E">
              <w:rPr>
                <w:b/>
              </w:rPr>
              <w:t>476</w:t>
            </w:r>
          </w:p>
        </w:tc>
      </w:tr>
      <w:tr w:rsidR="00964B88" w:rsidRPr="00577637" w14:paraId="6CD09EC8" w14:textId="77777777" w:rsidTr="00F53820">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left w:val="nil"/>
              <w:bottom w:val="single" w:sz="6" w:space="0" w:color="auto"/>
              <w:right w:val="nil"/>
            </w:tcBorders>
          </w:tcPr>
          <w:p w14:paraId="5CC0E7B7" w14:textId="77777777" w:rsidR="00964B88" w:rsidRPr="00577637" w:rsidRDefault="00964B88" w:rsidP="00F53820">
            <w:pPr>
              <w:keepLines w:val="0"/>
              <w:autoSpaceDE w:val="0"/>
              <w:autoSpaceDN w:val="0"/>
              <w:adjustRightInd w:val="0"/>
              <w:rPr>
                <w:rFonts w:eastAsiaTheme="minorEastAsia" w:cstheme="majorHAnsi"/>
                <w:color w:val="000000"/>
                <w:szCs w:val="17"/>
                <w:lang w:eastAsia="en-AU"/>
              </w:rPr>
            </w:pPr>
            <w:r w:rsidRPr="00577637">
              <w:rPr>
                <w:rFonts w:eastAsiaTheme="minorEastAsia" w:cstheme="majorHAnsi"/>
                <w:color w:val="000000"/>
                <w:szCs w:val="17"/>
                <w:lang w:eastAsia="en-AU"/>
              </w:rPr>
              <w:t xml:space="preserve">Less: contingency offset for new policy </w:t>
            </w:r>
            <w:r w:rsidRPr="00577637">
              <w:rPr>
                <w:rFonts w:eastAsiaTheme="minorEastAsia" w:cstheme="majorHAnsi"/>
                <w:color w:val="000000"/>
                <w:szCs w:val="17"/>
                <w:vertAlign w:val="superscript"/>
                <w:lang w:eastAsia="en-AU"/>
              </w:rPr>
              <w:t>(d)</w:t>
            </w:r>
          </w:p>
        </w:tc>
        <w:tc>
          <w:tcPr>
            <w:tcW w:w="850" w:type="dxa"/>
            <w:tcBorders>
              <w:top w:val="single" w:sz="6" w:space="0" w:color="auto"/>
              <w:left w:val="nil"/>
              <w:bottom w:val="single" w:sz="6" w:space="0" w:color="auto"/>
              <w:right w:val="nil"/>
            </w:tcBorders>
          </w:tcPr>
          <w:p w14:paraId="6F865210"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w:t>
            </w:r>
          </w:p>
        </w:tc>
        <w:tc>
          <w:tcPr>
            <w:tcW w:w="850" w:type="dxa"/>
            <w:tcBorders>
              <w:top w:val="single" w:sz="6" w:space="0" w:color="auto"/>
              <w:left w:val="nil"/>
              <w:bottom w:val="single" w:sz="6" w:space="0" w:color="auto"/>
              <w:right w:val="nil"/>
            </w:tcBorders>
          </w:tcPr>
          <w:p w14:paraId="0F070FF3"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w:t>
            </w:r>
          </w:p>
        </w:tc>
        <w:tc>
          <w:tcPr>
            <w:tcW w:w="850" w:type="dxa"/>
            <w:tcBorders>
              <w:top w:val="single" w:sz="6" w:space="0" w:color="auto"/>
              <w:left w:val="nil"/>
              <w:bottom w:val="single" w:sz="6" w:space="0" w:color="auto"/>
              <w:right w:val="nil"/>
            </w:tcBorders>
          </w:tcPr>
          <w:p w14:paraId="1CFB928E"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w:t>
            </w:r>
          </w:p>
        </w:tc>
        <w:tc>
          <w:tcPr>
            <w:tcW w:w="850" w:type="dxa"/>
            <w:tcBorders>
              <w:top w:val="single" w:sz="6" w:space="0" w:color="auto"/>
              <w:left w:val="nil"/>
              <w:bottom w:val="single" w:sz="6" w:space="0" w:color="auto"/>
              <w:right w:val="nil"/>
            </w:tcBorders>
          </w:tcPr>
          <w:p w14:paraId="7A320AAE" w14:textId="77777777" w:rsidR="00964B88" w:rsidRPr="00226081" w:rsidRDefault="00964B88" w:rsidP="00F53820">
            <w:pPr>
              <w:cnfStyle w:val="000000000000" w:firstRow="0" w:lastRow="0" w:firstColumn="0" w:lastColumn="0" w:oddVBand="0" w:evenVBand="0" w:oddHBand="0" w:evenHBand="0" w:firstRowFirstColumn="0" w:firstRowLastColumn="0" w:lastRowFirstColumn="0" w:lastRowLastColumn="0"/>
            </w:pPr>
            <w:r w:rsidRPr="00F26BAD">
              <w:t>..</w:t>
            </w:r>
          </w:p>
        </w:tc>
      </w:tr>
      <w:tr w:rsidR="00964B88" w:rsidRPr="00577637" w14:paraId="34394B3A"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tcBorders>
              <w:top w:val="nil"/>
              <w:bottom w:val="single" w:sz="12" w:space="0" w:color="auto"/>
            </w:tcBorders>
          </w:tcPr>
          <w:p w14:paraId="1A685C50" w14:textId="77777777" w:rsidR="00964B88" w:rsidRPr="00577637" w:rsidRDefault="00964B88" w:rsidP="00F53820">
            <w:pPr>
              <w:keepLines w:val="0"/>
              <w:autoSpaceDE w:val="0"/>
              <w:autoSpaceDN w:val="0"/>
              <w:adjustRightInd w:val="0"/>
              <w:rPr>
                <w:rFonts w:eastAsiaTheme="minorEastAsia" w:cstheme="majorHAnsi"/>
                <w:bCs/>
                <w:color w:val="000000"/>
                <w:szCs w:val="17"/>
                <w:lang w:eastAsia="en-AU"/>
              </w:rPr>
            </w:pPr>
            <w:r w:rsidRPr="00577637">
              <w:rPr>
                <w:rFonts w:eastAsiaTheme="minorEastAsia" w:cstheme="majorHAnsi"/>
                <w:bCs/>
                <w:color w:val="000000"/>
                <w:szCs w:val="17"/>
                <w:lang w:eastAsia="en-AU"/>
              </w:rPr>
              <w:t xml:space="preserve">Net impact </w:t>
            </w:r>
          </w:p>
        </w:tc>
        <w:tc>
          <w:tcPr>
            <w:tcW w:w="850" w:type="dxa"/>
            <w:tcBorders>
              <w:top w:val="nil"/>
              <w:bottom w:val="single" w:sz="12" w:space="0" w:color="auto"/>
            </w:tcBorders>
          </w:tcPr>
          <w:p w14:paraId="30AA3411" w14:textId="77777777" w:rsidR="00964B88" w:rsidRPr="00510A7E" w:rsidRDefault="00964B88" w:rsidP="00F53820">
            <w:pPr>
              <w:cnfStyle w:val="010000000000" w:firstRow="0" w:lastRow="1" w:firstColumn="0" w:lastColumn="0" w:oddVBand="0" w:evenVBand="0" w:oddHBand="0" w:evenHBand="0" w:firstRowFirstColumn="0" w:firstRowLastColumn="0" w:lastRowFirstColumn="0" w:lastRowLastColumn="0"/>
            </w:pPr>
            <w:r w:rsidRPr="00510A7E">
              <w:t>443</w:t>
            </w:r>
          </w:p>
        </w:tc>
        <w:tc>
          <w:tcPr>
            <w:tcW w:w="850" w:type="dxa"/>
            <w:tcBorders>
              <w:top w:val="nil"/>
              <w:bottom w:val="single" w:sz="12" w:space="0" w:color="auto"/>
            </w:tcBorders>
          </w:tcPr>
          <w:p w14:paraId="0C9C4333" w14:textId="77777777" w:rsidR="00964B88" w:rsidRPr="00510A7E" w:rsidRDefault="00964B88" w:rsidP="00F53820">
            <w:pPr>
              <w:cnfStyle w:val="010000000000" w:firstRow="0" w:lastRow="1" w:firstColumn="0" w:lastColumn="0" w:oddVBand="0" w:evenVBand="0" w:oddHBand="0" w:evenHBand="0" w:firstRowFirstColumn="0" w:firstRowLastColumn="0" w:lastRowFirstColumn="0" w:lastRowLastColumn="0"/>
            </w:pPr>
            <w:r w:rsidRPr="00510A7E">
              <w:t>250</w:t>
            </w:r>
          </w:p>
        </w:tc>
        <w:tc>
          <w:tcPr>
            <w:tcW w:w="850" w:type="dxa"/>
            <w:tcBorders>
              <w:top w:val="nil"/>
              <w:bottom w:val="single" w:sz="12" w:space="0" w:color="auto"/>
            </w:tcBorders>
          </w:tcPr>
          <w:p w14:paraId="61CAB8E4" w14:textId="77777777" w:rsidR="00964B88" w:rsidRPr="00510A7E" w:rsidRDefault="00964B88" w:rsidP="00F53820">
            <w:pPr>
              <w:cnfStyle w:val="010000000000" w:firstRow="0" w:lastRow="1" w:firstColumn="0" w:lastColumn="0" w:oddVBand="0" w:evenVBand="0" w:oddHBand="0" w:evenHBand="0" w:firstRowFirstColumn="0" w:firstRowLastColumn="0" w:lastRowFirstColumn="0" w:lastRowLastColumn="0"/>
            </w:pPr>
            <w:r w:rsidRPr="00510A7E">
              <w:t>331</w:t>
            </w:r>
          </w:p>
        </w:tc>
        <w:tc>
          <w:tcPr>
            <w:tcW w:w="850" w:type="dxa"/>
            <w:tcBorders>
              <w:top w:val="nil"/>
              <w:bottom w:val="single" w:sz="12" w:space="0" w:color="auto"/>
            </w:tcBorders>
          </w:tcPr>
          <w:p w14:paraId="3923F9F7" w14:textId="77777777" w:rsidR="00964B88" w:rsidRPr="00510A7E" w:rsidRDefault="00964B88" w:rsidP="00F53820">
            <w:pPr>
              <w:cnfStyle w:val="010000000000" w:firstRow="0" w:lastRow="1" w:firstColumn="0" w:lastColumn="0" w:oddVBand="0" w:evenVBand="0" w:oddHBand="0" w:evenHBand="0" w:firstRowFirstColumn="0" w:firstRowLastColumn="0" w:lastRowFirstColumn="0" w:lastRowLastColumn="0"/>
            </w:pPr>
            <w:r w:rsidRPr="00510A7E">
              <w:t>476</w:t>
            </w:r>
          </w:p>
        </w:tc>
      </w:tr>
    </w:tbl>
    <w:p w14:paraId="1507C963" w14:textId="77777777" w:rsidR="00964B88" w:rsidRPr="00577637" w:rsidRDefault="00964B88" w:rsidP="00F53820">
      <w:pPr>
        <w:pStyle w:val="Note"/>
      </w:pPr>
      <w:r w:rsidRPr="00577637">
        <w:t>Notes:</w:t>
      </w:r>
    </w:p>
    <w:p w14:paraId="66C5A238" w14:textId="77777777" w:rsidR="00964B88" w:rsidRPr="00577637" w:rsidRDefault="00964B88" w:rsidP="00F53820">
      <w:pPr>
        <w:pStyle w:val="Note"/>
      </w:pPr>
      <w:r w:rsidRPr="00577637">
        <w:t>(a)</w:t>
      </w:r>
      <w:r w:rsidRPr="00577637">
        <w:tab/>
        <w:t>Figures in this table are subject to rounding to the nearest million and may not add up to totals.</w:t>
      </w:r>
    </w:p>
    <w:p w14:paraId="46ED3495" w14:textId="77777777" w:rsidR="00964B88" w:rsidRPr="00577637" w:rsidRDefault="00964B88" w:rsidP="00F53820">
      <w:pPr>
        <w:pStyle w:val="Note"/>
      </w:pPr>
      <w:r w:rsidRPr="00577637">
        <w:t>(b)</w:t>
      </w:r>
      <w:r w:rsidRPr="00577637">
        <w:tab/>
        <w:t>This includes the reprioritisation of resources previously allocated to departments and revenue offsets.</w:t>
      </w:r>
    </w:p>
    <w:p w14:paraId="150703BC" w14:textId="77777777" w:rsidR="00964B88" w:rsidRPr="00577637" w:rsidRDefault="00964B88" w:rsidP="00F53820">
      <w:pPr>
        <w:pStyle w:val="Note"/>
      </w:pPr>
      <w:r w:rsidRPr="00577637">
        <w:t>(c)</w:t>
      </w:r>
      <w:r w:rsidRPr="00577637">
        <w:tab/>
        <w:t>Primarily incorporates the net impact of the creation and release of contingencies held for decisions made but not yet allocated.</w:t>
      </w:r>
    </w:p>
    <w:p w14:paraId="49270156" w14:textId="77777777" w:rsidR="00964B88" w:rsidRDefault="00964B88" w:rsidP="00F53820">
      <w:pPr>
        <w:pStyle w:val="Note"/>
        <w:rPr>
          <w:i w:val="0"/>
        </w:rPr>
      </w:pPr>
      <w:r w:rsidRPr="00577637">
        <w:t>(d)</w:t>
      </w:r>
      <w:r w:rsidRPr="00577637">
        <w:tab/>
        <w:t xml:space="preserve">Represents releases from the funding not allocated to specific purposes contingency associated with demand for government services. Further information on this contingency can be found at Note 4.3.5 of Chapter 4 </w:t>
      </w:r>
      <w:r w:rsidRPr="00577637">
        <w:rPr>
          <w:i w:val="0"/>
        </w:rPr>
        <w:t>Estimated Financial Statements and notes.</w:t>
      </w:r>
    </w:p>
    <w:p w14:paraId="786B295D" w14:textId="77777777" w:rsidR="005B45CC" w:rsidRPr="00577637" w:rsidRDefault="005B45CC" w:rsidP="00F53820">
      <w:pPr>
        <w:pStyle w:val="Note"/>
      </w:pPr>
    </w:p>
    <w:p w14:paraId="421ECEEB" w14:textId="77777777" w:rsidR="00964B88" w:rsidRPr="000A1859" w:rsidRDefault="00964B88" w:rsidP="00F53820">
      <w:pPr>
        <w:pStyle w:val="Heading4"/>
        <w:rPr>
          <w:rFonts w:eastAsiaTheme="minorHAnsi"/>
        </w:rPr>
      </w:pPr>
      <w:bookmarkStart w:id="33" w:name="_Hlk26197267"/>
      <w:r w:rsidRPr="000A1859">
        <w:rPr>
          <w:rFonts w:eastAsiaTheme="minorHAnsi"/>
        </w:rPr>
        <w:t>Economic and demographic variations</w:t>
      </w:r>
    </w:p>
    <w:bookmarkEnd w:id="33"/>
    <w:p w14:paraId="32F4EA35" w14:textId="77777777" w:rsidR="00964B88" w:rsidRDefault="00964B88" w:rsidP="00F53820">
      <w:pPr>
        <w:ind w:right="-227"/>
      </w:pPr>
      <w:r w:rsidRPr="000A1859">
        <w:t xml:space="preserve">Since the </w:t>
      </w:r>
      <w:r w:rsidRPr="000A1859">
        <w:rPr>
          <w:i/>
        </w:rPr>
        <w:t>2019-20 Budget</w:t>
      </w:r>
      <w:r w:rsidRPr="000A1859">
        <w:t xml:space="preserve">, taxation revenue </w:t>
      </w:r>
      <w:r>
        <w:t>has been revised up by an average of</w:t>
      </w:r>
      <w:r w:rsidRPr="000A1859">
        <w:t xml:space="preserve"> $</w:t>
      </w:r>
      <w:r>
        <w:t>141 </w:t>
      </w:r>
      <w:r w:rsidRPr="000A1859">
        <w:t>million</w:t>
      </w:r>
      <w:r>
        <w:t xml:space="preserve"> a year</w:t>
      </w:r>
      <w:r w:rsidRPr="000A1859">
        <w:t xml:space="preserve"> </w:t>
      </w:r>
      <w:r>
        <w:t xml:space="preserve">over the budget and </w:t>
      </w:r>
      <w:r w:rsidRPr="000A1859">
        <w:t xml:space="preserve">forward estimates. </w:t>
      </w:r>
      <w:r>
        <w:t xml:space="preserve">This is largely due to a moderate increase in expected </w:t>
      </w:r>
      <w:r w:rsidRPr="000A1859">
        <w:t>land transfer duty revenue</w:t>
      </w:r>
      <w:r>
        <w:t>,</w:t>
      </w:r>
      <w:r w:rsidRPr="000A1859">
        <w:t xml:space="preserve"> </w:t>
      </w:r>
      <w:r>
        <w:t>which reflects an improved outlook for the residential property market, buoyed by stimulatory monetary policy and the Australian Prudential Regulation Authority relaxing its macroprudential requirements.</w:t>
      </w:r>
    </w:p>
    <w:p w14:paraId="78C9CF1D" w14:textId="77777777" w:rsidR="00964B88" w:rsidRPr="000A1859" w:rsidRDefault="00964B88" w:rsidP="00F53820">
      <w:pPr>
        <w:pStyle w:val="ListBullet"/>
        <w:numPr>
          <w:ilvl w:val="0"/>
          <w:numId w:val="0"/>
        </w:numPr>
      </w:pPr>
      <w:bookmarkStart w:id="34" w:name="_Hlk26197274"/>
      <w:r w:rsidRPr="00690E3B">
        <w:t xml:space="preserve">Total revenue from dividends and income tax equivalents </w:t>
      </w:r>
      <w:r>
        <w:t xml:space="preserve">has been revised down by an average of $35 million a year from 2019-20 to 2022-23 compared with the </w:t>
      </w:r>
      <w:r>
        <w:rPr>
          <w:i/>
        </w:rPr>
        <w:t>2019-20 Budget</w:t>
      </w:r>
      <w:r w:rsidRPr="00690E3B">
        <w:t xml:space="preserve">, largely reflecting </w:t>
      </w:r>
      <w:r w:rsidRPr="001D6BE7">
        <w:t>lower dividends from the PNFC sector.</w:t>
      </w:r>
      <w:r w:rsidRPr="00690E3B">
        <w:t xml:space="preserve"> </w:t>
      </w:r>
    </w:p>
    <w:bookmarkEnd w:id="34"/>
    <w:p w14:paraId="711B7FE5" w14:textId="77777777" w:rsidR="00964B88" w:rsidRPr="000A1859" w:rsidRDefault="00964B88" w:rsidP="00F53820">
      <w:pPr>
        <w:pStyle w:val="Heading4"/>
        <w:rPr>
          <w:rFonts w:eastAsiaTheme="minorHAnsi"/>
        </w:rPr>
      </w:pPr>
      <w:r w:rsidRPr="000A1859">
        <w:rPr>
          <w:rFonts w:eastAsiaTheme="minorHAnsi"/>
        </w:rPr>
        <w:t>Commonwealth grants variations</w:t>
      </w:r>
    </w:p>
    <w:p w14:paraId="470677D7" w14:textId="77777777" w:rsidR="00964B88" w:rsidRPr="000A1859" w:rsidRDefault="00964B88" w:rsidP="00F53820">
      <w:pPr>
        <w:rPr>
          <w:i/>
          <w:iCs/>
        </w:rPr>
      </w:pPr>
      <w:r w:rsidRPr="000A1859">
        <w:t xml:space="preserve">Commonwealth general purpose grants (or GST grants) estimates have been revised down by </w:t>
      </w:r>
      <w:r>
        <w:t xml:space="preserve">$506 million in 2019-20 and by </w:t>
      </w:r>
      <w:r w:rsidRPr="000A1859">
        <w:t>an average of $215 million a year from 2020</w:t>
      </w:r>
      <w:r w:rsidRPr="000A1859">
        <w:noBreakHyphen/>
        <w:t>21 to 2022</w:t>
      </w:r>
      <w:r w:rsidRPr="000A1859">
        <w:noBreakHyphen/>
        <w:t xml:space="preserve">23 compared with the </w:t>
      </w:r>
      <w:r w:rsidRPr="000A1859">
        <w:rPr>
          <w:i/>
        </w:rPr>
        <w:t>2019</w:t>
      </w:r>
      <w:r w:rsidRPr="000A1859">
        <w:rPr>
          <w:i/>
        </w:rPr>
        <w:noBreakHyphen/>
        <w:t>20 Budget</w:t>
      </w:r>
      <w:r w:rsidRPr="008D2B8F">
        <w:t>.</w:t>
      </w:r>
      <w:r>
        <w:rPr>
          <w:i/>
        </w:rPr>
        <w:t xml:space="preserve"> </w:t>
      </w:r>
      <w:r>
        <w:t>This reflects a deterioration in the outlook for the GST pool, due to sluggish growth in national consumption and stronger than anticipated contraction in national dwelling investment.</w:t>
      </w:r>
    </w:p>
    <w:p w14:paraId="5E30527D" w14:textId="77777777" w:rsidR="00964B88" w:rsidRDefault="00964B88" w:rsidP="00F53820">
      <w:pPr>
        <w:pStyle w:val="ListBullet"/>
        <w:numPr>
          <w:ilvl w:val="0"/>
          <w:numId w:val="0"/>
        </w:numPr>
      </w:pPr>
      <w:r>
        <w:t xml:space="preserve">Net changes to specific purpose grants have increased the operating result by an average of $87 million a year from </w:t>
      </w:r>
      <w:r w:rsidRPr="000A1859">
        <w:t>20</w:t>
      </w:r>
      <w:r>
        <w:t>19-</w:t>
      </w:r>
      <w:r w:rsidRPr="000A1859">
        <w:t>20 to 2022</w:t>
      </w:r>
      <w:r w:rsidRPr="000A1859">
        <w:noBreakHyphen/>
        <w:t>23</w:t>
      </w:r>
      <w:r>
        <w:t xml:space="preserve"> compared with the </w:t>
      </w:r>
      <w:r>
        <w:rPr>
          <w:i/>
        </w:rPr>
        <w:t xml:space="preserve">2019-20 Budget. </w:t>
      </w:r>
      <w:r>
        <w:t xml:space="preserve">The movements primarily reflect bringing forward Commonwealth funding for </w:t>
      </w:r>
      <w:r w:rsidRPr="00A154AC">
        <w:t>North East Link</w:t>
      </w:r>
      <w:r>
        <w:t xml:space="preserve"> and other transport projects.</w:t>
      </w:r>
    </w:p>
    <w:p w14:paraId="7ED96803" w14:textId="77777777" w:rsidR="00964B88" w:rsidRPr="000A1859" w:rsidRDefault="00964B88" w:rsidP="00F53820">
      <w:pPr>
        <w:pStyle w:val="Heading4"/>
        <w:rPr>
          <w:rFonts w:eastAsiaTheme="minorHAnsi"/>
        </w:rPr>
      </w:pPr>
      <w:bookmarkStart w:id="35" w:name="_Hlk24646945"/>
      <w:r w:rsidRPr="000A1859">
        <w:rPr>
          <w:rFonts w:eastAsiaTheme="minorHAnsi"/>
        </w:rPr>
        <w:lastRenderedPageBreak/>
        <w:t>Administrative variations</w:t>
      </w:r>
    </w:p>
    <w:p w14:paraId="75783CCA" w14:textId="77777777" w:rsidR="00964B88" w:rsidRPr="000A1859" w:rsidRDefault="00964B88" w:rsidP="00F53820">
      <w:r w:rsidRPr="000A1859">
        <w:t>Other administrative variations are expected to increase the operating result by an average of $</w:t>
      </w:r>
      <w:r>
        <w:t xml:space="preserve">277 </w:t>
      </w:r>
      <w:r w:rsidRPr="000A1859">
        <w:t>million a year across the</w:t>
      </w:r>
      <w:r>
        <w:t xml:space="preserve"> budget and</w:t>
      </w:r>
      <w:r w:rsidRPr="000A1859">
        <w:t xml:space="preserve"> forward estimates, compared with the </w:t>
      </w:r>
      <w:r w:rsidRPr="000A1859">
        <w:rPr>
          <w:i/>
        </w:rPr>
        <w:t>2019</w:t>
      </w:r>
      <w:r w:rsidRPr="000A1859">
        <w:rPr>
          <w:i/>
        </w:rPr>
        <w:noBreakHyphen/>
        <w:t>20 Budget</w:t>
      </w:r>
      <w:r w:rsidRPr="000A1859">
        <w:t>. These movements</w:t>
      </w:r>
      <w:r>
        <w:t xml:space="preserve"> are</w:t>
      </w:r>
      <w:r w:rsidRPr="000A1859">
        <w:t xml:space="preserve"> largely </w:t>
      </w:r>
      <w:r>
        <w:t>due to</w:t>
      </w:r>
      <w:r w:rsidRPr="000A1859">
        <w:t>:</w:t>
      </w:r>
    </w:p>
    <w:p w14:paraId="20C0FB69" w14:textId="77777777" w:rsidR="00964B88" w:rsidRPr="00865009" w:rsidRDefault="00964B88" w:rsidP="00F53820">
      <w:pPr>
        <w:pStyle w:val="ListBullet"/>
      </w:pPr>
      <w:r w:rsidRPr="00865009">
        <w:t xml:space="preserve">lower interest </w:t>
      </w:r>
      <w:r>
        <w:t>expenses</w:t>
      </w:r>
      <w:r w:rsidRPr="00865009">
        <w:t xml:space="preserve"> reflecting </w:t>
      </w:r>
      <w:r>
        <w:t>recent i</w:t>
      </w:r>
      <w:r w:rsidRPr="00865009">
        <w:t>nterest rat</w:t>
      </w:r>
      <w:r>
        <w:t>e cuts</w:t>
      </w:r>
      <w:r w:rsidRPr="00865009">
        <w:t xml:space="preserve"> and a change in the</w:t>
      </w:r>
      <w:r>
        <w:t xml:space="preserve"> profile</w:t>
      </w:r>
      <w:r w:rsidRPr="00865009">
        <w:t xml:space="preserve"> of </w:t>
      </w:r>
      <w:r>
        <w:t xml:space="preserve">the </w:t>
      </w:r>
      <w:r w:rsidRPr="00865009">
        <w:t xml:space="preserve">Government’s borrowings; </w:t>
      </w:r>
      <w:r>
        <w:t>and</w:t>
      </w:r>
    </w:p>
    <w:p w14:paraId="26799F85" w14:textId="77777777" w:rsidR="00964B88" w:rsidRPr="00865009" w:rsidRDefault="00964B88" w:rsidP="00F53820">
      <w:pPr>
        <w:pStyle w:val="ListBullet"/>
      </w:pPr>
      <w:r>
        <w:t>superannuation expenses decreasing primarily due to movements in the bond yields that underlie the key superannuation valuation assumptions.</w:t>
      </w:r>
    </w:p>
    <w:bookmarkEnd w:id="35"/>
    <w:p w14:paraId="22E989E2" w14:textId="77777777" w:rsidR="00964B88" w:rsidRPr="00C203E5" w:rsidRDefault="00964B88" w:rsidP="00F53820">
      <w:pPr>
        <w:pStyle w:val="Heading20"/>
        <w:spacing w:before="200"/>
        <w:rPr>
          <w:rFonts w:eastAsiaTheme="minorHAnsi"/>
        </w:rPr>
      </w:pPr>
      <w:r w:rsidRPr="00C203E5">
        <w:rPr>
          <w:rFonts w:eastAsiaTheme="minorHAnsi"/>
        </w:rPr>
        <w:t>Capital expenditure</w:t>
      </w:r>
    </w:p>
    <w:p w14:paraId="745B7166" w14:textId="77777777" w:rsidR="00964B88" w:rsidRPr="00C203E5" w:rsidRDefault="00964B88" w:rsidP="00F53820">
      <w:pPr>
        <w:ind w:right="198"/>
      </w:pPr>
      <w:r w:rsidRPr="00A154AC">
        <w:t>G</w:t>
      </w:r>
      <w:r>
        <w:t>overnment infrastructure investment</w:t>
      </w:r>
      <w:r w:rsidRPr="00A154AC">
        <w:t>, which measures investment funded or facilitated by the Government, is expected to average $1</w:t>
      </w:r>
      <w:r>
        <w:t>3</w:t>
      </w:r>
      <w:r w:rsidRPr="00A154AC">
        <w:t>.</w:t>
      </w:r>
      <w:r>
        <w:t>9</w:t>
      </w:r>
      <w:r w:rsidRPr="00A154AC">
        <w:t xml:space="preserve"> billion</w:t>
      </w:r>
      <w:r>
        <w:t xml:space="preserve"> a year</w:t>
      </w:r>
      <w:r w:rsidRPr="00A154AC">
        <w:t xml:space="preserve"> over </w:t>
      </w:r>
      <w:r>
        <w:t>the budget and forward estimates</w:t>
      </w:r>
      <w:r w:rsidRPr="00A154AC">
        <w:t>, nearly triple the average of $4.9</w:t>
      </w:r>
      <w:r>
        <w:t> </w:t>
      </w:r>
      <w:r w:rsidRPr="00A154AC">
        <w:t>billion a year from 2005</w:t>
      </w:r>
      <w:r w:rsidRPr="00A154AC">
        <w:rPr>
          <w:rFonts w:ascii="Times New Roman" w:hAnsi="Times New Roman" w:cs="Times New Roman"/>
        </w:rPr>
        <w:t>‑</w:t>
      </w:r>
      <w:r w:rsidRPr="00A154AC">
        <w:t>06 to 2014</w:t>
      </w:r>
      <w:r w:rsidRPr="00A154AC">
        <w:rPr>
          <w:rFonts w:ascii="Times New Roman" w:hAnsi="Times New Roman" w:cs="Times New Roman"/>
        </w:rPr>
        <w:t>‑</w:t>
      </w:r>
      <w:r w:rsidRPr="00A154AC">
        <w:t>15 (</w:t>
      </w:r>
      <w:r>
        <w:t xml:space="preserve">as shown in </w:t>
      </w:r>
      <w:r w:rsidRPr="00A154AC">
        <w:t xml:space="preserve">Chart </w:t>
      </w:r>
      <w:r>
        <w:t>3</w:t>
      </w:r>
      <w:r w:rsidRPr="00A154AC">
        <w:t>.1). This includes expenditure on major productivity-enhancing projects delivered through the Victorian Transport Fund</w:t>
      </w:r>
      <w:r>
        <w:t>, including</w:t>
      </w:r>
      <w:r w:rsidRPr="00A154AC">
        <w:t xml:space="preserve"> North East Link</w:t>
      </w:r>
      <w:r>
        <w:t>,</w:t>
      </w:r>
      <w:r w:rsidRPr="00A154AC">
        <w:t xml:space="preserve"> Melbourne Airport Rail and </w:t>
      </w:r>
      <w:r>
        <w:t xml:space="preserve">the </w:t>
      </w:r>
      <w:r w:rsidRPr="00A154AC">
        <w:t>removal of an additional 25</w:t>
      </w:r>
      <w:r>
        <w:t> </w:t>
      </w:r>
      <w:r w:rsidRPr="00A154AC">
        <w:t>level crossings by 2025.</w:t>
      </w:r>
    </w:p>
    <w:p w14:paraId="731A4F23" w14:textId="77777777" w:rsidR="00964B88" w:rsidRDefault="00964B88" w:rsidP="00F53820">
      <w:pPr>
        <w:pStyle w:val="TableHeading"/>
        <w:spacing w:before="200"/>
        <w:ind w:left="0" w:firstLine="0"/>
        <w:rPr>
          <w:vertAlign w:val="superscript"/>
        </w:rPr>
      </w:pPr>
      <w:r w:rsidRPr="00761B6A">
        <w:t>Chart 3.1:</w:t>
      </w:r>
      <w:r w:rsidRPr="00761B6A">
        <w:tab/>
        <w:t xml:space="preserve">Government infrastructure investment </w:t>
      </w:r>
      <w:r w:rsidRPr="00761B6A">
        <w:rPr>
          <w:vertAlign w:val="superscript"/>
        </w:rPr>
        <w:t>(a)(b)</w:t>
      </w:r>
    </w:p>
    <w:p w14:paraId="535ADFEF" w14:textId="77777777" w:rsidR="00964B88" w:rsidRDefault="00964B88" w:rsidP="00F53820">
      <w:r>
        <w:rPr>
          <w:noProof/>
        </w:rPr>
        <w:drawing>
          <wp:inline distT="0" distB="0" distL="0" distR="0" wp14:anchorId="3C017271" wp14:editId="1E902CC9">
            <wp:extent cx="4896000" cy="304266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96000" cy="3042660"/>
                    </a:xfrm>
                    <a:prstGeom prst="rect">
                      <a:avLst/>
                    </a:prstGeom>
                    <a:noFill/>
                  </pic:spPr>
                </pic:pic>
              </a:graphicData>
            </a:graphic>
          </wp:inline>
        </w:drawing>
      </w:r>
    </w:p>
    <w:p w14:paraId="604DB528" w14:textId="77777777" w:rsidR="00964B88" w:rsidRPr="00C203E5" w:rsidRDefault="00964B88" w:rsidP="00F53820">
      <w:pPr>
        <w:pStyle w:val="Note"/>
      </w:pPr>
      <w:r>
        <w:t>N</w:t>
      </w:r>
      <w:r w:rsidRPr="00C203E5">
        <w:t>otes:</w:t>
      </w:r>
    </w:p>
    <w:p w14:paraId="202B9780" w14:textId="77777777" w:rsidR="00964B88" w:rsidRPr="00C203E5" w:rsidRDefault="00964B88" w:rsidP="00F53820">
      <w:pPr>
        <w:pStyle w:val="Note"/>
      </w:pPr>
      <w:r w:rsidRPr="00C203E5">
        <w:t>(a)</w:t>
      </w:r>
      <w:r w:rsidRPr="00C203E5">
        <w:tab/>
        <w:t xml:space="preserve">Includes general government net infrastructure investment and estimated </w:t>
      </w:r>
      <w:r>
        <w:t>construction costs</w:t>
      </w:r>
      <w:r w:rsidRPr="00C203E5">
        <w:t xml:space="preserve"> for </w:t>
      </w:r>
      <w:r>
        <w:t>public private partnership</w:t>
      </w:r>
      <w:r w:rsidRPr="00C203E5">
        <w:t xml:space="preserve"> projects.</w:t>
      </w:r>
    </w:p>
    <w:p w14:paraId="435FC66B" w14:textId="77777777" w:rsidR="00964B88" w:rsidRPr="00AF4C1C" w:rsidRDefault="00964B88" w:rsidP="00F53820">
      <w:pPr>
        <w:pStyle w:val="Note"/>
        <w:rPr>
          <w:rFonts w:cstheme="majorBidi"/>
          <w:b/>
        </w:rPr>
      </w:pPr>
      <w:r w:rsidRPr="00E958CE">
        <w:t>(b)</w:t>
      </w:r>
      <w:r w:rsidRPr="00E958CE">
        <w:tab/>
        <w:t>Excludes the impact of the medium</w:t>
      </w:r>
      <w:r w:rsidRPr="00E958CE">
        <w:noBreakHyphen/>
        <w:t>term lease over the operations of the Port of Melbourne and the divestment of Victoria’s share of Snowy Hydro Limited.</w:t>
      </w:r>
    </w:p>
    <w:p w14:paraId="4C4BC432" w14:textId="77777777" w:rsidR="00964B88" w:rsidRDefault="00964B88" w:rsidP="00F53820">
      <w:pPr>
        <w:pStyle w:val="Heading20"/>
        <w:spacing w:before="120"/>
        <w:rPr>
          <w:rFonts w:eastAsiaTheme="minorHAnsi"/>
        </w:rPr>
      </w:pPr>
      <w:r w:rsidRPr="00C203E5">
        <w:rPr>
          <w:rFonts w:eastAsiaTheme="minorHAnsi"/>
        </w:rPr>
        <w:lastRenderedPageBreak/>
        <w:t>Net debt</w:t>
      </w:r>
    </w:p>
    <w:p w14:paraId="11B29D64" w14:textId="77777777" w:rsidR="00964B88" w:rsidRDefault="00964B88" w:rsidP="005B45CC">
      <w:pPr>
        <w:ind w:right="-86"/>
      </w:pPr>
      <w:r w:rsidRPr="00820F0B">
        <w:t xml:space="preserve">In </w:t>
      </w:r>
      <w:r w:rsidRPr="008E7B4D">
        <w:t xml:space="preserve">the </w:t>
      </w:r>
      <w:r>
        <w:rPr>
          <w:i/>
        </w:rPr>
        <w:t>2019-20 Budget</w:t>
      </w:r>
      <w:r w:rsidRPr="00820F0B">
        <w:t xml:space="preserve">, the Government committed to stabilise net debt at 12 per cent of GSP over the medium term, with the additional borrowings directed to major productivity-enhancing infrastructure projects </w:t>
      </w:r>
      <w:r>
        <w:t xml:space="preserve">including </w:t>
      </w:r>
      <w:r w:rsidRPr="00820F0B">
        <w:t>North East Link</w:t>
      </w:r>
      <w:r>
        <w:t>,</w:t>
      </w:r>
      <w:r w:rsidRPr="00820F0B">
        <w:t xml:space="preserve"> Melbourne Airport Rail and </w:t>
      </w:r>
      <w:r>
        <w:t xml:space="preserve">the </w:t>
      </w:r>
      <w:r w:rsidRPr="00820F0B">
        <w:t>removal of an additional 25 level crossings by 2025.</w:t>
      </w:r>
      <w:r>
        <w:t xml:space="preserve"> </w:t>
      </w:r>
      <w:r w:rsidRPr="00CC5E4F">
        <w:t xml:space="preserve">The increase </w:t>
      </w:r>
      <w:r>
        <w:t>was</w:t>
      </w:r>
      <w:r w:rsidRPr="00CC5E4F">
        <w:t xml:space="preserve"> also necessary to accommodate changes to accounting standards</w:t>
      </w:r>
      <w:r>
        <w:t>,</w:t>
      </w:r>
      <w:r w:rsidRPr="00CC5E4F">
        <w:t xml:space="preserve"> </w:t>
      </w:r>
      <w:r>
        <w:t>w</w:t>
      </w:r>
      <w:r w:rsidRPr="004734A7">
        <w:t>hich account for around 1.7 percentage points of the increase in net debt to GSP in 2019-20.</w:t>
      </w:r>
    </w:p>
    <w:p w14:paraId="0C4CB609" w14:textId="77777777" w:rsidR="00964B88" w:rsidRDefault="00964B88" w:rsidP="00F53820">
      <w:r>
        <w:t xml:space="preserve">The step change increase in net debt includes the requirement to classify most operating leases as debt and the progressive recognition during construction of capital expenditure and debt associated with financial service concession arrangements, including certain public private partnerships. </w:t>
      </w:r>
    </w:p>
    <w:p w14:paraId="75F02D4A" w14:textId="77777777" w:rsidR="00964B88" w:rsidRPr="00820F0B" w:rsidRDefault="00964B88" w:rsidP="00F53820">
      <w:r>
        <w:t>Importantly, the interest expense associated with the technical recognition of changes to accounting standards does not increase the underlying cost of borrowings.</w:t>
      </w:r>
    </w:p>
    <w:p w14:paraId="1A066EAA" w14:textId="77777777" w:rsidR="00964B88" w:rsidRPr="00820F0B" w:rsidRDefault="00964B88" w:rsidP="00F53820">
      <w:r w:rsidRPr="00C203E5">
        <w:t>As a proportion of GSP, net debt is projected to increase from its June 20</w:t>
      </w:r>
      <w:r>
        <w:t>20</w:t>
      </w:r>
      <w:r w:rsidRPr="00C203E5">
        <w:t xml:space="preserve"> level of </w:t>
      </w:r>
      <w:r>
        <w:t>8.5 </w:t>
      </w:r>
      <w:r w:rsidRPr="00C203E5">
        <w:t xml:space="preserve">per cent to </w:t>
      </w:r>
      <w:r>
        <w:t>10.5 per cent by</w:t>
      </w:r>
      <w:r w:rsidRPr="00C203E5">
        <w:t xml:space="preserve"> </w:t>
      </w:r>
      <w:r>
        <w:t xml:space="preserve">June 2023 </w:t>
      </w:r>
      <w:r w:rsidRPr="00820F0B">
        <w:t>(</w:t>
      </w:r>
      <w:r>
        <w:t xml:space="preserve">as shown in </w:t>
      </w:r>
      <w:r w:rsidRPr="00820F0B">
        <w:t xml:space="preserve">Chart </w:t>
      </w:r>
      <w:r>
        <w:t>3</w:t>
      </w:r>
      <w:r w:rsidRPr="00820F0B">
        <w:t>.</w:t>
      </w:r>
      <w:r>
        <w:t>2</w:t>
      </w:r>
      <w:r w:rsidRPr="00820F0B">
        <w:t>).</w:t>
      </w:r>
    </w:p>
    <w:p w14:paraId="03D03020" w14:textId="77777777" w:rsidR="00964B88" w:rsidRDefault="00964B88" w:rsidP="00F53820">
      <w:pPr>
        <w:pStyle w:val="TableHeading"/>
        <w:rPr>
          <w:noProof/>
        </w:rPr>
      </w:pPr>
      <w:r w:rsidRPr="003666FF">
        <w:t>Chart 3.2:</w:t>
      </w:r>
      <w:r w:rsidRPr="003666FF">
        <w:tab/>
        <w:t xml:space="preserve">General government net debt to GSP </w:t>
      </w:r>
      <w:r w:rsidRPr="003666FF">
        <w:rPr>
          <w:vertAlign w:val="superscript"/>
        </w:rPr>
        <w:t>(a</w:t>
      </w:r>
      <w:r>
        <w:rPr>
          <w:vertAlign w:val="superscript"/>
        </w:rPr>
        <w:t>)</w:t>
      </w:r>
      <w:r w:rsidRPr="001911C5">
        <w:rPr>
          <w:noProof/>
        </w:rPr>
        <w:t xml:space="preserve"> </w:t>
      </w:r>
    </w:p>
    <w:p w14:paraId="64D2F039" w14:textId="77777777" w:rsidR="00964B88" w:rsidRPr="00253C7D" w:rsidRDefault="00964B88" w:rsidP="00F53820">
      <w:r>
        <w:rPr>
          <w:noProof/>
        </w:rPr>
        <w:drawing>
          <wp:inline distT="0" distB="0" distL="0" distR="0" wp14:anchorId="1C12E101" wp14:editId="1B4EAFDE">
            <wp:extent cx="4896000" cy="266471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a:extLst>
                        <a:ext uri="{28A0092B-C50C-407E-A947-70E740481C1C}">
                          <a14:useLocalDpi xmlns:a14="http://schemas.microsoft.com/office/drawing/2010/main" val="0"/>
                        </a:ext>
                      </a:extLst>
                    </a:blip>
                    <a:srcRect l="1548" r="3747" b="2279"/>
                    <a:stretch/>
                  </pic:blipFill>
                  <pic:spPr bwMode="auto">
                    <a:xfrm>
                      <a:off x="0" y="0"/>
                      <a:ext cx="4896000" cy="2664711"/>
                    </a:xfrm>
                    <a:prstGeom prst="rect">
                      <a:avLst/>
                    </a:prstGeom>
                    <a:noFill/>
                    <a:ln>
                      <a:noFill/>
                    </a:ln>
                    <a:extLst>
                      <a:ext uri="{53640926-AAD7-44D8-BBD7-CCE9431645EC}">
                        <a14:shadowObscured xmlns:a14="http://schemas.microsoft.com/office/drawing/2010/main"/>
                      </a:ext>
                    </a:extLst>
                  </pic:spPr>
                </pic:pic>
              </a:graphicData>
            </a:graphic>
          </wp:inline>
        </w:drawing>
      </w:r>
    </w:p>
    <w:p w14:paraId="0B56A82E" w14:textId="77777777" w:rsidR="00964B88" w:rsidRPr="00C203E5" w:rsidRDefault="00964B88" w:rsidP="00F53820">
      <w:pPr>
        <w:pStyle w:val="Note"/>
      </w:pPr>
      <w:r w:rsidRPr="00C203E5">
        <w:t xml:space="preserve">Note: </w:t>
      </w:r>
    </w:p>
    <w:p w14:paraId="167EAEA7" w14:textId="77777777" w:rsidR="00964B88" w:rsidRDefault="00964B88" w:rsidP="00F53820">
      <w:pPr>
        <w:pStyle w:val="Note"/>
      </w:pPr>
      <w:r w:rsidRPr="00C203E5">
        <w:t>(a)</w:t>
      </w:r>
      <w:r w:rsidRPr="00C203E5">
        <w:tab/>
        <w:t>The decrease in 2016</w:t>
      </w:r>
      <w:r w:rsidRPr="00C203E5">
        <w:noBreakHyphen/>
        <w:t>17 reflects the receipt of proceeds from entering into a medium</w:t>
      </w:r>
      <w:r w:rsidRPr="00C203E5">
        <w:noBreakHyphen/>
        <w:t>term lease over the operations of the Port of Melbourne.</w:t>
      </w:r>
      <w:r w:rsidRPr="00A154AC">
        <w:t xml:space="preserve"> </w:t>
      </w:r>
    </w:p>
    <w:p w14:paraId="14FEEA27" w14:textId="77777777" w:rsidR="00964B88" w:rsidRDefault="00964B88">
      <w:pPr>
        <w:keepLines w:val="0"/>
      </w:pPr>
      <w:r>
        <w:br w:type="page"/>
      </w:r>
    </w:p>
    <w:p w14:paraId="12699776" w14:textId="77777777" w:rsidR="00964B88" w:rsidRDefault="00964B88" w:rsidP="00F53820">
      <w:pPr>
        <w:keepLines w:val="0"/>
      </w:pPr>
      <w:r w:rsidRPr="00C203E5">
        <w:lastRenderedPageBreak/>
        <w:t xml:space="preserve">The application of cash </w:t>
      </w:r>
      <w:r w:rsidRPr="00F87383">
        <w:t>resources for the general government sector (</w:t>
      </w:r>
      <w:r>
        <w:t xml:space="preserve">as shown in </w:t>
      </w:r>
      <w:r w:rsidRPr="00F87383">
        <w:t>Table </w:t>
      </w:r>
      <w:r>
        <w:t>3.5</w:t>
      </w:r>
      <w:r w:rsidRPr="00F87383">
        <w:t>) outlines the annual movements in net debt. General government sector</w:t>
      </w:r>
      <w:r>
        <w:t xml:space="preserve"> net</w:t>
      </w:r>
      <w:r w:rsidRPr="00F87383">
        <w:t xml:space="preserve"> cash from operating activities is expected </w:t>
      </w:r>
      <w:r w:rsidRPr="00BF01CB">
        <w:t xml:space="preserve">to </w:t>
      </w:r>
      <w:r w:rsidRPr="00EE59A1">
        <w:t>average $</w:t>
      </w:r>
      <w:r>
        <w:t>6</w:t>
      </w:r>
      <w:r w:rsidRPr="00EE59A1">
        <w:t>.</w:t>
      </w:r>
      <w:r>
        <w:t>1</w:t>
      </w:r>
      <w:r w:rsidRPr="00EE59A1">
        <w:t> billion a year</w:t>
      </w:r>
      <w:r w:rsidRPr="00F87383">
        <w:t xml:space="preserve"> over the </w:t>
      </w:r>
      <w:r>
        <w:t>budget and forward estimates</w:t>
      </w:r>
      <w:r w:rsidRPr="00F87383">
        <w:t>.</w:t>
      </w:r>
    </w:p>
    <w:p w14:paraId="77E453AB" w14:textId="77777777" w:rsidR="00964B88" w:rsidRPr="00A62473" w:rsidRDefault="00964B88" w:rsidP="00F53820">
      <w:pPr>
        <w:keepLines w:val="0"/>
      </w:pPr>
      <w:r>
        <w:t>Strong operating cash surpluses enable the Government to support the significant investment in the infrastructure and core services the State needs, while maintaining a responsible fiscal position.</w:t>
      </w:r>
    </w:p>
    <w:p w14:paraId="0D6AC41B" w14:textId="77777777" w:rsidR="00964B88" w:rsidRPr="006721BF" w:rsidRDefault="00964B88" w:rsidP="00F53820">
      <w:pPr>
        <w:pStyle w:val="TableHeading"/>
        <w:ind w:left="0" w:firstLine="0"/>
      </w:pPr>
      <w:bookmarkStart w:id="36" w:name="_Hlk24645385"/>
      <w:r w:rsidRPr="001321FB">
        <w:t>Table 3.5:</w:t>
      </w:r>
      <w:r w:rsidRPr="001321FB">
        <w:tab/>
        <w:t xml:space="preserve">Application of cash resources for the general government sector </w:t>
      </w:r>
      <w:r w:rsidRPr="001321FB">
        <w:rPr>
          <w:vertAlign w:val="superscript"/>
        </w:rPr>
        <w:t>(a)</w:t>
      </w:r>
      <w:r w:rsidRPr="001321FB">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5B45CC" w:rsidRPr="005B45CC" w14:paraId="42D6A8B6" w14:textId="77777777" w:rsidTr="005B45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FFFFFF"/>
          </w:tcPr>
          <w:p w14:paraId="53F1F262" w14:textId="77777777" w:rsidR="005B45CC" w:rsidRPr="005B45CC" w:rsidRDefault="005B45CC" w:rsidP="005B45CC">
            <w:pPr>
              <w:keepLines w:val="0"/>
              <w:rPr>
                <w:rFonts w:cstheme="majorHAnsi"/>
                <w:iCs/>
                <w:color w:val="FFFFFF"/>
                <w:szCs w:val="17"/>
              </w:rPr>
            </w:pPr>
            <w:r w:rsidRPr="005B45CC">
              <w:rPr>
                <w:rFonts w:cstheme="majorHAnsi"/>
                <w:i w:val="0"/>
                <w:iCs/>
                <w:color w:val="FFFFFF"/>
                <w:szCs w:val="17"/>
              </w:rPr>
              <w:t xml:space="preserve"> </w:t>
            </w:r>
            <w:r w:rsidRPr="005B45CC">
              <w:rPr>
                <w:rFonts w:cstheme="majorHAnsi"/>
                <w:iCs/>
                <w:color w:val="FFFFFF"/>
                <w:szCs w:val="17"/>
              </w:rPr>
              <w:t xml:space="preserve"> </w:t>
            </w:r>
          </w:p>
        </w:tc>
        <w:tc>
          <w:tcPr>
            <w:tcW w:w="850" w:type="dxa"/>
            <w:tcBorders>
              <w:top w:val="nil"/>
              <w:left w:val="nil"/>
              <w:right w:val="nil"/>
            </w:tcBorders>
            <w:shd w:val="solid" w:color="000000" w:fill="FFFFFF"/>
            <w:vAlign w:val="center"/>
          </w:tcPr>
          <w:p w14:paraId="03EC8ABF"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iCs/>
                <w:color w:val="FFFFFF"/>
                <w:szCs w:val="17"/>
              </w:rPr>
            </w:pPr>
            <w:r w:rsidRPr="005B45CC">
              <w:rPr>
                <w:rFonts w:cstheme="majorHAnsi"/>
                <w:iCs/>
                <w:color w:val="FFFFFF"/>
                <w:szCs w:val="17"/>
              </w:rPr>
              <w:t>2019-20</w:t>
            </w:r>
            <w:r w:rsidRPr="005B45CC">
              <w:rPr>
                <w:rFonts w:cstheme="majorHAnsi"/>
                <w:iCs/>
                <w:color w:val="FFFFFF"/>
                <w:szCs w:val="17"/>
              </w:rPr>
              <w:br/>
              <w:t>revised</w:t>
            </w:r>
            <w:r w:rsidRPr="005B45CC">
              <w:rPr>
                <w:rFonts w:eastAsiaTheme="minorEastAsia" w:cstheme="majorHAnsi"/>
                <w:iCs/>
                <w:color w:val="FFFFFF"/>
                <w:szCs w:val="17"/>
                <w:lang w:eastAsia="en-AU"/>
              </w:rPr>
              <w:t xml:space="preserve"> </w:t>
            </w:r>
            <w:r w:rsidRPr="005B45CC">
              <w:rPr>
                <w:rFonts w:eastAsiaTheme="minorEastAsia" w:cstheme="majorHAnsi"/>
                <w:iCs/>
                <w:color w:val="FFFFFF"/>
                <w:szCs w:val="17"/>
                <w:vertAlign w:val="superscript"/>
                <w:lang w:eastAsia="en-AU"/>
              </w:rPr>
              <w:t>(b)</w:t>
            </w:r>
          </w:p>
        </w:tc>
        <w:tc>
          <w:tcPr>
            <w:tcW w:w="850" w:type="dxa"/>
            <w:tcBorders>
              <w:top w:val="nil"/>
              <w:left w:val="nil"/>
              <w:right w:val="nil"/>
            </w:tcBorders>
            <w:shd w:val="solid" w:color="000000" w:fill="FFFFFF"/>
            <w:vAlign w:val="center"/>
          </w:tcPr>
          <w:p w14:paraId="24937F81"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iCs/>
                <w:color w:val="FFFFFF"/>
                <w:szCs w:val="17"/>
              </w:rPr>
            </w:pPr>
            <w:r w:rsidRPr="005B45CC">
              <w:rPr>
                <w:rFonts w:cstheme="majorHAnsi"/>
                <w:iCs/>
                <w:color w:val="FFFFFF"/>
                <w:szCs w:val="17"/>
              </w:rPr>
              <w:t>2020-21</w:t>
            </w:r>
            <w:r w:rsidRPr="005B45CC">
              <w:rPr>
                <w:rFonts w:cstheme="majorHAnsi"/>
                <w:iCs/>
                <w:color w:val="FFFFFF"/>
                <w:szCs w:val="17"/>
              </w:rPr>
              <w:br/>
              <w:t>estimate</w:t>
            </w:r>
          </w:p>
        </w:tc>
        <w:tc>
          <w:tcPr>
            <w:tcW w:w="850" w:type="dxa"/>
            <w:tcBorders>
              <w:top w:val="nil"/>
              <w:left w:val="nil"/>
              <w:right w:val="nil"/>
            </w:tcBorders>
            <w:shd w:val="solid" w:color="000000" w:fill="FFFFFF"/>
            <w:vAlign w:val="center"/>
          </w:tcPr>
          <w:p w14:paraId="498F4198"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iCs/>
                <w:color w:val="FFFFFF"/>
                <w:szCs w:val="17"/>
              </w:rPr>
            </w:pPr>
            <w:r w:rsidRPr="005B45CC">
              <w:rPr>
                <w:rFonts w:cstheme="majorHAnsi"/>
                <w:iCs/>
                <w:color w:val="FFFFFF"/>
                <w:szCs w:val="17"/>
              </w:rPr>
              <w:t>2021-22</w:t>
            </w:r>
            <w:r w:rsidRPr="005B45CC">
              <w:rPr>
                <w:rFonts w:cstheme="majorHAnsi"/>
                <w:iCs/>
                <w:color w:val="FFFFFF"/>
                <w:szCs w:val="17"/>
              </w:rPr>
              <w:br/>
              <w:t>estimate</w:t>
            </w:r>
          </w:p>
        </w:tc>
        <w:tc>
          <w:tcPr>
            <w:tcW w:w="850" w:type="dxa"/>
            <w:tcBorders>
              <w:top w:val="nil"/>
              <w:left w:val="nil"/>
              <w:right w:val="nil"/>
            </w:tcBorders>
            <w:shd w:val="solid" w:color="000000" w:fill="FFFFFF"/>
            <w:vAlign w:val="center"/>
          </w:tcPr>
          <w:p w14:paraId="17D433DF" w14:textId="77777777" w:rsidR="005B45CC" w:rsidRPr="005B45CC" w:rsidRDefault="005B45CC" w:rsidP="005B45CC">
            <w:pPr>
              <w:cnfStyle w:val="100000000000" w:firstRow="1" w:lastRow="0" w:firstColumn="0" w:lastColumn="0" w:oddVBand="0" w:evenVBand="0" w:oddHBand="0" w:evenHBand="0" w:firstRowFirstColumn="0" w:firstRowLastColumn="0" w:lastRowFirstColumn="0" w:lastRowLastColumn="0"/>
              <w:rPr>
                <w:rFonts w:cstheme="majorHAnsi"/>
                <w:iCs/>
                <w:color w:val="FFFFFF"/>
                <w:szCs w:val="17"/>
              </w:rPr>
            </w:pPr>
            <w:r w:rsidRPr="005B45CC">
              <w:rPr>
                <w:rFonts w:cstheme="majorHAnsi"/>
                <w:iCs/>
                <w:color w:val="FFFFFF"/>
                <w:szCs w:val="17"/>
              </w:rPr>
              <w:t>2022-23</w:t>
            </w:r>
            <w:r w:rsidRPr="005B45CC">
              <w:rPr>
                <w:rFonts w:cstheme="majorHAnsi"/>
                <w:iCs/>
                <w:color w:val="FFFFFF"/>
                <w:szCs w:val="17"/>
              </w:rPr>
              <w:br/>
              <w:t>estimate</w:t>
            </w:r>
          </w:p>
        </w:tc>
      </w:tr>
      <w:tr w:rsidR="00964B88" w:rsidRPr="005B45CC" w14:paraId="5BAC0818"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40131885" w14:textId="77777777" w:rsidR="00964B88" w:rsidRPr="005B45CC" w:rsidRDefault="00964B88" w:rsidP="005B45CC">
            <w:pPr>
              <w:rPr>
                <w:rFonts w:cstheme="majorHAnsi"/>
                <w:b/>
                <w:bCs/>
                <w:color w:val="000000"/>
                <w:szCs w:val="17"/>
              </w:rPr>
            </w:pPr>
            <w:r w:rsidRPr="005B45CC">
              <w:rPr>
                <w:rFonts w:cstheme="majorHAnsi"/>
                <w:b/>
                <w:bCs/>
                <w:color w:val="000000"/>
                <w:szCs w:val="17"/>
              </w:rPr>
              <w:t>Net result from transactions</w:t>
            </w:r>
          </w:p>
        </w:tc>
        <w:tc>
          <w:tcPr>
            <w:tcW w:w="850" w:type="dxa"/>
            <w:tcBorders>
              <w:top w:val="nil"/>
              <w:left w:val="nil"/>
              <w:bottom w:val="nil"/>
              <w:right w:val="nil"/>
            </w:tcBorders>
          </w:tcPr>
          <w:p w14:paraId="37A08E51"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rPr>
            </w:pPr>
            <w:r>
              <w:rPr>
                <w:rFonts w:cstheme="majorHAnsi"/>
                <w:b/>
              </w:rPr>
              <w:t>618</w:t>
            </w:r>
          </w:p>
        </w:tc>
        <w:tc>
          <w:tcPr>
            <w:tcW w:w="850" w:type="dxa"/>
            <w:tcBorders>
              <w:top w:val="nil"/>
              <w:left w:val="nil"/>
              <w:bottom w:val="nil"/>
              <w:right w:val="nil"/>
            </w:tcBorders>
          </w:tcPr>
          <w:p w14:paraId="258097C3"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1 222</w:t>
            </w:r>
          </w:p>
        </w:tc>
        <w:tc>
          <w:tcPr>
            <w:tcW w:w="850" w:type="dxa"/>
            <w:tcBorders>
              <w:top w:val="nil"/>
              <w:left w:val="nil"/>
              <w:bottom w:val="nil"/>
              <w:right w:val="nil"/>
            </w:tcBorders>
          </w:tcPr>
          <w:p w14:paraId="514AE19D"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3 841</w:t>
            </w:r>
          </w:p>
        </w:tc>
        <w:tc>
          <w:tcPr>
            <w:tcW w:w="850" w:type="dxa"/>
            <w:tcBorders>
              <w:top w:val="nil"/>
              <w:left w:val="nil"/>
              <w:bottom w:val="nil"/>
              <w:right w:val="nil"/>
            </w:tcBorders>
          </w:tcPr>
          <w:p w14:paraId="40BE32B4"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4 898</w:t>
            </w:r>
          </w:p>
        </w:tc>
      </w:tr>
      <w:tr w:rsidR="00964B88" w:rsidRPr="005B45CC" w14:paraId="2E5F29CF"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14:paraId="71BF5F5A" w14:textId="77777777" w:rsidR="00964B88" w:rsidRPr="005B45CC" w:rsidRDefault="00964B88" w:rsidP="005B45CC">
            <w:pPr>
              <w:rPr>
                <w:rFonts w:cstheme="majorHAnsi"/>
                <w:color w:val="000000"/>
                <w:szCs w:val="17"/>
              </w:rPr>
            </w:pPr>
            <w:r w:rsidRPr="005B45CC">
              <w:rPr>
                <w:rFonts w:cstheme="majorHAnsi"/>
                <w:color w:val="000000"/>
                <w:szCs w:val="17"/>
              </w:rPr>
              <w:t xml:space="preserve">Add back: non-cash revenue and expenses (net) </w:t>
            </w:r>
            <w:r w:rsidR="005B45CC" w:rsidRPr="005B45CC">
              <w:rPr>
                <w:rFonts w:cstheme="majorHAnsi"/>
                <w:color w:val="000000"/>
                <w:szCs w:val="17"/>
                <w:vertAlign w:val="superscript"/>
              </w:rPr>
              <w:t>(c)</w:t>
            </w:r>
          </w:p>
        </w:tc>
        <w:tc>
          <w:tcPr>
            <w:tcW w:w="850" w:type="dxa"/>
            <w:tcBorders>
              <w:top w:val="nil"/>
              <w:left w:val="nil"/>
              <w:bottom w:val="single" w:sz="6" w:space="0" w:color="auto"/>
              <w:right w:val="nil"/>
            </w:tcBorders>
          </w:tcPr>
          <w:p w14:paraId="55B9E95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2 740</w:t>
            </w:r>
          </w:p>
        </w:tc>
        <w:tc>
          <w:tcPr>
            <w:tcW w:w="850" w:type="dxa"/>
            <w:tcBorders>
              <w:top w:val="nil"/>
              <w:left w:val="nil"/>
              <w:bottom w:val="single" w:sz="6" w:space="0" w:color="auto"/>
              <w:right w:val="nil"/>
            </w:tcBorders>
          </w:tcPr>
          <w:p w14:paraId="5839B34D"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3 404</w:t>
            </w:r>
          </w:p>
        </w:tc>
        <w:tc>
          <w:tcPr>
            <w:tcW w:w="850" w:type="dxa"/>
            <w:tcBorders>
              <w:top w:val="nil"/>
              <w:left w:val="nil"/>
              <w:bottom w:val="single" w:sz="6" w:space="0" w:color="auto"/>
              <w:right w:val="nil"/>
            </w:tcBorders>
          </w:tcPr>
          <w:p w14:paraId="38A0851D"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3 695</w:t>
            </w:r>
          </w:p>
        </w:tc>
        <w:tc>
          <w:tcPr>
            <w:tcW w:w="850" w:type="dxa"/>
            <w:tcBorders>
              <w:top w:val="nil"/>
              <w:left w:val="nil"/>
              <w:bottom w:val="single" w:sz="6" w:space="0" w:color="auto"/>
              <w:right w:val="nil"/>
            </w:tcBorders>
          </w:tcPr>
          <w:p w14:paraId="011F71D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4 078</w:t>
            </w:r>
          </w:p>
        </w:tc>
      </w:tr>
      <w:tr w:rsidR="00964B88" w:rsidRPr="005B45CC" w14:paraId="4F50DC5C"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14:paraId="13D3C8D6" w14:textId="77777777" w:rsidR="00964B88" w:rsidRPr="005B45CC" w:rsidRDefault="00964B88" w:rsidP="005B45CC">
            <w:pPr>
              <w:rPr>
                <w:rFonts w:cstheme="majorHAnsi"/>
                <w:b/>
                <w:bCs/>
                <w:color w:val="000000"/>
                <w:szCs w:val="17"/>
              </w:rPr>
            </w:pPr>
            <w:r w:rsidRPr="005B45CC">
              <w:rPr>
                <w:rFonts w:cstheme="majorHAnsi"/>
                <w:b/>
                <w:bCs/>
                <w:color w:val="000000"/>
                <w:szCs w:val="17"/>
              </w:rPr>
              <w:t>Net cash flows from operating activities</w:t>
            </w:r>
          </w:p>
        </w:tc>
        <w:tc>
          <w:tcPr>
            <w:tcW w:w="850" w:type="dxa"/>
            <w:tcBorders>
              <w:top w:val="single" w:sz="6" w:space="0" w:color="auto"/>
              <w:left w:val="nil"/>
              <w:bottom w:val="single" w:sz="6" w:space="0" w:color="auto"/>
              <w:right w:val="nil"/>
            </w:tcBorders>
          </w:tcPr>
          <w:p w14:paraId="3ECC8888"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3 358</w:t>
            </w:r>
          </w:p>
        </w:tc>
        <w:tc>
          <w:tcPr>
            <w:tcW w:w="850" w:type="dxa"/>
            <w:tcBorders>
              <w:top w:val="single" w:sz="6" w:space="0" w:color="auto"/>
              <w:left w:val="nil"/>
              <w:bottom w:val="single" w:sz="6" w:space="0" w:color="auto"/>
              <w:right w:val="nil"/>
            </w:tcBorders>
          </w:tcPr>
          <w:p w14:paraId="479E8FE0"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4 626</w:t>
            </w:r>
          </w:p>
        </w:tc>
        <w:tc>
          <w:tcPr>
            <w:tcW w:w="850" w:type="dxa"/>
            <w:tcBorders>
              <w:top w:val="single" w:sz="6" w:space="0" w:color="auto"/>
              <w:left w:val="nil"/>
              <w:bottom w:val="single" w:sz="6" w:space="0" w:color="auto"/>
              <w:right w:val="nil"/>
            </w:tcBorders>
          </w:tcPr>
          <w:p w14:paraId="29026B07"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7 536</w:t>
            </w:r>
          </w:p>
        </w:tc>
        <w:tc>
          <w:tcPr>
            <w:tcW w:w="850" w:type="dxa"/>
            <w:tcBorders>
              <w:top w:val="single" w:sz="6" w:space="0" w:color="auto"/>
              <w:left w:val="nil"/>
              <w:bottom w:val="single" w:sz="6" w:space="0" w:color="auto"/>
              <w:right w:val="nil"/>
            </w:tcBorders>
          </w:tcPr>
          <w:p w14:paraId="5CD0BF89"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8 976</w:t>
            </w:r>
          </w:p>
        </w:tc>
      </w:tr>
      <w:tr w:rsidR="00964B88" w:rsidRPr="005B45CC" w14:paraId="6ED14C96"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14:paraId="6C229D58" w14:textId="77777777" w:rsidR="00964B88" w:rsidRPr="005B45CC" w:rsidRDefault="00964B88" w:rsidP="005B45CC">
            <w:pPr>
              <w:rPr>
                <w:rFonts w:cstheme="majorHAnsi"/>
                <w:b/>
                <w:bCs/>
                <w:color w:val="000000"/>
                <w:szCs w:val="17"/>
              </w:rPr>
            </w:pPr>
            <w:r w:rsidRPr="005B45CC">
              <w:rPr>
                <w:rFonts w:cstheme="majorHAnsi"/>
                <w:b/>
                <w:bCs/>
                <w:color w:val="000000"/>
                <w:szCs w:val="17"/>
              </w:rPr>
              <w:t xml:space="preserve">Less: Total net investment in fixed assets </w:t>
            </w:r>
            <w:r w:rsidR="005B45CC" w:rsidRPr="005B45CC">
              <w:rPr>
                <w:rFonts w:cstheme="majorHAnsi"/>
                <w:b/>
                <w:bCs/>
                <w:color w:val="000000"/>
                <w:szCs w:val="17"/>
                <w:vertAlign w:val="superscript"/>
              </w:rPr>
              <w:t>(d)</w:t>
            </w:r>
          </w:p>
        </w:tc>
        <w:tc>
          <w:tcPr>
            <w:tcW w:w="850" w:type="dxa"/>
            <w:tcBorders>
              <w:top w:val="single" w:sz="6" w:space="0" w:color="auto"/>
              <w:left w:val="nil"/>
              <w:bottom w:val="single" w:sz="6" w:space="0" w:color="auto"/>
              <w:right w:val="nil"/>
            </w:tcBorders>
          </w:tcPr>
          <w:p w14:paraId="06FB36B4"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9 589</w:t>
            </w:r>
          </w:p>
        </w:tc>
        <w:tc>
          <w:tcPr>
            <w:tcW w:w="850" w:type="dxa"/>
            <w:tcBorders>
              <w:top w:val="single" w:sz="6" w:space="0" w:color="auto"/>
              <w:left w:val="nil"/>
              <w:bottom w:val="single" w:sz="6" w:space="0" w:color="auto"/>
              <w:right w:val="nil"/>
            </w:tcBorders>
          </w:tcPr>
          <w:p w14:paraId="6E6E4312"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9 385</w:t>
            </w:r>
          </w:p>
        </w:tc>
        <w:tc>
          <w:tcPr>
            <w:tcW w:w="850" w:type="dxa"/>
            <w:tcBorders>
              <w:top w:val="single" w:sz="6" w:space="0" w:color="auto"/>
              <w:left w:val="nil"/>
              <w:bottom w:val="single" w:sz="6" w:space="0" w:color="auto"/>
              <w:right w:val="nil"/>
            </w:tcBorders>
          </w:tcPr>
          <w:p w14:paraId="171005C6"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7 652</w:t>
            </w:r>
          </w:p>
        </w:tc>
        <w:tc>
          <w:tcPr>
            <w:tcW w:w="850" w:type="dxa"/>
            <w:tcBorders>
              <w:top w:val="single" w:sz="6" w:space="0" w:color="auto"/>
              <w:left w:val="nil"/>
              <w:bottom w:val="single" w:sz="6" w:space="0" w:color="auto"/>
              <w:right w:val="nil"/>
            </w:tcBorders>
          </w:tcPr>
          <w:p w14:paraId="5CBA36B3"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rPr>
            </w:pPr>
            <w:r w:rsidRPr="005B45CC">
              <w:rPr>
                <w:rFonts w:cstheme="majorHAnsi"/>
                <w:b/>
              </w:rPr>
              <w:t>10 258</w:t>
            </w:r>
          </w:p>
        </w:tc>
      </w:tr>
      <w:tr w:rsidR="00964B88" w:rsidRPr="005B45CC" w14:paraId="5F816CE2"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4" w:space="0" w:color="auto"/>
              <w:right w:val="nil"/>
            </w:tcBorders>
          </w:tcPr>
          <w:p w14:paraId="6E741558" w14:textId="77777777" w:rsidR="00964B88" w:rsidRPr="005B45CC" w:rsidRDefault="00964B88" w:rsidP="005B45CC">
            <w:pPr>
              <w:rPr>
                <w:rFonts w:cstheme="majorHAnsi"/>
                <w:b/>
                <w:bCs/>
                <w:color w:val="000000"/>
                <w:szCs w:val="17"/>
              </w:rPr>
            </w:pPr>
            <w:r w:rsidRPr="005B45CC">
              <w:rPr>
                <w:rFonts w:cstheme="majorHAnsi"/>
                <w:b/>
                <w:bCs/>
                <w:color w:val="000000"/>
                <w:szCs w:val="17"/>
              </w:rPr>
              <w:t>Surplus/(deficit) of cash from operations after funding net investment in fixed assets</w:t>
            </w:r>
          </w:p>
        </w:tc>
        <w:tc>
          <w:tcPr>
            <w:tcW w:w="850" w:type="dxa"/>
            <w:tcBorders>
              <w:top w:val="single" w:sz="6" w:space="0" w:color="auto"/>
              <w:left w:val="nil"/>
              <w:bottom w:val="single" w:sz="4" w:space="0" w:color="auto"/>
              <w:right w:val="nil"/>
            </w:tcBorders>
          </w:tcPr>
          <w:p w14:paraId="7663BEBC"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bCs/>
                <w:color w:val="000000"/>
                <w:szCs w:val="17"/>
              </w:rPr>
            </w:pPr>
            <w:r>
              <w:rPr>
                <w:rFonts w:cstheme="majorHAnsi"/>
                <w:b/>
                <w:bCs/>
                <w:color w:val="000000"/>
                <w:szCs w:val="17"/>
              </w:rPr>
              <w:t>(6 232)</w:t>
            </w:r>
          </w:p>
        </w:tc>
        <w:tc>
          <w:tcPr>
            <w:tcW w:w="850" w:type="dxa"/>
            <w:tcBorders>
              <w:top w:val="single" w:sz="6" w:space="0" w:color="auto"/>
              <w:left w:val="nil"/>
              <w:bottom w:val="single" w:sz="4" w:space="0" w:color="auto"/>
              <w:right w:val="nil"/>
            </w:tcBorders>
          </w:tcPr>
          <w:p w14:paraId="6B99368B"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bCs/>
                <w:color w:val="000000"/>
                <w:szCs w:val="17"/>
              </w:rPr>
            </w:pPr>
            <w:r>
              <w:rPr>
                <w:rFonts w:cstheme="majorHAnsi"/>
                <w:b/>
                <w:bCs/>
                <w:color w:val="000000"/>
                <w:szCs w:val="17"/>
              </w:rPr>
              <w:t>(4 759)</w:t>
            </w:r>
          </w:p>
        </w:tc>
        <w:tc>
          <w:tcPr>
            <w:tcW w:w="850" w:type="dxa"/>
            <w:tcBorders>
              <w:top w:val="single" w:sz="6" w:space="0" w:color="auto"/>
              <w:left w:val="nil"/>
              <w:bottom w:val="single" w:sz="4" w:space="0" w:color="auto"/>
              <w:right w:val="nil"/>
            </w:tcBorders>
          </w:tcPr>
          <w:p w14:paraId="6FCE6343"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bCs/>
                <w:color w:val="000000"/>
                <w:szCs w:val="17"/>
              </w:rPr>
            </w:pPr>
            <w:r>
              <w:rPr>
                <w:rFonts w:cstheme="majorHAnsi"/>
                <w:b/>
                <w:bCs/>
                <w:color w:val="000000"/>
                <w:szCs w:val="17"/>
              </w:rPr>
              <w:t>(115)</w:t>
            </w:r>
          </w:p>
        </w:tc>
        <w:tc>
          <w:tcPr>
            <w:tcW w:w="850" w:type="dxa"/>
            <w:tcBorders>
              <w:top w:val="single" w:sz="6" w:space="0" w:color="auto"/>
              <w:left w:val="nil"/>
              <w:bottom w:val="single" w:sz="4" w:space="0" w:color="auto"/>
              <w:right w:val="nil"/>
            </w:tcBorders>
          </w:tcPr>
          <w:p w14:paraId="5BC2E96A"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b/>
                <w:bCs/>
                <w:color w:val="000000"/>
                <w:szCs w:val="17"/>
              </w:rPr>
            </w:pPr>
            <w:r>
              <w:rPr>
                <w:rFonts w:cstheme="majorHAnsi"/>
                <w:b/>
                <w:bCs/>
                <w:color w:val="000000"/>
                <w:szCs w:val="17"/>
              </w:rPr>
              <w:t>(1 282)</w:t>
            </w:r>
          </w:p>
        </w:tc>
      </w:tr>
      <w:tr w:rsidR="00964B88" w:rsidRPr="005B45CC" w14:paraId="58EEFCDE"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single" w:sz="4" w:space="0" w:color="auto"/>
              <w:left w:val="nil"/>
              <w:bottom w:val="nil"/>
              <w:right w:val="nil"/>
            </w:tcBorders>
          </w:tcPr>
          <w:p w14:paraId="033B1117" w14:textId="77777777" w:rsidR="00964B88" w:rsidRPr="005B45CC" w:rsidRDefault="00964B88" w:rsidP="005B45CC">
            <w:pPr>
              <w:rPr>
                <w:rFonts w:cstheme="majorHAnsi"/>
                <w:bCs/>
                <w:color w:val="000000"/>
                <w:szCs w:val="17"/>
              </w:rPr>
            </w:pPr>
            <w:r w:rsidRPr="005B45CC">
              <w:rPr>
                <w:rFonts w:cstheme="majorHAnsi"/>
                <w:bCs/>
                <w:color w:val="000000"/>
                <w:szCs w:val="17"/>
              </w:rPr>
              <w:t>Less:</w:t>
            </w:r>
          </w:p>
        </w:tc>
        <w:tc>
          <w:tcPr>
            <w:tcW w:w="850" w:type="dxa"/>
            <w:tcBorders>
              <w:top w:val="single" w:sz="4" w:space="0" w:color="auto"/>
              <w:left w:val="nil"/>
              <w:bottom w:val="nil"/>
              <w:right w:val="nil"/>
            </w:tcBorders>
          </w:tcPr>
          <w:p w14:paraId="0C0B63EB"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bCs/>
                <w:color w:val="000000"/>
                <w:szCs w:val="17"/>
              </w:rPr>
            </w:pPr>
          </w:p>
        </w:tc>
        <w:tc>
          <w:tcPr>
            <w:tcW w:w="850" w:type="dxa"/>
            <w:tcBorders>
              <w:top w:val="single" w:sz="4" w:space="0" w:color="auto"/>
              <w:left w:val="nil"/>
              <w:bottom w:val="nil"/>
              <w:right w:val="nil"/>
            </w:tcBorders>
          </w:tcPr>
          <w:p w14:paraId="2C04E991"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bCs/>
                <w:color w:val="000000"/>
                <w:szCs w:val="17"/>
              </w:rPr>
            </w:pPr>
          </w:p>
        </w:tc>
        <w:tc>
          <w:tcPr>
            <w:tcW w:w="850" w:type="dxa"/>
            <w:tcBorders>
              <w:top w:val="single" w:sz="4" w:space="0" w:color="auto"/>
              <w:left w:val="nil"/>
              <w:bottom w:val="nil"/>
              <w:right w:val="nil"/>
            </w:tcBorders>
          </w:tcPr>
          <w:p w14:paraId="53813D2D"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bCs/>
                <w:color w:val="000000"/>
                <w:szCs w:val="17"/>
              </w:rPr>
            </w:pPr>
          </w:p>
        </w:tc>
        <w:tc>
          <w:tcPr>
            <w:tcW w:w="850" w:type="dxa"/>
            <w:tcBorders>
              <w:top w:val="single" w:sz="4" w:space="0" w:color="auto"/>
              <w:left w:val="nil"/>
              <w:bottom w:val="nil"/>
              <w:right w:val="nil"/>
            </w:tcBorders>
          </w:tcPr>
          <w:p w14:paraId="2014CC51"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b/>
                <w:bCs/>
                <w:color w:val="000000"/>
                <w:szCs w:val="17"/>
              </w:rPr>
            </w:pPr>
          </w:p>
        </w:tc>
      </w:tr>
      <w:tr w:rsidR="00964B88" w:rsidRPr="005B45CC" w14:paraId="384F4559"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6367A863" w14:textId="77777777" w:rsidR="00964B88" w:rsidRPr="005B45CC" w:rsidRDefault="00964B88" w:rsidP="005B45CC">
            <w:pPr>
              <w:rPr>
                <w:rFonts w:cstheme="majorHAnsi"/>
                <w:color w:val="000000"/>
                <w:szCs w:val="17"/>
              </w:rPr>
            </w:pPr>
            <w:r w:rsidRPr="005B45CC">
              <w:rPr>
                <w:rFonts w:cstheme="majorHAnsi"/>
                <w:color w:val="000000"/>
                <w:szCs w:val="17"/>
              </w:rPr>
              <w:t xml:space="preserve">  </w:t>
            </w:r>
            <w:r w:rsidR="005B45CC" w:rsidRPr="005B45CC">
              <w:rPr>
                <w:rFonts w:cstheme="majorHAnsi"/>
                <w:color w:val="000000"/>
                <w:szCs w:val="17"/>
              </w:rPr>
              <w:t xml:space="preserve"> </w:t>
            </w:r>
            <w:r w:rsidRPr="005B45CC">
              <w:rPr>
                <w:rFonts w:cstheme="majorHAnsi"/>
                <w:color w:val="000000"/>
                <w:szCs w:val="17"/>
              </w:rPr>
              <w:t xml:space="preserve">Leases and service concession arrangements </w:t>
            </w:r>
            <w:r w:rsidR="005B45CC" w:rsidRPr="005B45CC">
              <w:rPr>
                <w:rFonts w:cstheme="majorHAnsi"/>
                <w:color w:val="000000"/>
                <w:szCs w:val="17"/>
                <w:vertAlign w:val="superscript"/>
              </w:rPr>
              <w:t>(e)</w:t>
            </w:r>
          </w:p>
        </w:tc>
        <w:tc>
          <w:tcPr>
            <w:tcW w:w="850" w:type="dxa"/>
            <w:tcBorders>
              <w:top w:val="nil"/>
              <w:left w:val="nil"/>
              <w:bottom w:val="nil"/>
              <w:right w:val="nil"/>
            </w:tcBorders>
          </w:tcPr>
          <w:p w14:paraId="1AB3D2B5"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9 829</w:t>
            </w:r>
          </w:p>
        </w:tc>
        <w:tc>
          <w:tcPr>
            <w:tcW w:w="850" w:type="dxa"/>
            <w:tcBorders>
              <w:top w:val="nil"/>
              <w:left w:val="nil"/>
              <w:bottom w:val="nil"/>
              <w:right w:val="nil"/>
            </w:tcBorders>
          </w:tcPr>
          <w:p w14:paraId="7FA71D14"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2 770</w:t>
            </w:r>
          </w:p>
        </w:tc>
        <w:tc>
          <w:tcPr>
            <w:tcW w:w="850" w:type="dxa"/>
            <w:tcBorders>
              <w:top w:val="nil"/>
              <w:left w:val="nil"/>
              <w:bottom w:val="nil"/>
              <w:right w:val="nil"/>
            </w:tcBorders>
          </w:tcPr>
          <w:p w14:paraId="4913725D"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3 555</w:t>
            </w:r>
          </w:p>
        </w:tc>
        <w:tc>
          <w:tcPr>
            <w:tcW w:w="850" w:type="dxa"/>
            <w:tcBorders>
              <w:top w:val="nil"/>
              <w:left w:val="nil"/>
              <w:bottom w:val="nil"/>
              <w:right w:val="nil"/>
            </w:tcBorders>
          </w:tcPr>
          <w:p w14:paraId="0A173B6C"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2 272</w:t>
            </w:r>
          </w:p>
        </w:tc>
      </w:tr>
      <w:tr w:rsidR="00964B88" w:rsidRPr="005B45CC" w14:paraId="45240989" w14:textId="77777777" w:rsidTr="005B45CC">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14:paraId="54243A20" w14:textId="77777777" w:rsidR="00964B88" w:rsidRPr="005B45CC" w:rsidRDefault="00964B88" w:rsidP="005B45CC">
            <w:pPr>
              <w:rPr>
                <w:rFonts w:cstheme="majorHAnsi"/>
                <w:color w:val="000000"/>
                <w:szCs w:val="17"/>
              </w:rPr>
            </w:pPr>
            <w:r w:rsidRPr="005B45CC">
              <w:rPr>
                <w:rFonts w:cstheme="majorHAnsi"/>
                <w:color w:val="000000"/>
                <w:szCs w:val="17"/>
              </w:rPr>
              <w:t xml:space="preserve">   Other movements</w:t>
            </w:r>
          </w:p>
        </w:tc>
        <w:tc>
          <w:tcPr>
            <w:tcW w:w="850" w:type="dxa"/>
            <w:tcBorders>
              <w:top w:val="nil"/>
              <w:left w:val="nil"/>
              <w:bottom w:val="single" w:sz="6" w:space="0" w:color="auto"/>
              <w:right w:val="nil"/>
            </w:tcBorders>
          </w:tcPr>
          <w:p w14:paraId="0CD6D2D1"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1 881</w:t>
            </w:r>
          </w:p>
        </w:tc>
        <w:tc>
          <w:tcPr>
            <w:tcW w:w="850" w:type="dxa"/>
            <w:tcBorders>
              <w:top w:val="nil"/>
              <w:left w:val="nil"/>
              <w:bottom w:val="single" w:sz="6" w:space="0" w:color="auto"/>
              <w:right w:val="nil"/>
            </w:tcBorders>
          </w:tcPr>
          <w:p w14:paraId="286252B3" w14:textId="77777777" w:rsidR="00964B88" w:rsidRPr="005B45CC" w:rsidRDefault="00964B88" w:rsidP="005B45CC">
            <w:pPr>
              <w:cnfStyle w:val="000000000000" w:firstRow="0" w:lastRow="0" w:firstColumn="0" w:lastColumn="0" w:oddVBand="0" w:evenVBand="0" w:oddHBand="0" w:evenHBand="0" w:firstRowFirstColumn="0" w:firstRowLastColumn="0" w:lastRowFirstColumn="0" w:lastRowLastColumn="0"/>
              <w:rPr>
                <w:rFonts w:cstheme="majorHAnsi"/>
              </w:rPr>
            </w:pPr>
            <w:r w:rsidRPr="005B45CC">
              <w:rPr>
                <w:rFonts w:cstheme="majorHAnsi"/>
              </w:rPr>
              <w:t>1 394</w:t>
            </w:r>
          </w:p>
        </w:tc>
        <w:tc>
          <w:tcPr>
            <w:tcW w:w="850" w:type="dxa"/>
            <w:tcBorders>
              <w:top w:val="nil"/>
              <w:left w:val="nil"/>
              <w:bottom w:val="single" w:sz="6" w:space="0" w:color="auto"/>
              <w:right w:val="nil"/>
            </w:tcBorders>
          </w:tcPr>
          <w:p w14:paraId="5F0B6E66"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930</w:t>
            </w:r>
          </w:p>
        </w:tc>
        <w:tc>
          <w:tcPr>
            <w:tcW w:w="850" w:type="dxa"/>
            <w:tcBorders>
              <w:top w:val="nil"/>
              <w:left w:val="nil"/>
              <w:bottom w:val="single" w:sz="6" w:space="0" w:color="auto"/>
              <w:right w:val="nil"/>
            </w:tcBorders>
          </w:tcPr>
          <w:p w14:paraId="549722EF" w14:textId="77777777" w:rsidR="00964B88" w:rsidRPr="005B45CC" w:rsidRDefault="005B45CC" w:rsidP="005B45CC">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403</w:t>
            </w:r>
          </w:p>
        </w:tc>
      </w:tr>
      <w:tr w:rsidR="00964B88" w:rsidRPr="005B45CC" w14:paraId="582DBF0E" w14:textId="77777777" w:rsidTr="005B45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14:paraId="128E9707" w14:textId="77777777" w:rsidR="00964B88" w:rsidRPr="005B45CC" w:rsidRDefault="00964B88" w:rsidP="005B45CC">
            <w:pPr>
              <w:rPr>
                <w:rFonts w:cstheme="majorHAnsi"/>
                <w:bCs/>
                <w:color w:val="000000"/>
                <w:szCs w:val="17"/>
              </w:rPr>
            </w:pPr>
            <w:r w:rsidRPr="005B45CC">
              <w:rPr>
                <w:rFonts w:cstheme="majorHAnsi"/>
                <w:bCs/>
                <w:color w:val="000000"/>
                <w:szCs w:val="17"/>
              </w:rPr>
              <w:t>Decrease/(increase) in net debt</w:t>
            </w:r>
          </w:p>
        </w:tc>
        <w:tc>
          <w:tcPr>
            <w:tcW w:w="850" w:type="dxa"/>
            <w:tcBorders>
              <w:top w:val="single" w:sz="6" w:space="0" w:color="auto"/>
              <w:bottom w:val="single" w:sz="12" w:space="0" w:color="auto"/>
            </w:tcBorders>
          </w:tcPr>
          <w:p w14:paraId="03449B3F" w14:textId="77777777" w:rsidR="00964B88" w:rsidRPr="005B45CC" w:rsidRDefault="005B45CC" w:rsidP="005B45CC">
            <w:pPr>
              <w:cnfStyle w:val="010000000000" w:firstRow="0" w:lastRow="1" w:firstColumn="0" w:lastColumn="0" w:oddVBand="0" w:evenVBand="0" w:oddHBand="0" w:evenHBand="0" w:firstRowFirstColumn="0" w:firstRowLastColumn="0" w:lastRowFirstColumn="0" w:lastRowLastColumn="0"/>
              <w:rPr>
                <w:rFonts w:cstheme="majorHAnsi"/>
              </w:rPr>
            </w:pPr>
            <w:r>
              <w:rPr>
                <w:rFonts w:cstheme="majorHAnsi"/>
              </w:rPr>
              <w:t>(17 941)</w:t>
            </w:r>
          </w:p>
        </w:tc>
        <w:tc>
          <w:tcPr>
            <w:tcW w:w="850" w:type="dxa"/>
            <w:tcBorders>
              <w:top w:val="single" w:sz="6" w:space="0" w:color="auto"/>
              <w:bottom w:val="single" w:sz="12" w:space="0" w:color="auto"/>
            </w:tcBorders>
          </w:tcPr>
          <w:p w14:paraId="7A048019" w14:textId="77777777" w:rsidR="00964B88" w:rsidRPr="005B45CC" w:rsidRDefault="005B45CC" w:rsidP="005B45CC">
            <w:pPr>
              <w:cnfStyle w:val="010000000000" w:firstRow="0" w:lastRow="1" w:firstColumn="0" w:lastColumn="0" w:oddVBand="0" w:evenVBand="0" w:oddHBand="0" w:evenHBand="0" w:firstRowFirstColumn="0" w:firstRowLastColumn="0" w:lastRowFirstColumn="0" w:lastRowLastColumn="0"/>
              <w:rPr>
                <w:rFonts w:cstheme="majorHAnsi"/>
              </w:rPr>
            </w:pPr>
            <w:r>
              <w:rPr>
                <w:rFonts w:cstheme="majorHAnsi"/>
              </w:rPr>
              <w:t>(8 923)</w:t>
            </w:r>
          </w:p>
        </w:tc>
        <w:tc>
          <w:tcPr>
            <w:tcW w:w="850" w:type="dxa"/>
            <w:tcBorders>
              <w:top w:val="single" w:sz="6" w:space="0" w:color="auto"/>
              <w:bottom w:val="single" w:sz="12" w:space="0" w:color="auto"/>
            </w:tcBorders>
          </w:tcPr>
          <w:p w14:paraId="19B3327A" w14:textId="77777777" w:rsidR="00964B88" w:rsidRPr="005B45CC" w:rsidRDefault="005B45CC" w:rsidP="005B45CC">
            <w:pPr>
              <w:cnfStyle w:val="010000000000" w:firstRow="0" w:lastRow="1" w:firstColumn="0" w:lastColumn="0" w:oddVBand="0" w:evenVBand="0" w:oddHBand="0" w:evenHBand="0" w:firstRowFirstColumn="0" w:firstRowLastColumn="0" w:lastRowFirstColumn="0" w:lastRowLastColumn="0"/>
              <w:rPr>
                <w:rFonts w:cstheme="majorHAnsi"/>
              </w:rPr>
            </w:pPr>
            <w:r>
              <w:rPr>
                <w:rFonts w:cstheme="majorHAnsi"/>
              </w:rPr>
              <w:t>(4 601)</w:t>
            </w:r>
          </w:p>
        </w:tc>
        <w:tc>
          <w:tcPr>
            <w:tcW w:w="850" w:type="dxa"/>
            <w:tcBorders>
              <w:top w:val="single" w:sz="6" w:space="0" w:color="auto"/>
              <w:bottom w:val="single" w:sz="12" w:space="0" w:color="auto"/>
            </w:tcBorders>
          </w:tcPr>
          <w:p w14:paraId="0AA43263" w14:textId="77777777" w:rsidR="00964B88" w:rsidRPr="005B45CC" w:rsidRDefault="005B45CC" w:rsidP="005B45CC">
            <w:pPr>
              <w:cnfStyle w:val="010000000000" w:firstRow="0" w:lastRow="1" w:firstColumn="0" w:lastColumn="0" w:oddVBand="0" w:evenVBand="0" w:oddHBand="0" w:evenHBand="0" w:firstRowFirstColumn="0" w:firstRowLastColumn="0" w:lastRowFirstColumn="0" w:lastRowLastColumn="0"/>
              <w:rPr>
                <w:rFonts w:cstheme="majorHAnsi"/>
              </w:rPr>
            </w:pPr>
            <w:r>
              <w:rPr>
                <w:rFonts w:cstheme="majorHAnsi"/>
              </w:rPr>
              <w:t>(3 958)</w:t>
            </w:r>
          </w:p>
        </w:tc>
      </w:tr>
    </w:tbl>
    <w:p w14:paraId="6E0753AD" w14:textId="77777777" w:rsidR="00964B88" w:rsidRPr="00C203E5" w:rsidRDefault="00964B88" w:rsidP="00F53820">
      <w:pPr>
        <w:pStyle w:val="Note"/>
      </w:pPr>
      <w:r w:rsidRPr="00C203E5">
        <w:t>Notes:</w:t>
      </w:r>
    </w:p>
    <w:p w14:paraId="2A21FAA7" w14:textId="77777777" w:rsidR="00964B88" w:rsidRDefault="00964B88" w:rsidP="00F53820">
      <w:pPr>
        <w:pStyle w:val="Note"/>
      </w:pPr>
      <w:r w:rsidRPr="00C203E5">
        <w:t xml:space="preserve">(a) </w:t>
      </w:r>
      <w:r w:rsidRPr="00C203E5">
        <w:tab/>
        <w:t>Figures in this table are subject to rounding to the nearest</w:t>
      </w:r>
      <w:r>
        <w:t> million</w:t>
      </w:r>
      <w:r w:rsidRPr="00C203E5">
        <w:t xml:space="preserve"> and may not add up to totals.</w:t>
      </w:r>
    </w:p>
    <w:p w14:paraId="7499943C" w14:textId="77777777" w:rsidR="00964B88" w:rsidRPr="0016322C" w:rsidRDefault="00964B88" w:rsidP="00F53820">
      <w:pPr>
        <w:pStyle w:val="Note"/>
      </w:pPr>
      <w:r w:rsidRPr="0016322C">
        <w:t>(b)</w:t>
      </w:r>
      <w:r w:rsidRPr="0016322C">
        <w:tab/>
        <w:t>Movements in 2019-20 include the impact of the new accounting standards.</w:t>
      </w:r>
    </w:p>
    <w:p w14:paraId="42D8AB25" w14:textId="77777777" w:rsidR="00964B88" w:rsidRPr="00C203E5" w:rsidRDefault="00964B88" w:rsidP="00F53820">
      <w:pPr>
        <w:pStyle w:val="Note"/>
      </w:pPr>
      <w:r w:rsidRPr="00C203E5">
        <w:t>(</w:t>
      </w:r>
      <w:r>
        <w:t>c</w:t>
      </w:r>
      <w:r w:rsidRPr="00C203E5">
        <w:t xml:space="preserve">) </w:t>
      </w:r>
      <w:r w:rsidRPr="00C203E5">
        <w:tab/>
        <w:t xml:space="preserve">Includes depreciation, </w:t>
      </w:r>
      <w:r>
        <w:t xml:space="preserve">prepayments and </w:t>
      </w:r>
      <w:r w:rsidRPr="00C203E5">
        <w:t xml:space="preserve">movements in the unfunded superannuation liability and </w:t>
      </w:r>
      <w:r>
        <w:t xml:space="preserve">liability for employee benefits, </w:t>
      </w:r>
      <w:r>
        <w:br/>
        <w:t>as well as operating cash flows not required to be recognised in the operating statement for the respective year.</w:t>
      </w:r>
    </w:p>
    <w:p w14:paraId="0D2A9345" w14:textId="77777777" w:rsidR="00964B88" w:rsidRPr="00A44AE1" w:rsidRDefault="00964B88" w:rsidP="00F53820">
      <w:pPr>
        <w:pStyle w:val="Note"/>
      </w:pPr>
      <w:r w:rsidRPr="00C203E5">
        <w:t>(</w:t>
      </w:r>
      <w:r>
        <w:t>d</w:t>
      </w:r>
      <w:r w:rsidRPr="00C203E5">
        <w:t xml:space="preserve">) </w:t>
      </w:r>
      <w:r w:rsidRPr="00C203E5">
        <w:tab/>
        <w:t xml:space="preserve">Includes total purchases of plant, property and equipment, and net capital contributions to other sectors of government net of proceeds </w:t>
      </w:r>
      <w:r w:rsidRPr="00A44AE1">
        <w:t>from asset sales</w:t>
      </w:r>
      <w:r w:rsidRPr="00A44AE1">
        <w:fldChar w:fldCharType="begin"/>
      </w:r>
      <w:r w:rsidRPr="00A44AE1">
        <w:instrText xml:space="preserve"> "Asset recycling" </w:instrText>
      </w:r>
      <w:r w:rsidRPr="00A44AE1">
        <w:fldChar w:fldCharType="end"/>
      </w:r>
      <w:r w:rsidRPr="00A44AE1">
        <w:t>.</w:t>
      </w:r>
    </w:p>
    <w:p w14:paraId="356075F7" w14:textId="77777777" w:rsidR="00964B88" w:rsidRPr="00A44AE1" w:rsidRDefault="00964B88" w:rsidP="00F53820">
      <w:pPr>
        <w:pStyle w:val="Note"/>
      </w:pPr>
      <w:r w:rsidRPr="00A44AE1">
        <w:t>(e)</w:t>
      </w:r>
      <w:r w:rsidRPr="00A44AE1">
        <w:tab/>
        <w:t xml:space="preserve">Includes </w:t>
      </w:r>
      <w:r>
        <w:t xml:space="preserve">most </w:t>
      </w:r>
      <w:r w:rsidRPr="00A44AE1">
        <w:t xml:space="preserve">operating leases which are now required to be recognised as lease liabilities. </w:t>
      </w:r>
      <w:r w:rsidRPr="006E5B30">
        <w:t xml:space="preserve">The financial liabilities relating to public private partnerships include </w:t>
      </w:r>
      <w:r w:rsidRPr="00D75132">
        <w:t>the Casey Hospital expansion, the High Capacity Metro Trains Project, the Metro Tunnel, the new Footscray Hospital, North East Link</w:t>
      </w:r>
      <w:r>
        <w:t xml:space="preserve"> and </w:t>
      </w:r>
      <w:r w:rsidRPr="00D75132">
        <w:t>the Suburban Roads Upgrade</w:t>
      </w:r>
      <w:r>
        <w:t xml:space="preserve"> </w:t>
      </w:r>
      <w:r w:rsidRPr="00B7575E">
        <w:t>– Northern Roads Upgrade</w:t>
      </w:r>
      <w:r>
        <w:t>, South</w:t>
      </w:r>
      <w:r w:rsidRPr="00B7575E">
        <w:t xml:space="preserve"> Eastern Roads Upgrade</w:t>
      </w:r>
      <w:r>
        <w:t xml:space="preserve"> </w:t>
      </w:r>
      <w:r w:rsidRPr="00D75132">
        <w:t xml:space="preserve">and Western Roads Upgrade.  </w:t>
      </w:r>
    </w:p>
    <w:p w14:paraId="509A4B89" w14:textId="77777777" w:rsidR="00964B88" w:rsidRDefault="00964B88" w:rsidP="00F53820">
      <w:pPr>
        <w:pStyle w:val="Heading20"/>
        <w:rPr>
          <w:rFonts w:eastAsiaTheme="minorHAnsi"/>
        </w:rPr>
      </w:pPr>
      <w:bookmarkStart w:id="37" w:name="_Hlk26196984"/>
      <w:bookmarkEnd w:id="36"/>
      <w:r w:rsidRPr="00A44AE1">
        <w:rPr>
          <w:rFonts w:eastAsiaTheme="minorHAnsi"/>
        </w:rPr>
        <w:t>Unfunded superannuation liability</w:t>
      </w:r>
    </w:p>
    <w:p w14:paraId="4A50B98F" w14:textId="77777777" w:rsidR="00964B88" w:rsidRPr="00CA16BC" w:rsidRDefault="00964B88" w:rsidP="00F53820">
      <w:r w:rsidRPr="008439E3">
        <w:t>The Government is on track to fully fund the State</w:t>
      </w:r>
      <w:r>
        <w:t>’</w:t>
      </w:r>
      <w:r w:rsidRPr="008439E3">
        <w:t xml:space="preserve">s unfunded superannuation liability by 2035. </w:t>
      </w:r>
      <w:r>
        <w:t>Note 4.6.3</w:t>
      </w:r>
      <w:r w:rsidRPr="00165693">
        <w:t xml:space="preserve"> of </w:t>
      </w:r>
      <w:r>
        <w:t>Chapter 4</w:t>
      </w:r>
      <w:r w:rsidRPr="00916A19">
        <w:t xml:space="preserve"> </w:t>
      </w:r>
      <w:r w:rsidRPr="00916A19">
        <w:rPr>
          <w:i/>
        </w:rPr>
        <w:t>Estimated financial statements and notes</w:t>
      </w:r>
      <w:r>
        <w:rPr>
          <w:i/>
        </w:rPr>
        <w:t xml:space="preserve"> </w:t>
      </w:r>
      <w:r w:rsidRPr="008439E3">
        <w:t>shows information on the reported superannuation liability</w:t>
      </w:r>
      <w:r w:rsidRPr="008439E3">
        <w:rPr>
          <w:i/>
        </w:rPr>
        <w:t>.</w:t>
      </w:r>
      <w:r w:rsidRPr="00C203E5">
        <w:t xml:space="preserve"> </w:t>
      </w:r>
    </w:p>
    <w:p w14:paraId="15EB8748" w14:textId="77777777" w:rsidR="00964B88" w:rsidRPr="008428EF" w:rsidRDefault="00964B88" w:rsidP="00F53820">
      <w:pPr>
        <w:keepLines w:val="0"/>
      </w:pPr>
      <w:bookmarkStart w:id="38" w:name="_Toc449123068"/>
      <w:bookmarkStart w:id="39" w:name="_Toc481160574"/>
      <w:bookmarkStart w:id="40" w:name="_Toc481246482"/>
      <w:bookmarkStart w:id="41" w:name="_Toc512629768"/>
      <w:r w:rsidRPr="008428EF">
        <w:br w:type="page"/>
      </w:r>
    </w:p>
    <w:p w14:paraId="07B190F4" w14:textId="77777777" w:rsidR="00964B88" w:rsidRPr="00C203E5" w:rsidRDefault="00964B88" w:rsidP="00F53820">
      <w:pPr>
        <w:pStyle w:val="Heading10"/>
        <w:rPr>
          <w:rFonts w:eastAsiaTheme="minorHAnsi"/>
        </w:rPr>
      </w:pPr>
      <w:bookmarkStart w:id="42" w:name="_Toc26788536"/>
      <w:bookmarkEnd w:id="37"/>
      <w:r w:rsidRPr="00C203E5">
        <w:rPr>
          <w:rFonts w:eastAsiaTheme="minorHAnsi"/>
        </w:rPr>
        <w:lastRenderedPageBreak/>
        <w:t>Fiscal risks</w:t>
      </w:r>
      <w:bookmarkEnd w:id="38"/>
      <w:bookmarkEnd w:id="39"/>
      <w:bookmarkEnd w:id="40"/>
      <w:bookmarkEnd w:id="41"/>
      <w:bookmarkEnd w:id="42"/>
    </w:p>
    <w:p w14:paraId="4212922B" w14:textId="77777777" w:rsidR="00964B88" w:rsidRPr="00C203E5" w:rsidRDefault="00964B88" w:rsidP="00F53820">
      <w:r w:rsidRPr="00C203E5">
        <w:t xml:space="preserve">This section discusses a number of risks which, if realised, are likely to impact on the State’s financial position and budget outcomes. </w:t>
      </w:r>
    </w:p>
    <w:p w14:paraId="5D7E57EE" w14:textId="77777777" w:rsidR="00964B88" w:rsidRPr="00C203E5" w:rsidRDefault="00964B88" w:rsidP="00F53820">
      <w:r w:rsidRPr="00C203E5">
        <w:t>Details of specific contingent assets and liabilities, defined as possible assets or liabilities that arise from past events, whose existence will be confirmed only by the occurrence or non</w:t>
      </w:r>
      <w:r w:rsidRPr="00C203E5">
        <w:noBreakHyphen/>
        <w:t xml:space="preserve">occurrence of one or more uncertain future events not wholly within the control of the </w:t>
      </w:r>
      <w:r>
        <w:t>State</w:t>
      </w:r>
      <w:r w:rsidRPr="00C203E5">
        <w:t xml:space="preserve">, are contained within </w:t>
      </w:r>
      <w:r>
        <w:t>Chapter 6</w:t>
      </w:r>
      <w:r w:rsidRPr="007E4E2E">
        <w:t xml:space="preserve"> </w:t>
      </w:r>
      <w:r w:rsidRPr="007E4E2E">
        <w:rPr>
          <w:i/>
        </w:rPr>
        <w:t>Contingent assets and contingent liabilities</w:t>
      </w:r>
      <w:r w:rsidRPr="00C203E5">
        <w:rPr>
          <w:i/>
        </w:rPr>
        <w:t>.</w:t>
      </w:r>
    </w:p>
    <w:p w14:paraId="53003D45" w14:textId="77777777" w:rsidR="00964B88" w:rsidRPr="00C203E5" w:rsidRDefault="00964B88" w:rsidP="00F53820">
      <w:pPr>
        <w:pStyle w:val="Heading20"/>
        <w:rPr>
          <w:rFonts w:eastAsiaTheme="minorHAnsi"/>
        </w:rPr>
      </w:pPr>
      <w:bookmarkStart w:id="43" w:name="_Hlk26197597"/>
      <w:r w:rsidRPr="00C203E5">
        <w:rPr>
          <w:rFonts w:eastAsiaTheme="minorHAnsi"/>
        </w:rPr>
        <w:t>General fiscal risks</w:t>
      </w:r>
    </w:p>
    <w:bookmarkEnd w:id="43"/>
    <w:p w14:paraId="4B3B6AEA" w14:textId="77777777" w:rsidR="00964B88" w:rsidRPr="00C203E5" w:rsidRDefault="00964B88" w:rsidP="00F53820">
      <w:pPr>
        <w:pStyle w:val="Heading30"/>
      </w:pPr>
      <w:r w:rsidRPr="00C203E5">
        <w:rPr>
          <w:rFonts w:eastAsiaTheme="minorHAnsi"/>
        </w:rPr>
        <w:t>State taxes</w:t>
      </w:r>
    </w:p>
    <w:p w14:paraId="41816D99" w14:textId="77777777" w:rsidR="00964B88" w:rsidRPr="00F052C7" w:rsidRDefault="00964B88" w:rsidP="00F53820">
      <w:r w:rsidRPr="00F052C7">
        <w:t xml:space="preserve">State tax forecasts are primarily modelled on the relationships between taxation revenue and projected economic variables. As a result, the main source of uncertainty to </w:t>
      </w:r>
      <w:r>
        <w:t>state</w:t>
      </w:r>
      <w:r w:rsidRPr="00F052C7">
        <w:t xml:space="preserve"> taxation estimates are unforeseen changes in the economic outlook. </w:t>
      </w:r>
    </w:p>
    <w:p w14:paraId="1D565137" w14:textId="77777777" w:rsidR="00964B88" w:rsidRDefault="00964B88" w:rsidP="00F53820">
      <w:r w:rsidRPr="002E4F7E">
        <w:t xml:space="preserve">Revenue from property-based taxes, such as land tax and land transfer duty, are subject to unique risks and historically have been volatile. The </w:t>
      </w:r>
      <w:r w:rsidRPr="002E4F7E">
        <w:rPr>
          <w:i/>
        </w:rPr>
        <w:t>2019-20 Budget Update</w:t>
      </w:r>
      <w:r w:rsidRPr="002E4F7E">
        <w:t xml:space="preserve"> </w:t>
      </w:r>
      <w:r>
        <w:t>incorporates continued growth in revenue over the budget and forward estimates. P</w:t>
      </w:r>
      <w:r w:rsidRPr="002E4F7E">
        <w:t>roperty markets can exhibit large cycles</w:t>
      </w:r>
      <w:r>
        <w:t xml:space="preserve"> typically related to changes in interest rates and/or changes in sentiment. </w:t>
      </w:r>
      <w:r w:rsidRPr="002E4F7E">
        <w:t xml:space="preserve">If property </w:t>
      </w:r>
      <w:r>
        <w:t xml:space="preserve">prices and </w:t>
      </w:r>
      <w:r w:rsidRPr="002E4F7E">
        <w:t xml:space="preserve">transaction volumes were to pick up </w:t>
      </w:r>
      <w:r>
        <w:t>more</w:t>
      </w:r>
      <w:r w:rsidRPr="002E4F7E">
        <w:t xml:space="preserve"> than anticipated, or mortgage interest rates f</w:t>
      </w:r>
      <w:r>
        <w:t>a</w:t>
      </w:r>
      <w:r w:rsidRPr="002E4F7E">
        <w:t xml:space="preserve">ll by more than currently expected, revenue from property-based taxes may be stronger than forecast. On the downside, </w:t>
      </w:r>
      <w:r>
        <w:t xml:space="preserve">prolonged </w:t>
      </w:r>
      <w:r w:rsidRPr="002E4F7E">
        <w:t>global uncertainty</w:t>
      </w:r>
      <w:r>
        <w:t xml:space="preserve"> </w:t>
      </w:r>
      <w:r w:rsidRPr="002E4F7E">
        <w:t>and deterioration in</w:t>
      </w:r>
      <w:r>
        <w:t xml:space="preserve"> Victorian</w:t>
      </w:r>
      <w:r w:rsidRPr="002E4F7E">
        <w:t xml:space="preserve"> economic conditions could lead to</w:t>
      </w:r>
      <w:r>
        <w:t xml:space="preserve"> weaker collections</w:t>
      </w:r>
      <w:r w:rsidRPr="002E4F7E">
        <w:t>.</w:t>
      </w:r>
    </w:p>
    <w:p w14:paraId="13765B2A" w14:textId="77777777" w:rsidR="00964B88" w:rsidRDefault="00964B88" w:rsidP="00F53820">
      <w:pPr>
        <w:pStyle w:val="Heading30"/>
        <w:rPr>
          <w:rFonts w:eastAsiaTheme="minorHAnsi"/>
        </w:rPr>
      </w:pPr>
      <w:bookmarkStart w:id="44" w:name="_Hlk26197602"/>
      <w:r w:rsidRPr="00C203E5">
        <w:rPr>
          <w:rFonts w:eastAsiaTheme="minorHAnsi"/>
        </w:rPr>
        <w:t>Employee expenses</w:t>
      </w:r>
    </w:p>
    <w:p w14:paraId="3E9405DE" w14:textId="77777777" w:rsidR="00964B88" w:rsidRPr="00D21863" w:rsidRDefault="00964B88" w:rsidP="00F53820">
      <w:r w:rsidRPr="00D832B3">
        <w:t xml:space="preserve">Employee expenses are the State’s largest expense. Two important determinants of employee expenses are wages growth and the number of employees. </w:t>
      </w:r>
    </w:p>
    <w:p w14:paraId="4FB1E48C" w14:textId="77777777" w:rsidR="00964B88" w:rsidRPr="00D21863" w:rsidRDefault="00964B88" w:rsidP="00F53820">
      <w:r w:rsidRPr="00D832B3">
        <w:t>Other factors contributing to projected employee expenses include the composition and profile of the workforce as well as rostering arrangements.</w:t>
      </w:r>
    </w:p>
    <w:bookmarkEnd w:id="44"/>
    <w:p w14:paraId="7699B2F6" w14:textId="77777777" w:rsidR="00964B88" w:rsidRPr="00C203E5" w:rsidRDefault="00964B88" w:rsidP="00F53820">
      <w:pPr>
        <w:pStyle w:val="Heading30"/>
        <w:rPr>
          <w:rFonts w:eastAsiaTheme="minorHAnsi"/>
        </w:rPr>
      </w:pPr>
      <w:r w:rsidRPr="00C203E5">
        <w:rPr>
          <w:rFonts w:eastAsiaTheme="minorHAnsi"/>
        </w:rPr>
        <w:t>Demand growth</w:t>
      </w:r>
      <w:r>
        <w:rPr>
          <w:rFonts w:eastAsiaTheme="minorHAnsi"/>
        </w:rPr>
        <w:t xml:space="preserve"> </w:t>
      </w:r>
    </w:p>
    <w:p w14:paraId="01737AFC" w14:textId="77777777" w:rsidR="00964B88" w:rsidRPr="00C747E8" w:rsidRDefault="00964B88" w:rsidP="00F53820">
      <w:r w:rsidRPr="00C747E8">
        <w:t xml:space="preserve">Another key uncertainty is growth in demand for government services exceeding or being below current projections. This can occur, for example, as a result of higher than forecast population growth or expenditure in response to unforeseen events such as natural disasters, including bushfires and floods. </w:t>
      </w:r>
    </w:p>
    <w:p w14:paraId="4641D383" w14:textId="77777777" w:rsidR="00964B88" w:rsidRPr="00C747E8" w:rsidRDefault="00964B88" w:rsidP="00F53820">
      <w:r w:rsidRPr="00C747E8">
        <w:t>The estimates incorporate contingency provisions to mitigate the impact of expenditure risks, which may be realised during the next four years. The contingency provisions are sized to allow for the likely growth in Victoria’s population and</w:t>
      </w:r>
      <w:r>
        <w:t xml:space="preserve"> the</w:t>
      </w:r>
      <w:r w:rsidRPr="00C747E8">
        <w:t xml:space="preserve"> derived increased demand for government services.</w:t>
      </w:r>
    </w:p>
    <w:p w14:paraId="665C2ABF" w14:textId="77777777" w:rsidR="00964B88" w:rsidRDefault="00964B88" w:rsidP="00F53820">
      <w:pPr>
        <w:rPr>
          <w:i/>
        </w:rPr>
      </w:pPr>
      <w:r w:rsidRPr="00C747E8">
        <w:t xml:space="preserve">Note 4.3.5 and Note 4.3.6 of Chapter 4 </w:t>
      </w:r>
      <w:r w:rsidRPr="00C747E8">
        <w:rPr>
          <w:i/>
        </w:rPr>
        <w:t xml:space="preserve">Estimated financial statements and notes </w:t>
      </w:r>
      <w:r w:rsidRPr="00C747E8">
        <w:t>discloses general government output and asset contingencies not allocated to departments</w:t>
      </w:r>
      <w:r w:rsidRPr="00C747E8">
        <w:rPr>
          <w:i/>
        </w:rPr>
        <w:t>.</w:t>
      </w:r>
    </w:p>
    <w:p w14:paraId="78E0C4BD" w14:textId="77777777" w:rsidR="00964B88" w:rsidRPr="00BD5E18" w:rsidRDefault="00964B88" w:rsidP="00F53820">
      <w:pPr>
        <w:pStyle w:val="Heading30"/>
        <w:rPr>
          <w:rFonts w:eastAsiaTheme="minorHAnsi"/>
        </w:rPr>
      </w:pPr>
      <w:bookmarkStart w:id="45" w:name="_Hlk26197664"/>
      <w:r w:rsidRPr="00BD5E18">
        <w:rPr>
          <w:rFonts w:eastAsiaTheme="minorHAnsi"/>
        </w:rPr>
        <w:lastRenderedPageBreak/>
        <w:t>Capital program risks</w:t>
      </w:r>
    </w:p>
    <w:p w14:paraId="61E88151" w14:textId="77777777" w:rsidR="00964B88" w:rsidRDefault="00964B88" w:rsidP="00F53820">
      <w:bookmarkStart w:id="46" w:name="_Hlk26197713"/>
      <w:bookmarkEnd w:id="45"/>
      <w:r>
        <w:t xml:space="preserve">The Government is delivering a historically large program of capital investments which are aimed at improving the productivity of Victoria’s transport network </w:t>
      </w:r>
      <w:r w:rsidRPr="00BB3007">
        <w:t>to get people out of traffic and home sooner</w:t>
      </w:r>
      <w:r>
        <w:t xml:space="preserve">. In addition to the projects the Government has already funded, there is a substantial pipeline of investments that are in their development phase and will be ready for funding over the coming years. </w:t>
      </w:r>
    </w:p>
    <w:p w14:paraId="2FB5E79A" w14:textId="77777777" w:rsidR="00964B88" w:rsidRDefault="00964B88" w:rsidP="00F53820">
      <w:r>
        <w:t xml:space="preserve">This increased level of infrastructure investment in Victoria coincides with similar </w:t>
      </w:r>
      <w:r w:rsidRPr="00BB3007">
        <w:t>increases in New South Wales</w:t>
      </w:r>
      <w:r>
        <w:t xml:space="preserve">. </w:t>
      </w:r>
      <w:r w:rsidRPr="00BB3007">
        <w:t>Investment is anticipated to remain at current levels over the next 10 years and constrains some sectors</w:t>
      </w:r>
      <w:r>
        <w:t>. These constraints include shortages in skilled labour, materials and advisory services, placing pressure on delivery timetables and costs. To mitigate the impact of these constraints, the Government is implementing a range of strategies to support growth in the construction industry, including freeing up supply chains and increasing investment in skills.</w:t>
      </w:r>
    </w:p>
    <w:p w14:paraId="7082DD5A" w14:textId="77777777" w:rsidR="00964B88" w:rsidRPr="006E5DF4" w:rsidRDefault="00964B88" w:rsidP="00F53820">
      <w:pPr>
        <w:pStyle w:val="Heading20"/>
        <w:rPr>
          <w:rFonts w:eastAsiaTheme="minorHAnsi"/>
        </w:rPr>
      </w:pPr>
      <w:r w:rsidRPr="00C203E5">
        <w:rPr>
          <w:rFonts w:eastAsiaTheme="minorHAnsi"/>
        </w:rPr>
        <w:t>Specific fiscal risks</w:t>
      </w:r>
    </w:p>
    <w:p w14:paraId="6772C0CD" w14:textId="77777777" w:rsidR="00964B88" w:rsidRPr="006E5DF4" w:rsidRDefault="00964B88" w:rsidP="00F53820">
      <w:pPr>
        <w:pStyle w:val="Heading30"/>
        <w:rPr>
          <w:rFonts w:eastAsiaTheme="minorHAnsi"/>
        </w:rPr>
      </w:pPr>
      <w:bookmarkStart w:id="47" w:name="_Hlk26197718"/>
      <w:bookmarkEnd w:id="46"/>
      <w:r w:rsidRPr="006E5DF4">
        <w:rPr>
          <w:rFonts w:eastAsiaTheme="minorHAnsi"/>
        </w:rPr>
        <w:t>Commonwealth schools funding</w:t>
      </w:r>
    </w:p>
    <w:p w14:paraId="385B6319" w14:textId="77777777" w:rsidR="00964B88" w:rsidRDefault="00964B88" w:rsidP="00F53820">
      <w:pPr>
        <w:rPr>
          <w:i/>
          <w:iCs/>
        </w:rPr>
      </w:pPr>
      <w:r w:rsidRPr="00C97855">
        <w:t xml:space="preserve">In June 2017, the Commonwealth Government passed amendments to the </w:t>
      </w:r>
      <w:r w:rsidRPr="002423A8">
        <w:rPr>
          <w:i/>
        </w:rPr>
        <w:t xml:space="preserve">Australian Education Act 2013 </w:t>
      </w:r>
      <w:r w:rsidRPr="00C97855">
        <w:t>to implement a new national school funding model. Victoria has signed the NS</w:t>
      </w:r>
      <w:r>
        <w:t>RA</w:t>
      </w:r>
      <w:r w:rsidRPr="00C97855">
        <w:t xml:space="preserve"> and an accompanying bilateral agreement, which expire on 31 December 2023. Estimates of funding required to acquit the Schooling Resource Standard target in a given year will be based on student number and profile projections for that year. Expenditure targets will be finalised towards the end of or after the school year in question based on actual student data, creating a risk that the Victorian and Commonwealth targets differ </w:t>
      </w:r>
      <w:r>
        <w:t>from</w:t>
      </w:r>
      <w:r w:rsidRPr="00C97855">
        <w:t xml:space="preserve"> the funding allocated that year. </w:t>
      </w:r>
    </w:p>
    <w:p w14:paraId="24F57BC4" w14:textId="77777777" w:rsidR="00964B88" w:rsidRPr="006E5DF4" w:rsidRDefault="00964B88" w:rsidP="00F53820">
      <w:pPr>
        <w:pStyle w:val="Heading30"/>
        <w:rPr>
          <w:rFonts w:eastAsiaTheme="minorHAnsi"/>
        </w:rPr>
      </w:pPr>
      <w:r w:rsidRPr="006E5DF4">
        <w:rPr>
          <w:rFonts w:eastAsiaTheme="minorHAnsi"/>
        </w:rPr>
        <w:t>Universal Access to Early Childhood Education</w:t>
      </w:r>
    </w:p>
    <w:p w14:paraId="7899E531" w14:textId="77777777" w:rsidR="00964B88" w:rsidRDefault="00964B88" w:rsidP="00F53820">
      <w:r w:rsidRPr="004A6439">
        <w:t xml:space="preserve">The Commonwealth’s financial contribution to assist the states and territories </w:t>
      </w:r>
      <w:r>
        <w:t xml:space="preserve">to provide </w:t>
      </w:r>
      <w:r w:rsidRPr="004A6439">
        <w:t>15</w:t>
      </w:r>
      <w:r>
        <w:t> </w:t>
      </w:r>
      <w:r w:rsidRPr="004A6439">
        <w:t>hours a week of preschool support per student is supplied under the National Partnership Agreement on Universal Access to Early Childhood Education. Funding under this agreement expires on 31 December 2020 and ongoing Commonwealth funding arrangements are uncertain. A review of the agreement is underway, with interim finding</w:t>
      </w:r>
      <w:r>
        <w:t>s</w:t>
      </w:r>
      <w:r w:rsidRPr="004A6439">
        <w:t xml:space="preserve"> expected to be delivered by the end of 2019, and will inform Commonwealth and </w:t>
      </w:r>
      <w:r>
        <w:t>s</w:t>
      </w:r>
      <w:r w:rsidRPr="004A6439">
        <w:t>tate government consideration of preschool arrangements from 2021.</w:t>
      </w:r>
    </w:p>
    <w:bookmarkEnd w:id="47"/>
    <w:p w14:paraId="42FA8495" w14:textId="77777777" w:rsidR="00964B88" w:rsidRPr="00A63A01" w:rsidRDefault="00964B88" w:rsidP="00F53820">
      <w:pPr>
        <w:keepLines w:val="0"/>
      </w:pPr>
      <w:r w:rsidRPr="00A63A01">
        <w:br w:type="page"/>
      </w:r>
    </w:p>
    <w:p w14:paraId="1FBD24AB" w14:textId="77777777" w:rsidR="00964B88" w:rsidRPr="006E5DF4" w:rsidRDefault="00964B88" w:rsidP="00F53820">
      <w:pPr>
        <w:pStyle w:val="Heading30"/>
        <w:rPr>
          <w:rFonts w:eastAsiaTheme="minorHAnsi"/>
        </w:rPr>
      </w:pPr>
      <w:bookmarkStart w:id="48" w:name="_Hlk26197726"/>
      <w:r w:rsidRPr="006E5DF4">
        <w:rPr>
          <w:rFonts w:eastAsiaTheme="minorHAnsi"/>
        </w:rPr>
        <w:lastRenderedPageBreak/>
        <w:t>National health reform</w:t>
      </w:r>
    </w:p>
    <w:p w14:paraId="3634741C" w14:textId="77777777" w:rsidR="00964B88" w:rsidRPr="0049230F" w:rsidRDefault="00964B88" w:rsidP="008428EF">
      <w:pPr>
        <w:spacing w:before="80"/>
        <w:rPr>
          <w:i/>
          <w:iCs/>
        </w:rPr>
      </w:pPr>
      <w:r w:rsidRPr="0049230F">
        <w:t>Under the National Health Reform Agreement (NHRA), Commonwealth growth funding is derived from a complex model based on the number of procedures performed (activity) and an efficient price determined by an independent administrator.</w:t>
      </w:r>
    </w:p>
    <w:p w14:paraId="155734A9" w14:textId="77777777" w:rsidR="00964B88" w:rsidRPr="0049230F" w:rsidRDefault="00964B88" w:rsidP="008428EF">
      <w:pPr>
        <w:spacing w:before="80"/>
        <w:rPr>
          <w:i/>
          <w:iCs/>
        </w:rPr>
      </w:pPr>
      <w:r w:rsidRPr="0049230F">
        <w:t>These arrangements were scheduled to cease from 1 July 2017. However, in April 2016, the Commonwealth agreed to continue the NHRA from 1 July 2017 until 30 June 2020. Conditions attached to the agreement may increase fiscal exposure for the State and include:</w:t>
      </w:r>
    </w:p>
    <w:p w14:paraId="4D8BECBE" w14:textId="77777777" w:rsidR="00964B88" w:rsidRPr="00592EC3" w:rsidRDefault="00964B88" w:rsidP="008428EF">
      <w:pPr>
        <w:pStyle w:val="ListBullet"/>
        <w:spacing w:before="40"/>
      </w:pPr>
      <w:r w:rsidRPr="00592EC3">
        <w:t xml:space="preserve">a national cap on Commonwealth annual expenditure growth of 6.5 per cent </w:t>
      </w:r>
      <w:r w:rsidR="008428EF">
        <w:br/>
      </w:r>
      <w:r w:rsidRPr="00592EC3">
        <w:t>(above which the State will be required to fund all hospital activity);</w:t>
      </w:r>
    </w:p>
    <w:p w14:paraId="0C061B74" w14:textId="77777777" w:rsidR="00964B88" w:rsidRPr="00592EC3" w:rsidRDefault="00964B88" w:rsidP="008428EF">
      <w:pPr>
        <w:pStyle w:val="ListBullet"/>
        <w:spacing w:before="40"/>
      </w:pPr>
      <w:r w:rsidRPr="00592EC3">
        <w:t>reduced funding to the State for avoidable hospital admissions or unsafe care; and</w:t>
      </w:r>
    </w:p>
    <w:p w14:paraId="6157F03B" w14:textId="77777777" w:rsidR="00964B88" w:rsidRPr="00592EC3" w:rsidRDefault="00964B88" w:rsidP="008428EF">
      <w:pPr>
        <w:pStyle w:val="ListBullet"/>
        <w:spacing w:before="40"/>
      </w:pPr>
      <w:r w:rsidRPr="00592EC3">
        <w:t xml:space="preserve">the Commonwealth withholding funds until hospital activity data </w:t>
      </w:r>
      <w:r>
        <w:t>are</w:t>
      </w:r>
      <w:r w:rsidRPr="00592EC3">
        <w:t xml:space="preserve"> provided.</w:t>
      </w:r>
    </w:p>
    <w:p w14:paraId="05A7DF07" w14:textId="77777777" w:rsidR="00964B88" w:rsidRDefault="00964B88" w:rsidP="008428EF">
      <w:pPr>
        <w:spacing w:before="80"/>
        <w:rPr>
          <w:i/>
          <w:iCs/>
        </w:rPr>
      </w:pPr>
      <w:r w:rsidRPr="0049230F">
        <w:t xml:space="preserve">A Heads of Agreement was proposed by the Commonwealth at the Council of Australian Governments on 9 February 2018, which has been signed by all states and territories, </w:t>
      </w:r>
      <w:r>
        <w:t>including Victoria</w:t>
      </w:r>
      <w:r w:rsidRPr="0049230F">
        <w:t>. Negotiations for the new National Health Agreement are ongoing.</w:t>
      </w:r>
      <w:r>
        <w:t xml:space="preserve"> </w:t>
      </w:r>
    </w:p>
    <w:bookmarkEnd w:id="48"/>
    <w:p w14:paraId="1423CFFC" w14:textId="77777777" w:rsidR="00964B88" w:rsidRPr="00C203E5" w:rsidRDefault="00964B88" w:rsidP="008428EF">
      <w:pPr>
        <w:pStyle w:val="Heading30"/>
        <w:spacing w:before="180"/>
        <w:rPr>
          <w:rFonts w:eastAsiaTheme="minorHAnsi"/>
        </w:rPr>
      </w:pPr>
      <w:r w:rsidRPr="00C203E5">
        <w:rPr>
          <w:rFonts w:eastAsiaTheme="minorHAnsi"/>
        </w:rPr>
        <w:t>Victoria’s GST revenue</w:t>
      </w:r>
    </w:p>
    <w:p w14:paraId="3CEEB21E" w14:textId="77777777" w:rsidR="00964B88" w:rsidRDefault="00964B88" w:rsidP="00F53820">
      <w:r>
        <w:t>Victoria’s GST revenue is broadly determined by three key factors:</w:t>
      </w:r>
    </w:p>
    <w:p w14:paraId="2C33EBE3" w14:textId="77777777" w:rsidR="00964B88" w:rsidRDefault="00964B88" w:rsidP="00F53820">
      <w:pPr>
        <w:pStyle w:val="ListBullet"/>
      </w:pPr>
      <w:r>
        <w:t>the amount of GST collected by the Commonwealth (the national GST pool);</w:t>
      </w:r>
    </w:p>
    <w:p w14:paraId="5EED25C6" w14:textId="77777777" w:rsidR="00964B88" w:rsidRDefault="00964B88" w:rsidP="00F53820">
      <w:pPr>
        <w:pStyle w:val="ListBullet"/>
      </w:pPr>
      <w:r>
        <w:t>Victoria’s GST relativity; and</w:t>
      </w:r>
    </w:p>
    <w:p w14:paraId="4ACF139E" w14:textId="77777777" w:rsidR="00964B88" w:rsidRDefault="00964B88" w:rsidP="00F53820">
      <w:pPr>
        <w:pStyle w:val="ListBullet"/>
      </w:pPr>
      <w:r>
        <w:t>Victoria’s share of the national population.</w:t>
      </w:r>
    </w:p>
    <w:p w14:paraId="05306374" w14:textId="77777777" w:rsidR="00964B88" w:rsidRPr="00700D27" w:rsidRDefault="00964B88" w:rsidP="008428EF">
      <w:pPr>
        <w:pStyle w:val="Heading5"/>
        <w:spacing w:before="120"/>
        <w:rPr>
          <w:b w:val="0"/>
          <w:i/>
        </w:rPr>
      </w:pPr>
      <w:r w:rsidRPr="00700D27">
        <w:rPr>
          <w:b w:val="0"/>
          <w:i/>
        </w:rPr>
        <w:t>National GST pool</w:t>
      </w:r>
    </w:p>
    <w:p w14:paraId="2C63FE75" w14:textId="77777777" w:rsidR="00964B88" w:rsidRDefault="00964B88" w:rsidP="008428EF">
      <w:pPr>
        <w:spacing w:before="80"/>
      </w:pPr>
      <w:r>
        <w:t xml:space="preserve">If consumption growth or dwelling investment recover more slowly than expected, the national GST pool could grow more slowly, resulting in lower GST grants to Victoria. </w:t>
      </w:r>
      <w:r w:rsidRPr="002E4F7E">
        <w:t>Movements in the household saving</w:t>
      </w:r>
      <w:r>
        <w:t xml:space="preserve"> </w:t>
      </w:r>
      <w:r w:rsidRPr="002E4F7E">
        <w:t xml:space="preserve">ratio, </w:t>
      </w:r>
      <w:r>
        <w:t>in the context of high levels of household debt</w:t>
      </w:r>
      <w:r w:rsidRPr="002E4F7E">
        <w:t xml:space="preserve">, are a source of uncertainty for </w:t>
      </w:r>
      <w:r>
        <w:t>household</w:t>
      </w:r>
      <w:r w:rsidRPr="002E4F7E">
        <w:t xml:space="preserve"> spending and </w:t>
      </w:r>
      <w:r>
        <w:t xml:space="preserve">to </w:t>
      </w:r>
      <w:r w:rsidRPr="002E4F7E">
        <w:t>the GST pool outlook.</w:t>
      </w:r>
    </w:p>
    <w:p w14:paraId="13259384" w14:textId="77777777" w:rsidR="00964B88" w:rsidRPr="00700D27" w:rsidRDefault="00964B88" w:rsidP="008428EF">
      <w:pPr>
        <w:pStyle w:val="Heading5"/>
        <w:spacing w:before="120"/>
        <w:rPr>
          <w:b w:val="0"/>
          <w:i/>
        </w:rPr>
      </w:pPr>
      <w:r w:rsidRPr="00700D27">
        <w:rPr>
          <w:b w:val="0"/>
          <w:i/>
        </w:rPr>
        <w:t>GST relativities</w:t>
      </w:r>
    </w:p>
    <w:p w14:paraId="2398ED98" w14:textId="77777777" w:rsidR="00964B88" w:rsidRPr="000D0A82" w:rsidRDefault="00964B88" w:rsidP="008428EF">
      <w:pPr>
        <w:spacing w:before="80"/>
      </w:pPr>
      <w:r>
        <w:t xml:space="preserve">The national GST pool is shared between states and territories based on relativities </w:t>
      </w:r>
      <w:r w:rsidRPr="003E7C44">
        <w:t xml:space="preserve">determined </w:t>
      </w:r>
      <w:r>
        <w:t xml:space="preserve">annually </w:t>
      </w:r>
      <w:r w:rsidRPr="003E7C44">
        <w:t>by the Commonwealth Treasurer, informed by the recommendations of the Commonwealth Grants Commission</w:t>
      </w:r>
      <w:r w:rsidRPr="000D0A82">
        <w:t>.</w:t>
      </w:r>
    </w:p>
    <w:p w14:paraId="3CDFB45D" w14:textId="77777777" w:rsidR="00964B88" w:rsidRDefault="00964B88" w:rsidP="008428EF">
      <w:pPr>
        <w:spacing w:before="80"/>
        <w:ind w:right="198"/>
      </w:pPr>
      <w:r>
        <w:t xml:space="preserve">These </w:t>
      </w:r>
      <w:r w:rsidRPr="003E7C44">
        <w:t xml:space="preserve">relativities </w:t>
      </w:r>
      <w:r>
        <w:t xml:space="preserve">are based on the relative fiscal capacity of each jurisdiction and are influenced by differences in revenue bases and </w:t>
      </w:r>
      <w:r w:rsidRPr="003E7C44">
        <w:t>cost</w:t>
      </w:r>
      <w:r>
        <w:t>s</w:t>
      </w:r>
      <w:r w:rsidRPr="003E7C44">
        <w:t xml:space="preserve"> of delivering services</w:t>
      </w:r>
      <w:r>
        <w:t xml:space="preserve">. Relativities are sensitive to </w:t>
      </w:r>
      <w:r w:rsidRPr="003E7C44">
        <w:t>a broad range of factors</w:t>
      </w:r>
      <w:r>
        <w:t xml:space="preserve">, </w:t>
      </w:r>
      <w:r w:rsidRPr="003E7C44">
        <w:t>including demographic</w:t>
      </w:r>
      <w:r>
        <w:t xml:space="preserve">s, </w:t>
      </w:r>
      <w:r w:rsidRPr="003E7C44">
        <w:t>infrastructure</w:t>
      </w:r>
      <w:r>
        <w:t xml:space="preserve"> needs, developments in property markets and global</w:t>
      </w:r>
      <w:r w:rsidRPr="002E4F7E">
        <w:t xml:space="preserve"> commodity prices</w:t>
      </w:r>
      <w:r>
        <w:t xml:space="preserve"> (</w:t>
      </w:r>
      <w:r w:rsidRPr="002E4F7E">
        <w:t xml:space="preserve">particularly </w:t>
      </w:r>
      <w:r>
        <w:t>for</w:t>
      </w:r>
      <w:r w:rsidRPr="002E4F7E">
        <w:t xml:space="preserve"> iron ore and coal</w:t>
      </w:r>
      <w:r>
        <w:t>).</w:t>
      </w:r>
    </w:p>
    <w:p w14:paraId="6D172CF3" w14:textId="77777777" w:rsidR="00964B88" w:rsidRPr="00700D27" w:rsidRDefault="00964B88" w:rsidP="008428EF">
      <w:pPr>
        <w:pStyle w:val="Heading5"/>
        <w:spacing w:before="120"/>
        <w:rPr>
          <w:b w:val="0"/>
          <w:i/>
        </w:rPr>
      </w:pPr>
      <w:r w:rsidRPr="00700D27">
        <w:rPr>
          <w:b w:val="0"/>
          <w:i/>
        </w:rPr>
        <w:t>Population</w:t>
      </w:r>
    </w:p>
    <w:p w14:paraId="2D2445F6" w14:textId="77777777" w:rsidR="00964B88" w:rsidRDefault="00964B88" w:rsidP="008428EF">
      <w:pPr>
        <w:spacing w:before="80"/>
        <w:ind w:right="198"/>
      </w:pPr>
      <w:r>
        <w:t xml:space="preserve">Victoria’s population growth is forecast to remain high relative to other states and territories, resulting in an increase in Victoria’s share of the national population. If </w:t>
      </w:r>
      <w:r w:rsidRPr="002E4F7E">
        <w:t>Victoria’s population growth is higher than forecast compared with other states, Victoria’s share of GST revenue could increase. Conversely, should other states have higher population growth than expected compared with Victoria this would negatively affect Victoria’s GST revenue.</w:t>
      </w:r>
    </w:p>
    <w:p w14:paraId="639CC68E" w14:textId="77777777" w:rsidR="00964B88" w:rsidRDefault="00964B88" w:rsidP="00F53820">
      <w:pPr>
        <w:pStyle w:val="Heading10"/>
      </w:pPr>
      <w:bookmarkStart w:id="49" w:name="_Toc500435570"/>
      <w:bookmarkStart w:id="50" w:name="_Toc26788537"/>
      <w:r w:rsidRPr="006A7C8A">
        <w:lastRenderedPageBreak/>
        <w:t>Non</w:t>
      </w:r>
      <w:r w:rsidRPr="006A7C8A">
        <w:noBreakHyphen/>
      </w:r>
      <w:r>
        <w:t>financial public sector</w:t>
      </w:r>
      <w:bookmarkEnd w:id="49"/>
      <w:bookmarkEnd w:id="50"/>
    </w:p>
    <w:p w14:paraId="107A2DC6" w14:textId="77777777" w:rsidR="00964B88" w:rsidRDefault="00964B88" w:rsidP="00F53820">
      <w:r>
        <w:t xml:space="preserve">The non-financial public sector (NFPS) consolidates the </w:t>
      </w:r>
      <w:r w:rsidRPr="006D731E">
        <w:t xml:space="preserve">public non-financial corporation (PNFC) </w:t>
      </w:r>
      <w:r>
        <w:t xml:space="preserve">and general government sectors. The PNFC sector is comprised of entities providing services that are primarily funded from user charges and fees. The largest PNFCs provide water, housing and transport services. The financial performance and the debt burden of the NFPS are important elements of financial sustainability that supports the State’s </w:t>
      </w:r>
      <w:r w:rsidRPr="006A7C8A">
        <w:t>triple</w:t>
      </w:r>
      <w:r w:rsidRPr="006A7C8A">
        <w:noBreakHyphen/>
        <w:t>A</w:t>
      </w:r>
      <w:r>
        <w:t xml:space="preserve"> credit rating.</w:t>
      </w:r>
    </w:p>
    <w:p w14:paraId="3A3AC5E5" w14:textId="77777777" w:rsidR="00964B88" w:rsidRDefault="00964B88" w:rsidP="00F53820">
      <w:pPr>
        <w:pStyle w:val="Heading20"/>
      </w:pPr>
      <w:r>
        <w:t>Summary operating statement</w:t>
      </w:r>
    </w:p>
    <w:p w14:paraId="7BC6A82C" w14:textId="77777777" w:rsidR="00964B88" w:rsidRPr="009B65A9" w:rsidRDefault="00964B88" w:rsidP="00F53820">
      <w:pPr>
        <w:pStyle w:val="TableHeading"/>
      </w:pPr>
      <w:bookmarkStart w:id="51" w:name="_Hlk26264594"/>
      <w:r>
        <w:t>Table 3.6:</w:t>
      </w:r>
      <w:r>
        <w:tab/>
        <w:t xml:space="preserve">Summary operating statement for the </w:t>
      </w:r>
      <w:r w:rsidRPr="006A7C8A">
        <w:t>non</w:t>
      </w:r>
      <w:r w:rsidRPr="006A7C8A">
        <w:noBreakHyphen/>
      </w:r>
      <w:r>
        <w:t>financial public sector</w:t>
      </w:r>
      <w:bookmarkEnd w:id="51"/>
      <w:r>
        <w:t xml:space="preserve"> </w:t>
      </w:r>
      <w:r w:rsidRPr="00D3308C">
        <w:rPr>
          <w:vertAlign w:val="superscript"/>
        </w:rPr>
        <w:t>(a)</w:t>
      </w:r>
      <w:r w:rsidRPr="00D3308C">
        <w:tab/>
        <w:t>($ million)</w:t>
      </w:r>
    </w:p>
    <w:tbl>
      <w:tblPr>
        <w:tblStyle w:val="DTFTable"/>
        <w:tblW w:w="7768" w:type="dxa"/>
        <w:tblLayout w:type="fixed"/>
        <w:tblLook w:val="06E0" w:firstRow="1" w:lastRow="1" w:firstColumn="1" w:lastColumn="0" w:noHBand="1" w:noVBand="1"/>
      </w:tblPr>
      <w:tblGrid>
        <w:gridCol w:w="4424"/>
        <w:gridCol w:w="794"/>
        <w:gridCol w:w="850"/>
        <w:gridCol w:w="850"/>
        <w:gridCol w:w="850"/>
      </w:tblGrid>
      <w:tr w:rsidR="00964B88" w14:paraId="6952B368" w14:textId="77777777" w:rsidTr="004409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24" w:type="dxa"/>
          </w:tcPr>
          <w:p w14:paraId="0F2E92DA" w14:textId="77777777" w:rsidR="00964B88" w:rsidRDefault="00964B88"/>
        </w:tc>
        <w:tc>
          <w:tcPr>
            <w:tcW w:w="794" w:type="dxa"/>
          </w:tcPr>
          <w:p w14:paraId="08C47A35"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749101E4"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7A028255"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4D4EF67B"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19C1460D"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24B99E1C" w14:textId="77777777" w:rsidR="00964B88" w:rsidRDefault="00964B88">
            <w:r>
              <w:rPr>
                <w:b/>
              </w:rPr>
              <w:t>Revenue</w:t>
            </w:r>
          </w:p>
        </w:tc>
        <w:tc>
          <w:tcPr>
            <w:tcW w:w="794" w:type="dxa"/>
          </w:tcPr>
          <w:p w14:paraId="7FF35F4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69B0F1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59EDF9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AF37AF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9E8BEBF"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26A91EFD" w14:textId="77777777" w:rsidR="00964B88" w:rsidRDefault="00964B88">
            <w:r>
              <w:t>Taxation revenue</w:t>
            </w:r>
          </w:p>
        </w:tc>
        <w:tc>
          <w:tcPr>
            <w:tcW w:w="794" w:type="dxa"/>
          </w:tcPr>
          <w:p w14:paraId="4116A794" w14:textId="77777777" w:rsidR="00964B88" w:rsidRDefault="00964B88">
            <w:pPr>
              <w:cnfStyle w:val="000000000000" w:firstRow="0" w:lastRow="0" w:firstColumn="0" w:lastColumn="0" w:oddVBand="0" w:evenVBand="0" w:oddHBand="0" w:evenHBand="0" w:firstRowFirstColumn="0" w:firstRowLastColumn="0" w:lastRowFirstColumn="0" w:lastRowLastColumn="0"/>
            </w:pPr>
            <w:r>
              <w:t>23 958</w:t>
            </w:r>
          </w:p>
        </w:tc>
        <w:tc>
          <w:tcPr>
            <w:tcW w:w="850" w:type="dxa"/>
          </w:tcPr>
          <w:p w14:paraId="1D27A02D" w14:textId="77777777" w:rsidR="00964B88" w:rsidRDefault="00964B88">
            <w:pPr>
              <w:cnfStyle w:val="000000000000" w:firstRow="0" w:lastRow="0" w:firstColumn="0" w:lastColumn="0" w:oddVBand="0" w:evenVBand="0" w:oddHBand="0" w:evenHBand="0" w:firstRowFirstColumn="0" w:firstRowLastColumn="0" w:lastRowFirstColumn="0" w:lastRowLastColumn="0"/>
            </w:pPr>
            <w:r>
              <w:t>25 149</w:t>
            </w:r>
          </w:p>
        </w:tc>
        <w:tc>
          <w:tcPr>
            <w:tcW w:w="850" w:type="dxa"/>
          </w:tcPr>
          <w:p w14:paraId="143895CC" w14:textId="77777777" w:rsidR="00964B88" w:rsidRDefault="00964B88">
            <w:pPr>
              <w:cnfStyle w:val="000000000000" w:firstRow="0" w:lastRow="0" w:firstColumn="0" w:lastColumn="0" w:oddVBand="0" w:evenVBand="0" w:oddHBand="0" w:evenHBand="0" w:firstRowFirstColumn="0" w:firstRowLastColumn="0" w:lastRowFirstColumn="0" w:lastRowLastColumn="0"/>
            </w:pPr>
            <w:r>
              <w:t>26 500</w:t>
            </w:r>
          </w:p>
        </w:tc>
        <w:tc>
          <w:tcPr>
            <w:tcW w:w="850" w:type="dxa"/>
          </w:tcPr>
          <w:p w14:paraId="59D77678" w14:textId="77777777" w:rsidR="00964B88" w:rsidRDefault="00964B88">
            <w:pPr>
              <w:cnfStyle w:val="000000000000" w:firstRow="0" w:lastRow="0" w:firstColumn="0" w:lastColumn="0" w:oddVBand="0" w:evenVBand="0" w:oddHBand="0" w:evenHBand="0" w:firstRowFirstColumn="0" w:firstRowLastColumn="0" w:lastRowFirstColumn="0" w:lastRowLastColumn="0"/>
            </w:pPr>
            <w:r>
              <w:t>28 059</w:t>
            </w:r>
          </w:p>
        </w:tc>
      </w:tr>
      <w:tr w:rsidR="00964B88" w14:paraId="2B3F157C"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30EA8778" w14:textId="77777777" w:rsidR="00964B88" w:rsidRDefault="00964B88">
            <w:r>
              <w:t>Interest revenue</w:t>
            </w:r>
          </w:p>
        </w:tc>
        <w:tc>
          <w:tcPr>
            <w:tcW w:w="794" w:type="dxa"/>
          </w:tcPr>
          <w:p w14:paraId="305BD785" w14:textId="77777777" w:rsidR="00964B88" w:rsidRDefault="00964B88">
            <w:pPr>
              <w:cnfStyle w:val="000000000000" w:firstRow="0" w:lastRow="0" w:firstColumn="0" w:lastColumn="0" w:oddVBand="0" w:evenVBand="0" w:oddHBand="0" w:evenHBand="0" w:firstRowFirstColumn="0" w:firstRowLastColumn="0" w:lastRowFirstColumn="0" w:lastRowLastColumn="0"/>
            </w:pPr>
            <w:r>
              <w:t>239</w:t>
            </w:r>
          </w:p>
        </w:tc>
        <w:tc>
          <w:tcPr>
            <w:tcW w:w="850" w:type="dxa"/>
          </w:tcPr>
          <w:p w14:paraId="4E67C363" w14:textId="77777777" w:rsidR="00964B88" w:rsidRDefault="00964B88">
            <w:pPr>
              <w:cnfStyle w:val="000000000000" w:firstRow="0" w:lastRow="0" w:firstColumn="0" w:lastColumn="0" w:oddVBand="0" w:evenVBand="0" w:oddHBand="0" w:evenHBand="0" w:firstRowFirstColumn="0" w:firstRowLastColumn="0" w:lastRowFirstColumn="0" w:lastRowLastColumn="0"/>
            </w:pPr>
            <w:r>
              <w:t>258</w:t>
            </w:r>
          </w:p>
        </w:tc>
        <w:tc>
          <w:tcPr>
            <w:tcW w:w="850" w:type="dxa"/>
          </w:tcPr>
          <w:p w14:paraId="7DBF7E09" w14:textId="77777777" w:rsidR="00964B88" w:rsidRDefault="00964B88">
            <w:pPr>
              <w:cnfStyle w:val="000000000000" w:firstRow="0" w:lastRow="0" w:firstColumn="0" w:lastColumn="0" w:oddVBand="0" w:evenVBand="0" w:oddHBand="0" w:evenHBand="0" w:firstRowFirstColumn="0" w:firstRowLastColumn="0" w:lastRowFirstColumn="0" w:lastRowLastColumn="0"/>
            </w:pPr>
            <w:r>
              <w:t>268</w:t>
            </w:r>
          </w:p>
        </w:tc>
        <w:tc>
          <w:tcPr>
            <w:tcW w:w="850" w:type="dxa"/>
          </w:tcPr>
          <w:p w14:paraId="36530DA4" w14:textId="77777777" w:rsidR="00964B88" w:rsidRDefault="00964B88">
            <w:pPr>
              <w:cnfStyle w:val="000000000000" w:firstRow="0" w:lastRow="0" w:firstColumn="0" w:lastColumn="0" w:oddVBand="0" w:evenVBand="0" w:oddHBand="0" w:evenHBand="0" w:firstRowFirstColumn="0" w:firstRowLastColumn="0" w:lastRowFirstColumn="0" w:lastRowLastColumn="0"/>
            </w:pPr>
            <w:r>
              <w:t>267</w:t>
            </w:r>
          </w:p>
        </w:tc>
      </w:tr>
      <w:tr w:rsidR="00964B88" w14:paraId="457A15CA"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2E2805C6" w14:textId="77777777" w:rsidR="00964B88" w:rsidRDefault="00964B88">
            <w:r>
              <w:t>Dividends, income tax equivalent and rate equivalent revenue</w:t>
            </w:r>
          </w:p>
        </w:tc>
        <w:tc>
          <w:tcPr>
            <w:tcW w:w="794" w:type="dxa"/>
          </w:tcPr>
          <w:p w14:paraId="50723A98" w14:textId="77777777" w:rsidR="00964B88" w:rsidRDefault="00964B88">
            <w:pPr>
              <w:cnfStyle w:val="000000000000" w:firstRow="0" w:lastRow="0" w:firstColumn="0" w:lastColumn="0" w:oddVBand="0" w:evenVBand="0" w:oddHBand="0" w:evenHBand="0" w:firstRowFirstColumn="0" w:firstRowLastColumn="0" w:lastRowFirstColumn="0" w:lastRowLastColumn="0"/>
            </w:pPr>
            <w:r>
              <w:t>252</w:t>
            </w:r>
          </w:p>
        </w:tc>
        <w:tc>
          <w:tcPr>
            <w:tcW w:w="850" w:type="dxa"/>
          </w:tcPr>
          <w:p w14:paraId="493EC5DD" w14:textId="77777777" w:rsidR="00964B88" w:rsidRDefault="00964B88">
            <w:pPr>
              <w:cnfStyle w:val="000000000000" w:firstRow="0" w:lastRow="0" w:firstColumn="0" w:lastColumn="0" w:oddVBand="0" w:evenVBand="0" w:oddHBand="0" w:evenHBand="0" w:firstRowFirstColumn="0" w:firstRowLastColumn="0" w:lastRowFirstColumn="0" w:lastRowLastColumn="0"/>
            </w:pPr>
            <w:r>
              <w:t>178</w:t>
            </w:r>
          </w:p>
        </w:tc>
        <w:tc>
          <w:tcPr>
            <w:tcW w:w="850" w:type="dxa"/>
          </w:tcPr>
          <w:p w14:paraId="083997AA" w14:textId="77777777" w:rsidR="00964B88" w:rsidRDefault="00964B88">
            <w:pPr>
              <w:cnfStyle w:val="000000000000" w:firstRow="0" w:lastRow="0" w:firstColumn="0" w:lastColumn="0" w:oddVBand="0" w:evenVBand="0" w:oddHBand="0" w:evenHBand="0" w:firstRowFirstColumn="0" w:firstRowLastColumn="0" w:lastRowFirstColumn="0" w:lastRowLastColumn="0"/>
            </w:pPr>
            <w:r>
              <w:t>187</w:t>
            </w:r>
          </w:p>
        </w:tc>
        <w:tc>
          <w:tcPr>
            <w:tcW w:w="850" w:type="dxa"/>
          </w:tcPr>
          <w:p w14:paraId="247C0936" w14:textId="77777777" w:rsidR="00964B88" w:rsidRDefault="00964B88">
            <w:pPr>
              <w:cnfStyle w:val="000000000000" w:firstRow="0" w:lastRow="0" w:firstColumn="0" w:lastColumn="0" w:oddVBand="0" w:evenVBand="0" w:oddHBand="0" w:evenHBand="0" w:firstRowFirstColumn="0" w:firstRowLastColumn="0" w:lastRowFirstColumn="0" w:lastRowLastColumn="0"/>
            </w:pPr>
            <w:r>
              <w:t>182</w:t>
            </w:r>
          </w:p>
        </w:tc>
      </w:tr>
      <w:tr w:rsidR="00964B88" w14:paraId="2BBF7688"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77A2B08F" w14:textId="77777777" w:rsidR="00964B88" w:rsidRDefault="00964B88">
            <w:r>
              <w:t>Sales of goods and services</w:t>
            </w:r>
          </w:p>
        </w:tc>
        <w:tc>
          <w:tcPr>
            <w:tcW w:w="794" w:type="dxa"/>
          </w:tcPr>
          <w:p w14:paraId="375C5769" w14:textId="77777777" w:rsidR="00964B88" w:rsidRDefault="00964B88">
            <w:pPr>
              <w:cnfStyle w:val="000000000000" w:firstRow="0" w:lastRow="0" w:firstColumn="0" w:lastColumn="0" w:oddVBand="0" w:evenVBand="0" w:oddHBand="0" w:evenHBand="0" w:firstRowFirstColumn="0" w:firstRowLastColumn="0" w:lastRowFirstColumn="0" w:lastRowLastColumn="0"/>
            </w:pPr>
            <w:r>
              <w:t>12 089</w:t>
            </w:r>
          </w:p>
        </w:tc>
        <w:tc>
          <w:tcPr>
            <w:tcW w:w="850" w:type="dxa"/>
          </w:tcPr>
          <w:p w14:paraId="6C921B8D" w14:textId="77777777" w:rsidR="00964B88" w:rsidRDefault="00964B88">
            <w:pPr>
              <w:cnfStyle w:val="000000000000" w:firstRow="0" w:lastRow="0" w:firstColumn="0" w:lastColumn="0" w:oddVBand="0" w:evenVBand="0" w:oddHBand="0" w:evenHBand="0" w:firstRowFirstColumn="0" w:firstRowLastColumn="0" w:lastRowFirstColumn="0" w:lastRowLastColumn="0"/>
            </w:pPr>
            <w:r>
              <w:t>12 797</w:t>
            </w:r>
          </w:p>
        </w:tc>
        <w:tc>
          <w:tcPr>
            <w:tcW w:w="850" w:type="dxa"/>
          </w:tcPr>
          <w:p w14:paraId="3C37EA35" w14:textId="77777777" w:rsidR="00964B88" w:rsidRDefault="00964B88">
            <w:pPr>
              <w:cnfStyle w:val="000000000000" w:firstRow="0" w:lastRow="0" w:firstColumn="0" w:lastColumn="0" w:oddVBand="0" w:evenVBand="0" w:oddHBand="0" w:evenHBand="0" w:firstRowFirstColumn="0" w:firstRowLastColumn="0" w:lastRowFirstColumn="0" w:lastRowLastColumn="0"/>
            </w:pPr>
            <w:r>
              <w:t>12 941</w:t>
            </w:r>
          </w:p>
        </w:tc>
        <w:tc>
          <w:tcPr>
            <w:tcW w:w="850" w:type="dxa"/>
          </w:tcPr>
          <w:p w14:paraId="4820C201" w14:textId="77777777" w:rsidR="00964B88" w:rsidRDefault="00964B88">
            <w:pPr>
              <w:cnfStyle w:val="000000000000" w:firstRow="0" w:lastRow="0" w:firstColumn="0" w:lastColumn="0" w:oddVBand="0" w:evenVBand="0" w:oddHBand="0" w:evenHBand="0" w:firstRowFirstColumn="0" w:firstRowLastColumn="0" w:lastRowFirstColumn="0" w:lastRowLastColumn="0"/>
            </w:pPr>
            <w:r>
              <w:t>13 484</w:t>
            </w:r>
          </w:p>
        </w:tc>
      </w:tr>
      <w:tr w:rsidR="00964B88" w14:paraId="62DB6FC1"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6B3314E6" w14:textId="77777777" w:rsidR="00964B88" w:rsidRDefault="00964B88">
            <w:r>
              <w:t>Grant revenue</w:t>
            </w:r>
          </w:p>
        </w:tc>
        <w:tc>
          <w:tcPr>
            <w:tcW w:w="794" w:type="dxa"/>
          </w:tcPr>
          <w:p w14:paraId="21B59F10" w14:textId="77777777" w:rsidR="00964B88" w:rsidRDefault="00964B88">
            <w:pPr>
              <w:cnfStyle w:val="000000000000" w:firstRow="0" w:lastRow="0" w:firstColumn="0" w:lastColumn="0" w:oddVBand="0" w:evenVBand="0" w:oddHBand="0" w:evenHBand="0" w:firstRowFirstColumn="0" w:firstRowLastColumn="0" w:lastRowFirstColumn="0" w:lastRowLastColumn="0"/>
            </w:pPr>
            <w:r>
              <w:t>33 891</w:t>
            </w:r>
          </w:p>
        </w:tc>
        <w:tc>
          <w:tcPr>
            <w:tcW w:w="850" w:type="dxa"/>
          </w:tcPr>
          <w:p w14:paraId="4FA3E4AE" w14:textId="77777777" w:rsidR="00964B88" w:rsidRDefault="00964B88">
            <w:pPr>
              <w:cnfStyle w:val="000000000000" w:firstRow="0" w:lastRow="0" w:firstColumn="0" w:lastColumn="0" w:oddVBand="0" w:evenVBand="0" w:oddHBand="0" w:evenHBand="0" w:firstRowFirstColumn="0" w:firstRowLastColumn="0" w:lastRowFirstColumn="0" w:lastRowLastColumn="0"/>
            </w:pPr>
            <w:r>
              <w:t>35 924</w:t>
            </w:r>
          </w:p>
        </w:tc>
        <w:tc>
          <w:tcPr>
            <w:tcW w:w="850" w:type="dxa"/>
          </w:tcPr>
          <w:p w14:paraId="5D88C612" w14:textId="77777777" w:rsidR="00964B88" w:rsidRDefault="00964B88">
            <w:pPr>
              <w:cnfStyle w:val="000000000000" w:firstRow="0" w:lastRow="0" w:firstColumn="0" w:lastColumn="0" w:oddVBand="0" w:evenVBand="0" w:oddHBand="0" w:evenHBand="0" w:firstRowFirstColumn="0" w:firstRowLastColumn="0" w:lastRowFirstColumn="0" w:lastRowLastColumn="0"/>
            </w:pPr>
            <w:r>
              <w:t>37 911</w:t>
            </w:r>
          </w:p>
        </w:tc>
        <w:tc>
          <w:tcPr>
            <w:tcW w:w="850" w:type="dxa"/>
          </w:tcPr>
          <w:p w14:paraId="632378BA" w14:textId="77777777" w:rsidR="00964B88" w:rsidRDefault="00964B88">
            <w:pPr>
              <w:cnfStyle w:val="000000000000" w:firstRow="0" w:lastRow="0" w:firstColumn="0" w:lastColumn="0" w:oddVBand="0" w:evenVBand="0" w:oddHBand="0" w:evenHBand="0" w:firstRowFirstColumn="0" w:firstRowLastColumn="0" w:lastRowFirstColumn="0" w:lastRowLastColumn="0"/>
            </w:pPr>
            <w:r>
              <w:t>40 344</w:t>
            </w:r>
          </w:p>
        </w:tc>
      </w:tr>
      <w:tr w:rsidR="00964B88" w14:paraId="34C44A0E"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bottom w:val="single" w:sz="6" w:space="0" w:color="auto"/>
            </w:tcBorders>
          </w:tcPr>
          <w:p w14:paraId="175B2671" w14:textId="77777777" w:rsidR="00964B88" w:rsidRDefault="00964B88">
            <w:r>
              <w:t>Other current revenue</w:t>
            </w:r>
          </w:p>
        </w:tc>
        <w:tc>
          <w:tcPr>
            <w:tcW w:w="794" w:type="dxa"/>
            <w:tcBorders>
              <w:bottom w:val="single" w:sz="6" w:space="0" w:color="auto"/>
            </w:tcBorders>
          </w:tcPr>
          <w:p w14:paraId="1EDE8309" w14:textId="77777777" w:rsidR="00964B88" w:rsidRDefault="00964B88">
            <w:pPr>
              <w:cnfStyle w:val="000000000000" w:firstRow="0" w:lastRow="0" w:firstColumn="0" w:lastColumn="0" w:oddVBand="0" w:evenVBand="0" w:oddHBand="0" w:evenHBand="0" w:firstRowFirstColumn="0" w:firstRowLastColumn="0" w:lastRowFirstColumn="0" w:lastRowLastColumn="0"/>
            </w:pPr>
            <w:r>
              <w:t>3 635</w:t>
            </w:r>
          </w:p>
        </w:tc>
        <w:tc>
          <w:tcPr>
            <w:tcW w:w="850" w:type="dxa"/>
            <w:tcBorders>
              <w:bottom w:val="single" w:sz="6" w:space="0" w:color="auto"/>
            </w:tcBorders>
          </w:tcPr>
          <w:p w14:paraId="5955BCC5" w14:textId="77777777" w:rsidR="00964B88" w:rsidRDefault="00964B88">
            <w:pPr>
              <w:cnfStyle w:val="000000000000" w:firstRow="0" w:lastRow="0" w:firstColumn="0" w:lastColumn="0" w:oddVBand="0" w:evenVBand="0" w:oddHBand="0" w:evenHBand="0" w:firstRowFirstColumn="0" w:firstRowLastColumn="0" w:lastRowFirstColumn="0" w:lastRowLastColumn="0"/>
            </w:pPr>
            <w:r>
              <w:t>3 781</w:t>
            </w:r>
          </w:p>
        </w:tc>
        <w:tc>
          <w:tcPr>
            <w:tcW w:w="850" w:type="dxa"/>
            <w:tcBorders>
              <w:bottom w:val="single" w:sz="6" w:space="0" w:color="auto"/>
            </w:tcBorders>
          </w:tcPr>
          <w:p w14:paraId="4937BCDD" w14:textId="77777777" w:rsidR="00964B88" w:rsidRDefault="00964B88">
            <w:pPr>
              <w:cnfStyle w:val="000000000000" w:firstRow="0" w:lastRow="0" w:firstColumn="0" w:lastColumn="0" w:oddVBand="0" w:evenVBand="0" w:oddHBand="0" w:evenHBand="0" w:firstRowFirstColumn="0" w:firstRowLastColumn="0" w:lastRowFirstColumn="0" w:lastRowLastColumn="0"/>
            </w:pPr>
            <w:r>
              <w:t>3 867</w:t>
            </w:r>
          </w:p>
        </w:tc>
        <w:tc>
          <w:tcPr>
            <w:tcW w:w="850" w:type="dxa"/>
            <w:tcBorders>
              <w:bottom w:val="single" w:sz="6" w:space="0" w:color="auto"/>
            </w:tcBorders>
          </w:tcPr>
          <w:p w14:paraId="7A554851" w14:textId="77777777" w:rsidR="00964B88" w:rsidRDefault="00964B88">
            <w:pPr>
              <w:cnfStyle w:val="000000000000" w:firstRow="0" w:lastRow="0" w:firstColumn="0" w:lastColumn="0" w:oddVBand="0" w:evenVBand="0" w:oddHBand="0" w:evenHBand="0" w:firstRowFirstColumn="0" w:firstRowLastColumn="0" w:lastRowFirstColumn="0" w:lastRowLastColumn="0"/>
            </w:pPr>
            <w:r>
              <w:t>3 986</w:t>
            </w:r>
          </w:p>
        </w:tc>
      </w:tr>
      <w:tr w:rsidR="00964B88" w14:paraId="5F2EFD89"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tcBorders>
          </w:tcPr>
          <w:p w14:paraId="6959D406" w14:textId="77777777" w:rsidR="00964B88" w:rsidRDefault="00964B88">
            <w:r>
              <w:rPr>
                <w:b/>
              </w:rPr>
              <w:t>Total revenue</w:t>
            </w:r>
          </w:p>
        </w:tc>
        <w:tc>
          <w:tcPr>
            <w:tcW w:w="794" w:type="dxa"/>
            <w:tcBorders>
              <w:top w:val="single" w:sz="6" w:space="0" w:color="auto"/>
            </w:tcBorders>
          </w:tcPr>
          <w:p w14:paraId="3627DB5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74 064</w:t>
            </w:r>
          </w:p>
        </w:tc>
        <w:tc>
          <w:tcPr>
            <w:tcW w:w="850" w:type="dxa"/>
            <w:tcBorders>
              <w:top w:val="single" w:sz="6" w:space="0" w:color="auto"/>
            </w:tcBorders>
          </w:tcPr>
          <w:p w14:paraId="3215BD4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78 087</w:t>
            </w:r>
          </w:p>
        </w:tc>
        <w:tc>
          <w:tcPr>
            <w:tcW w:w="850" w:type="dxa"/>
            <w:tcBorders>
              <w:top w:val="single" w:sz="6" w:space="0" w:color="auto"/>
            </w:tcBorders>
          </w:tcPr>
          <w:p w14:paraId="070AC9C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81 674</w:t>
            </w:r>
          </w:p>
        </w:tc>
        <w:tc>
          <w:tcPr>
            <w:tcW w:w="850" w:type="dxa"/>
            <w:tcBorders>
              <w:top w:val="single" w:sz="6" w:space="0" w:color="auto"/>
            </w:tcBorders>
          </w:tcPr>
          <w:p w14:paraId="43EC66C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86 321</w:t>
            </w:r>
          </w:p>
        </w:tc>
      </w:tr>
      <w:tr w:rsidR="00964B88" w14:paraId="675C90CC"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28C1618A" w14:textId="77777777" w:rsidR="00964B88" w:rsidRDefault="00964B88">
            <w:r>
              <w:rPr>
                <w:i/>
              </w:rPr>
              <w:t>% change</w:t>
            </w:r>
            <w:r>
              <w:rPr>
                <w:i/>
                <w:vertAlign w:val="superscript"/>
              </w:rPr>
              <w:t xml:space="preserve"> (b)</w:t>
            </w:r>
          </w:p>
        </w:tc>
        <w:tc>
          <w:tcPr>
            <w:tcW w:w="794" w:type="dxa"/>
          </w:tcPr>
          <w:p w14:paraId="1DC7ACC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1.3</w:t>
            </w:r>
          </w:p>
        </w:tc>
        <w:tc>
          <w:tcPr>
            <w:tcW w:w="850" w:type="dxa"/>
          </w:tcPr>
          <w:p w14:paraId="103BDFE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5.4</w:t>
            </w:r>
          </w:p>
        </w:tc>
        <w:tc>
          <w:tcPr>
            <w:tcW w:w="850" w:type="dxa"/>
          </w:tcPr>
          <w:p w14:paraId="64096EB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4.6</w:t>
            </w:r>
          </w:p>
        </w:tc>
        <w:tc>
          <w:tcPr>
            <w:tcW w:w="850" w:type="dxa"/>
          </w:tcPr>
          <w:p w14:paraId="58E86AF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5.7</w:t>
            </w:r>
          </w:p>
        </w:tc>
      </w:tr>
      <w:tr w:rsidR="00964B88" w14:paraId="309A22FC"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652BC0BE" w14:textId="77777777" w:rsidR="00964B88" w:rsidRDefault="00964B88">
            <w:r>
              <w:rPr>
                <w:b/>
              </w:rPr>
              <w:t>Expenses</w:t>
            </w:r>
          </w:p>
        </w:tc>
        <w:tc>
          <w:tcPr>
            <w:tcW w:w="794" w:type="dxa"/>
          </w:tcPr>
          <w:p w14:paraId="5A8E22A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9D4FEA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B3ACC5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9BD5CB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5A5B2AC7"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243CDCDD" w14:textId="77777777" w:rsidR="00964B88" w:rsidRDefault="00964B88">
            <w:r>
              <w:t>Employee expenses</w:t>
            </w:r>
          </w:p>
        </w:tc>
        <w:tc>
          <w:tcPr>
            <w:tcW w:w="794" w:type="dxa"/>
          </w:tcPr>
          <w:p w14:paraId="4DF1D06B" w14:textId="77777777" w:rsidR="00964B88" w:rsidRDefault="00964B88">
            <w:pPr>
              <w:cnfStyle w:val="000000000000" w:firstRow="0" w:lastRow="0" w:firstColumn="0" w:lastColumn="0" w:oddVBand="0" w:evenVBand="0" w:oddHBand="0" w:evenHBand="0" w:firstRowFirstColumn="0" w:firstRowLastColumn="0" w:lastRowFirstColumn="0" w:lastRowLastColumn="0"/>
            </w:pPr>
            <w:r>
              <w:t>27 464</w:t>
            </w:r>
          </w:p>
        </w:tc>
        <w:tc>
          <w:tcPr>
            <w:tcW w:w="850" w:type="dxa"/>
          </w:tcPr>
          <w:p w14:paraId="50D5734F" w14:textId="77777777" w:rsidR="00964B88" w:rsidRDefault="00964B88">
            <w:pPr>
              <w:cnfStyle w:val="000000000000" w:firstRow="0" w:lastRow="0" w:firstColumn="0" w:lastColumn="0" w:oddVBand="0" w:evenVBand="0" w:oddHBand="0" w:evenHBand="0" w:firstRowFirstColumn="0" w:firstRowLastColumn="0" w:lastRowFirstColumn="0" w:lastRowLastColumn="0"/>
            </w:pPr>
            <w:r>
              <w:t>28 915</w:t>
            </w:r>
          </w:p>
        </w:tc>
        <w:tc>
          <w:tcPr>
            <w:tcW w:w="850" w:type="dxa"/>
          </w:tcPr>
          <w:p w14:paraId="27B580C2" w14:textId="77777777" w:rsidR="00964B88" w:rsidRDefault="00964B88">
            <w:pPr>
              <w:cnfStyle w:val="000000000000" w:firstRow="0" w:lastRow="0" w:firstColumn="0" w:lastColumn="0" w:oddVBand="0" w:evenVBand="0" w:oddHBand="0" w:evenHBand="0" w:firstRowFirstColumn="0" w:firstRowLastColumn="0" w:lastRowFirstColumn="0" w:lastRowLastColumn="0"/>
            </w:pPr>
            <w:r>
              <w:t>29 825</w:t>
            </w:r>
          </w:p>
        </w:tc>
        <w:tc>
          <w:tcPr>
            <w:tcW w:w="850" w:type="dxa"/>
          </w:tcPr>
          <w:p w14:paraId="79194AE5" w14:textId="77777777" w:rsidR="00964B88" w:rsidRDefault="00964B88">
            <w:pPr>
              <w:cnfStyle w:val="000000000000" w:firstRow="0" w:lastRow="0" w:firstColumn="0" w:lastColumn="0" w:oddVBand="0" w:evenVBand="0" w:oddHBand="0" w:evenHBand="0" w:firstRowFirstColumn="0" w:firstRowLastColumn="0" w:lastRowFirstColumn="0" w:lastRowLastColumn="0"/>
            </w:pPr>
            <w:r>
              <w:t>31 205</w:t>
            </w:r>
          </w:p>
        </w:tc>
      </w:tr>
      <w:tr w:rsidR="00964B88" w14:paraId="04422B7F"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7684EA3C" w14:textId="77777777" w:rsidR="00964B88" w:rsidRDefault="00964B88">
            <w:r>
              <w:t>Net superannuation interest expense</w:t>
            </w:r>
          </w:p>
        </w:tc>
        <w:tc>
          <w:tcPr>
            <w:tcW w:w="794" w:type="dxa"/>
          </w:tcPr>
          <w:p w14:paraId="641AE6BF" w14:textId="77777777" w:rsidR="00964B88" w:rsidRDefault="00964B88">
            <w:pPr>
              <w:cnfStyle w:val="000000000000" w:firstRow="0" w:lastRow="0" w:firstColumn="0" w:lastColumn="0" w:oddVBand="0" w:evenVBand="0" w:oddHBand="0" w:evenHBand="0" w:firstRowFirstColumn="0" w:firstRowLastColumn="0" w:lastRowFirstColumn="0" w:lastRowLastColumn="0"/>
            </w:pPr>
            <w:r>
              <w:t>411</w:t>
            </w:r>
          </w:p>
        </w:tc>
        <w:tc>
          <w:tcPr>
            <w:tcW w:w="850" w:type="dxa"/>
          </w:tcPr>
          <w:p w14:paraId="77131D67" w14:textId="77777777" w:rsidR="00964B88" w:rsidRDefault="00964B88">
            <w:pPr>
              <w:cnfStyle w:val="000000000000" w:firstRow="0" w:lastRow="0" w:firstColumn="0" w:lastColumn="0" w:oddVBand="0" w:evenVBand="0" w:oddHBand="0" w:evenHBand="0" w:firstRowFirstColumn="0" w:firstRowLastColumn="0" w:lastRowFirstColumn="0" w:lastRowLastColumn="0"/>
            </w:pPr>
            <w:r>
              <w:t>332</w:t>
            </w:r>
          </w:p>
        </w:tc>
        <w:tc>
          <w:tcPr>
            <w:tcW w:w="850" w:type="dxa"/>
          </w:tcPr>
          <w:p w14:paraId="335BE776" w14:textId="77777777" w:rsidR="00964B88" w:rsidRDefault="00964B88">
            <w:pPr>
              <w:cnfStyle w:val="000000000000" w:firstRow="0" w:lastRow="0" w:firstColumn="0" w:lastColumn="0" w:oddVBand="0" w:evenVBand="0" w:oddHBand="0" w:evenHBand="0" w:firstRowFirstColumn="0" w:firstRowLastColumn="0" w:lastRowFirstColumn="0" w:lastRowLastColumn="0"/>
            </w:pPr>
            <w:r>
              <w:t>316</w:t>
            </w:r>
          </w:p>
        </w:tc>
        <w:tc>
          <w:tcPr>
            <w:tcW w:w="850" w:type="dxa"/>
          </w:tcPr>
          <w:p w14:paraId="67CB7B32" w14:textId="77777777" w:rsidR="00964B88" w:rsidRDefault="00964B88">
            <w:pPr>
              <w:cnfStyle w:val="000000000000" w:firstRow="0" w:lastRow="0" w:firstColumn="0" w:lastColumn="0" w:oddVBand="0" w:evenVBand="0" w:oddHBand="0" w:evenHBand="0" w:firstRowFirstColumn="0" w:firstRowLastColumn="0" w:lastRowFirstColumn="0" w:lastRowLastColumn="0"/>
            </w:pPr>
            <w:r>
              <w:t>301</w:t>
            </w:r>
          </w:p>
        </w:tc>
      </w:tr>
      <w:tr w:rsidR="00964B88" w14:paraId="3E3B7C74"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798B640D" w14:textId="77777777" w:rsidR="00964B88" w:rsidRDefault="00964B88">
            <w:r>
              <w:t>Other superannuation</w:t>
            </w:r>
          </w:p>
        </w:tc>
        <w:tc>
          <w:tcPr>
            <w:tcW w:w="794" w:type="dxa"/>
          </w:tcPr>
          <w:p w14:paraId="738A3A69" w14:textId="77777777" w:rsidR="00964B88" w:rsidRDefault="00964B88">
            <w:pPr>
              <w:cnfStyle w:val="000000000000" w:firstRow="0" w:lastRow="0" w:firstColumn="0" w:lastColumn="0" w:oddVBand="0" w:evenVBand="0" w:oddHBand="0" w:evenHBand="0" w:firstRowFirstColumn="0" w:firstRowLastColumn="0" w:lastRowFirstColumn="0" w:lastRowLastColumn="0"/>
            </w:pPr>
            <w:r>
              <w:t>3 102</w:t>
            </w:r>
          </w:p>
        </w:tc>
        <w:tc>
          <w:tcPr>
            <w:tcW w:w="850" w:type="dxa"/>
          </w:tcPr>
          <w:p w14:paraId="18EFB95F" w14:textId="77777777" w:rsidR="00964B88" w:rsidRDefault="00964B88">
            <w:pPr>
              <w:cnfStyle w:val="000000000000" w:firstRow="0" w:lastRow="0" w:firstColumn="0" w:lastColumn="0" w:oddVBand="0" w:evenVBand="0" w:oddHBand="0" w:evenHBand="0" w:firstRowFirstColumn="0" w:firstRowLastColumn="0" w:lastRowFirstColumn="0" w:lastRowLastColumn="0"/>
            </w:pPr>
            <w:r>
              <w:t>3 187</w:t>
            </w:r>
          </w:p>
        </w:tc>
        <w:tc>
          <w:tcPr>
            <w:tcW w:w="850" w:type="dxa"/>
          </w:tcPr>
          <w:p w14:paraId="3FA7224A" w14:textId="77777777" w:rsidR="00964B88" w:rsidRDefault="00964B88">
            <w:pPr>
              <w:cnfStyle w:val="000000000000" w:firstRow="0" w:lastRow="0" w:firstColumn="0" w:lastColumn="0" w:oddVBand="0" w:evenVBand="0" w:oddHBand="0" w:evenHBand="0" w:firstRowFirstColumn="0" w:firstRowLastColumn="0" w:lastRowFirstColumn="0" w:lastRowLastColumn="0"/>
            </w:pPr>
            <w:r>
              <w:t>3 292</w:t>
            </w:r>
          </w:p>
        </w:tc>
        <w:tc>
          <w:tcPr>
            <w:tcW w:w="850" w:type="dxa"/>
          </w:tcPr>
          <w:p w14:paraId="09DB543E" w14:textId="77777777" w:rsidR="00964B88" w:rsidRDefault="00964B88">
            <w:pPr>
              <w:cnfStyle w:val="000000000000" w:firstRow="0" w:lastRow="0" w:firstColumn="0" w:lastColumn="0" w:oddVBand="0" w:evenVBand="0" w:oddHBand="0" w:evenHBand="0" w:firstRowFirstColumn="0" w:firstRowLastColumn="0" w:lastRowFirstColumn="0" w:lastRowLastColumn="0"/>
            </w:pPr>
            <w:r>
              <w:t>3 391</w:t>
            </w:r>
          </w:p>
        </w:tc>
      </w:tr>
      <w:tr w:rsidR="00964B88" w14:paraId="0F432ED2"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0B22553F" w14:textId="77777777" w:rsidR="00964B88" w:rsidRDefault="00964B88">
            <w:r>
              <w:t>Depreciation</w:t>
            </w:r>
          </w:p>
        </w:tc>
        <w:tc>
          <w:tcPr>
            <w:tcW w:w="794" w:type="dxa"/>
          </w:tcPr>
          <w:p w14:paraId="3F2D02F7" w14:textId="77777777" w:rsidR="00964B88" w:rsidRDefault="00964B88">
            <w:pPr>
              <w:cnfStyle w:val="000000000000" w:firstRow="0" w:lastRow="0" w:firstColumn="0" w:lastColumn="0" w:oddVBand="0" w:evenVBand="0" w:oddHBand="0" w:evenHBand="0" w:firstRowFirstColumn="0" w:firstRowLastColumn="0" w:lastRowFirstColumn="0" w:lastRowLastColumn="0"/>
            </w:pPr>
            <w:r>
              <w:t>6 266</w:t>
            </w:r>
          </w:p>
        </w:tc>
        <w:tc>
          <w:tcPr>
            <w:tcW w:w="850" w:type="dxa"/>
          </w:tcPr>
          <w:p w14:paraId="3CD79699" w14:textId="77777777" w:rsidR="00964B88" w:rsidRDefault="00964B88">
            <w:pPr>
              <w:cnfStyle w:val="000000000000" w:firstRow="0" w:lastRow="0" w:firstColumn="0" w:lastColumn="0" w:oddVBand="0" w:evenVBand="0" w:oddHBand="0" w:evenHBand="0" w:firstRowFirstColumn="0" w:firstRowLastColumn="0" w:lastRowFirstColumn="0" w:lastRowLastColumn="0"/>
            </w:pPr>
            <w:r>
              <w:t>6 797</w:t>
            </w:r>
          </w:p>
        </w:tc>
        <w:tc>
          <w:tcPr>
            <w:tcW w:w="850" w:type="dxa"/>
          </w:tcPr>
          <w:p w14:paraId="35B92F65" w14:textId="77777777" w:rsidR="00964B88" w:rsidRDefault="00964B88">
            <w:pPr>
              <w:cnfStyle w:val="000000000000" w:firstRow="0" w:lastRow="0" w:firstColumn="0" w:lastColumn="0" w:oddVBand="0" w:evenVBand="0" w:oddHBand="0" w:evenHBand="0" w:firstRowFirstColumn="0" w:firstRowLastColumn="0" w:lastRowFirstColumn="0" w:lastRowLastColumn="0"/>
            </w:pPr>
            <w:r>
              <w:t>7 191</w:t>
            </w:r>
          </w:p>
        </w:tc>
        <w:tc>
          <w:tcPr>
            <w:tcW w:w="850" w:type="dxa"/>
          </w:tcPr>
          <w:p w14:paraId="1C5BF7EE" w14:textId="77777777" w:rsidR="00964B88" w:rsidRDefault="00964B88">
            <w:pPr>
              <w:cnfStyle w:val="000000000000" w:firstRow="0" w:lastRow="0" w:firstColumn="0" w:lastColumn="0" w:oddVBand="0" w:evenVBand="0" w:oddHBand="0" w:evenHBand="0" w:firstRowFirstColumn="0" w:firstRowLastColumn="0" w:lastRowFirstColumn="0" w:lastRowLastColumn="0"/>
            </w:pPr>
            <w:r>
              <w:t>7 656</w:t>
            </w:r>
          </w:p>
        </w:tc>
      </w:tr>
      <w:tr w:rsidR="00964B88" w14:paraId="45FEA4C9"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1F67DB19" w14:textId="77777777" w:rsidR="00964B88" w:rsidRDefault="00964B88">
            <w:r>
              <w:t>Interest expense</w:t>
            </w:r>
          </w:p>
        </w:tc>
        <w:tc>
          <w:tcPr>
            <w:tcW w:w="794" w:type="dxa"/>
          </w:tcPr>
          <w:p w14:paraId="6E4D1962" w14:textId="77777777" w:rsidR="00964B88" w:rsidRDefault="00964B88">
            <w:pPr>
              <w:cnfStyle w:val="000000000000" w:firstRow="0" w:lastRow="0" w:firstColumn="0" w:lastColumn="0" w:oddVBand="0" w:evenVBand="0" w:oddHBand="0" w:evenHBand="0" w:firstRowFirstColumn="0" w:firstRowLastColumn="0" w:lastRowFirstColumn="0" w:lastRowLastColumn="0"/>
            </w:pPr>
            <w:r>
              <w:t>2 997</w:t>
            </w:r>
          </w:p>
        </w:tc>
        <w:tc>
          <w:tcPr>
            <w:tcW w:w="850" w:type="dxa"/>
          </w:tcPr>
          <w:p w14:paraId="1ED3B37F" w14:textId="77777777" w:rsidR="00964B88" w:rsidRDefault="00964B88">
            <w:pPr>
              <w:cnfStyle w:val="000000000000" w:firstRow="0" w:lastRow="0" w:firstColumn="0" w:lastColumn="0" w:oddVBand="0" w:evenVBand="0" w:oddHBand="0" w:evenHBand="0" w:firstRowFirstColumn="0" w:firstRowLastColumn="0" w:lastRowFirstColumn="0" w:lastRowLastColumn="0"/>
            </w:pPr>
            <w:r>
              <w:t>3 136</w:t>
            </w:r>
          </w:p>
        </w:tc>
        <w:tc>
          <w:tcPr>
            <w:tcW w:w="850" w:type="dxa"/>
          </w:tcPr>
          <w:p w14:paraId="3A99E262" w14:textId="77777777" w:rsidR="00964B88" w:rsidRDefault="00964B88">
            <w:pPr>
              <w:cnfStyle w:val="000000000000" w:firstRow="0" w:lastRow="0" w:firstColumn="0" w:lastColumn="0" w:oddVBand="0" w:evenVBand="0" w:oddHBand="0" w:evenHBand="0" w:firstRowFirstColumn="0" w:firstRowLastColumn="0" w:lastRowFirstColumn="0" w:lastRowLastColumn="0"/>
            </w:pPr>
            <w:r>
              <w:t>3 290</w:t>
            </w:r>
          </w:p>
        </w:tc>
        <w:tc>
          <w:tcPr>
            <w:tcW w:w="850" w:type="dxa"/>
          </w:tcPr>
          <w:p w14:paraId="3C8E9BE0" w14:textId="77777777" w:rsidR="00964B88" w:rsidRDefault="00964B88">
            <w:pPr>
              <w:cnfStyle w:val="000000000000" w:firstRow="0" w:lastRow="0" w:firstColumn="0" w:lastColumn="0" w:oddVBand="0" w:evenVBand="0" w:oddHBand="0" w:evenHBand="0" w:firstRowFirstColumn="0" w:firstRowLastColumn="0" w:lastRowFirstColumn="0" w:lastRowLastColumn="0"/>
            </w:pPr>
            <w:r>
              <w:t>3 434</w:t>
            </w:r>
          </w:p>
        </w:tc>
      </w:tr>
      <w:tr w:rsidR="00964B88" w14:paraId="0A643B72"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550486A3" w14:textId="77777777" w:rsidR="00964B88" w:rsidRDefault="00964B88">
            <w:r>
              <w:t>Grant expense</w:t>
            </w:r>
          </w:p>
        </w:tc>
        <w:tc>
          <w:tcPr>
            <w:tcW w:w="794" w:type="dxa"/>
          </w:tcPr>
          <w:p w14:paraId="29AE1054" w14:textId="77777777" w:rsidR="00964B88" w:rsidRDefault="00964B88">
            <w:pPr>
              <w:cnfStyle w:val="000000000000" w:firstRow="0" w:lastRow="0" w:firstColumn="0" w:lastColumn="0" w:oddVBand="0" w:evenVBand="0" w:oddHBand="0" w:evenHBand="0" w:firstRowFirstColumn="0" w:firstRowLastColumn="0" w:lastRowFirstColumn="0" w:lastRowLastColumn="0"/>
            </w:pPr>
            <w:r>
              <w:t>9 144</w:t>
            </w:r>
          </w:p>
        </w:tc>
        <w:tc>
          <w:tcPr>
            <w:tcW w:w="850" w:type="dxa"/>
          </w:tcPr>
          <w:p w14:paraId="15B53CB0" w14:textId="77777777" w:rsidR="00964B88" w:rsidRDefault="00964B88">
            <w:pPr>
              <w:cnfStyle w:val="000000000000" w:firstRow="0" w:lastRow="0" w:firstColumn="0" w:lastColumn="0" w:oddVBand="0" w:evenVBand="0" w:oddHBand="0" w:evenHBand="0" w:firstRowFirstColumn="0" w:firstRowLastColumn="0" w:lastRowFirstColumn="0" w:lastRowLastColumn="0"/>
            </w:pPr>
            <w:r>
              <w:t>11 032</w:t>
            </w:r>
          </w:p>
        </w:tc>
        <w:tc>
          <w:tcPr>
            <w:tcW w:w="850" w:type="dxa"/>
          </w:tcPr>
          <w:p w14:paraId="64E5DB11" w14:textId="77777777" w:rsidR="00964B88" w:rsidRDefault="00964B88">
            <w:pPr>
              <w:cnfStyle w:val="000000000000" w:firstRow="0" w:lastRow="0" w:firstColumn="0" w:lastColumn="0" w:oddVBand="0" w:evenVBand="0" w:oddHBand="0" w:evenHBand="0" w:firstRowFirstColumn="0" w:firstRowLastColumn="0" w:lastRowFirstColumn="0" w:lastRowLastColumn="0"/>
            </w:pPr>
            <w:r>
              <w:t>11 395</w:t>
            </w:r>
          </w:p>
        </w:tc>
        <w:tc>
          <w:tcPr>
            <w:tcW w:w="850" w:type="dxa"/>
          </w:tcPr>
          <w:p w14:paraId="6111FEAE" w14:textId="77777777" w:rsidR="00964B88" w:rsidRDefault="00964B88">
            <w:pPr>
              <w:cnfStyle w:val="000000000000" w:firstRow="0" w:lastRow="0" w:firstColumn="0" w:lastColumn="0" w:oddVBand="0" w:evenVBand="0" w:oddHBand="0" w:evenHBand="0" w:firstRowFirstColumn="0" w:firstRowLastColumn="0" w:lastRowFirstColumn="0" w:lastRowLastColumn="0"/>
            </w:pPr>
            <w:r>
              <w:t>11 903</w:t>
            </w:r>
          </w:p>
        </w:tc>
      </w:tr>
      <w:tr w:rsidR="00964B88" w14:paraId="53EE85C2"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bottom w:val="single" w:sz="6" w:space="0" w:color="auto"/>
            </w:tcBorders>
          </w:tcPr>
          <w:p w14:paraId="42493CE9" w14:textId="77777777" w:rsidR="00964B88" w:rsidRDefault="00964B88">
            <w:r>
              <w:t>Other operating expenses</w:t>
            </w:r>
          </w:p>
        </w:tc>
        <w:tc>
          <w:tcPr>
            <w:tcW w:w="794" w:type="dxa"/>
            <w:tcBorders>
              <w:bottom w:val="single" w:sz="6" w:space="0" w:color="auto"/>
            </w:tcBorders>
          </w:tcPr>
          <w:p w14:paraId="0EB28ED7" w14:textId="77777777" w:rsidR="00964B88" w:rsidRDefault="00964B88">
            <w:pPr>
              <w:cnfStyle w:val="000000000000" w:firstRow="0" w:lastRow="0" w:firstColumn="0" w:lastColumn="0" w:oddVBand="0" w:evenVBand="0" w:oddHBand="0" w:evenHBand="0" w:firstRowFirstColumn="0" w:firstRowLastColumn="0" w:lastRowFirstColumn="0" w:lastRowLastColumn="0"/>
            </w:pPr>
            <w:r>
              <w:t>24 954</w:t>
            </w:r>
          </w:p>
        </w:tc>
        <w:tc>
          <w:tcPr>
            <w:tcW w:w="850" w:type="dxa"/>
            <w:tcBorders>
              <w:bottom w:val="single" w:sz="6" w:space="0" w:color="auto"/>
            </w:tcBorders>
          </w:tcPr>
          <w:p w14:paraId="731E7990" w14:textId="77777777" w:rsidR="00964B88" w:rsidRDefault="00964B88">
            <w:pPr>
              <w:cnfStyle w:val="000000000000" w:firstRow="0" w:lastRow="0" w:firstColumn="0" w:lastColumn="0" w:oddVBand="0" w:evenVBand="0" w:oddHBand="0" w:evenHBand="0" w:firstRowFirstColumn="0" w:firstRowLastColumn="0" w:lastRowFirstColumn="0" w:lastRowLastColumn="0"/>
            </w:pPr>
            <w:r>
              <w:t>24 251</w:t>
            </w:r>
          </w:p>
        </w:tc>
        <w:tc>
          <w:tcPr>
            <w:tcW w:w="850" w:type="dxa"/>
            <w:tcBorders>
              <w:bottom w:val="single" w:sz="6" w:space="0" w:color="auto"/>
            </w:tcBorders>
          </w:tcPr>
          <w:p w14:paraId="732A70A3" w14:textId="77777777" w:rsidR="00964B88" w:rsidRDefault="00964B88">
            <w:pPr>
              <w:cnfStyle w:val="000000000000" w:firstRow="0" w:lastRow="0" w:firstColumn="0" w:lastColumn="0" w:oddVBand="0" w:evenVBand="0" w:oddHBand="0" w:evenHBand="0" w:firstRowFirstColumn="0" w:firstRowLastColumn="0" w:lastRowFirstColumn="0" w:lastRowLastColumn="0"/>
            </w:pPr>
            <w:r>
              <w:t>23 423</w:t>
            </w:r>
          </w:p>
        </w:tc>
        <w:tc>
          <w:tcPr>
            <w:tcW w:w="850" w:type="dxa"/>
            <w:tcBorders>
              <w:bottom w:val="single" w:sz="6" w:space="0" w:color="auto"/>
            </w:tcBorders>
          </w:tcPr>
          <w:p w14:paraId="3E3009A3" w14:textId="77777777" w:rsidR="00964B88" w:rsidRDefault="00964B88">
            <w:pPr>
              <w:cnfStyle w:val="000000000000" w:firstRow="0" w:lastRow="0" w:firstColumn="0" w:lastColumn="0" w:oddVBand="0" w:evenVBand="0" w:oddHBand="0" w:evenHBand="0" w:firstRowFirstColumn="0" w:firstRowLastColumn="0" w:lastRowFirstColumn="0" w:lastRowLastColumn="0"/>
            </w:pPr>
            <w:r>
              <w:t>24 505</w:t>
            </w:r>
          </w:p>
        </w:tc>
      </w:tr>
      <w:tr w:rsidR="00964B88" w14:paraId="0EBCBBCE"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tcBorders>
          </w:tcPr>
          <w:p w14:paraId="008E51A0" w14:textId="77777777" w:rsidR="00964B88" w:rsidRDefault="00964B88">
            <w:r>
              <w:rPr>
                <w:b/>
              </w:rPr>
              <w:t>Total expenses</w:t>
            </w:r>
          </w:p>
        </w:tc>
        <w:tc>
          <w:tcPr>
            <w:tcW w:w="794" w:type="dxa"/>
            <w:tcBorders>
              <w:top w:val="single" w:sz="6" w:space="0" w:color="auto"/>
            </w:tcBorders>
          </w:tcPr>
          <w:p w14:paraId="6EDE1B0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74 338</w:t>
            </w:r>
          </w:p>
        </w:tc>
        <w:tc>
          <w:tcPr>
            <w:tcW w:w="850" w:type="dxa"/>
            <w:tcBorders>
              <w:top w:val="single" w:sz="6" w:space="0" w:color="auto"/>
            </w:tcBorders>
          </w:tcPr>
          <w:p w14:paraId="59C096D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77 649</w:t>
            </w:r>
          </w:p>
        </w:tc>
        <w:tc>
          <w:tcPr>
            <w:tcW w:w="850" w:type="dxa"/>
            <w:tcBorders>
              <w:top w:val="single" w:sz="6" w:space="0" w:color="auto"/>
            </w:tcBorders>
          </w:tcPr>
          <w:p w14:paraId="4C67A8A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78 732</w:t>
            </w:r>
          </w:p>
        </w:tc>
        <w:tc>
          <w:tcPr>
            <w:tcW w:w="850" w:type="dxa"/>
            <w:tcBorders>
              <w:top w:val="single" w:sz="6" w:space="0" w:color="auto"/>
            </w:tcBorders>
          </w:tcPr>
          <w:p w14:paraId="3FBE9DE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82 394</w:t>
            </w:r>
          </w:p>
        </w:tc>
      </w:tr>
      <w:tr w:rsidR="00964B88" w14:paraId="20CF051C"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bottom w:val="single" w:sz="6" w:space="0" w:color="auto"/>
            </w:tcBorders>
          </w:tcPr>
          <w:p w14:paraId="797D7E3D" w14:textId="77777777" w:rsidR="00964B88" w:rsidRDefault="00964B88">
            <w:r>
              <w:rPr>
                <w:i/>
              </w:rPr>
              <w:t>% change</w:t>
            </w:r>
          </w:p>
        </w:tc>
        <w:tc>
          <w:tcPr>
            <w:tcW w:w="794" w:type="dxa"/>
            <w:tcBorders>
              <w:bottom w:val="single" w:sz="6" w:space="0" w:color="auto"/>
            </w:tcBorders>
          </w:tcPr>
          <w:p w14:paraId="5E60D10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3.0</w:t>
            </w:r>
          </w:p>
        </w:tc>
        <w:tc>
          <w:tcPr>
            <w:tcW w:w="850" w:type="dxa"/>
            <w:tcBorders>
              <w:bottom w:val="single" w:sz="6" w:space="0" w:color="auto"/>
            </w:tcBorders>
          </w:tcPr>
          <w:p w14:paraId="43402F3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4.5</w:t>
            </w:r>
          </w:p>
        </w:tc>
        <w:tc>
          <w:tcPr>
            <w:tcW w:w="850" w:type="dxa"/>
            <w:tcBorders>
              <w:bottom w:val="single" w:sz="6" w:space="0" w:color="auto"/>
            </w:tcBorders>
          </w:tcPr>
          <w:p w14:paraId="106149B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1.4</w:t>
            </w:r>
          </w:p>
        </w:tc>
        <w:tc>
          <w:tcPr>
            <w:tcW w:w="850" w:type="dxa"/>
            <w:tcBorders>
              <w:bottom w:val="single" w:sz="6" w:space="0" w:color="auto"/>
            </w:tcBorders>
          </w:tcPr>
          <w:p w14:paraId="7F55FCC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4.7</w:t>
            </w:r>
          </w:p>
        </w:tc>
      </w:tr>
      <w:tr w:rsidR="00964B88" w14:paraId="25EE8045" w14:textId="77777777" w:rsidTr="0044099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tcPr>
          <w:p w14:paraId="4103BA3F" w14:textId="77777777" w:rsidR="00964B88" w:rsidRDefault="00964B88">
            <w:r>
              <w:t>Net result from transactions</w:t>
            </w:r>
          </w:p>
        </w:tc>
        <w:tc>
          <w:tcPr>
            <w:tcW w:w="794" w:type="dxa"/>
          </w:tcPr>
          <w:p w14:paraId="470CC9C5" w14:textId="77777777" w:rsidR="00964B88" w:rsidRDefault="00964B88">
            <w:pPr>
              <w:cnfStyle w:val="010000000000" w:firstRow="0" w:lastRow="1" w:firstColumn="0" w:lastColumn="0" w:oddVBand="0" w:evenVBand="0" w:oddHBand="0" w:evenHBand="0" w:firstRowFirstColumn="0" w:firstRowLastColumn="0" w:lastRowFirstColumn="0" w:lastRowLastColumn="0"/>
            </w:pPr>
            <w:r>
              <w:t>(274)</w:t>
            </w:r>
          </w:p>
        </w:tc>
        <w:tc>
          <w:tcPr>
            <w:tcW w:w="850" w:type="dxa"/>
          </w:tcPr>
          <w:p w14:paraId="50A55DF6" w14:textId="77777777" w:rsidR="00964B88" w:rsidRDefault="00964B88">
            <w:pPr>
              <w:cnfStyle w:val="010000000000" w:firstRow="0" w:lastRow="1" w:firstColumn="0" w:lastColumn="0" w:oddVBand="0" w:evenVBand="0" w:oddHBand="0" w:evenHBand="0" w:firstRowFirstColumn="0" w:firstRowLastColumn="0" w:lastRowFirstColumn="0" w:lastRowLastColumn="0"/>
            </w:pPr>
            <w:r>
              <w:t>437</w:t>
            </w:r>
          </w:p>
        </w:tc>
        <w:tc>
          <w:tcPr>
            <w:tcW w:w="850" w:type="dxa"/>
          </w:tcPr>
          <w:p w14:paraId="73128693" w14:textId="77777777" w:rsidR="00964B88" w:rsidRDefault="00964B88">
            <w:pPr>
              <w:cnfStyle w:val="010000000000" w:firstRow="0" w:lastRow="1" w:firstColumn="0" w:lastColumn="0" w:oddVBand="0" w:evenVBand="0" w:oddHBand="0" w:evenHBand="0" w:firstRowFirstColumn="0" w:firstRowLastColumn="0" w:lastRowFirstColumn="0" w:lastRowLastColumn="0"/>
            </w:pPr>
            <w:r>
              <w:t>2 942</w:t>
            </w:r>
          </w:p>
        </w:tc>
        <w:tc>
          <w:tcPr>
            <w:tcW w:w="850" w:type="dxa"/>
          </w:tcPr>
          <w:p w14:paraId="28C197EF" w14:textId="77777777" w:rsidR="00964B88" w:rsidRDefault="00964B88">
            <w:pPr>
              <w:cnfStyle w:val="010000000000" w:firstRow="0" w:lastRow="1" w:firstColumn="0" w:lastColumn="0" w:oddVBand="0" w:evenVBand="0" w:oddHBand="0" w:evenHBand="0" w:firstRowFirstColumn="0" w:firstRowLastColumn="0" w:lastRowFirstColumn="0" w:lastRowLastColumn="0"/>
            </w:pPr>
            <w:r>
              <w:t>3 927</w:t>
            </w:r>
          </w:p>
        </w:tc>
      </w:tr>
    </w:tbl>
    <w:p w14:paraId="49BBA5BE" w14:textId="77777777" w:rsidR="00964B88" w:rsidRDefault="00964B88" w:rsidP="00F53820">
      <w:pPr>
        <w:pStyle w:val="Note"/>
      </w:pPr>
      <w:r>
        <w:t>Notes:</w:t>
      </w:r>
    </w:p>
    <w:p w14:paraId="3ED23939" w14:textId="77777777" w:rsidR="00964B88" w:rsidRDefault="00964B88" w:rsidP="00F53820">
      <w:pPr>
        <w:pStyle w:val="Note"/>
      </w:pPr>
      <w:r>
        <w:t>(a)</w:t>
      </w:r>
      <w:r>
        <w:tab/>
        <w:t xml:space="preserve">This is a summary operating statement. Figures in this table are subject to rounding to the nearest million and may not add up to totals. </w:t>
      </w:r>
    </w:p>
    <w:p w14:paraId="21EA1953" w14:textId="77777777" w:rsidR="00964B88" w:rsidRDefault="00964B88" w:rsidP="00F53820">
      <w:pPr>
        <w:pStyle w:val="Note"/>
      </w:pPr>
      <w:r>
        <w:t>(b)</w:t>
      </w:r>
      <w:r>
        <w:tab/>
        <w:t xml:space="preserve">The revenue and expense growth for 2019-20 is based on published figures in the </w:t>
      </w:r>
      <w:r w:rsidRPr="00EF6664">
        <w:rPr>
          <w:i w:val="0"/>
        </w:rPr>
        <w:t>2018-19 Financial Report.</w:t>
      </w:r>
    </w:p>
    <w:p w14:paraId="2CDA41EC" w14:textId="77777777" w:rsidR="00964B88" w:rsidRDefault="00964B88" w:rsidP="00F53820">
      <w:pPr>
        <w:pStyle w:val="Note"/>
      </w:pPr>
    </w:p>
    <w:p w14:paraId="4C1FBA20" w14:textId="77777777" w:rsidR="00964B88" w:rsidRDefault="00964B88" w:rsidP="00F53820">
      <w:r>
        <w:t>The net result from transactions of the NFPS is projected to reach around $4</w:t>
      </w:r>
      <w:r w:rsidRPr="006A7C8A">
        <w:t> billion</w:t>
      </w:r>
      <w:r>
        <w:t xml:space="preserve"> by 2022</w:t>
      </w:r>
      <w:r>
        <w:noBreakHyphen/>
        <w:t>23. This is largely due to the projected increase in the general government sector surplus from $618</w:t>
      </w:r>
      <w:r w:rsidRPr="006A7C8A">
        <w:t> </w:t>
      </w:r>
      <w:r>
        <w:t>m</w:t>
      </w:r>
      <w:r w:rsidRPr="006A7C8A">
        <w:t>illion</w:t>
      </w:r>
      <w:r>
        <w:t xml:space="preserve"> in </w:t>
      </w:r>
      <w:r w:rsidRPr="006A7C8A">
        <w:t>201</w:t>
      </w:r>
      <w:r>
        <w:t>9</w:t>
      </w:r>
      <w:r>
        <w:noBreakHyphen/>
        <w:t>20 to $4.9</w:t>
      </w:r>
      <w:r w:rsidRPr="006A7C8A">
        <w:t> billion</w:t>
      </w:r>
      <w:r>
        <w:t xml:space="preserve"> by 2022</w:t>
      </w:r>
      <w:r>
        <w:noBreakHyphen/>
        <w:t>23.</w:t>
      </w:r>
    </w:p>
    <w:p w14:paraId="78342AB9" w14:textId="77777777" w:rsidR="00964B88" w:rsidRDefault="00964B88">
      <w:pPr>
        <w:keepLines w:val="0"/>
      </w:pPr>
      <w:r>
        <w:br w:type="page"/>
      </w:r>
    </w:p>
    <w:p w14:paraId="0457F7E4" w14:textId="77777777" w:rsidR="00964B88" w:rsidRDefault="00964B88" w:rsidP="00F53820">
      <w:r>
        <w:lastRenderedPageBreak/>
        <w:t>The net result from transactions of the PNFC sector is projected to be an average deficit of $693</w:t>
      </w:r>
      <w:r w:rsidRPr="006A7C8A">
        <w:t> million</w:t>
      </w:r>
      <w:r>
        <w:t xml:space="preserve"> across the budget and forward estimates period. The deficits mainly reflect:</w:t>
      </w:r>
    </w:p>
    <w:p w14:paraId="3DCDA2E5" w14:textId="77777777" w:rsidR="00964B88" w:rsidRDefault="00964B88" w:rsidP="00F53820">
      <w:pPr>
        <w:pStyle w:val="ListBullet"/>
      </w:pPr>
      <w:r>
        <w:t xml:space="preserve">depreciation expenses of VicTrack. However, VicTrack is estimated to generate an average annual operating cash flow surplus of $52 million over the budget and forward estimates; and </w:t>
      </w:r>
    </w:p>
    <w:p w14:paraId="14EF0675" w14:textId="77777777" w:rsidR="00964B88" w:rsidRDefault="00964B88" w:rsidP="00F53820">
      <w:pPr>
        <w:pStyle w:val="ListBullet"/>
      </w:pPr>
      <w:r>
        <w:t>depreciation expenses and costs associated with the Director of Housing managing a large and ageing asset portfolio. However, the Director of Housing</w:t>
      </w:r>
      <w:r w:rsidRPr="00030A93">
        <w:t xml:space="preserve"> is estimated to generate an average operating cash flow surplus of $</w:t>
      </w:r>
      <w:r>
        <w:t>119</w:t>
      </w:r>
      <w:r w:rsidRPr="00030A93">
        <w:t xml:space="preserve"> million over the </w:t>
      </w:r>
      <w:r>
        <w:t xml:space="preserve">budget and </w:t>
      </w:r>
      <w:r w:rsidRPr="00030A93">
        <w:t>forward estimates</w:t>
      </w:r>
      <w:r>
        <w:t>.</w:t>
      </w:r>
    </w:p>
    <w:p w14:paraId="30D7731F" w14:textId="77777777" w:rsidR="00964B88" w:rsidRDefault="00964B88" w:rsidP="00F53820">
      <w:r>
        <w:t>Despite the projected operating deficits, the PNFC sector is forecast to remain in a strong and sustainable position with operating cash flow surpluses averaging $1.5 billion over the budget and forward estimates.</w:t>
      </w:r>
    </w:p>
    <w:p w14:paraId="54684414" w14:textId="77777777" w:rsidR="00964B88" w:rsidRDefault="00964B88" w:rsidP="00F53820">
      <w:pPr>
        <w:pStyle w:val="Heading20"/>
      </w:pPr>
      <w:r>
        <w:t xml:space="preserve">Application </w:t>
      </w:r>
      <w:r w:rsidRPr="00FE5146">
        <w:t>of</w:t>
      </w:r>
      <w:r>
        <w:t xml:space="preserve"> cash resources</w:t>
      </w:r>
    </w:p>
    <w:p w14:paraId="3F08889C" w14:textId="77777777" w:rsidR="00964B88" w:rsidRDefault="00964B88" w:rsidP="00F53820">
      <w:r>
        <w:t>The NFPS is forecast to record operating cash flow surpluses averaging $7.4 billion across the budget and forward estimates. This will fund 56.7 per cent of the NFPS infrastructure program. This enables the State to deliver infrastructure projects without unduly impacting debt sustainability.</w:t>
      </w:r>
    </w:p>
    <w:p w14:paraId="456D9E3D" w14:textId="77777777" w:rsidR="00964B88" w:rsidRPr="001169FA" w:rsidRDefault="00964B88" w:rsidP="00F53820">
      <w:pPr>
        <w:pStyle w:val="TableHeading"/>
      </w:pPr>
      <w:r>
        <w:t xml:space="preserve">Table 3.7: </w:t>
      </w:r>
      <w:r>
        <w:tab/>
        <w:t xml:space="preserve">Application of cash resources for the </w:t>
      </w:r>
      <w:r w:rsidRPr="006A7C8A">
        <w:t>non</w:t>
      </w:r>
      <w:r w:rsidRPr="006A7C8A">
        <w:noBreakHyphen/>
      </w:r>
      <w:r>
        <w:t xml:space="preserve">financial public sector </w:t>
      </w:r>
      <w:r w:rsidRPr="006A7C8A">
        <w:rPr>
          <w:vertAlign w:val="superscript"/>
        </w:rPr>
        <w:t>(a)</w:t>
      </w:r>
      <w:r w:rsidRPr="00D3308C">
        <w:tab/>
        <w:t>($ million)</w:t>
      </w:r>
    </w:p>
    <w:tbl>
      <w:tblPr>
        <w:tblStyle w:val="DTFTable"/>
        <w:tblW w:w="7768" w:type="dxa"/>
        <w:tblLayout w:type="fixed"/>
        <w:tblLook w:val="06E0" w:firstRow="1" w:lastRow="1" w:firstColumn="1" w:lastColumn="0" w:noHBand="1" w:noVBand="1"/>
      </w:tblPr>
      <w:tblGrid>
        <w:gridCol w:w="4368"/>
        <w:gridCol w:w="850"/>
        <w:gridCol w:w="850"/>
        <w:gridCol w:w="850"/>
        <w:gridCol w:w="850"/>
      </w:tblGrid>
      <w:tr w:rsidR="00964B88" w14:paraId="72028E3B"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8" w:type="dxa"/>
          </w:tcPr>
          <w:p w14:paraId="195C74A3" w14:textId="77777777" w:rsidR="00964B88" w:rsidRDefault="00964B88"/>
        </w:tc>
        <w:tc>
          <w:tcPr>
            <w:tcW w:w="850" w:type="dxa"/>
          </w:tcPr>
          <w:p w14:paraId="0AF348F7"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 xml:space="preserve">revised </w:t>
            </w:r>
            <w:r w:rsidRPr="001E4D11">
              <w:rPr>
                <w:vertAlign w:val="superscript"/>
              </w:rPr>
              <w:t>(b)</w:t>
            </w:r>
          </w:p>
        </w:tc>
        <w:tc>
          <w:tcPr>
            <w:tcW w:w="850" w:type="dxa"/>
          </w:tcPr>
          <w:p w14:paraId="3242E49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4B48BC9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4078B69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55C62327" w14:textId="77777777">
        <w:tc>
          <w:tcPr>
            <w:cnfStyle w:val="001000000000" w:firstRow="0" w:lastRow="0" w:firstColumn="1" w:lastColumn="0" w:oddVBand="0" w:evenVBand="0" w:oddHBand="0" w:evenHBand="0" w:firstRowFirstColumn="0" w:firstRowLastColumn="0" w:lastRowFirstColumn="0" w:lastRowLastColumn="0"/>
            <w:tcW w:w="4368" w:type="dxa"/>
          </w:tcPr>
          <w:p w14:paraId="67176E88" w14:textId="77777777" w:rsidR="00964B88" w:rsidRDefault="00964B88">
            <w:r>
              <w:rPr>
                <w:b/>
              </w:rPr>
              <w:t>Net result from transactions</w:t>
            </w:r>
          </w:p>
        </w:tc>
        <w:tc>
          <w:tcPr>
            <w:tcW w:w="850" w:type="dxa"/>
          </w:tcPr>
          <w:p w14:paraId="08F8566A" w14:textId="77777777" w:rsidR="00964B88" w:rsidRDefault="00964B88">
            <w:pPr>
              <w:cnfStyle w:val="000000000000" w:firstRow="0" w:lastRow="0" w:firstColumn="0" w:lastColumn="0" w:oddVBand="0" w:evenVBand="0" w:oddHBand="0" w:evenHBand="0" w:firstRowFirstColumn="0" w:firstRowLastColumn="0" w:lastRowFirstColumn="0" w:lastRowLastColumn="0"/>
            </w:pPr>
            <w:r>
              <w:t>(274)</w:t>
            </w:r>
          </w:p>
        </w:tc>
        <w:tc>
          <w:tcPr>
            <w:tcW w:w="850" w:type="dxa"/>
          </w:tcPr>
          <w:p w14:paraId="3A17CF6A" w14:textId="77777777" w:rsidR="00964B88" w:rsidRDefault="00964B88">
            <w:pPr>
              <w:cnfStyle w:val="000000000000" w:firstRow="0" w:lastRow="0" w:firstColumn="0" w:lastColumn="0" w:oddVBand="0" w:evenVBand="0" w:oddHBand="0" w:evenHBand="0" w:firstRowFirstColumn="0" w:firstRowLastColumn="0" w:lastRowFirstColumn="0" w:lastRowLastColumn="0"/>
            </w:pPr>
            <w:r>
              <w:t>437</w:t>
            </w:r>
          </w:p>
        </w:tc>
        <w:tc>
          <w:tcPr>
            <w:tcW w:w="850" w:type="dxa"/>
          </w:tcPr>
          <w:p w14:paraId="3E7CE41C" w14:textId="77777777" w:rsidR="00964B88" w:rsidRDefault="00964B88">
            <w:pPr>
              <w:cnfStyle w:val="000000000000" w:firstRow="0" w:lastRow="0" w:firstColumn="0" w:lastColumn="0" w:oddVBand="0" w:evenVBand="0" w:oddHBand="0" w:evenHBand="0" w:firstRowFirstColumn="0" w:firstRowLastColumn="0" w:lastRowFirstColumn="0" w:lastRowLastColumn="0"/>
            </w:pPr>
            <w:r>
              <w:t>2 942</w:t>
            </w:r>
          </w:p>
        </w:tc>
        <w:tc>
          <w:tcPr>
            <w:tcW w:w="850" w:type="dxa"/>
          </w:tcPr>
          <w:p w14:paraId="5847CE67" w14:textId="77777777" w:rsidR="00964B88" w:rsidRDefault="00964B88">
            <w:pPr>
              <w:cnfStyle w:val="000000000000" w:firstRow="0" w:lastRow="0" w:firstColumn="0" w:lastColumn="0" w:oddVBand="0" w:evenVBand="0" w:oddHBand="0" w:evenHBand="0" w:firstRowFirstColumn="0" w:firstRowLastColumn="0" w:lastRowFirstColumn="0" w:lastRowLastColumn="0"/>
            </w:pPr>
            <w:r>
              <w:t>3 927</w:t>
            </w:r>
          </w:p>
        </w:tc>
      </w:tr>
      <w:tr w:rsidR="00964B88" w14:paraId="5B12BDDF"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bottom w:val="single" w:sz="6" w:space="0" w:color="auto"/>
            </w:tcBorders>
          </w:tcPr>
          <w:p w14:paraId="2D3F71ED" w14:textId="77777777" w:rsidR="00964B88" w:rsidRDefault="00964B88">
            <w:r>
              <w:t>Add back: non</w:t>
            </w:r>
            <w:r>
              <w:noBreakHyphen/>
              <w:t>cash income and expenses (net)</w:t>
            </w:r>
            <w:r>
              <w:rPr>
                <w:vertAlign w:val="superscript"/>
              </w:rPr>
              <w:t xml:space="preserve"> (c)</w:t>
            </w:r>
          </w:p>
        </w:tc>
        <w:tc>
          <w:tcPr>
            <w:tcW w:w="850" w:type="dxa"/>
            <w:tcBorders>
              <w:bottom w:val="single" w:sz="6" w:space="0" w:color="auto"/>
            </w:tcBorders>
          </w:tcPr>
          <w:p w14:paraId="76025401" w14:textId="77777777" w:rsidR="00964B88" w:rsidRDefault="00964B88">
            <w:pPr>
              <w:cnfStyle w:val="000000000000" w:firstRow="0" w:lastRow="0" w:firstColumn="0" w:lastColumn="0" w:oddVBand="0" w:evenVBand="0" w:oddHBand="0" w:evenHBand="0" w:firstRowFirstColumn="0" w:firstRowLastColumn="0" w:lastRowFirstColumn="0" w:lastRowLastColumn="0"/>
            </w:pPr>
            <w:r>
              <w:t>4 558</w:t>
            </w:r>
          </w:p>
        </w:tc>
        <w:tc>
          <w:tcPr>
            <w:tcW w:w="850" w:type="dxa"/>
            <w:tcBorders>
              <w:bottom w:val="single" w:sz="6" w:space="0" w:color="auto"/>
            </w:tcBorders>
          </w:tcPr>
          <w:p w14:paraId="525DB26F" w14:textId="77777777" w:rsidR="00964B88" w:rsidRDefault="00964B88">
            <w:pPr>
              <w:cnfStyle w:val="000000000000" w:firstRow="0" w:lastRow="0" w:firstColumn="0" w:lastColumn="0" w:oddVBand="0" w:evenVBand="0" w:oddHBand="0" w:evenHBand="0" w:firstRowFirstColumn="0" w:firstRowLastColumn="0" w:lastRowFirstColumn="0" w:lastRowLastColumn="0"/>
            </w:pPr>
            <w:r>
              <w:t>5 546</w:t>
            </w:r>
          </w:p>
        </w:tc>
        <w:tc>
          <w:tcPr>
            <w:tcW w:w="850" w:type="dxa"/>
            <w:tcBorders>
              <w:bottom w:val="single" w:sz="6" w:space="0" w:color="auto"/>
            </w:tcBorders>
          </w:tcPr>
          <w:p w14:paraId="6F9320C4" w14:textId="77777777" w:rsidR="00964B88" w:rsidRDefault="00964B88">
            <w:pPr>
              <w:cnfStyle w:val="000000000000" w:firstRow="0" w:lastRow="0" w:firstColumn="0" w:lastColumn="0" w:oddVBand="0" w:evenVBand="0" w:oddHBand="0" w:evenHBand="0" w:firstRowFirstColumn="0" w:firstRowLastColumn="0" w:lastRowFirstColumn="0" w:lastRowLastColumn="0"/>
            </w:pPr>
            <w:r>
              <w:t>6 037</w:t>
            </w:r>
          </w:p>
        </w:tc>
        <w:tc>
          <w:tcPr>
            <w:tcW w:w="850" w:type="dxa"/>
            <w:tcBorders>
              <w:bottom w:val="single" w:sz="6" w:space="0" w:color="auto"/>
            </w:tcBorders>
          </w:tcPr>
          <w:p w14:paraId="7A5CF43D" w14:textId="77777777" w:rsidR="00964B88" w:rsidRDefault="00964B88">
            <w:pPr>
              <w:cnfStyle w:val="000000000000" w:firstRow="0" w:lastRow="0" w:firstColumn="0" w:lastColumn="0" w:oddVBand="0" w:evenVBand="0" w:oddHBand="0" w:evenHBand="0" w:firstRowFirstColumn="0" w:firstRowLastColumn="0" w:lastRowFirstColumn="0" w:lastRowLastColumn="0"/>
            </w:pPr>
            <w:r>
              <w:t>6 355</w:t>
            </w:r>
          </w:p>
        </w:tc>
      </w:tr>
      <w:tr w:rsidR="00964B88" w14:paraId="0770B6C3"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top w:val="single" w:sz="6" w:space="0" w:color="auto"/>
            </w:tcBorders>
          </w:tcPr>
          <w:p w14:paraId="790AFBA2" w14:textId="77777777" w:rsidR="00964B88" w:rsidRDefault="00964B88">
            <w:r>
              <w:rPr>
                <w:b/>
              </w:rPr>
              <w:t>Net cash flow from operating activities</w:t>
            </w:r>
          </w:p>
        </w:tc>
        <w:tc>
          <w:tcPr>
            <w:tcW w:w="850" w:type="dxa"/>
            <w:tcBorders>
              <w:top w:val="single" w:sz="6" w:space="0" w:color="auto"/>
            </w:tcBorders>
          </w:tcPr>
          <w:p w14:paraId="35647E1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4 284</w:t>
            </w:r>
          </w:p>
        </w:tc>
        <w:tc>
          <w:tcPr>
            <w:tcW w:w="850" w:type="dxa"/>
            <w:tcBorders>
              <w:top w:val="single" w:sz="6" w:space="0" w:color="auto"/>
            </w:tcBorders>
          </w:tcPr>
          <w:p w14:paraId="6B455B1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5 983</w:t>
            </w:r>
          </w:p>
        </w:tc>
        <w:tc>
          <w:tcPr>
            <w:tcW w:w="850" w:type="dxa"/>
            <w:tcBorders>
              <w:top w:val="single" w:sz="6" w:space="0" w:color="auto"/>
            </w:tcBorders>
          </w:tcPr>
          <w:p w14:paraId="5EC395E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8 979</w:t>
            </w:r>
          </w:p>
        </w:tc>
        <w:tc>
          <w:tcPr>
            <w:tcW w:w="850" w:type="dxa"/>
            <w:tcBorders>
              <w:top w:val="single" w:sz="6" w:space="0" w:color="auto"/>
            </w:tcBorders>
          </w:tcPr>
          <w:p w14:paraId="105AD38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10 282</w:t>
            </w:r>
          </w:p>
        </w:tc>
      </w:tr>
      <w:tr w:rsidR="00964B88" w14:paraId="79842708"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bottom w:val="single" w:sz="6" w:space="0" w:color="auto"/>
            </w:tcBorders>
          </w:tcPr>
          <w:p w14:paraId="0A20017A" w14:textId="77777777" w:rsidR="00964B88" w:rsidRDefault="00964B88">
            <w:r>
              <w:rPr>
                <w:b/>
              </w:rPr>
              <w:t>Less: Total net investment in fixed assets</w:t>
            </w:r>
            <w:r>
              <w:rPr>
                <w:b/>
                <w:vertAlign w:val="superscript"/>
              </w:rPr>
              <w:t xml:space="preserve"> (d)</w:t>
            </w:r>
          </w:p>
        </w:tc>
        <w:tc>
          <w:tcPr>
            <w:tcW w:w="850" w:type="dxa"/>
            <w:tcBorders>
              <w:bottom w:val="single" w:sz="6" w:space="0" w:color="auto"/>
            </w:tcBorders>
          </w:tcPr>
          <w:p w14:paraId="08E5665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14 379</w:t>
            </w:r>
          </w:p>
        </w:tc>
        <w:tc>
          <w:tcPr>
            <w:tcW w:w="850" w:type="dxa"/>
            <w:tcBorders>
              <w:bottom w:val="single" w:sz="6" w:space="0" w:color="auto"/>
            </w:tcBorders>
          </w:tcPr>
          <w:p w14:paraId="6394A45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12 960</w:t>
            </w:r>
          </w:p>
        </w:tc>
        <w:tc>
          <w:tcPr>
            <w:tcW w:w="850" w:type="dxa"/>
            <w:tcBorders>
              <w:bottom w:val="single" w:sz="6" w:space="0" w:color="auto"/>
            </w:tcBorders>
          </w:tcPr>
          <w:p w14:paraId="5872BF4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10 710</w:t>
            </w:r>
          </w:p>
        </w:tc>
        <w:tc>
          <w:tcPr>
            <w:tcW w:w="850" w:type="dxa"/>
            <w:tcBorders>
              <w:bottom w:val="single" w:sz="6" w:space="0" w:color="auto"/>
            </w:tcBorders>
          </w:tcPr>
          <w:p w14:paraId="45200C4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11 844</w:t>
            </w:r>
          </w:p>
        </w:tc>
      </w:tr>
      <w:tr w:rsidR="00964B88" w14:paraId="010FFFDD"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top w:val="single" w:sz="6" w:space="0" w:color="auto"/>
              <w:bottom w:val="single" w:sz="4" w:space="0" w:color="auto"/>
            </w:tcBorders>
          </w:tcPr>
          <w:p w14:paraId="5DDA47EE" w14:textId="77777777" w:rsidR="00964B88" w:rsidRDefault="00964B88">
            <w:r>
              <w:rPr>
                <w:b/>
              </w:rPr>
              <w:t xml:space="preserve">Surplus/(deficit) of cash from operations after funding </w:t>
            </w:r>
            <w:r w:rsidR="00440992">
              <w:rPr>
                <w:b/>
              </w:rPr>
              <w:br/>
            </w:r>
            <w:r>
              <w:rPr>
                <w:b/>
              </w:rPr>
              <w:t>net investments in fixed assets</w:t>
            </w:r>
          </w:p>
        </w:tc>
        <w:tc>
          <w:tcPr>
            <w:tcW w:w="850" w:type="dxa"/>
            <w:tcBorders>
              <w:top w:val="single" w:sz="6" w:space="0" w:color="auto"/>
              <w:bottom w:val="single" w:sz="4" w:space="0" w:color="auto"/>
            </w:tcBorders>
          </w:tcPr>
          <w:p w14:paraId="1A06503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(10 095)</w:t>
            </w:r>
          </w:p>
        </w:tc>
        <w:tc>
          <w:tcPr>
            <w:tcW w:w="850" w:type="dxa"/>
            <w:tcBorders>
              <w:top w:val="single" w:sz="6" w:space="0" w:color="auto"/>
              <w:bottom w:val="single" w:sz="4" w:space="0" w:color="auto"/>
            </w:tcBorders>
          </w:tcPr>
          <w:p w14:paraId="7F3F8D1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(6 977)</w:t>
            </w:r>
          </w:p>
        </w:tc>
        <w:tc>
          <w:tcPr>
            <w:tcW w:w="850" w:type="dxa"/>
            <w:tcBorders>
              <w:top w:val="single" w:sz="6" w:space="0" w:color="auto"/>
              <w:bottom w:val="single" w:sz="4" w:space="0" w:color="auto"/>
            </w:tcBorders>
          </w:tcPr>
          <w:p w14:paraId="4414A00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(1 731)</w:t>
            </w:r>
          </w:p>
        </w:tc>
        <w:tc>
          <w:tcPr>
            <w:tcW w:w="850" w:type="dxa"/>
            <w:tcBorders>
              <w:top w:val="single" w:sz="6" w:space="0" w:color="auto"/>
              <w:bottom w:val="single" w:sz="4" w:space="0" w:color="auto"/>
            </w:tcBorders>
          </w:tcPr>
          <w:p w14:paraId="664BB29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(1 562)</w:t>
            </w:r>
          </w:p>
        </w:tc>
      </w:tr>
      <w:tr w:rsidR="00964B88" w14:paraId="414E9062"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top w:val="single" w:sz="4" w:space="0" w:color="auto"/>
            </w:tcBorders>
          </w:tcPr>
          <w:p w14:paraId="5DD7780E" w14:textId="77777777" w:rsidR="00964B88" w:rsidRDefault="00964B88">
            <w:r>
              <w:rPr>
                <w:i/>
              </w:rPr>
              <w:t>Less:</w:t>
            </w:r>
          </w:p>
        </w:tc>
        <w:tc>
          <w:tcPr>
            <w:tcW w:w="850" w:type="dxa"/>
            <w:tcBorders>
              <w:top w:val="single" w:sz="4" w:space="0" w:color="auto"/>
            </w:tcBorders>
          </w:tcPr>
          <w:p w14:paraId="2E25A8D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auto"/>
            </w:tcBorders>
          </w:tcPr>
          <w:p w14:paraId="75CA6FA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auto"/>
            </w:tcBorders>
          </w:tcPr>
          <w:p w14:paraId="7229708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auto"/>
            </w:tcBorders>
          </w:tcPr>
          <w:p w14:paraId="3ACF647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575E884" w14:textId="77777777">
        <w:tc>
          <w:tcPr>
            <w:cnfStyle w:val="001000000000" w:firstRow="0" w:lastRow="0" w:firstColumn="1" w:lastColumn="0" w:oddVBand="0" w:evenVBand="0" w:oddHBand="0" w:evenHBand="0" w:firstRowFirstColumn="0" w:firstRowLastColumn="0" w:lastRowFirstColumn="0" w:lastRowLastColumn="0"/>
            <w:tcW w:w="4368" w:type="dxa"/>
          </w:tcPr>
          <w:p w14:paraId="7E05E74D" w14:textId="77777777" w:rsidR="00964B88" w:rsidRDefault="00964B88">
            <w:r>
              <w:t xml:space="preserve">   Leases and service concession arrangements</w:t>
            </w:r>
            <w:r>
              <w:rPr>
                <w:vertAlign w:val="superscript"/>
              </w:rPr>
              <w:t xml:space="preserve"> (e)</w:t>
            </w:r>
          </w:p>
        </w:tc>
        <w:tc>
          <w:tcPr>
            <w:tcW w:w="850" w:type="dxa"/>
          </w:tcPr>
          <w:p w14:paraId="43875DCC" w14:textId="77777777" w:rsidR="00964B88" w:rsidRDefault="00964B88">
            <w:pPr>
              <w:cnfStyle w:val="000000000000" w:firstRow="0" w:lastRow="0" w:firstColumn="0" w:lastColumn="0" w:oddVBand="0" w:evenVBand="0" w:oddHBand="0" w:evenHBand="0" w:firstRowFirstColumn="0" w:firstRowLastColumn="0" w:lastRowFirstColumn="0" w:lastRowLastColumn="0"/>
            </w:pPr>
            <w:r>
              <w:t>10 112</w:t>
            </w:r>
          </w:p>
        </w:tc>
        <w:tc>
          <w:tcPr>
            <w:tcW w:w="850" w:type="dxa"/>
          </w:tcPr>
          <w:p w14:paraId="3B263972" w14:textId="77777777" w:rsidR="00964B88" w:rsidRDefault="00964B88">
            <w:pPr>
              <w:cnfStyle w:val="000000000000" w:firstRow="0" w:lastRow="0" w:firstColumn="0" w:lastColumn="0" w:oddVBand="0" w:evenVBand="0" w:oddHBand="0" w:evenHBand="0" w:firstRowFirstColumn="0" w:firstRowLastColumn="0" w:lastRowFirstColumn="0" w:lastRowLastColumn="0"/>
            </w:pPr>
            <w:r>
              <w:t>2 792</w:t>
            </w:r>
          </w:p>
        </w:tc>
        <w:tc>
          <w:tcPr>
            <w:tcW w:w="850" w:type="dxa"/>
          </w:tcPr>
          <w:p w14:paraId="44769831" w14:textId="77777777" w:rsidR="00964B88" w:rsidRDefault="00964B88">
            <w:pPr>
              <w:cnfStyle w:val="000000000000" w:firstRow="0" w:lastRow="0" w:firstColumn="0" w:lastColumn="0" w:oddVBand="0" w:evenVBand="0" w:oddHBand="0" w:evenHBand="0" w:firstRowFirstColumn="0" w:firstRowLastColumn="0" w:lastRowFirstColumn="0" w:lastRowLastColumn="0"/>
            </w:pPr>
            <w:r>
              <w:t>3 527</w:t>
            </w:r>
          </w:p>
        </w:tc>
        <w:tc>
          <w:tcPr>
            <w:tcW w:w="850" w:type="dxa"/>
          </w:tcPr>
          <w:p w14:paraId="14B9581C" w14:textId="77777777" w:rsidR="00964B88" w:rsidRDefault="00964B88">
            <w:pPr>
              <w:cnfStyle w:val="000000000000" w:firstRow="0" w:lastRow="0" w:firstColumn="0" w:lastColumn="0" w:oddVBand="0" w:evenVBand="0" w:oddHBand="0" w:evenHBand="0" w:firstRowFirstColumn="0" w:firstRowLastColumn="0" w:lastRowFirstColumn="0" w:lastRowLastColumn="0"/>
            </w:pPr>
            <w:r>
              <w:t>2 264</w:t>
            </w:r>
          </w:p>
        </w:tc>
      </w:tr>
      <w:tr w:rsidR="00964B88" w14:paraId="3E6B63EE"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bottom w:val="single" w:sz="6" w:space="0" w:color="auto"/>
            </w:tcBorders>
          </w:tcPr>
          <w:p w14:paraId="3765C83A" w14:textId="77777777" w:rsidR="00964B88" w:rsidRDefault="00964B88">
            <w:r>
              <w:t>Other movements</w:t>
            </w:r>
          </w:p>
        </w:tc>
        <w:tc>
          <w:tcPr>
            <w:tcW w:w="850" w:type="dxa"/>
            <w:tcBorders>
              <w:bottom w:val="single" w:sz="6" w:space="0" w:color="auto"/>
            </w:tcBorders>
          </w:tcPr>
          <w:p w14:paraId="56BF1C5B" w14:textId="77777777" w:rsidR="00964B88" w:rsidRDefault="00964B88">
            <w:pPr>
              <w:cnfStyle w:val="000000000000" w:firstRow="0" w:lastRow="0" w:firstColumn="0" w:lastColumn="0" w:oddVBand="0" w:evenVBand="0" w:oddHBand="0" w:evenHBand="0" w:firstRowFirstColumn="0" w:firstRowLastColumn="0" w:lastRowFirstColumn="0" w:lastRowLastColumn="0"/>
            </w:pPr>
            <w:r>
              <w:t>(63)</w:t>
            </w:r>
          </w:p>
        </w:tc>
        <w:tc>
          <w:tcPr>
            <w:tcW w:w="850" w:type="dxa"/>
            <w:tcBorders>
              <w:bottom w:val="single" w:sz="6" w:space="0" w:color="auto"/>
            </w:tcBorders>
          </w:tcPr>
          <w:p w14:paraId="7CAFAD3D" w14:textId="77777777" w:rsidR="00964B88" w:rsidRDefault="00964B88">
            <w:pPr>
              <w:cnfStyle w:val="000000000000" w:firstRow="0" w:lastRow="0" w:firstColumn="0" w:lastColumn="0" w:oddVBand="0" w:evenVBand="0" w:oddHBand="0" w:evenHBand="0" w:firstRowFirstColumn="0" w:firstRowLastColumn="0" w:lastRowFirstColumn="0" w:lastRowLastColumn="0"/>
            </w:pPr>
            <w:r>
              <w:t>90</w:t>
            </w:r>
          </w:p>
        </w:tc>
        <w:tc>
          <w:tcPr>
            <w:tcW w:w="850" w:type="dxa"/>
            <w:tcBorders>
              <w:bottom w:val="single" w:sz="6" w:space="0" w:color="auto"/>
            </w:tcBorders>
          </w:tcPr>
          <w:p w14:paraId="7A9609B9" w14:textId="77777777" w:rsidR="00964B88" w:rsidRDefault="00964B88">
            <w:pPr>
              <w:cnfStyle w:val="000000000000" w:firstRow="0" w:lastRow="0" w:firstColumn="0" w:lastColumn="0" w:oddVBand="0" w:evenVBand="0" w:oddHBand="0" w:evenHBand="0" w:firstRowFirstColumn="0" w:firstRowLastColumn="0" w:lastRowFirstColumn="0" w:lastRowLastColumn="0"/>
            </w:pPr>
            <w:r>
              <w:t>354</w:t>
            </w:r>
          </w:p>
        </w:tc>
        <w:tc>
          <w:tcPr>
            <w:tcW w:w="850" w:type="dxa"/>
            <w:tcBorders>
              <w:bottom w:val="single" w:sz="6" w:space="0" w:color="auto"/>
            </w:tcBorders>
          </w:tcPr>
          <w:p w14:paraId="68FFF51E" w14:textId="77777777" w:rsidR="00964B88" w:rsidRDefault="00964B88">
            <w:pPr>
              <w:cnfStyle w:val="000000000000" w:firstRow="0" w:lastRow="0" w:firstColumn="0" w:lastColumn="0" w:oddVBand="0" w:evenVBand="0" w:oddHBand="0" w:evenHBand="0" w:firstRowFirstColumn="0" w:firstRowLastColumn="0" w:lastRowFirstColumn="0" w:lastRowLastColumn="0"/>
            </w:pPr>
            <w:r>
              <w:t>513</w:t>
            </w:r>
          </w:p>
        </w:tc>
      </w:tr>
      <w:tr w:rsidR="00964B88" w14:paraId="1B725095"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8" w:type="dxa"/>
          </w:tcPr>
          <w:p w14:paraId="38E567BF" w14:textId="77777777" w:rsidR="00964B88" w:rsidRDefault="00964B88">
            <w:r>
              <w:t>Decrease/(increase) in net debt</w:t>
            </w:r>
          </w:p>
        </w:tc>
        <w:tc>
          <w:tcPr>
            <w:tcW w:w="850" w:type="dxa"/>
          </w:tcPr>
          <w:p w14:paraId="53C9CC66" w14:textId="77777777" w:rsidR="00964B88" w:rsidRDefault="00964B88">
            <w:pPr>
              <w:cnfStyle w:val="010000000000" w:firstRow="0" w:lastRow="1" w:firstColumn="0" w:lastColumn="0" w:oddVBand="0" w:evenVBand="0" w:oddHBand="0" w:evenHBand="0" w:firstRowFirstColumn="0" w:firstRowLastColumn="0" w:lastRowFirstColumn="0" w:lastRowLastColumn="0"/>
            </w:pPr>
            <w:r>
              <w:t>(20 144)</w:t>
            </w:r>
          </w:p>
        </w:tc>
        <w:tc>
          <w:tcPr>
            <w:tcW w:w="850" w:type="dxa"/>
          </w:tcPr>
          <w:p w14:paraId="7FB33FDD" w14:textId="77777777" w:rsidR="00964B88" w:rsidRDefault="00964B88">
            <w:pPr>
              <w:cnfStyle w:val="010000000000" w:firstRow="0" w:lastRow="1" w:firstColumn="0" w:lastColumn="0" w:oddVBand="0" w:evenVBand="0" w:oddHBand="0" w:evenHBand="0" w:firstRowFirstColumn="0" w:firstRowLastColumn="0" w:lastRowFirstColumn="0" w:lastRowLastColumn="0"/>
            </w:pPr>
            <w:r>
              <w:t>(9 859)</w:t>
            </w:r>
          </w:p>
        </w:tc>
        <w:tc>
          <w:tcPr>
            <w:tcW w:w="850" w:type="dxa"/>
          </w:tcPr>
          <w:p w14:paraId="1AA6072F" w14:textId="77777777" w:rsidR="00964B88" w:rsidRDefault="00964B88">
            <w:pPr>
              <w:cnfStyle w:val="010000000000" w:firstRow="0" w:lastRow="1" w:firstColumn="0" w:lastColumn="0" w:oddVBand="0" w:evenVBand="0" w:oddHBand="0" w:evenHBand="0" w:firstRowFirstColumn="0" w:firstRowLastColumn="0" w:lastRowFirstColumn="0" w:lastRowLastColumn="0"/>
            </w:pPr>
            <w:r>
              <w:t>(5 612)</w:t>
            </w:r>
          </w:p>
        </w:tc>
        <w:tc>
          <w:tcPr>
            <w:tcW w:w="850" w:type="dxa"/>
          </w:tcPr>
          <w:p w14:paraId="6E6E6053" w14:textId="77777777" w:rsidR="00964B88" w:rsidRDefault="00964B88">
            <w:pPr>
              <w:cnfStyle w:val="010000000000" w:firstRow="0" w:lastRow="1" w:firstColumn="0" w:lastColumn="0" w:oddVBand="0" w:evenVBand="0" w:oddHBand="0" w:evenHBand="0" w:firstRowFirstColumn="0" w:firstRowLastColumn="0" w:lastRowFirstColumn="0" w:lastRowLastColumn="0"/>
            </w:pPr>
            <w:r>
              <w:t>(4 338)</w:t>
            </w:r>
          </w:p>
        </w:tc>
      </w:tr>
    </w:tbl>
    <w:p w14:paraId="0B8A247F" w14:textId="77777777" w:rsidR="00964B88" w:rsidRDefault="00964B88" w:rsidP="00F53820">
      <w:pPr>
        <w:pStyle w:val="Note"/>
      </w:pPr>
      <w:r>
        <w:t>Notes:</w:t>
      </w:r>
    </w:p>
    <w:p w14:paraId="4DA6D0BC" w14:textId="77777777" w:rsidR="00964B88" w:rsidRDefault="00964B88" w:rsidP="00F53820">
      <w:pPr>
        <w:pStyle w:val="Note"/>
        <w:numPr>
          <w:ilvl w:val="4"/>
          <w:numId w:val="7"/>
        </w:numPr>
        <w:ind w:left="284"/>
      </w:pPr>
      <w:r>
        <w:t>Figures in this table are subject to rounding to the nearest million and may not add up to totals.</w:t>
      </w:r>
    </w:p>
    <w:p w14:paraId="13A2A9C5" w14:textId="77777777" w:rsidR="00964B88" w:rsidRDefault="00964B88" w:rsidP="00F53820">
      <w:pPr>
        <w:pStyle w:val="Note"/>
        <w:numPr>
          <w:ilvl w:val="4"/>
          <w:numId w:val="7"/>
        </w:numPr>
        <w:ind w:left="284"/>
      </w:pPr>
      <w:r w:rsidRPr="007041B6">
        <w:t>Movements in 2019-20 include the impact of the new accounting standards.</w:t>
      </w:r>
    </w:p>
    <w:p w14:paraId="6257AC80" w14:textId="77777777" w:rsidR="00964B88" w:rsidRDefault="00964B88" w:rsidP="00F53820">
      <w:pPr>
        <w:pStyle w:val="Note"/>
      </w:pPr>
      <w:r>
        <w:t xml:space="preserve">(c) </w:t>
      </w:r>
      <w:r>
        <w:tab/>
        <w:t xml:space="preserve">Includes depreciation, prepayments and movements in the unfunded superannuation liability and liability for employee benefits, </w:t>
      </w:r>
      <w:r>
        <w:br/>
        <w:t>as well as operating cash flows not required to be recognised in the operating statement for the respective year.</w:t>
      </w:r>
    </w:p>
    <w:p w14:paraId="5881A4B5" w14:textId="77777777" w:rsidR="00964B88" w:rsidRDefault="00964B88" w:rsidP="00F53820">
      <w:pPr>
        <w:pStyle w:val="Note"/>
      </w:pPr>
      <w:r>
        <w:t xml:space="preserve">(d) </w:t>
      </w:r>
      <w:r>
        <w:tab/>
        <w:t>Includes total purchases of plant, property and equipment, and net capital contributions to other sectors of government net of proceeds from asset recycling</w:t>
      </w:r>
      <w:r>
        <w:fldChar w:fldCharType="begin"/>
      </w:r>
      <w:r>
        <w:instrText xml:space="preserve"> "Asset recycling" </w:instrText>
      </w:r>
      <w:r>
        <w:fldChar w:fldCharType="end"/>
      </w:r>
      <w:r>
        <w:t>.</w:t>
      </w:r>
    </w:p>
    <w:p w14:paraId="0098976A" w14:textId="77777777" w:rsidR="00964B88" w:rsidRDefault="00964B88" w:rsidP="00F53820">
      <w:pPr>
        <w:pStyle w:val="Note"/>
      </w:pPr>
      <w:r>
        <w:t>(e)</w:t>
      </w:r>
      <w:r>
        <w:tab/>
      </w:r>
      <w:r w:rsidRPr="004E095B">
        <w:t xml:space="preserve">Includes most operating leases which are now required to be recognised as lease liabilities. The financial liabilities relating to public private partnerships include the Casey Hospital expansion, the High Capacity Metro Trains Project, the Metro Tunnel, the new Footscray Hospital, North East Link, the Suburban Roads Upgrade – Northern Roads Upgrade, South Eastern Roads Upgrade and Western Roads Upgrade.  </w:t>
      </w:r>
    </w:p>
    <w:p w14:paraId="78F560F2" w14:textId="77777777" w:rsidR="00964B88" w:rsidRDefault="00964B88" w:rsidP="00F53820">
      <w:r>
        <w:br w:type="page"/>
      </w:r>
    </w:p>
    <w:p w14:paraId="789520E4" w14:textId="77777777" w:rsidR="00964B88" w:rsidRDefault="00964B88" w:rsidP="00F53820">
      <w:r>
        <w:lastRenderedPageBreak/>
        <w:t>NFPS total net cash flows from investments in non-financial assets is projected to be $52</w:t>
      </w:r>
      <w:r w:rsidR="00440992">
        <w:t> </w:t>
      </w:r>
      <w:r>
        <w:t>billion</w:t>
      </w:r>
      <w:r w:rsidRPr="00506C8E">
        <w:t xml:space="preserve"> </w:t>
      </w:r>
      <w:r w:rsidRPr="00030A93">
        <w:t xml:space="preserve">over the </w:t>
      </w:r>
      <w:r>
        <w:t xml:space="preserve">budget and </w:t>
      </w:r>
      <w:r w:rsidRPr="00030A93">
        <w:t>forward estimates</w:t>
      </w:r>
      <w:r>
        <w:t xml:space="preserve">. This includes $8.4 billion in the PNFC sector, particularly in the water sector. </w:t>
      </w:r>
      <w:bookmarkStart w:id="52" w:name="_Hlk24452261"/>
      <w:r>
        <w:t>The key water-related infrastructure projects under development include:</w:t>
      </w:r>
    </w:p>
    <w:p w14:paraId="0C1BD5AC" w14:textId="77777777" w:rsidR="00964B88" w:rsidRDefault="00964B88" w:rsidP="00F53820">
      <w:pPr>
        <w:pStyle w:val="ListBullet"/>
      </w:pPr>
      <w:r w:rsidRPr="004812D8">
        <w:t>upgrading and renewal of water and sewer assets by the Melbourne metropolitan water corporations, including the 55E Activated Sludge Treatment Plant at the Western Treatment Plant site (Melbourne Water Corporation), the Lockerbie Main Sewer and Monbulk Community Sewerage Program (Yarra Valley Water), the Boneo Water Recycling Plant (South East Water), and the inner city and CBD sewerage upgrade works (City West Water); and</w:t>
      </w:r>
      <w:bookmarkStart w:id="53" w:name="_Toc500435571"/>
      <w:bookmarkEnd w:id="52"/>
    </w:p>
    <w:p w14:paraId="22E0F14A" w14:textId="77777777" w:rsidR="00964B88" w:rsidRDefault="00964B88" w:rsidP="00F53820">
      <w:pPr>
        <w:pStyle w:val="ListBullet"/>
      </w:pPr>
      <w:r w:rsidRPr="008B7EF0">
        <w:t>upgrading and renewal of water and sewer assets in regional Victoria, including Goulburn-Murray Water’s Connections Project, which will connect irrigators to a modernised main system of irrigation channels, and the South West Loddon and East Grampians rural water supply pipeline extension projects by Grampians Wimmera Mallee Water.</w:t>
      </w:r>
    </w:p>
    <w:p w14:paraId="2A957A80" w14:textId="77777777" w:rsidR="00964B88" w:rsidRPr="008B7EF0" w:rsidRDefault="00964B88" w:rsidP="00F53820">
      <w:r>
        <w:br w:type="page"/>
      </w:r>
    </w:p>
    <w:p w14:paraId="43895971" w14:textId="77777777" w:rsidR="00964B88" w:rsidRDefault="00964B88" w:rsidP="00F53820">
      <w:pPr>
        <w:pStyle w:val="Heading10"/>
      </w:pPr>
      <w:bookmarkStart w:id="54" w:name="_Toc26788538"/>
      <w:r w:rsidRPr="006A7C8A">
        <w:lastRenderedPageBreak/>
        <w:t>Non</w:t>
      </w:r>
      <w:r w:rsidRPr="006A7C8A">
        <w:noBreakHyphen/>
      </w:r>
      <w:r>
        <w:t>financial public sector net debt and net financial liabilities</w:t>
      </w:r>
      <w:bookmarkEnd w:id="53"/>
      <w:bookmarkEnd w:id="54"/>
    </w:p>
    <w:p w14:paraId="07390ED5" w14:textId="77777777" w:rsidR="00964B88" w:rsidRDefault="00964B88" w:rsidP="00F53820">
      <w:r>
        <w:t>Table 3.8 details NFPS net debt and financial liabilities.</w:t>
      </w:r>
    </w:p>
    <w:p w14:paraId="32FABF7F" w14:textId="77777777" w:rsidR="00964B88" w:rsidRPr="00D57C63" w:rsidRDefault="00964B88" w:rsidP="00F53820">
      <w:pPr>
        <w:pStyle w:val="TableHeading"/>
      </w:pPr>
      <w:bookmarkStart w:id="55" w:name="_Hlk26264615"/>
      <w:r>
        <w:t>Table 3.8:</w:t>
      </w:r>
      <w:r>
        <w:tab/>
      </w:r>
      <w:r w:rsidRPr="006A7C8A">
        <w:t>Non</w:t>
      </w:r>
      <w:r w:rsidRPr="006A7C8A">
        <w:noBreakHyphen/>
      </w:r>
      <w:r>
        <w:t>financial public sector net debt and financial liabilities</w:t>
      </w:r>
      <w:bookmarkEnd w:id="55"/>
      <w:r>
        <w:tab/>
        <w:t>($ billion)</w:t>
      </w:r>
    </w:p>
    <w:tbl>
      <w:tblPr>
        <w:tblStyle w:val="DTFTable"/>
        <w:tblW w:w="7768" w:type="dxa"/>
        <w:tblLayout w:type="fixed"/>
        <w:tblLook w:val="06E0" w:firstRow="1" w:lastRow="1" w:firstColumn="1" w:lastColumn="0" w:noHBand="1" w:noVBand="1"/>
      </w:tblPr>
      <w:tblGrid>
        <w:gridCol w:w="4368"/>
        <w:gridCol w:w="850"/>
        <w:gridCol w:w="850"/>
        <w:gridCol w:w="850"/>
        <w:gridCol w:w="850"/>
      </w:tblGrid>
      <w:tr w:rsidR="00964B88" w14:paraId="188A3791"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8" w:type="dxa"/>
          </w:tcPr>
          <w:p w14:paraId="589134DD" w14:textId="77777777" w:rsidR="00964B88" w:rsidRDefault="00964B88"/>
        </w:tc>
        <w:tc>
          <w:tcPr>
            <w:tcW w:w="850" w:type="dxa"/>
          </w:tcPr>
          <w:p w14:paraId="55A5F84C"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5B3358AB"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5BDD88E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5CD9547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140A8E38" w14:textId="77777777">
        <w:tc>
          <w:tcPr>
            <w:cnfStyle w:val="001000000000" w:firstRow="0" w:lastRow="0" w:firstColumn="1" w:lastColumn="0" w:oddVBand="0" w:evenVBand="0" w:oddHBand="0" w:evenHBand="0" w:firstRowFirstColumn="0" w:firstRowLastColumn="0" w:lastRowFirstColumn="0" w:lastRowLastColumn="0"/>
            <w:tcW w:w="4368" w:type="dxa"/>
          </w:tcPr>
          <w:p w14:paraId="09828374" w14:textId="77777777" w:rsidR="00964B88" w:rsidRDefault="00964B88">
            <w:r>
              <w:rPr>
                <w:b/>
              </w:rPr>
              <w:t>Assets</w:t>
            </w:r>
          </w:p>
        </w:tc>
        <w:tc>
          <w:tcPr>
            <w:tcW w:w="850" w:type="dxa"/>
          </w:tcPr>
          <w:p w14:paraId="6EF9C17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E7F171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CA6B88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5302232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AE876A1" w14:textId="77777777">
        <w:tc>
          <w:tcPr>
            <w:cnfStyle w:val="001000000000" w:firstRow="0" w:lastRow="0" w:firstColumn="1" w:lastColumn="0" w:oddVBand="0" w:evenVBand="0" w:oddHBand="0" w:evenHBand="0" w:firstRowFirstColumn="0" w:firstRowLastColumn="0" w:lastRowFirstColumn="0" w:lastRowLastColumn="0"/>
            <w:tcW w:w="4368" w:type="dxa"/>
          </w:tcPr>
          <w:p w14:paraId="73FEBD07" w14:textId="77777777" w:rsidR="00964B88" w:rsidRDefault="00964B88">
            <w:r>
              <w:t>Cash and deposits</w:t>
            </w:r>
          </w:p>
        </w:tc>
        <w:tc>
          <w:tcPr>
            <w:tcW w:w="850" w:type="dxa"/>
          </w:tcPr>
          <w:p w14:paraId="0EA6A8B6" w14:textId="77777777" w:rsidR="00964B88" w:rsidRDefault="00964B88">
            <w:pPr>
              <w:cnfStyle w:val="000000000000" w:firstRow="0" w:lastRow="0" w:firstColumn="0" w:lastColumn="0" w:oddVBand="0" w:evenVBand="0" w:oddHBand="0" w:evenHBand="0" w:firstRowFirstColumn="0" w:firstRowLastColumn="0" w:lastRowFirstColumn="0" w:lastRowLastColumn="0"/>
            </w:pPr>
            <w:r>
              <w:t>7.5</w:t>
            </w:r>
          </w:p>
        </w:tc>
        <w:tc>
          <w:tcPr>
            <w:tcW w:w="850" w:type="dxa"/>
          </w:tcPr>
          <w:p w14:paraId="2AA308A3" w14:textId="77777777" w:rsidR="00964B88" w:rsidRDefault="00964B88">
            <w:pPr>
              <w:cnfStyle w:val="000000000000" w:firstRow="0" w:lastRow="0" w:firstColumn="0" w:lastColumn="0" w:oddVBand="0" w:evenVBand="0" w:oddHBand="0" w:evenHBand="0" w:firstRowFirstColumn="0" w:firstRowLastColumn="0" w:lastRowFirstColumn="0" w:lastRowLastColumn="0"/>
            </w:pPr>
            <w:r>
              <w:t>7.2</w:t>
            </w:r>
          </w:p>
        </w:tc>
        <w:tc>
          <w:tcPr>
            <w:tcW w:w="850" w:type="dxa"/>
          </w:tcPr>
          <w:p w14:paraId="4B8F29BC" w14:textId="77777777" w:rsidR="00964B88" w:rsidRDefault="00964B88">
            <w:pPr>
              <w:cnfStyle w:val="000000000000" w:firstRow="0" w:lastRow="0" w:firstColumn="0" w:lastColumn="0" w:oddVBand="0" w:evenVBand="0" w:oddHBand="0" w:evenHBand="0" w:firstRowFirstColumn="0" w:firstRowLastColumn="0" w:lastRowFirstColumn="0" w:lastRowLastColumn="0"/>
            </w:pPr>
            <w:r>
              <w:t>7.3</w:t>
            </w:r>
          </w:p>
        </w:tc>
        <w:tc>
          <w:tcPr>
            <w:tcW w:w="850" w:type="dxa"/>
          </w:tcPr>
          <w:p w14:paraId="4E40E6F0" w14:textId="77777777" w:rsidR="00964B88" w:rsidRDefault="00964B88">
            <w:pPr>
              <w:cnfStyle w:val="000000000000" w:firstRow="0" w:lastRow="0" w:firstColumn="0" w:lastColumn="0" w:oddVBand="0" w:evenVBand="0" w:oddHBand="0" w:evenHBand="0" w:firstRowFirstColumn="0" w:firstRowLastColumn="0" w:lastRowFirstColumn="0" w:lastRowLastColumn="0"/>
            </w:pPr>
            <w:r>
              <w:t>7.5</w:t>
            </w:r>
          </w:p>
        </w:tc>
      </w:tr>
      <w:tr w:rsidR="00964B88" w14:paraId="0EEB3054" w14:textId="77777777">
        <w:tc>
          <w:tcPr>
            <w:cnfStyle w:val="001000000000" w:firstRow="0" w:lastRow="0" w:firstColumn="1" w:lastColumn="0" w:oddVBand="0" w:evenVBand="0" w:oddHBand="0" w:evenHBand="0" w:firstRowFirstColumn="0" w:firstRowLastColumn="0" w:lastRowFirstColumn="0" w:lastRowLastColumn="0"/>
            <w:tcW w:w="4368" w:type="dxa"/>
          </w:tcPr>
          <w:p w14:paraId="331BD87A" w14:textId="77777777" w:rsidR="00964B88" w:rsidRDefault="00964B88">
            <w:r>
              <w:t>Advances paid</w:t>
            </w:r>
          </w:p>
        </w:tc>
        <w:tc>
          <w:tcPr>
            <w:tcW w:w="850" w:type="dxa"/>
          </w:tcPr>
          <w:p w14:paraId="4E4C9FEE" w14:textId="77777777" w:rsidR="00964B88" w:rsidRDefault="00964B88">
            <w:pPr>
              <w:cnfStyle w:val="000000000000" w:firstRow="0" w:lastRow="0" w:firstColumn="0" w:lastColumn="0" w:oddVBand="0" w:evenVBand="0" w:oddHBand="0" w:evenHBand="0" w:firstRowFirstColumn="0" w:firstRowLastColumn="0" w:lastRowFirstColumn="0" w:lastRowLastColumn="0"/>
            </w:pPr>
            <w:r>
              <w:t>0.5</w:t>
            </w:r>
          </w:p>
        </w:tc>
        <w:tc>
          <w:tcPr>
            <w:tcW w:w="850" w:type="dxa"/>
          </w:tcPr>
          <w:p w14:paraId="6CA03E9B" w14:textId="77777777" w:rsidR="00964B88" w:rsidRDefault="00964B88">
            <w:pPr>
              <w:cnfStyle w:val="000000000000" w:firstRow="0" w:lastRow="0" w:firstColumn="0" w:lastColumn="0" w:oddVBand="0" w:evenVBand="0" w:oddHBand="0" w:evenHBand="0" w:firstRowFirstColumn="0" w:firstRowLastColumn="0" w:lastRowFirstColumn="0" w:lastRowLastColumn="0"/>
            </w:pPr>
            <w:r>
              <w:t>0.5</w:t>
            </w:r>
          </w:p>
        </w:tc>
        <w:tc>
          <w:tcPr>
            <w:tcW w:w="850" w:type="dxa"/>
          </w:tcPr>
          <w:p w14:paraId="5A8EB5A5" w14:textId="77777777" w:rsidR="00964B88" w:rsidRDefault="00964B88">
            <w:pPr>
              <w:cnfStyle w:val="000000000000" w:firstRow="0" w:lastRow="0" w:firstColumn="0" w:lastColumn="0" w:oddVBand="0" w:evenVBand="0" w:oddHBand="0" w:evenHBand="0" w:firstRowFirstColumn="0" w:firstRowLastColumn="0" w:lastRowFirstColumn="0" w:lastRowLastColumn="0"/>
            </w:pPr>
            <w:r>
              <w:t>0.6</w:t>
            </w:r>
          </w:p>
        </w:tc>
        <w:tc>
          <w:tcPr>
            <w:tcW w:w="850" w:type="dxa"/>
          </w:tcPr>
          <w:p w14:paraId="2FDB662A" w14:textId="77777777" w:rsidR="00964B88" w:rsidRDefault="00964B88">
            <w:pPr>
              <w:cnfStyle w:val="000000000000" w:firstRow="0" w:lastRow="0" w:firstColumn="0" w:lastColumn="0" w:oddVBand="0" w:evenVBand="0" w:oddHBand="0" w:evenHBand="0" w:firstRowFirstColumn="0" w:firstRowLastColumn="0" w:lastRowFirstColumn="0" w:lastRowLastColumn="0"/>
            </w:pPr>
            <w:r>
              <w:t>0.5</w:t>
            </w:r>
          </w:p>
        </w:tc>
      </w:tr>
      <w:tr w:rsidR="00964B88" w14:paraId="684C8FF8"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bottom w:val="single" w:sz="6" w:space="0" w:color="auto"/>
            </w:tcBorders>
          </w:tcPr>
          <w:p w14:paraId="6FA9BC89" w14:textId="77777777" w:rsidR="00964B88" w:rsidRDefault="00964B88">
            <w:r>
              <w:t>Investments, loans and placements</w:t>
            </w:r>
          </w:p>
        </w:tc>
        <w:tc>
          <w:tcPr>
            <w:tcW w:w="850" w:type="dxa"/>
            <w:tcBorders>
              <w:bottom w:val="single" w:sz="6" w:space="0" w:color="auto"/>
            </w:tcBorders>
          </w:tcPr>
          <w:p w14:paraId="5DB2D28C" w14:textId="77777777" w:rsidR="00964B88" w:rsidRDefault="00964B88">
            <w:pPr>
              <w:cnfStyle w:val="000000000000" w:firstRow="0" w:lastRow="0" w:firstColumn="0" w:lastColumn="0" w:oddVBand="0" w:evenVBand="0" w:oddHBand="0" w:evenHBand="0" w:firstRowFirstColumn="0" w:firstRowLastColumn="0" w:lastRowFirstColumn="0" w:lastRowLastColumn="0"/>
            </w:pPr>
            <w:r>
              <w:t>3.6</w:t>
            </w:r>
          </w:p>
        </w:tc>
        <w:tc>
          <w:tcPr>
            <w:tcW w:w="850" w:type="dxa"/>
            <w:tcBorders>
              <w:bottom w:val="single" w:sz="6" w:space="0" w:color="auto"/>
            </w:tcBorders>
          </w:tcPr>
          <w:p w14:paraId="30442B96" w14:textId="77777777" w:rsidR="00964B88" w:rsidRDefault="00964B88">
            <w:pPr>
              <w:cnfStyle w:val="000000000000" w:firstRow="0" w:lastRow="0" w:firstColumn="0" w:lastColumn="0" w:oddVBand="0" w:evenVBand="0" w:oddHBand="0" w:evenHBand="0" w:firstRowFirstColumn="0" w:firstRowLastColumn="0" w:lastRowFirstColumn="0" w:lastRowLastColumn="0"/>
            </w:pPr>
            <w:r>
              <w:t>3.7</w:t>
            </w:r>
          </w:p>
        </w:tc>
        <w:tc>
          <w:tcPr>
            <w:tcW w:w="850" w:type="dxa"/>
            <w:tcBorders>
              <w:bottom w:val="single" w:sz="6" w:space="0" w:color="auto"/>
            </w:tcBorders>
          </w:tcPr>
          <w:p w14:paraId="4248F475" w14:textId="77777777" w:rsidR="00964B88" w:rsidRDefault="00964B88">
            <w:pPr>
              <w:cnfStyle w:val="000000000000" w:firstRow="0" w:lastRow="0" w:firstColumn="0" w:lastColumn="0" w:oddVBand="0" w:evenVBand="0" w:oddHBand="0" w:evenHBand="0" w:firstRowFirstColumn="0" w:firstRowLastColumn="0" w:lastRowFirstColumn="0" w:lastRowLastColumn="0"/>
            </w:pPr>
            <w:r>
              <w:t>3.7</w:t>
            </w:r>
          </w:p>
        </w:tc>
        <w:tc>
          <w:tcPr>
            <w:tcW w:w="850" w:type="dxa"/>
            <w:tcBorders>
              <w:bottom w:val="single" w:sz="6" w:space="0" w:color="auto"/>
            </w:tcBorders>
          </w:tcPr>
          <w:p w14:paraId="03D6F39D" w14:textId="77777777" w:rsidR="00964B88" w:rsidRDefault="00964B88">
            <w:pPr>
              <w:cnfStyle w:val="000000000000" w:firstRow="0" w:lastRow="0" w:firstColumn="0" w:lastColumn="0" w:oddVBand="0" w:evenVBand="0" w:oddHBand="0" w:evenHBand="0" w:firstRowFirstColumn="0" w:firstRowLastColumn="0" w:lastRowFirstColumn="0" w:lastRowLastColumn="0"/>
            </w:pPr>
            <w:r>
              <w:t>3.8</w:t>
            </w:r>
          </w:p>
        </w:tc>
      </w:tr>
      <w:tr w:rsidR="00964B88" w14:paraId="7C39FBD8"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top w:val="single" w:sz="6" w:space="0" w:color="auto"/>
            </w:tcBorders>
          </w:tcPr>
          <w:p w14:paraId="5C3C174D" w14:textId="77777777" w:rsidR="00964B88" w:rsidRDefault="00964B88">
            <w:r>
              <w:rPr>
                <w:b/>
              </w:rPr>
              <w:t>Total</w:t>
            </w:r>
          </w:p>
        </w:tc>
        <w:tc>
          <w:tcPr>
            <w:tcW w:w="850" w:type="dxa"/>
            <w:tcBorders>
              <w:top w:val="single" w:sz="6" w:space="0" w:color="auto"/>
            </w:tcBorders>
          </w:tcPr>
          <w:p w14:paraId="0856C8A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11.6</w:t>
            </w:r>
          </w:p>
        </w:tc>
        <w:tc>
          <w:tcPr>
            <w:tcW w:w="850" w:type="dxa"/>
            <w:tcBorders>
              <w:top w:val="single" w:sz="6" w:space="0" w:color="auto"/>
            </w:tcBorders>
          </w:tcPr>
          <w:p w14:paraId="045B924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11.4</w:t>
            </w:r>
          </w:p>
        </w:tc>
        <w:tc>
          <w:tcPr>
            <w:tcW w:w="850" w:type="dxa"/>
            <w:tcBorders>
              <w:top w:val="single" w:sz="6" w:space="0" w:color="auto"/>
            </w:tcBorders>
          </w:tcPr>
          <w:p w14:paraId="48081DD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11.5</w:t>
            </w:r>
          </w:p>
        </w:tc>
        <w:tc>
          <w:tcPr>
            <w:tcW w:w="850" w:type="dxa"/>
            <w:tcBorders>
              <w:top w:val="single" w:sz="6" w:space="0" w:color="auto"/>
            </w:tcBorders>
          </w:tcPr>
          <w:p w14:paraId="7A6E803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11.8</w:t>
            </w:r>
          </w:p>
        </w:tc>
      </w:tr>
      <w:tr w:rsidR="00964B88" w14:paraId="418AE723" w14:textId="77777777">
        <w:tc>
          <w:tcPr>
            <w:cnfStyle w:val="001000000000" w:firstRow="0" w:lastRow="0" w:firstColumn="1" w:lastColumn="0" w:oddVBand="0" w:evenVBand="0" w:oddHBand="0" w:evenHBand="0" w:firstRowFirstColumn="0" w:firstRowLastColumn="0" w:lastRowFirstColumn="0" w:lastRowLastColumn="0"/>
            <w:tcW w:w="4368" w:type="dxa"/>
          </w:tcPr>
          <w:p w14:paraId="577F9876" w14:textId="77777777" w:rsidR="00964B88" w:rsidRDefault="00964B88">
            <w:r>
              <w:rPr>
                <w:b/>
              </w:rPr>
              <w:t>Liabilities</w:t>
            </w:r>
          </w:p>
        </w:tc>
        <w:tc>
          <w:tcPr>
            <w:tcW w:w="850" w:type="dxa"/>
          </w:tcPr>
          <w:p w14:paraId="5508BE9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4B85350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5050E70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4ABCA17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10067E8" w14:textId="77777777">
        <w:tc>
          <w:tcPr>
            <w:cnfStyle w:val="001000000000" w:firstRow="0" w:lastRow="0" w:firstColumn="1" w:lastColumn="0" w:oddVBand="0" w:evenVBand="0" w:oddHBand="0" w:evenHBand="0" w:firstRowFirstColumn="0" w:firstRowLastColumn="0" w:lastRowFirstColumn="0" w:lastRowLastColumn="0"/>
            <w:tcW w:w="4368" w:type="dxa"/>
          </w:tcPr>
          <w:p w14:paraId="08D1F732" w14:textId="77777777" w:rsidR="00964B88" w:rsidRDefault="00964B88">
            <w:r>
              <w:t>Deposits held and advances received</w:t>
            </w:r>
          </w:p>
        </w:tc>
        <w:tc>
          <w:tcPr>
            <w:tcW w:w="850" w:type="dxa"/>
          </w:tcPr>
          <w:p w14:paraId="7A04E598" w14:textId="77777777" w:rsidR="00964B88" w:rsidRDefault="00964B88">
            <w:pPr>
              <w:cnfStyle w:val="000000000000" w:firstRow="0" w:lastRow="0" w:firstColumn="0" w:lastColumn="0" w:oddVBand="0" w:evenVBand="0" w:oddHBand="0" w:evenHBand="0" w:firstRowFirstColumn="0" w:firstRowLastColumn="0" w:lastRowFirstColumn="0" w:lastRowLastColumn="0"/>
            </w:pPr>
            <w:r>
              <w:t>1.4</w:t>
            </w:r>
          </w:p>
        </w:tc>
        <w:tc>
          <w:tcPr>
            <w:tcW w:w="850" w:type="dxa"/>
          </w:tcPr>
          <w:p w14:paraId="28E8ED69" w14:textId="77777777" w:rsidR="00964B88" w:rsidRDefault="00964B88">
            <w:pPr>
              <w:cnfStyle w:val="000000000000" w:firstRow="0" w:lastRow="0" w:firstColumn="0" w:lastColumn="0" w:oddVBand="0" w:evenVBand="0" w:oddHBand="0" w:evenHBand="0" w:firstRowFirstColumn="0" w:firstRowLastColumn="0" w:lastRowFirstColumn="0" w:lastRowLastColumn="0"/>
            </w:pPr>
            <w:r>
              <w:t>1.4</w:t>
            </w:r>
          </w:p>
        </w:tc>
        <w:tc>
          <w:tcPr>
            <w:tcW w:w="850" w:type="dxa"/>
          </w:tcPr>
          <w:p w14:paraId="0AE88BEC" w14:textId="77777777" w:rsidR="00964B88" w:rsidRDefault="00964B88">
            <w:pPr>
              <w:cnfStyle w:val="000000000000" w:firstRow="0" w:lastRow="0" w:firstColumn="0" w:lastColumn="0" w:oddVBand="0" w:evenVBand="0" w:oddHBand="0" w:evenHBand="0" w:firstRowFirstColumn="0" w:firstRowLastColumn="0" w:lastRowFirstColumn="0" w:lastRowLastColumn="0"/>
            </w:pPr>
            <w:r>
              <w:t>1.3</w:t>
            </w:r>
          </w:p>
        </w:tc>
        <w:tc>
          <w:tcPr>
            <w:tcW w:w="850" w:type="dxa"/>
          </w:tcPr>
          <w:p w14:paraId="164C87BF" w14:textId="77777777" w:rsidR="00964B88" w:rsidRDefault="00964B88">
            <w:pPr>
              <w:cnfStyle w:val="000000000000" w:firstRow="0" w:lastRow="0" w:firstColumn="0" w:lastColumn="0" w:oddVBand="0" w:evenVBand="0" w:oddHBand="0" w:evenHBand="0" w:firstRowFirstColumn="0" w:firstRowLastColumn="0" w:lastRowFirstColumn="0" w:lastRowLastColumn="0"/>
            </w:pPr>
            <w:r>
              <w:t>1.3</w:t>
            </w:r>
          </w:p>
        </w:tc>
      </w:tr>
      <w:tr w:rsidR="00964B88" w14:paraId="6DCD5786"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bottom w:val="single" w:sz="6" w:space="0" w:color="auto"/>
            </w:tcBorders>
          </w:tcPr>
          <w:p w14:paraId="579EE7A0" w14:textId="77777777" w:rsidR="00964B88" w:rsidRDefault="00964B88">
            <w:r>
              <w:t>Borrowings</w:t>
            </w:r>
          </w:p>
        </w:tc>
        <w:tc>
          <w:tcPr>
            <w:tcW w:w="850" w:type="dxa"/>
            <w:tcBorders>
              <w:bottom w:val="single" w:sz="6" w:space="0" w:color="auto"/>
            </w:tcBorders>
          </w:tcPr>
          <w:p w14:paraId="0628D5BF" w14:textId="77777777" w:rsidR="00964B88" w:rsidRDefault="00964B88">
            <w:pPr>
              <w:cnfStyle w:val="000000000000" w:firstRow="0" w:lastRow="0" w:firstColumn="0" w:lastColumn="0" w:oddVBand="0" w:evenVBand="0" w:oddHBand="0" w:evenHBand="0" w:firstRowFirstColumn="0" w:firstRowLastColumn="0" w:lastRowFirstColumn="0" w:lastRowLastColumn="0"/>
            </w:pPr>
            <w:r>
              <w:t>67.3</w:t>
            </w:r>
          </w:p>
        </w:tc>
        <w:tc>
          <w:tcPr>
            <w:tcW w:w="850" w:type="dxa"/>
            <w:tcBorders>
              <w:bottom w:val="single" w:sz="6" w:space="0" w:color="auto"/>
            </w:tcBorders>
          </w:tcPr>
          <w:p w14:paraId="679CB416" w14:textId="77777777" w:rsidR="00964B88" w:rsidRDefault="00964B88">
            <w:pPr>
              <w:cnfStyle w:val="000000000000" w:firstRow="0" w:lastRow="0" w:firstColumn="0" w:lastColumn="0" w:oddVBand="0" w:evenVBand="0" w:oddHBand="0" w:evenHBand="0" w:firstRowFirstColumn="0" w:firstRowLastColumn="0" w:lastRowFirstColumn="0" w:lastRowLastColumn="0"/>
            </w:pPr>
            <w:r>
              <w:t>77.0</w:t>
            </w:r>
          </w:p>
        </w:tc>
        <w:tc>
          <w:tcPr>
            <w:tcW w:w="850" w:type="dxa"/>
            <w:tcBorders>
              <w:bottom w:val="single" w:sz="6" w:space="0" w:color="auto"/>
            </w:tcBorders>
          </w:tcPr>
          <w:p w14:paraId="01B59693" w14:textId="77777777" w:rsidR="00964B88" w:rsidRDefault="00964B88">
            <w:pPr>
              <w:cnfStyle w:val="000000000000" w:firstRow="0" w:lastRow="0" w:firstColumn="0" w:lastColumn="0" w:oddVBand="0" w:evenVBand="0" w:oddHBand="0" w:evenHBand="0" w:firstRowFirstColumn="0" w:firstRowLastColumn="0" w:lastRowFirstColumn="0" w:lastRowLastColumn="0"/>
            </w:pPr>
            <w:r>
              <w:t>82.8</w:t>
            </w:r>
          </w:p>
        </w:tc>
        <w:tc>
          <w:tcPr>
            <w:tcW w:w="850" w:type="dxa"/>
            <w:tcBorders>
              <w:bottom w:val="single" w:sz="6" w:space="0" w:color="auto"/>
            </w:tcBorders>
          </w:tcPr>
          <w:p w14:paraId="2E5E2C11" w14:textId="77777777" w:rsidR="00964B88" w:rsidRDefault="00964B88">
            <w:pPr>
              <w:cnfStyle w:val="000000000000" w:firstRow="0" w:lastRow="0" w:firstColumn="0" w:lastColumn="0" w:oddVBand="0" w:evenVBand="0" w:oddHBand="0" w:evenHBand="0" w:firstRowFirstColumn="0" w:firstRowLastColumn="0" w:lastRowFirstColumn="0" w:lastRowLastColumn="0"/>
            </w:pPr>
            <w:r>
              <w:t>87.4</w:t>
            </w:r>
          </w:p>
        </w:tc>
      </w:tr>
      <w:tr w:rsidR="00964B88" w14:paraId="6DCF28DC"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top w:val="single" w:sz="6" w:space="0" w:color="auto"/>
            </w:tcBorders>
          </w:tcPr>
          <w:p w14:paraId="79A3AE3B" w14:textId="77777777" w:rsidR="00964B88" w:rsidRDefault="00964B88">
            <w:r>
              <w:rPr>
                <w:b/>
              </w:rPr>
              <w:t>Total</w:t>
            </w:r>
          </w:p>
        </w:tc>
        <w:tc>
          <w:tcPr>
            <w:tcW w:w="850" w:type="dxa"/>
            <w:tcBorders>
              <w:top w:val="single" w:sz="6" w:space="0" w:color="auto"/>
            </w:tcBorders>
          </w:tcPr>
          <w:p w14:paraId="176005B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68.7</w:t>
            </w:r>
          </w:p>
        </w:tc>
        <w:tc>
          <w:tcPr>
            <w:tcW w:w="850" w:type="dxa"/>
            <w:tcBorders>
              <w:top w:val="single" w:sz="6" w:space="0" w:color="auto"/>
            </w:tcBorders>
          </w:tcPr>
          <w:p w14:paraId="59C745A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78.4</w:t>
            </w:r>
          </w:p>
        </w:tc>
        <w:tc>
          <w:tcPr>
            <w:tcW w:w="850" w:type="dxa"/>
            <w:tcBorders>
              <w:top w:val="single" w:sz="6" w:space="0" w:color="auto"/>
            </w:tcBorders>
          </w:tcPr>
          <w:p w14:paraId="4CC8A05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84.1</w:t>
            </w:r>
          </w:p>
        </w:tc>
        <w:tc>
          <w:tcPr>
            <w:tcW w:w="850" w:type="dxa"/>
            <w:tcBorders>
              <w:top w:val="single" w:sz="6" w:space="0" w:color="auto"/>
            </w:tcBorders>
          </w:tcPr>
          <w:p w14:paraId="47BB0C2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88.7</w:t>
            </w:r>
          </w:p>
        </w:tc>
      </w:tr>
      <w:tr w:rsidR="00964B88" w14:paraId="2CFC64E3" w14:textId="77777777">
        <w:tc>
          <w:tcPr>
            <w:cnfStyle w:val="001000000000" w:firstRow="0" w:lastRow="0" w:firstColumn="1" w:lastColumn="0" w:oddVBand="0" w:evenVBand="0" w:oddHBand="0" w:evenHBand="0" w:firstRowFirstColumn="0" w:firstRowLastColumn="0" w:lastRowFirstColumn="0" w:lastRowLastColumn="0"/>
            <w:tcW w:w="4368" w:type="dxa"/>
          </w:tcPr>
          <w:p w14:paraId="3F5F6C32" w14:textId="77777777" w:rsidR="00964B88" w:rsidRDefault="00964B88">
            <w:r>
              <w:rPr>
                <w:b/>
              </w:rPr>
              <w:t>Net debt</w:t>
            </w:r>
            <w:r>
              <w:rPr>
                <w:b/>
                <w:vertAlign w:val="superscript"/>
              </w:rPr>
              <w:t xml:space="preserve"> (a)</w:t>
            </w:r>
          </w:p>
        </w:tc>
        <w:tc>
          <w:tcPr>
            <w:tcW w:w="850" w:type="dxa"/>
          </w:tcPr>
          <w:p w14:paraId="4AC67FC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57.1</w:t>
            </w:r>
          </w:p>
        </w:tc>
        <w:tc>
          <w:tcPr>
            <w:tcW w:w="850" w:type="dxa"/>
          </w:tcPr>
          <w:p w14:paraId="3C209EF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67.0</w:t>
            </w:r>
          </w:p>
        </w:tc>
        <w:tc>
          <w:tcPr>
            <w:tcW w:w="850" w:type="dxa"/>
          </w:tcPr>
          <w:p w14:paraId="4A7ED02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72.6</w:t>
            </w:r>
          </w:p>
        </w:tc>
        <w:tc>
          <w:tcPr>
            <w:tcW w:w="850" w:type="dxa"/>
          </w:tcPr>
          <w:p w14:paraId="7E0550D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76.9</w:t>
            </w:r>
          </w:p>
        </w:tc>
      </w:tr>
      <w:tr w:rsidR="00964B88" w14:paraId="0E695580"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bottom w:val="single" w:sz="6" w:space="0" w:color="auto"/>
            </w:tcBorders>
          </w:tcPr>
          <w:p w14:paraId="69B72544" w14:textId="77777777" w:rsidR="00964B88" w:rsidRDefault="00964B88">
            <w:r>
              <w:t>Superannuation liability</w:t>
            </w:r>
          </w:p>
        </w:tc>
        <w:tc>
          <w:tcPr>
            <w:tcW w:w="850" w:type="dxa"/>
            <w:tcBorders>
              <w:bottom w:val="single" w:sz="6" w:space="0" w:color="auto"/>
            </w:tcBorders>
          </w:tcPr>
          <w:p w14:paraId="321D8283" w14:textId="77777777" w:rsidR="00964B88" w:rsidRDefault="00964B88">
            <w:pPr>
              <w:cnfStyle w:val="000000000000" w:firstRow="0" w:lastRow="0" w:firstColumn="0" w:lastColumn="0" w:oddVBand="0" w:evenVBand="0" w:oddHBand="0" w:evenHBand="0" w:firstRowFirstColumn="0" w:firstRowLastColumn="0" w:lastRowFirstColumn="0" w:lastRowLastColumn="0"/>
            </w:pPr>
            <w:r>
              <w:t>28.5</w:t>
            </w:r>
          </w:p>
        </w:tc>
        <w:tc>
          <w:tcPr>
            <w:tcW w:w="850" w:type="dxa"/>
            <w:tcBorders>
              <w:bottom w:val="single" w:sz="6" w:space="0" w:color="auto"/>
            </w:tcBorders>
          </w:tcPr>
          <w:p w14:paraId="3124A924" w14:textId="77777777" w:rsidR="00964B88" w:rsidRDefault="00964B88">
            <w:pPr>
              <w:cnfStyle w:val="000000000000" w:firstRow="0" w:lastRow="0" w:firstColumn="0" w:lastColumn="0" w:oddVBand="0" w:evenVBand="0" w:oddHBand="0" w:evenHBand="0" w:firstRowFirstColumn="0" w:firstRowLastColumn="0" w:lastRowFirstColumn="0" w:lastRowLastColumn="0"/>
            </w:pPr>
            <w:r>
              <w:t>26.9</w:t>
            </w:r>
          </w:p>
        </w:tc>
        <w:tc>
          <w:tcPr>
            <w:tcW w:w="850" w:type="dxa"/>
            <w:tcBorders>
              <w:bottom w:val="single" w:sz="6" w:space="0" w:color="auto"/>
            </w:tcBorders>
          </w:tcPr>
          <w:p w14:paraId="6679A3D7" w14:textId="77777777" w:rsidR="00964B88" w:rsidRDefault="00964B88">
            <w:pPr>
              <w:cnfStyle w:val="000000000000" w:firstRow="0" w:lastRow="0" w:firstColumn="0" w:lastColumn="0" w:oddVBand="0" w:evenVBand="0" w:oddHBand="0" w:evenHBand="0" w:firstRowFirstColumn="0" w:firstRowLastColumn="0" w:lastRowFirstColumn="0" w:lastRowLastColumn="0"/>
            </w:pPr>
            <w:r>
              <w:t>25.4</w:t>
            </w:r>
          </w:p>
        </w:tc>
        <w:tc>
          <w:tcPr>
            <w:tcW w:w="850" w:type="dxa"/>
            <w:tcBorders>
              <w:bottom w:val="single" w:sz="6" w:space="0" w:color="auto"/>
            </w:tcBorders>
          </w:tcPr>
          <w:p w14:paraId="638F602C" w14:textId="77777777" w:rsidR="00964B88" w:rsidRDefault="00964B88">
            <w:pPr>
              <w:cnfStyle w:val="000000000000" w:firstRow="0" w:lastRow="0" w:firstColumn="0" w:lastColumn="0" w:oddVBand="0" w:evenVBand="0" w:oddHBand="0" w:evenHBand="0" w:firstRowFirstColumn="0" w:firstRowLastColumn="0" w:lastRowFirstColumn="0" w:lastRowLastColumn="0"/>
            </w:pPr>
            <w:r>
              <w:t>23.9</w:t>
            </w:r>
          </w:p>
        </w:tc>
      </w:tr>
      <w:tr w:rsidR="00964B88" w14:paraId="62C7DDE6"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top w:val="single" w:sz="6" w:space="0" w:color="auto"/>
            </w:tcBorders>
          </w:tcPr>
          <w:p w14:paraId="7A01B6FC" w14:textId="77777777" w:rsidR="00964B88" w:rsidRDefault="00964B88">
            <w:r>
              <w:rPr>
                <w:b/>
              </w:rPr>
              <w:t>Net debt plus superannuation liabilities</w:t>
            </w:r>
          </w:p>
        </w:tc>
        <w:tc>
          <w:tcPr>
            <w:tcW w:w="850" w:type="dxa"/>
            <w:tcBorders>
              <w:top w:val="single" w:sz="6" w:space="0" w:color="auto"/>
            </w:tcBorders>
          </w:tcPr>
          <w:p w14:paraId="2ED5D73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85.6</w:t>
            </w:r>
          </w:p>
        </w:tc>
        <w:tc>
          <w:tcPr>
            <w:tcW w:w="850" w:type="dxa"/>
            <w:tcBorders>
              <w:top w:val="single" w:sz="6" w:space="0" w:color="auto"/>
            </w:tcBorders>
          </w:tcPr>
          <w:p w14:paraId="5CAD06C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93.9</w:t>
            </w:r>
          </w:p>
        </w:tc>
        <w:tc>
          <w:tcPr>
            <w:tcW w:w="850" w:type="dxa"/>
            <w:tcBorders>
              <w:top w:val="single" w:sz="6" w:space="0" w:color="auto"/>
            </w:tcBorders>
          </w:tcPr>
          <w:p w14:paraId="74EAF9C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98.0</w:t>
            </w:r>
          </w:p>
        </w:tc>
        <w:tc>
          <w:tcPr>
            <w:tcW w:w="850" w:type="dxa"/>
            <w:tcBorders>
              <w:top w:val="single" w:sz="6" w:space="0" w:color="auto"/>
            </w:tcBorders>
          </w:tcPr>
          <w:p w14:paraId="757D4B8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100.8</w:t>
            </w:r>
          </w:p>
        </w:tc>
      </w:tr>
      <w:tr w:rsidR="00964B88" w14:paraId="5590B8BB"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bottom w:val="single" w:sz="6" w:space="0" w:color="auto"/>
            </w:tcBorders>
          </w:tcPr>
          <w:p w14:paraId="2898A8A2" w14:textId="77777777" w:rsidR="00964B88" w:rsidRDefault="00964B88">
            <w:r>
              <w:t>Other liabilities (net)</w:t>
            </w:r>
            <w:r>
              <w:rPr>
                <w:vertAlign w:val="superscript"/>
              </w:rPr>
              <w:t xml:space="preserve"> (b)</w:t>
            </w:r>
          </w:p>
        </w:tc>
        <w:tc>
          <w:tcPr>
            <w:tcW w:w="850" w:type="dxa"/>
            <w:tcBorders>
              <w:bottom w:val="single" w:sz="6" w:space="0" w:color="auto"/>
            </w:tcBorders>
          </w:tcPr>
          <w:p w14:paraId="038A0DCC" w14:textId="77777777" w:rsidR="00964B88" w:rsidRDefault="00964B88">
            <w:pPr>
              <w:cnfStyle w:val="000000000000" w:firstRow="0" w:lastRow="0" w:firstColumn="0" w:lastColumn="0" w:oddVBand="0" w:evenVBand="0" w:oddHBand="0" w:evenHBand="0" w:firstRowFirstColumn="0" w:firstRowLastColumn="0" w:lastRowFirstColumn="0" w:lastRowLastColumn="0"/>
            </w:pPr>
            <w:r>
              <w:t>27.2</w:t>
            </w:r>
          </w:p>
        </w:tc>
        <w:tc>
          <w:tcPr>
            <w:tcW w:w="850" w:type="dxa"/>
            <w:tcBorders>
              <w:bottom w:val="single" w:sz="6" w:space="0" w:color="auto"/>
            </w:tcBorders>
          </w:tcPr>
          <w:p w14:paraId="623FEE66" w14:textId="77777777" w:rsidR="00964B88" w:rsidRDefault="00964B88">
            <w:pPr>
              <w:cnfStyle w:val="000000000000" w:firstRow="0" w:lastRow="0" w:firstColumn="0" w:lastColumn="0" w:oddVBand="0" w:evenVBand="0" w:oddHBand="0" w:evenHBand="0" w:firstRowFirstColumn="0" w:firstRowLastColumn="0" w:lastRowFirstColumn="0" w:lastRowLastColumn="0"/>
            </w:pPr>
            <w:r>
              <w:t>27.5</w:t>
            </w:r>
          </w:p>
        </w:tc>
        <w:tc>
          <w:tcPr>
            <w:tcW w:w="850" w:type="dxa"/>
            <w:tcBorders>
              <w:bottom w:val="single" w:sz="6" w:space="0" w:color="auto"/>
            </w:tcBorders>
          </w:tcPr>
          <w:p w14:paraId="49A9AE19" w14:textId="77777777" w:rsidR="00964B88" w:rsidRDefault="00964B88">
            <w:pPr>
              <w:cnfStyle w:val="000000000000" w:firstRow="0" w:lastRow="0" w:firstColumn="0" w:lastColumn="0" w:oddVBand="0" w:evenVBand="0" w:oddHBand="0" w:evenHBand="0" w:firstRowFirstColumn="0" w:firstRowLastColumn="0" w:lastRowFirstColumn="0" w:lastRowLastColumn="0"/>
            </w:pPr>
            <w:r>
              <w:t>27.5</w:t>
            </w:r>
          </w:p>
        </w:tc>
        <w:tc>
          <w:tcPr>
            <w:tcW w:w="850" w:type="dxa"/>
            <w:tcBorders>
              <w:bottom w:val="single" w:sz="6" w:space="0" w:color="auto"/>
            </w:tcBorders>
          </w:tcPr>
          <w:p w14:paraId="0D88D644" w14:textId="77777777" w:rsidR="00964B88" w:rsidRDefault="00964B88">
            <w:pPr>
              <w:cnfStyle w:val="000000000000" w:firstRow="0" w:lastRow="0" w:firstColumn="0" w:lastColumn="0" w:oddVBand="0" w:evenVBand="0" w:oddHBand="0" w:evenHBand="0" w:firstRowFirstColumn="0" w:firstRowLastColumn="0" w:lastRowFirstColumn="0" w:lastRowLastColumn="0"/>
            </w:pPr>
            <w:r>
              <w:t>26.2</w:t>
            </w:r>
          </w:p>
        </w:tc>
      </w:tr>
      <w:tr w:rsidR="00964B88" w14:paraId="2C042D3B"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top w:val="single" w:sz="6" w:space="0" w:color="auto"/>
              <w:bottom w:val="single" w:sz="6" w:space="0" w:color="auto"/>
            </w:tcBorders>
          </w:tcPr>
          <w:p w14:paraId="2C0BC975" w14:textId="77777777" w:rsidR="00964B88" w:rsidRDefault="00964B88">
            <w:r>
              <w:rPr>
                <w:b/>
              </w:rPr>
              <w:t>Net financial liabilities</w:t>
            </w:r>
            <w:r>
              <w:rPr>
                <w:b/>
                <w:vertAlign w:val="superscript"/>
              </w:rPr>
              <w:t xml:space="preserve"> (c)</w:t>
            </w:r>
          </w:p>
        </w:tc>
        <w:tc>
          <w:tcPr>
            <w:tcW w:w="850" w:type="dxa"/>
            <w:tcBorders>
              <w:top w:val="single" w:sz="6" w:space="0" w:color="auto"/>
              <w:bottom w:val="single" w:sz="6" w:space="0" w:color="auto"/>
            </w:tcBorders>
          </w:tcPr>
          <w:p w14:paraId="5B3C5A1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112.8</w:t>
            </w:r>
          </w:p>
        </w:tc>
        <w:tc>
          <w:tcPr>
            <w:tcW w:w="850" w:type="dxa"/>
            <w:tcBorders>
              <w:top w:val="single" w:sz="6" w:space="0" w:color="auto"/>
              <w:bottom w:val="single" w:sz="6" w:space="0" w:color="auto"/>
            </w:tcBorders>
          </w:tcPr>
          <w:p w14:paraId="3558A38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121.4</w:t>
            </w:r>
          </w:p>
        </w:tc>
        <w:tc>
          <w:tcPr>
            <w:tcW w:w="850" w:type="dxa"/>
            <w:tcBorders>
              <w:top w:val="single" w:sz="6" w:space="0" w:color="auto"/>
              <w:bottom w:val="single" w:sz="6" w:space="0" w:color="auto"/>
            </w:tcBorders>
          </w:tcPr>
          <w:p w14:paraId="2486725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125.4</w:t>
            </w:r>
          </w:p>
        </w:tc>
        <w:tc>
          <w:tcPr>
            <w:tcW w:w="850" w:type="dxa"/>
            <w:tcBorders>
              <w:top w:val="single" w:sz="6" w:space="0" w:color="auto"/>
              <w:bottom w:val="single" w:sz="6" w:space="0" w:color="auto"/>
            </w:tcBorders>
          </w:tcPr>
          <w:p w14:paraId="54DC8C6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127.0</w:t>
            </w:r>
          </w:p>
        </w:tc>
      </w:tr>
      <w:tr w:rsidR="00964B88" w14:paraId="57F2403C"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top w:val="single" w:sz="6" w:space="0" w:color="auto"/>
            </w:tcBorders>
          </w:tcPr>
          <w:p w14:paraId="3747FF09" w14:textId="77777777" w:rsidR="00964B88" w:rsidRDefault="00964B88"/>
        </w:tc>
        <w:tc>
          <w:tcPr>
            <w:tcW w:w="3400" w:type="dxa"/>
            <w:gridSpan w:val="4"/>
            <w:tcBorders>
              <w:top w:val="single" w:sz="6" w:space="0" w:color="auto"/>
            </w:tcBorders>
          </w:tcPr>
          <w:p w14:paraId="600FC480" w14:textId="77777777" w:rsidR="00964B88" w:rsidRDefault="00964B88">
            <w:pPr>
              <w:pStyle w:val="TableUnits"/>
              <w:cnfStyle w:val="000000000000" w:firstRow="0" w:lastRow="0" w:firstColumn="0" w:lastColumn="0" w:oddVBand="0" w:evenVBand="0" w:oddHBand="0" w:evenHBand="0" w:firstRowFirstColumn="0" w:firstRowLastColumn="0" w:lastRowFirstColumn="0" w:lastRowLastColumn="0"/>
              <w:rPr>
                <w:sz w:val="17"/>
              </w:rPr>
            </w:pPr>
            <w:r>
              <w:t>(per cent)</w:t>
            </w:r>
          </w:p>
        </w:tc>
      </w:tr>
      <w:tr w:rsidR="00964B88" w14:paraId="40EBA4C6" w14:textId="77777777">
        <w:tc>
          <w:tcPr>
            <w:cnfStyle w:val="001000000000" w:firstRow="0" w:lastRow="0" w:firstColumn="1" w:lastColumn="0" w:oddVBand="0" w:evenVBand="0" w:oddHBand="0" w:evenHBand="0" w:firstRowFirstColumn="0" w:firstRowLastColumn="0" w:lastRowFirstColumn="0" w:lastRowLastColumn="0"/>
            <w:tcW w:w="4368" w:type="dxa"/>
          </w:tcPr>
          <w:p w14:paraId="0397208E" w14:textId="77777777" w:rsidR="00964B88" w:rsidRDefault="00964B88">
            <w:r>
              <w:rPr>
                <w:b/>
              </w:rPr>
              <w:t>Net debt to GSP</w:t>
            </w:r>
            <w:r>
              <w:rPr>
                <w:b/>
                <w:vertAlign w:val="superscript"/>
              </w:rPr>
              <w:t xml:space="preserve"> (d)</w:t>
            </w:r>
          </w:p>
        </w:tc>
        <w:tc>
          <w:tcPr>
            <w:tcW w:w="850" w:type="dxa"/>
          </w:tcPr>
          <w:p w14:paraId="57C8AA7F"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12.1</w:t>
            </w:r>
          </w:p>
        </w:tc>
        <w:tc>
          <w:tcPr>
            <w:tcW w:w="850" w:type="dxa"/>
          </w:tcPr>
          <w:p w14:paraId="4841ABD8"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13.5</w:t>
            </w:r>
          </w:p>
        </w:tc>
        <w:tc>
          <w:tcPr>
            <w:tcW w:w="850" w:type="dxa"/>
          </w:tcPr>
          <w:p w14:paraId="1A6A51EA"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13.9</w:t>
            </w:r>
          </w:p>
        </w:tc>
        <w:tc>
          <w:tcPr>
            <w:tcW w:w="850" w:type="dxa"/>
          </w:tcPr>
          <w:p w14:paraId="7BD54CAE"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14.0</w:t>
            </w:r>
          </w:p>
        </w:tc>
      </w:tr>
      <w:tr w:rsidR="00964B88" w14:paraId="1E52F693"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bottom w:val="nil"/>
            </w:tcBorders>
          </w:tcPr>
          <w:p w14:paraId="2B1D199F" w14:textId="77777777" w:rsidR="00964B88" w:rsidRDefault="00964B88">
            <w:r>
              <w:rPr>
                <w:b/>
              </w:rPr>
              <w:t>Net debt plus superannuation liability to GSP</w:t>
            </w:r>
            <w:r>
              <w:rPr>
                <w:b/>
                <w:vertAlign w:val="superscript"/>
              </w:rPr>
              <w:t xml:space="preserve"> (d)</w:t>
            </w:r>
          </w:p>
        </w:tc>
        <w:tc>
          <w:tcPr>
            <w:tcW w:w="850" w:type="dxa"/>
            <w:tcBorders>
              <w:bottom w:val="nil"/>
            </w:tcBorders>
          </w:tcPr>
          <w:p w14:paraId="166CAC80"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18.1</w:t>
            </w:r>
          </w:p>
        </w:tc>
        <w:tc>
          <w:tcPr>
            <w:tcW w:w="850" w:type="dxa"/>
            <w:tcBorders>
              <w:bottom w:val="nil"/>
            </w:tcBorders>
          </w:tcPr>
          <w:p w14:paraId="622265C4"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18.9</w:t>
            </w:r>
          </w:p>
        </w:tc>
        <w:tc>
          <w:tcPr>
            <w:tcW w:w="850" w:type="dxa"/>
            <w:tcBorders>
              <w:bottom w:val="nil"/>
            </w:tcBorders>
          </w:tcPr>
          <w:p w14:paraId="5CA7040A"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18.7</w:t>
            </w:r>
          </w:p>
        </w:tc>
        <w:tc>
          <w:tcPr>
            <w:tcW w:w="850" w:type="dxa"/>
            <w:tcBorders>
              <w:bottom w:val="nil"/>
            </w:tcBorders>
          </w:tcPr>
          <w:p w14:paraId="0E52ECCC"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18.3</w:t>
            </w:r>
          </w:p>
        </w:tc>
      </w:tr>
      <w:tr w:rsidR="00964B88" w14:paraId="47D45998"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bottom w:val="nil"/>
            </w:tcBorders>
          </w:tcPr>
          <w:p w14:paraId="6FCA1C2C" w14:textId="77777777" w:rsidR="00964B88" w:rsidRPr="00773F39" w:rsidRDefault="00964B88">
            <w:r w:rsidRPr="00773F39">
              <w:rPr>
                <w:b/>
              </w:rPr>
              <w:t>Net financial liabilities to GSP</w:t>
            </w:r>
            <w:r w:rsidRPr="00773F39">
              <w:rPr>
                <w:b/>
                <w:vertAlign w:val="superscript"/>
              </w:rPr>
              <w:t xml:space="preserve"> (d)</w:t>
            </w:r>
          </w:p>
        </w:tc>
        <w:tc>
          <w:tcPr>
            <w:tcW w:w="850" w:type="dxa"/>
            <w:tcBorders>
              <w:bottom w:val="nil"/>
            </w:tcBorders>
          </w:tcPr>
          <w:p w14:paraId="37A7BBB8"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23.8</w:t>
            </w:r>
          </w:p>
        </w:tc>
        <w:tc>
          <w:tcPr>
            <w:tcW w:w="850" w:type="dxa"/>
            <w:tcBorders>
              <w:bottom w:val="nil"/>
            </w:tcBorders>
          </w:tcPr>
          <w:p w14:paraId="38D965E0"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24.4</w:t>
            </w:r>
          </w:p>
        </w:tc>
        <w:tc>
          <w:tcPr>
            <w:tcW w:w="850" w:type="dxa"/>
            <w:tcBorders>
              <w:bottom w:val="nil"/>
            </w:tcBorders>
          </w:tcPr>
          <w:p w14:paraId="072608A9"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24.0</w:t>
            </w:r>
          </w:p>
        </w:tc>
        <w:tc>
          <w:tcPr>
            <w:tcW w:w="850" w:type="dxa"/>
            <w:tcBorders>
              <w:bottom w:val="nil"/>
            </w:tcBorders>
          </w:tcPr>
          <w:p w14:paraId="5926FD68" w14:textId="77777777" w:rsidR="00964B88" w:rsidRPr="00773F39" w:rsidRDefault="00964B88">
            <w:pPr>
              <w:cnfStyle w:val="000000000000" w:firstRow="0" w:lastRow="0" w:firstColumn="0" w:lastColumn="0" w:oddVBand="0" w:evenVBand="0" w:oddHBand="0" w:evenHBand="0" w:firstRowFirstColumn="0" w:firstRowLastColumn="0" w:lastRowFirstColumn="0" w:lastRowLastColumn="0"/>
            </w:pPr>
            <w:r w:rsidRPr="00773F39">
              <w:t>23.1</w:t>
            </w:r>
          </w:p>
        </w:tc>
      </w:tr>
      <w:tr w:rsidR="00964B88" w14:paraId="3639A1C8"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8" w:type="dxa"/>
            <w:tcBorders>
              <w:top w:val="nil"/>
            </w:tcBorders>
          </w:tcPr>
          <w:p w14:paraId="387DFBC1" w14:textId="77777777" w:rsidR="00964B88" w:rsidRDefault="00964B88">
            <w:r>
              <w:t>Net debt plus superannuation liability to revenue</w:t>
            </w:r>
            <w:r>
              <w:rPr>
                <w:vertAlign w:val="superscript"/>
              </w:rPr>
              <w:t xml:space="preserve"> (e)</w:t>
            </w:r>
          </w:p>
        </w:tc>
        <w:tc>
          <w:tcPr>
            <w:tcW w:w="850" w:type="dxa"/>
            <w:tcBorders>
              <w:top w:val="nil"/>
            </w:tcBorders>
          </w:tcPr>
          <w:p w14:paraId="542FE54B" w14:textId="77777777" w:rsidR="00964B88" w:rsidRPr="00773F39" w:rsidRDefault="00964B88">
            <w:pPr>
              <w:cnfStyle w:val="010000000000" w:firstRow="0" w:lastRow="1" w:firstColumn="0" w:lastColumn="0" w:oddVBand="0" w:evenVBand="0" w:oddHBand="0" w:evenHBand="0" w:firstRowFirstColumn="0" w:firstRowLastColumn="0" w:lastRowFirstColumn="0" w:lastRowLastColumn="0"/>
              <w:rPr>
                <w:b w:val="0"/>
              </w:rPr>
            </w:pPr>
            <w:r w:rsidRPr="00773F39">
              <w:rPr>
                <w:b w:val="0"/>
              </w:rPr>
              <w:t>115.6</w:t>
            </w:r>
          </w:p>
        </w:tc>
        <w:tc>
          <w:tcPr>
            <w:tcW w:w="850" w:type="dxa"/>
            <w:tcBorders>
              <w:top w:val="nil"/>
            </w:tcBorders>
          </w:tcPr>
          <w:p w14:paraId="4C7C4157" w14:textId="77777777" w:rsidR="00964B88" w:rsidRPr="00773F39" w:rsidRDefault="00964B88">
            <w:pPr>
              <w:cnfStyle w:val="010000000000" w:firstRow="0" w:lastRow="1" w:firstColumn="0" w:lastColumn="0" w:oddVBand="0" w:evenVBand="0" w:oddHBand="0" w:evenHBand="0" w:firstRowFirstColumn="0" w:firstRowLastColumn="0" w:lastRowFirstColumn="0" w:lastRowLastColumn="0"/>
              <w:rPr>
                <w:b w:val="0"/>
              </w:rPr>
            </w:pPr>
            <w:r w:rsidRPr="00773F39">
              <w:rPr>
                <w:b w:val="0"/>
              </w:rPr>
              <w:t>120.2</w:t>
            </w:r>
          </w:p>
        </w:tc>
        <w:tc>
          <w:tcPr>
            <w:tcW w:w="850" w:type="dxa"/>
            <w:tcBorders>
              <w:top w:val="nil"/>
            </w:tcBorders>
          </w:tcPr>
          <w:p w14:paraId="55E3914D" w14:textId="77777777" w:rsidR="00964B88" w:rsidRPr="00773F39" w:rsidRDefault="00964B88">
            <w:pPr>
              <w:cnfStyle w:val="010000000000" w:firstRow="0" w:lastRow="1" w:firstColumn="0" w:lastColumn="0" w:oddVBand="0" w:evenVBand="0" w:oddHBand="0" w:evenHBand="0" w:firstRowFirstColumn="0" w:firstRowLastColumn="0" w:lastRowFirstColumn="0" w:lastRowLastColumn="0"/>
              <w:rPr>
                <w:b w:val="0"/>
              </w:rPr>
            </w:pPr>
            <w:r w:rsidRPr="00773F39">
              <w:rPr>
                <w:b w:val="0"/>
              </w:rPr>
              <w:t>119.9</w:t>
            </w:r>
          </w:p>
        </w:tc>
        <w:tc>
          <w:tcPr>
            <w:tcW w:w="850" w:type="dxa"/>
            <w:tcBorders>
              <w:top w:val="nil"/>
            </w:tcBorders>
          </w:tcPr>
          <w:p w14:paraId="164A29FE" w14:textId="77777777" w:rsidR="00964B88" w:rsidRPr="00773F39" w:rsidRDefault="00964B88">
            <w:pPr>
              <w:cnfStyle w:val="010000000000" w:firstRow="0" w:lastRow="1" w:firstColumn="0" w:lastColumn="0" w:oddVBand="0" w:evenVBand="0" w:oddHBand="0" w:evenHBand="0" w:firstRowFirstColumn="0" w:firstRowLastColumn="0" w:lastRowFirstColumn="0" w:lastRowLastColumn="0"/>
              <w:rPr>
                <w:b w:val="0"/>
              </w:rPr>
            </w:pPr>
            <w:r w:rsidRPr="00773F39">
              <w:rPr>
                <w:b w:val="0"/>
              </w:rPr>
              <w:t>116.8</w:t>
            </w:r>
          </w:p>
        </w:tc>
      </w:tr>
    </w:tbl>
    <w:p w14:paraId="5C004B73" w14:textId="77777777" w:rsidR="00964B88" w:rsidRDefault="00964B88" w:rsidP="00F53820">
      <w:pPr>
        <w:pStyle w:val="Note"/>
      </w:pPr>
      <w:r>
        <w:t>Notes:</w:t>
      </w:r>
    </w:p>
    <w:p w14:paraId="125B53CC" w14:textId="77777777" w:rsidR="00964B88" w:rsidRDefault="00964B88" w:rsidP="00F53820">
      <w:pPr>
        <w:pStyle w:val="Note"/>
      </w:pPr>
      <w:r>
        <w:t>(a)</w:t>
      </w:r>
      <w:r>
        <w:tab/>
        <w:t>Net debt is the sum of deposits held, advances received and borrowings less the sum of cash, advances paid and investments, loans and placements.</w:t>
      </w:r>
    </w:p>
    <w:p w14:paraId="54AA647E" w14:textId="77777777" w:rsidR="00964B88" w:rsidRDefault="00964B88" w:rsidP="00F53820">
      <w:pPr>
        <w:pStyle w:val="Note"/>
      </w:pPr>
      <w:r>
        <w:t>(b)</w:t>
      </w:r>
      <w:r>
        <w:tab/>
        <w:t xml:space="preserve">Includes other benefits and provisions, payables and other liabilities less other </w:t>
      </w:r>
      <w:r w:rsidRPr="006A7C8A">
        <w:t>non</w:t>
      </w:r>
      <w:r w:rsidRPr="006A7C8A">
        <w:noBreakHyphen/>
      </w:r>
      <w:r>
        <w:t>equity financial assets.</w:t>
      </w:r>
    </w:p>
    <w:p w14:paraId="27DE1622" w14:textId="77777777" w:rsidR="00964B88" w:rsidRDefault="00964B88" w:rsidP="00F53820">
      <w:pPr>
        <w:pStyle w:val="Note"/>
      </w:pPr>
      <w:r>
        <w:t>(c)</w:t>
      </w:r>
      <w:r>
        <w:tab/>
        <w:t xml:space="preserve">Net financial liabilities is the sum of superannuation, borrowings and other net financial liabilities less </w:t>
      </w:r>
      <w:r w:rsidRPr="006A7C8A">
        <w:t>non</w:t>
      </w:r>
      <w:r w:rsidRPr="006A7C8A">
        <w:noBreakHyphen/>
      </w:r>
      <w:r>
        <w:t>equity financial assets.</w:t>
      </w:r>
    </w:p>
    <w:p w14:paraId="0E03E076" w14:textId="77777777" w:rsidR="00964B88" w:rsidRDefault="00964B88" w:rsidP="00F53820">
      <w:pPr>
        <w:pStyle w:val="Note"/>
      </w:pPr>
      <w:r>
        <w:t>(d)</w:t>
      </w:r>
      <w:r>
        <w:tab/>
        <w:t>Ratios to GSP may vary from publications year to year due to revisions made by the Australian Bureau of Statistics to its published GSP data.</w:t>
      </w:r>
    </w:p>
    <w:p w14:paraId="45C6B4A2" w14:textId="77777777" w:rsidR="00964B88" w:rsidRDefault="00964B88" w:rsidP="00F53820">
      <w:pPr>
        <w:pStyle w:val="Note"/>
      </w:pPr>
      <w:r>
        <w:t xml:space="preserve">(e) </w:t>
      </w:r>
      <w:r>
        <w:tab/>
        <w:t>The sum of NFPS net debt plus the superannuation liability as a proportion of NFPS total operating revenue.</w:t>
      </w:r>
    </w:p>
    <w:p w14:paraId="730C734E" w14:textId="77777777" w:rsidR="00964B88" w:rsidRDefault="00964B88" w:rsidP="00F53820">
      <w:pPr>
        <w:pStyle w:val="Note"/>
      </w:pPr>
    </w:p>
    <w:p w14:paraId="3FB069FA" w14:textId="77777777" w:rsidR="00964B88" w:rsidRDefault="00964B88" w:rsidP="00F53820">
      <w:pPr>
        <w:keepLines w:val="0"/>
      </w:pPr>
      <w:r>
        <w:t>NFPS net debt is projected to increase to $76.9</w:t>
      </w:r>
      <w:r w:rsidRPr="006A7C8A">
        <w:t> billion</w:t>
      </w:r>
      <w:r>
        <w:t xml:space="preserve"> by 2022-23 following the ongoing investment in infrastructure projects over the budget and forward estimates. The NFPS net debt to GSP ratio is projected to increase from 12.1</w:t>
      </w:r>
      <w:r w:rsidRPr="006A7C8A">
        <w:t> per cent</w:t>
      </w:r>
      <w:r>
        <w:t xml:space="preserve"> in 2019</w:t>
      </w:r>
      <w:r>
        <w:noBreakHyphen/>
        <w:t>20 to 14</w:t>
      </w:r>
      <w:r w:rsidRPr="006A7C8A">
        <w:t> per cent</w:t>
      </w:r>
      <w:r>
        <w:t xml:space="preserve"> in 2022-23, predominantly driven by the general government sector.</w:t>
      </w:r>
    </w:p>
    <w:p w14:paraId="6DDE725C" w14:textId="77777777" w:rsidR="00440992" w:rsidRDefault="00440992">
      <w:pPr>
        <w:keepLines w:val="0"/>
      </w:pPr>
      <w:r>
        <w:br w:type="page"/>
      </w:r>
    </w:p>
    <w:p w14:paraId="09D62BC3" w14:textId="77777777" w:rsidR="00964B88" w:rsidRDefault="00964B88" w:rsidP="00F53820">
      <w:r>
        <w:lastRenderedPageBreak/>
        <w:t>Table 3.9 provides projections of several additional indicators of financial sustainability for the NFPS.</w:t>
      </w:r>
    </w:p>
    <w:p w14:paraId="78598086" w14:textId="77777777" w:rsidR="00964B88" w:rsidRPr="001169FA" w:rsidRDefault="00964B88" w:rsidP="00F53820">
      <w:pPr>
        <w:pStyle w:val="TableHeading"/>
        <w:rPr>
          <w:b w:val="0"/>
          <w:bCs/>
          <w:lang w:val="en-US"/>
        </w:rPr>
      </w:pPr>
      <w:r>
        <w:t>Table 3.9:</w:t>
      </w:r>
      <w:r>
        <w:tab/>
        <w:t xml:space="preserve">Indicators of financial sustainability of </w:t>
      </w:r>
      <w:r w:rsidRPr="006A7C8A">
        <w:t>non</w:t>
      </w:r>
      <w:r w:rsidRPr="006A7C8A">
        <w:noBreakHyphen/>
      </w:r>
      <w:r>
        <w:t>financial public sector</w:t>
      </w:r>
      <w:r>
        <w:tab/>
        <w:t>(per cent)</w:t>
      </w:r>
    </w:p>
    <w:tbl>
      <w:tblPr>
        <w:tblStyle w:val="DTFTable"/>
        <w:tblW w:w="7768" w:type="dxa"/>
        <w:tblLayout w:type="fixed"/>
        <w:tblLook w:val="06A0" w:firstRow="1" w:lastRow="0" w:firstColumn="1" w:lastColumn="0" w:noHBand="1" w:noVBand="1"/>
      </w:tblPr>
      <w:tblGrid>
        <w:gridCol w:w="4368"/>
        <w:gridCol w:w="850"/>
        <w:gridCol w:w="850"/>
        <w:gridCol w:w="850"/>
        <w:gridCol w:w="850"/>
      </w:tblGrid>
      <w:tr w:rsidR="00964B88" w14:paraId="48FADF6F"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8" w:type="dxa"/>
          </w:tcPr>
          <w:p w14:paraId="1CA486B9" w14:textId="77777777" w:rsidR="00964B88" w:rsidRDefault="00964B88"/>
        </w:tc>
        <w:tc>
          <w:tcPr>
            <w:tcW w:w="850" w:type="dxa"/>
          </w:tcPr>
          <w:p w14:paraId="6ED12C5D"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699FDEB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353051A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19B8289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11B332AA" w14:textId="77777777">
        <w:tc>
          <w:tcPr>
            <w:cnfStyle w:val="001000000000" w:firstRow="0" w:lastRow="0" w:firstColumn="1" w:lastColumn="0" w:oddVBand="0" w:evenVBand="0" w:oddHBand="0" w:evenHBand="0" w:firstRowFirstColumn="0" w:firstRowLastColumn="0" w:lastRowFirstColumn="0" w:lastRowLastColumn="0"/>
            <w:tcW w:w="4368" w:type="dxa"/>
          </w:tcPr>
          <w:p w14:paraId="5B5A7B57" w14:textId="77777777" w:rsidR="00964B88" w:rsidRDefault="00964B88">
            <w:r>
              <w:t>Operating cash flow surplus to revenue</w:t>
            </w:r>
          </w:p>
        </w:tc>
        <w:tc>
          <w:tcPr>
            <w:tcW w:w="850" w:type="dxa"/>
          </w:tcPr>
          <w:p w14:paraId="393AA687" w14:textId="77777777" w:rsidR="00964B88" w:rsidRDefault="00964B88">
            <w:pPr>
              <w:cnfStyle w:val="000000000000" w:firstRow="0" w:lastRow="0" w:firstColumn="0" w:lastColumn="0" w:oddVBand="0" w:evenVBand="0" w:oddHBand="0" w:evenHBand="0" w:firstRowFirstColumn="0" w:firstRowLastColumn="0" w:lastRowFirstColumn="0" w:lastRowLastColumn="0"/>
            </w:pPr>
            <w:r>
              <w:t>5.8</w:t>
            </w:r>
          </w:p>
        </w:tc>
        <w:tc>
          <w:tcPr>
            <w:tcW w:w="850" w:type="dxa"/>
          </w:tcPr>
          <w:p w14:paraId="1A134E6E" w14:textId="77777777" w:rsidR="00964B88" w:rsidRDefault="00964B88">
            <w:pPr>
              <w:cnfStyle w:val="000000000000" w:firstRow="0" w:lastRow="0" w:firstColumn="0" w:lastColumn="0" w:oddVBand="0" w:evenVBand="0" w:oddHBand="0" w:evenHBand="0" w:firstRowFirstColumn="0" w:firstRowLastColumn="0" w:lastRowFirstColumn="0" w:lastRowLastColumn="0"/>
            </w:pPr>
            <w:r>
              <w:t>7.7</w:t>
            </w:r>
          </w:p>
        </w:tc>
        <w:tc>
          <w:tcPr>
            <w:tcW w:w="850" w:type="dxa"/>
          </w:tcPr>
          <w:p w14:paraId="71B48D14" w14:textId="77777777" w:rsidR="00964B88" w:rsidRDefault="00964B88">
            <w:pPr>
              <w:cnfStyle w:val="000000000000" w:firstRow="0" w:lastRow="0" w:firstColumn="0" w:lastColumn="0" w:oddVBand="0" w:evenVBand="0" w:oddHBand="0" w:evenHBand="0" w:firstRowFirstColumn="0" w:firstRowLastColumn="0" w:lastRowFirstColumn="0" w:lastRowLastColumn="0"/>
            </w:pPr>
            <w:r>
              <w:t>11.0</w:t>
            </w:r>
          </w:p>
        </w:tc>
        <w:tc>
          <w:tcPr>
            <w:tcW w:w="850" w:type="dxa"/>
          </w:tcPr>
          <w:p w14:paraId="36951E2B" w14:textId="77777777" w:rsidR="00964B88" w:rsidRDefault="00964B88">
            <w:pPr>
              <w:cnfStyle w:val="000000000000" w:firstRow="0" w:lastRow="0" w:firstColumn="0" w:lastColumn="0" w:oddVBand="0" w:evenVBand="0" w:oddHBand="0" w:evenHBand="0" w:firstRowFirstColumn="0" w:firstRowLastColumn="0" w:lastRowFirstColumn="0" w:lastRowLastColumn="0"/>
            </w:pPr>
            <w:r>
              <w:t>11.9</w:t>
            </w:r>
          </w:p>
        </w:tc>
      </w:tr>
      <w:tr w:rsidR="00964B88" w14:paraId="6A1CBF3D" w14:textId="77777777">
        <w:tc>
          <w:tcPr>
            <w:cnfStyle w:val="001000000000" w:firstRow="0" w:lastRow="0" w:firstColumn="1" w:lastColumn="0" w:oddVBand="0" w:evenVBand="0" w:oddHBand="0" w:evenHBand="0" w:firstRowFirstColumn="0" w:firstRowLastColumn="0" w:lastRowFirstColumn="0" w:lastRowLastColumn="0"/>
            <w:tcW w:w="4368" w:type="dxa"/>
          </w:tcPr>
          <w:p w14:paraId="22AB4B79" w14:textId="77777777" w:rsidR="00964B88" w:rsidRDefault="00964B88">
            <w:r>
              <w:t>Gross debt to revenue</w:t>
            </w:r>
            <w:r>
              <w:rPr>
                <w:vertAlign w:val="superscript"/>
              </w:rPr>
              <w:t xml:space="preserve"> (a)</w:t>
            </w:r>
          </w:p>
        </w:tc>
        <w:tc>
          <w:tcPr>
            <w:tcW w:w="850" w:type="dxa"/>
          </w:tcPr>
          <w:p w14:paraId="207B1EC6" w14:textId="77777777" w:rsidR="00964B88" w:rsidRDefault="00964B88">
            <w:pPr>
              <w:cnfStyle w:val="000000000000" w:firstRow="0" w:lastRow="0" w:firstColumn="0" w:lastColumn="0" w:oddVBand="0" w:evenVBand="0" w:oddHBand="0" w:evenHBand="0" w:firstRowFirstColumn="0" w:firstRowLastColumn="0" w:lastRowFirstColumn="0" w:lastRowLastColumn="0"/>
            </w:pPr>
            <w:r>
              <w:t>92.8</w:t>
            </w:r>
          </w:p>
        </w:tc>
        <w:tc>
          <w:tcPr>
            <w:tcW w:w="850" w:type="dxa"/>
          </w:tcPr>
          <w:p w14:paraId="2E586627" w14:textId="77777777" w:rsidR="00964B88" w:rsidRDefault="00964B88">
            <w:pPr>
              <w:cnfStyle w:val="000000000000" w:firstRow="0" w:lastRow="0" w:firstColumn="0" w:lastColumn="0" w:oddVBand="0" w:evenVBand="0" w:oddHBand="0" w:evenHBand="0" w:firstRowFirstColumn="0" w:firstRowLastColumn="0" w:lastRowFirstColumn="0" w:lastRowLastColumn="0"/>
            </w:pPr>
            <w:r>
              <w:t>100.4</w:t>
            </w:r>
          </w:p>
        </w:tc>
        <w:tc>
          <w:tcPr>
            <w:tcW w:w="850" w:type="dxa"/>
          </w:tcPr>
          <w:p w14:paraId="10539FF1" w14:textId="77777777" w:rsidR="00964B88" w:rsidRDefault="00964B88">
            <w:pPr>
              <w:cnfStyle w:val="000000000000" w:firstRow="0" w:lastRow="0" w:firstColumn="0" w:lastColumn="0" w:oddVBand="0" w:evenVBand="0" w:oddHBand="0" w:evenHBand="0" w:firstRowFirstColumn="0" w:firstRowLastColumn="0" w:lastRowFirstColumn="0" w:lastRowLastColumn="0"/>
            </w:pPr>
            <w:r>
              <w:t>103.0</w:t>
            </w:r>
          </w:p>
        </w:tc>
        <w:tc>
          <w:tcPr>
            <w:tcW w:w="850" w:type="dxa"/>
          </w:tcPr>
          <w:p w14:paraId="732B95BF" w14:textId="77777777" w:rsidR="00964B88" w:rsidRDefault="00964B88">
            <w:pPr>
              <w:cnfStyle w:val="000000000000" w:firstRow="0" w:lastRow="0" w:firstColumn="0" w:lastColumn="0" w:oddVBand="0" w:evenVBand="0" w:oddHBand="0" w:evenHBand="0" w:firstRowFirstColumn="0" w:firstRowLastColumn="0" w:lastRowFirstColumn="0" w:lastRowLastColumn="0"/>
            </w:pPr>
            <w:r>
              <w:t>102.8</w:t>
            </w:r>
          </w:p>
        </w:tc>
      </w:tr>
      <w:tr w:rsidR="00964B88" w14:paraId="6880471E" w14:textId="77777777">
        <w:tc>
          <w:tcPr>
            <w:cnfStyle w:val="001000000000" w:firstRow="0" w:lastRow="0" w:firstColumn="1" w:lastColumn="0" w:oddVBand="0" w:evenVBand="0" w:oddHBand="0" w:evenHBand="0" w:firstRowFirstColumn="0" w:firstRowLastColumn="0" w:lastRowFirstColumn="0" w:lastRowLastColumn="0"/>
            <w:tcW w:w="4368" w:type="dxa"/>
          </w:tcPr>
          <w:p w14:paraId="6BE174EE" w14:textId="77777777" w:rsidR="00964B88" w:rsidRDefault="00964B88">
            <w:r>
              <w:t>Interest expense to revenue</w:t>
            </w:r>
          </w:p>
        </w:tc>
        <w:tc>
          <w:tcPr>
            <w:tcW w:w="850" w:type="dxa"/>
          </w:tcPr>
          <w:p w14:paraId="434FAC45" w14:textId="77777777" w:rsidR="00964B88" w:rsidRDefault="00964B88">
            <w:pPr>
              <w:cnfStyle w:val="000000000000" w:firstRow="0" w:lastRow="0" w:firstColumn="0" w:lastColumn="0" w:oddVBand="0" w:evenVBand="0" w:oddHBand="0" w:evenHBand="0" w:firstRowFirstColumn="0" w:firstRowLastColumn="0" w:lastRowFirstColumn="0" w:lastRowLastColumn="0"/>
            </w:pPr>
            <w:r>
              <w:t>4.0</w:t>
            </w:r>
          </w:p>
        </w:tc>
        <w:tc>
          <w:tcPr>
            <w:tcW w:w="850" w:type="dxa"/>
          </w:tcPr>
          <w:p w14:paraId="6290BCCA" w14:textId="77777777" w:rsidR="00964B88" w:rsidRDefault="00964B88">
            <w:pPr>
              <w:cnfStyle w:val="000000000000" w:firstRow="0" w:lastRow="0" w:firstColumn="0" w:lastColumn="0" w:oddVBand="0" w:evenVBand="0" w:oddHBand="0" w:evenHBand="0" w:firstRowFirstColumn="0" w:firstRowLastColumn="0" w:lastRowFirstColumn="0" w:lastRowLastColumn="0"/>
            </w:pPr>
            <w:r>
              <w:t>4.0</w:t>
            </w:r>
          </w:p>
        </w:tc>
        <w:tc>
          <w:tcPr>
            <w:tcW w:w="850" w:type="dxa"/>
          </w:tcPr>
          <w:p w14:paraId="65A77689" w14:textId="77777777" w:rsidR="00964B88" w:rsidRDefault="00964B88">
            <w:pPr>
              <w:cnfStyle w:val="000000000000" w:firstRow="0" w:lastRow="0" w:firstColumn="0" w:lastColumn="0" w:oddVBand="0" w:evenVBand="0" w:oddHBand="0" w:evenHBand="0" w:firstRowFirstColumn="0" w:firstRowLastColumn="0" w:lastRowFirstColumn="0" w:lastRowLastColumn="0"/>
            </w:pPr>
            <w:r>
              <w:t>4.0</w:t>
            </w:r>
          </w:p>
        </w:tc>
        <w:tc>
          <w:tcPr>
            <w:tcW w:w="850" w:type="dxa"/>
          </w:tcPr>
          <w:p w14:paraId="647B47D9" w14:textId="77777777" w:rsidR="00964B88" w:rsidRDefault="00964B88">
            <w:pPr>
              <w:cnfStyle w:val="000000000000" w:firstRow="0" w:lastRow="0" w:firstColumn="0" w:lastColumn="0" w:oddVBand="0" w:evenVBand="0" w:oddHBand="0" w:evenHBand="0" w:firstRowFirstColumn="0" w:firstRowLastColumn="0" w:lastRowFirstColumn="0" w:lastRowLastColumn="0"/>
            </w:pPr>
            <w:r>
              <w:t>4.0</w:t>
            </w:r>
          </w:p>
        </w:tc>
      </w:tr>
    </w:tbl>
    <w:p w14:paraId="1C352A55" w14:textId="77777777" w:rsidR="00964B88" w:rsidRDefault="00964B88" w:rsidP="00F53820">
      <w:pPr>
        <w:pStyle w:val="Note"/>
      </w:pPr>
      <w:r>
        <w:t>Note:</w:t>
      </w:r>
    </w:p>
    <w:p w14:paraId="3EA5CFF4" w14:textId="77777777" w:rsidR="00964B88" w:rsidRDefault="00964B88" w:rsidP="00F53820">
      <w:pPr>
        <w:pStyle w:val="Note"/>
      </w:pPr>
      <w:r>
        <w:t>(a)</w:t>
      </w:r>
      <w:r>
        <w:tab/>
        <w:t>Gross debt includes borrowings, deposits held, and advances received.</w:t>
      </w:r>
    </w:p>
    <w:p w14:paraId="7A278BA5" w14:textId="77777777" w:rsidR="00964B88" w:rsidRDefault="00964B88" w:rsidP="00F53820">
      <w:bookmarkStart w:id="56" w:name="_Toc500435572"/>
    </w:p>
    <w:p w14:paraId="5A252822" w14:textId="77777777" w:rsidR="00964B88" w:rsidRDefault="00964B88" w:rsidP="00F53820">
      <w:r w:rsidRPr="003803DE">
        <w:t>The operating cash flow surplus to revenue ratio is an indication of the level of cash generated from operations that can be used to fund infrastructure.</w:t>
      </w:r>
      <w:r>
        <w:t xml:space="preserve"> </w:t>
      </w:r>
      <w:r w:rsidRPr="003803DE">
        <w:t xml:space="preserve">This ratio increases strongly from </w:t>
      </w:r>
      <w:r>
        <w:t>5.8</w:t>
      </w:r>
      <w:r w:rsidRPr="003803DE">
        <w:t xml:space="preserve"> per cent in 2019-20 to </w:t>
      </w:r>
      <w:r>
        <w:t>11.9</w:t>
      </w:r>
      <w:r w:rsidRPr="003803DE">
        <w:t xml:space="preserve"> per cent by 2022-23 due to improving operating cash flow surpluses over the budget and forward estimates. This </w:t>
      </w:r>
      <w:r>
        <w:t xml:space="preserve">partly </w:t>
      </w:r>
      <w:r w:rsidRPr="003803DE">
        <w:t xml:space="preserve">reflects the impact of revenue growth </w:t>
      </w:r>
      <w:r>
        <w:t xml:space="preserve">exceeding </w:t>
      </w:r>
      <w:r w:rsidRPr="003803DE">
        <w:t xml:space="preserve">expenditure growth for the general government sector in line with the Government’s </w:t>
      </w:r>
      <w:r>
        <w:t>prudent financial strategy implementing savings and</w:t>
      </w:r>
      <w:r w:rsidRPr="003803DE">
        <w:t xml:space="preserve"> efficiencies to improve the effectiveness of spending.</w:t>
      </w:r>
    </w:p>
    <w:p w14:paraId="5E818F78" w14:textId="77777777" w:rsidR="00964B88" w:rsidRDefault="00964B88" w:rsidP="00F53820">
      <w:r>
        <w:t>The ratio of NFPS interest expense to revenue is a measure of the State’s debt service burden. This ratio is expected to be 4.0</w:t>
      </w:r>
      <w:r w:rsidRPr="006A7C8A">
        <w:t> per cent</w:t>
      </w:r>
      <w:r>
        <w:t xml:space="preserve"> in </w:t>
      </w:r>
      <w:r w:rsidRPr="006A7C8A">
        <w:t>201</w:t>
      </w:r>
      <w:r>
        <w:t>9</w:t>
      </w:r>
      <w:r w:rsidRPr="006A7C8A">
        <w:noBreakHyphen/>
      </w:r>
      <w:r>
        <w:t>20 and remain stable over the budget and forward estimates. This is due to debt requirements (new and refinancing of existing debt)</w:t>
      </w:r>
      <w:r w:rsidRPr="00A2040D">
        <w:t xml:space="preserve"> </w:t>
      </w:r>
      <w:r>
        <w:t xml:space="preserve">being </w:t>
      </w:r>
      <w:r w:rsidRPr="00A2040D">
        <w:t>financed at historically low interest rates</w:t>
      </w:r>
      <w:r>
        <w:t xml:space="preserve"> and an estimated increase in revenue</w:t>
      </w:r>
      <w:r w:rsidRPr="00A2040D">
        <w:t>.</w:t>
      </w:r>
      <w:r>
        <w:t xml:space="preserve"> The overall debt burden is evidenced by the ratio of gross debt to revenue ratio, which is estimated to be 92.8</w:t>
      </w:r>
      <w:r w:rsidRPr="006A7C8A">
        <w:t> per cent</w:t>
      </w:r>
      <w:r>
        <w:t xml:space="preserve"> in </w:t>
      </w:r>
      <w:r w:rsidRPr="006A7C8A">
        <w:t>201</w:t>
      </w:r>
      <w:r>
        <w:t>9</w:t>
      </w:r>
      <w:r w:rsidRPr="006A7C8A">
        <w:noBreakHyphen/>
      </w:r>
      <w:r>
        <w:t xml:space="preserve">20, increasing to 102.8 per </w:t>
      </w:r>
      <w:r w:rsidRPr="006A7C8A">
        <w:t>cent</w:t>
      </w:r>
      <w:r>
        <w:t xml:space="preserve"> by 2022</w:t>
      </w:r>
      <w:r>
        <w:noBreakHyphen/>
        <w:t xml:space="preserve">23. </w:t>
      </w:r>
    </w:p>
    <w:p w14:paraId="2B69D6BF" w14:textId="77777777" w:rsidR="00964B88" w:rsidRPr="00440992" w:rsidRDefault="00964B88" w:rsidP="00440992">
      <w:r w:rsidRPr="00440992">
        <w:br w:type="page"/>
      </w:r>
    </w:p>
    <w:p w14:paraId="1660234C" w14:textId="77777777" w:rsidR="00964B88" w:rsidRDefault="00964B88" w:rsidP="00F53820">
      <w:pPr>
        <w:pStyle w:val="Heading10"/>
      </w:pPr>
      <w:bookmarkStart w:id="57" w:name="_Toc26788539"/>
      <w:r>
        <w:lastRenderedPageBreak/>
        <w:t>State of Victoria</w:t>
      </w:r>
      <w:bookmarkEnd w:id="56"/>
      <w:bookmarkEnd w:id="57"/>
    </w:p>
    <w:p w14:paraId="0136E026" w14:textId="77777777" w:rsidR="00964B88" w:rsidRPr="00FF3197" w:rsidRDefault="00964B88" w:rsidP="00F53820">
      <w:r>
        <w:t xml:space="preserve">The State of Victoria financial results are obtained by consolidating the </w:t>
      </w:r>
      <w:r w:rsidRPr="006D731E">
        <w:t xml:space="preserve">public financial corporations (PFC) </w:t>
      </w:r>
      <w:r>
        <w:t>sector with the NFPS. There are two broad types of PFCs, those that provide services to the general public and businesses (statutory insurers such as Transport Accident Commission and WorkSafe Victoria) and those that provide financial services predominantly to other government entities (such as the Victorian Funds Management Corporation and the Treasury Corporation of Victoria).</w:t>
      </w:r>
    </w:p>
    <w:p w14:paraId="3141B47F" w14:textId="77777777" w:rsidR="00964B88" w:rsidRPr="00956279" w:rsidRDefault="00964B88" w:rsidP="00F53820">
      <w:pPr>
        <w:pStyle w:val="TableHeading"/>
        <w:rPr>
          <w:bCs/>
          <w:i/>
          <w:spacing w:val="-2"/>
          <w:sz w:val="14"/>
          <w:lang w:val="en-US"/>
        </w:rPr>
      </w:pPr>
      <w:bookmarkStart w:id="58" w:name="_Hlk26264666"/>
      <w:r>
        <w:t xml:space="preserve">Table 3.10: </w:t>
      </w:r>
      <w:r>
        <w:tab/>
        <w:t xml:space="preserve">Summary operating statement of the State of Victoria </w:t>
      </w:r>
      <w:bookmarkEnd w:id="58"/>
      <w:r w:rsidRPr="00455A9E">
        <w:rPr>
          <w:vertAlign w:val="superscript"/>
        </w:rPr>
        <w:t>(a)</w:t>
      </w:r>
      <w:r>
        <w:tab/>
        <w:t>($ million)</w:t>
      </w:r>
    </w:p>
    <w:tbl>
      <w:tblPr>
        <w:tblStyle w:val="DTFTable"/>
        <w:tblW w:w="7768" w:type="dxa"/>
        <w:tblLayout w:type="fixed"/>
        <w:tblLook w:val="06E0" w:firstRow="1" w:lastRow="1" w:firstColumn="1" w:lastColumn="0" w:noHBand="1" w:noVBand="1"/>
      </w:tblPr>
      <w:tblGrid>
        <w:gridCol w:w="4424"/>
        <w:gridCol w:w="836"/>
        <w:gridCol w:w="836"/>
        <w:gridCol w:w="836"/>
        <w:gridCol w:w="836"/>
      </w:tblGrid>
      <w:tr w:rsidR="00964B88" w14:paraId="52E0F4EB" w14:textId="77777777" w:rsidTr="004409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24" w:type="dxa"/>
          </w:tcPr>
          <w:p w14:paraId="40B649CC" w14:textId="77777777" w:rsidR="00964B88" w:rsidRDefault="00964B88"/>
        </w:tc>
        <w:tc>
          <w:tcPr>
            <w:tcW w:w="836" w:type="dxa"/>
          </w:tcPr>
          <w:p w14:paraId="2C39FE66"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36" w:type="dxa"/>
          </w:tcPr>
          <w:p w14:paraId="47E164C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36" w:type="dxa"/>
          </w:tcPr>
          <w:p w14:paraId="2CE3D1F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36" w:type="dxa"/>
          </w:tcPr>
          <w:p w14:paraId="3AFB39B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13D49659"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1B20CF5D" w14:textId="77777777" w:rsidR="00964B88" w:rsidRDefault="00964B88">
            <w:r>
              <w:rPr>
                <w:b/>
              </w:rPr>
              <w:t>Revenue</w:t>
            </w:r>
          </w:p>
        </w:tc>
        <w:tc>
          <w:tcPr>
            <w:tcW w:w="836" w:type="dxa"/>
          </w:tcPr>
          <w:p w14:paraId="54BFDD2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36" w:type="dxa"/>
          </w:tcPr>
          <w:p w14:paraId="5F940E1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36" w:type="dxa"/>
          </w:tcPr>
          <w:p w14:paraId="4DEE4C6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36" w:type="dxa"/>
          </w:tcPr>
          <w:p w14:paraId="49F6959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AEFC208"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5D98906C" w14:textId="77777777" w:rsidR="00964B88" w:rsidRDefault="00964B88">
            <w:r>
              <w:t>Taxation revenue</w:t>
            </w:r>
          </w:p>
        </w:tc>
        <w:tc>
          <w:tcPr>
            <w:tcW w:w="836" w:type="dxa"/>
          </w:tcPr>
          <w:p w14:paraId="40E97300" w14:textId="77777777" w:rsidR="00964B88" w:rsidRDefault="00964B88">
            <w:pPr>
              <w:cnfStyle w:val="000000000000" w:firstRow="0" w:lastRow="0" w:firstColumn="0" w:lastColumn="0" w:oddVBand="0" w:evenVBand="0" w:oddHBand="0" w:evenHBand="0" w:firstRowFirstColumn="0" w:firstRowLastColumn="0" w:lastRowFirstColumn="0" w:lastRowLastColumn="0"/>
            </w:pPr>
            <w:r>
              <w:t>23 941</w:t>
            </w:r>
          </w:p>
        </w:tc>
        <w:tc>
          <w:tcPr>
            <w:tcW w:w="836" w:type="dxa"/>
          </w:tcPr>
          <w:p w14:paraId="56ED92D4" w14:textId="77777777" w:rsidR="00964B88" w:rsidRDefault="00964B88">
            <w:pPr>
              <w:cnfStyle w:val="000000000000" w:firstRow="0" w:lastRow="0" w:firstColumn="0" w:lastColumn="0" w:oddVBand="0" w:evenVBand="0" w:oddHBand="0" w:evenHBand="0" w:firstRowFirstColumn="0" w:firstRowLastColumn="0" w:lastRowFirstColumn="0" w:lastRowLastColumn="0"/>
            </w:pPr>
            <w:r>
              <w:t>25 133</w:t>
            </w:r>
          </w:p>
        </w:tc>
        <w:tc>
          <w:tcPr>
            <w:tcW w:w="836" w:type="dxa"/>
          </w:tcPr>
          <w:p w14:paraId="7326A1F5" w14:textId="77777777" w:rsidR="00964B88" w:rsidRDefault="00964B88">
            <w:pPr>
              <w:cnfStyle w:val="000000000000" w:firstRow="0" w:lastRow="0" w:firstColumn="0" w:lastColumn="0" w:oddVBand="0" w:evenVBand="0" w:oddHBand="0" w:evenHBand="0" w:firstRowFirstColumn="0" w:firstRowLastColumn="0" w:lastRowFirstColumn="0" w:lastRowLastColumn="0"/>
            </w:pPr>
            <w:r>
              <w:t>26 483</w:t>
            </w:r>
          </w:p>
        </w:tc>
        <w:tc>
          <w:tcPr>
            <w:tcW w:w="836" w:type="dxa"/>
          </w:tcPr>
          <w:p w14:paraId="2C203721" w14:textId="77777777" w:rsidR="00964B88" w:rsidRDefault="00964B88">
            <w:pPr>
              <w:cnfStyle w:val="000000000000" w:firstRow="0" w:lastRow="0" w:firstColumn="0" w:lastColumn="0" w:oddVBand="0" w:evenVBand="0" w:oddHBand="0" w:evenHBand="0" w:firstRowFirstColumn="0" w:firstRowLastColumn="0" w:lastRowFirstColumn="0" w:lastRowLastColumn="0"/>
            </w:pPr>
            <w:r>
              <w:t>28 042</w:t>
            </w:r>
          </w:p>
        </w:tc>
      </w:tr>
      <w:tr w:rsidR="00964B88" w14:paraId="72FF57CC"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0AF38CF8" w14:textId="77777777" w:rsidR="00964B88" w:rsidRDefault="00964B88">
            <w:r>
              <w:t>Interest revenue</w:t>
            </w:r>
          </w:p>
        </w:tc>
        <w:tc>
          <w:tcPr>
            <w:tcW w:w="836" w:type="dxa"/>
          </w:tcPr>
          <w:p w14:paraId="3C73B47A" w14:textId="77777777" w:rsidR="00964B88" w:rsidRDefault="00964B88">
            <w:pPr>
              <w:cnfStyle w:val="000000000000" w:firstRow="0" w:lastRow="0" w:firstColumn="0" w:lastColumn="0" w:oddVBand="0" w:evenVBand="0" w:oddHBand="0" w:evenHBand="0" w:firstRowFirstColumn="0" w:firstRowLastColumn="0" w:lastRowFirstColumn="0" w:lastRowLastColumn="0"/>
            </w:pPr>
            <w:r>
              <w:t>457</w:t>
            </w:r>
          </w:p>
        </w:tc>
        <w:tc>
          <w:tcPr>
            <w:tcW w:w="836" w:type="dxa"/>
          </w:tcPr>
          <w:p w14:paraId="3DDF7081" w14:textId="77777777" w:rsidR="00964B88" w:rsidRDefault="00964B88">
            <w:pPr>
              <w:cnfStyle w:val="000000000000" w:firstRow="0" w:lastRow="0" w:firstColumn="0" w:lastColumn="0" w:oddVBand="0" w:evenVBand="0" w:oddHBand="0" w:evenHBand="0" w:firstRowFirstColumn="0" w:firstRowLastColumn="0" w:lastRowFirstColumn="0" w:lastRowLastColumn="0"/>
            </w:pPr>
            <w:r>
              <w:t>422</w:t>
            </w:r>
          </w:p>
        </w:tc>
        <w:tc>
          <w:tcPr>
            <w:tcW w:w="836" w:type="dxa"/>
          </w:tcPr>
          <w:p w14:paraId="3FEBE9F1" w14:textId="77777777" w:rsidR="00964B88" w:rsidRDefault="00964B88">
            <w:pPr>
              <w:cnfStyle w:val="000000000000" w:firstRow="0" w:lastRow="0" w:firstColumn="0" w:lastColumn="0" w:oddVBand="0" w:evenVBand="0" w:oddHBand="0" w:evenHBand="0" w:firstRowFirstColumn="0" w:firstRowLastColumn="0" w:lastRowFirstColumn="0" w:lastRowLastColumn="0"/>
            </w:pPr>
            <w:r>
              <w:t>484</w:t>
            </w:r>
          </w:p>
        </w:tc>
        <w:tc>
          <w:tcPr>
            <w:tcW w:w="836" w:type="dxa"/>
          </w:tcPr>
          <w:p w14:paraId="587A9DAA" w14:textId="77777777" w:rsidR="00964B88" w:rsidRDefault="00964B88">
            <w:pPr>
              <w:cnfStyle w:val="000000000000" w:firstRow="0" w:lastRow="0" w:firstColumn="0" w:lastColumn="0" w:oddVBand="0" w:evenVBand="0" w:oddHBand="0" w:evenHBand="0" w:firstRowFirstColumn="0" w:firstRowLastColumn="0" w:lastRowFirstColumn="0" w:lastRowLastColumn="0"/>
            </w:pPr>
            <w:r>
              <w:t>488</w:t>
            </w:r>
          </w:p>
        </w:tc>
      </w:tr>
      <w:tr w:rsidR="00964B88" w14:paraId="318E080A"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48D83388" w14:textId="77777777" w:rsidR="00964B88" w:rsidRDefault="00964B88">
            <w:r>
              <w:t>Dividends, income tax equivalent and rate equivalent revenue</w:t>
            </w:r>
          </w:p>
        </w:tc>
        <w:tc>
          <w:tcPr>
            <w:tcW w:w="836" w:type="dxa"/>
          </w:tcPr>
          <w:p w14:paraId="293DBD27" w14:textId="77777777" w:rsidR="00964B88" w:rsidRDefault="00964B88">
            <w:pPr>
              <w:cnfStyle w:val="000000000000" w:firstRow="0" w:lastRow="0" w:firstColumn="0" w:lastColumn="0" w:oddVBand="0" w:evenVBand="0" w:oddHBand="0" w:evenHBand="0" w:firstRowFirstColumn="0" w:firstRowLastColumn="0" w:lastRowFirstColumn="0" w:lastRowLastColumn="0"/>
            </w:pPr>
            <w:r>
              <w:t>1 876</w:t>
            </w:r>
          </w:p>
        </w:tc>
        <w:tc>
          <w:tcPr>
            <w:tcW w:w="836" w:type="dxa"/>
          </w:tcPr>
          <w:p w14:paraId="408E455A" w14:textId="77777777" w:rsidR="00964B88" w:rsidRDefault="00964B88">
            <w:pPr>
              <w:cnfStyle w:val="000000000000" w:firstRow="0" w:lastRow="0" w:firstColumn="0" w:lastColumn="0" w:oddVBand="0" w:evenVBand="0" w:oddHBand="0" w:evenHBand="0" w:firstRowFirstColumn="0" w:firstRowLastColumn="0" w:lastRowFirstColumn="0" w:lastRowLastColumn="0"/>
            </w:pPr>
            <w:r>
              <w:t>1 824</w:t>
            </w:r>
          </w:p>
        </w:tc>
        <w:tc>
          <w:tcPr>
            <w:tcW w:w="836" w:type="dxa"/>
          </w:tcPr>
          <w:p w14:paraId="2D0772C6" w14:textId="77777777" w:rsidR="00964B88" w:rsidRDefault="00964B88">
            <w:pPr>
              <w:cnfStyle w:val="000000000000" w:firstRow="0" w:lastRow="0" w:firstColumn="0" w:lastColumn="0" w:oddVBand="0" w:evenVBand="0" w:oddHBand="0" w:evenHBand="0" w:firstRowFirstColumn="0" w:firstRowLastColumn="0" w:lastRowFirstColumn="0" w:lastRowLastColumn="0"/>
            </w:pPr>
            <w:r>
              <w:t>1 830</w:t>
            </w:r>
          </w:p>
        </w:tc>
        <w:tc>
          <w:tcPr>
            <w:tcW w:w="836" w:type="dxa"/>
          </w:tcPr>
          <w:p w14:paraId="11CAF10C" w14:textId="77777777" w:rsidR="00964B88" w:rsidRDefault="00964B88">
            <w:pPr>
              <w:cnfStyle w:val="000000000000" w:firstRow="0" w:lastRow="0" w:firstColumn="0" w:lastColumn="0" w:oddVBand="0" w:evenVBand="0" w:oddHBand="0" w:evenHBand="0" w:firstRowFirstColumn="0" w:firstRowLastColumn="0" w:lastRowFirstColumn="0" w:lastRowLastColumn="0"/>
            </w:pPr>
            <w:r>
              <w:t>1 882</w:t>
            </w:r>
          </w:p>
        </w:tc>
      </w:tr>
      <w:tr w:rsidR="00964B88" w14:paraId="5B1E1F42"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30D747B1" w14:textId="77777777" w:rsidR="00964B88" w:rsidRDefault="00964B88">
            <w:r>
              <w:t>Sales of goods and services</w:t>
            </w:r>
          </w:p>
        </w:tc>
        <w:tc>
          <w:tcPr>
            <w:tcW w:w="836" w:type="dxa"/>
          </w:tcPr>
          <w:p w14:paraId="4DE625E5" w14:textId="77777777" w:rsidR="00964B88" w:rsidRDefault="00964B88">
            <w:pPr>
              <w:cnfStyle w:val="000000000000" w:firstRow="0" w:lastRow="0" w:firstColumn="0" w:lastColumn="0" w:oddVBand="0" w:evenVBand="0" w:oddHBand="0" w:evenHBand="0" w:firstRowFirstColumn="0" w:firstRowLastColumn="0" w:lastRowFirstColumn="0" w:lastRowLastColumn="0"/>
            </w:pPr>
            <w:r>
              <w:t>16 263</w:t>
            </w:r>
          </w:p>
        </w:tc>
        <w:tc>
          <w:tcPr>
            <w:tcW w:w="836" w:type="dxa"/>
          </w:tcPr>
          <w:p w14:paraId="11489ECE" w14:textId="77777777" w:rsidR="00964B88" w:rsidRDefault="00964B88">
            <w:pPr>
              <w:cnfStyle w:val="000000000000" w:firstRow="0" w:lastRow="0" w:firstColumn="0" w:lastColumn="0" w:oddVBand="0" w:evenVBand="0" w:oddHBand="0" w:evenHBand="0" w:firstRowFirstColumn="0" w:firstRowLastColumn="0" w:lastRowFirstColumn="0" w:lastRowLastColumn="0"/>
            </w:pPr>
            <w:r>
              <w:t>17 163</w:t>
            </w:r>
          </w:p>
        </w:tc>
        <w:tc>
          <w:tcPr>
            <w:tcW w:w="836" w:type="dxa"/>
          </w:tcPr>
          <w:p w14:paraId="2A010BCB" w14:textId="77777777" w:rsidR="00964B88" w:rsidRDefault="00964B88">
            <w:pPr>
              <w:cnfStyle w:val="000000000000" w:firstRow="0" w:lastRow="0" w:firstColumn="0" w:lastColumn="0" w:oddVBand="0" w:evenVBand="0" w:oddHBand="0" w:evenHBand="0" w:firstRowFirstColumn="0" w:firstRowLastColumn="0" w:lastRowFirstColumn="0" w:lastRowLastColumn="0"/>
            </w:pPr>
            <w:r>
              <w:t>17 519</w:t>
            </w:r>
          </w:p>
        </w:tc>
        <w:tc>
          <w:tcPr>
            <w:tcW w:w="836" w:type="dxa"/>
          </w:tcPr>
          <w:p w14:paraId="052E451D" w14:textId="77777777" w:rsidR="00964B88" w:rsidRDefault="00964B88">
            <w:pPr>
              <w:cnfStyle w:val="000000000000" w:firstRow="0" w:lastRow="0" w:firstColumn="0" w:lastColumn="0" w:oddVBand="0" w:evenVBand="0" w:oddHBand="0" w:evenHBand="0" w:firstRowFirstColumn="0" w:firstRowLastColumn="0" w:lastRowFirstColumn="0" w:lastRowLastColumn="0"/>
            </w:pPr>
            <w:r>
              <w:t>18 279</w:t>
            </w:r>
          </w:p>
        </w:tc>
      </w:tr>
      <w:tr w:rsidR="00964B88" w14:paraId="6C53D22B"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2DA209E2" w14:textId="77777777" w:rsidR="00964B88" w:rsidRDefault="00964B88">
            <w:r>
              <w:t>Grant revenue</w:t>
            </w:r>
          </w:p>
        </w:tc>
        <w:tc>
          <w:tcPr>
            <w:tcW w:w="836" w:type="dxa"/>
          </w:tcPr>
          <w:p w14:paraId="3C61F3F3" w14:textId="77777777" w:rsidR="00964B88" w:rsidRDefault="00964B88">
            <w:pPr>
              <w:cnfStyle w:val="000000000000" w:firstRow="0" w:lastRow="0" w:firstColumn="0" w:lastColumn="0" w:oddVBand="0" w:evenVBand="0" w:oddHBand="0" w:evenHBand="0" w:firstRowFirstColumn="0" w:firstRowLastColumn="0" w:lastRowFirstColumn="0" w:lastRowLastColumn="0"/>
            </w:pPr>
            <w:r>
              <w:t>32 342</w:t>
            </w:r>
          </w:p>
        </w:tc>
        <w:tc>
          <w:tcPr>
            <w:tcW w:w="836" w:type="dxa"/>
          </w:tcPr>
          <w:p w14:paraId="14D88ABF" w14:textId="77777777" w:rsidR="00964B88" w:rsidRDefault="00964B88">
            <w:pPr>
              <w:cnfStyle w:val="000000000000" w:firstRow="0" w:lastRow="0" w:firstColumn="0" w:lastColumn="0" w:oddVBand="0" w:evenVBand="0" w:oddHBand="0" w:evenHBand="0" w:firstRowFirstColumn="0" w:firstRowLastColumn="0" w:lastRowFirstColumn="0" w:lastRowLastColumn="0"/>
            </w:pPr>
            <w:r>
              <w:t>34 508</w:t>
            </w:r>
          </w:p>
        </w:tc>
        <w:tc>
          <w:tcPr>
            <w:tcW w:w="836" w:type="dxa"/>
          </w:tcPr>
          <w:p w14:paraId="524F7037" w14:textId="77777777" w:rsidR="00964B88" w:rsidRDefault="00964B88">
            <w:pPr>
              <w:cnfStyle w:val="000000000000" w:firstRow="0" w:lastRow="0" w:firstColumn="0" w:lastColumn="0" w:oddVBand="0" w:evenVBand="0" w:oddHBand="0" w:evenHBand="0" w:firstRowFirstColumn="0" w:firstRowLastColumn="0" w:lastRowFirstColumn="0" w:lastRowLastColumn="0"/>
            </w:pPr>
            <w:r>
              <w:t>36 555</w:t>
            </w:r>
          </w:p>
        </w:tc>
        <w:tc>
          <w:tcPr>
            <w:tcW w:w="836" w:type="dxa"/>
          </w:tcPr>
          <w:p w14:paraId="4C90DBFA" w14:textId="77777777" w:rsidR="00964B88" w:rsidRDefault="00964B88">
            <w:pPr>
              <w:cnfStyle w:val="000000000000" w:firstRow="0" w:lastRow="0" w:firstColumn="0" w:lastColumn="0" w:oddVBand="0" w:evenVBand="0" w:oddHBand="0" w:evenHBand="0" w:firstRowFirstColumn="0" w:firstRowLastColumn="0" w:lastRowFirstColumn="0" w:lastRowLastColumn="0"/>
            </w:pPr>
            <w:r>
              <w:t>39 649</w:t>
            </w:r>
          </w:p>
        </w:tc>
      </w:tr>
      <w:tr w:rsidR="00964B88" w14:paraId="23C47657"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bottom w:val="single" w:sz="6" w:space="0" w:color="auto"/>
            </w:tcBorders>
          </w:tcPr>
          <w:p w14:paraId="66B2BF58" w14:textId="77777777" w:rsidR="00964B88" w:rsidRDefault="00964B88">
            <w:r>
              <w:t>Other current revenue</w:t>
            </w:r>
          </w:p>
        </w:tc>
        <w:tc>
          <w:tcPr>
            <w:tcW w:w="836" w:type="dxa"/>
            <w:tcBorders>
              <w:bottom w:val="single" w:sz="6" w:space="0" w:color="auto"/>
            </w:tcBorders>
          </w:tcPr>
          <w:p w14:paraId="72637965" w14:textId="77777777" w:rsidR="00964B88" w:rsidRDefault="00964B88">
            <w:pPr>
              <w:cnfStyle w:val="000000000000" w:firstRow="0" w:lastRow="0" w:firstColumn="0" w:lastColumn="0" w:oddVBand="0" w:evenVBand="0" w:oddHBand="0" w:evenHBand="0" w:firstRowFirstColumn="0" w:firstRowLastColumn="0" w:lastRowFirstColumn="0" w:lastRowLastColumn="0"/>
            </w:pPr>
            <w:r>
              <w:t>3 659</w:t>
            </w:r>
          </w:p>
        </w:tc>
        <w:tc>
          <w:tcPr>
            <w:tcW w:w="836" w:type="dxa"/>
            <w:tcBorders>
              <w:bottom w:val="single" w:sz="6" w:space="0" w:color="auto"/>
            </w:tcBorders>
          </w:tcPr>
          <w:p w14:paraId="6D34FD24" w14:textId="77777777" w:rsidR="00964B88" w:rsidRDefault="00964B88">
            <w:pPr>
              <w:cnfStyle w:val="000000000000" w:firstRow="0" w:lastRow="0" w:firstColumn="0" w:lastColumn="0" w:oddVBand="0" w:evenVBand="0" w:oddHBand="0" w:evenHBand="0" w:firstRowFirstColumn="0" w:firstRowLastColumn="0" w:lastRowFirstColumn="0" w:lastRowLastColumn="0"/>
            </w:pPr>
            <w:r>
              <w:t>3 805</w:t>
            </w:r>
          </w:p>
        </w:tc>
        <w:tc>
          <w:tcPr>
            <w:tcW w:w="836" w:type="dxa"/>
            <w:tcBorders>
              <w:bottom w:val="single" w:sz="6" w:space="0" w:color="auto"/>
            </w:tcBorders>
          </w:tcPr>
          <w:p w14:paraId="24E04C2F" w14:textId="77777777" w:rsidR="00964B88" w:rsidRDefault="00964B88">
            <w:pPr>
              <w:cnfStyle w:val="000000000000" w:firstRow="0" w:lastRow="0" w:firstColumn="0" w:lastColumn="0" w:oddVBand="0" w:evenVBand="0" w:oddHBand="0" w:evenHBand="0" w:firstRowFirstColumn="0" w:firstRowLastColumn="0" w:lastRowFirstColumn="0" w:lastRowLastColumn="0"/>
            </w:pPr>
            <w:r>
              <w:t>3 892</w:t>
            </w:r>
          </w:p>
        </w:tc>
        <w:tc>
          <w:tcPr>
            <w:tcW w:w="836" w:type="dxa"/>
            <w:tcBorders>
              <w:bottom w:val="single" w:sz="6" w:space="0" w:color="auto"/>
            </w:tcBorders>
          </w:tcPr>
          <w:p w14:paraId="4BD77586" w14:textId="77777777" w:rsidR="00964B88" w:rsidRDefault="00964B88">
            <w:pPr>
              <w:cnfStyle w:val="000000000000" w:firstRow="0" w:lastRow="0" w:firstColumn="0" w:lastColumn="0" w:oddVBand="0" w:evenVBand="0" w:oddHBand="0" w:evenHBand="0" w:firstRowFirstColumn="0" w:firstRowLastColumn="0" w:lastRowFirstColumn="0" w:lastRowLastColumn="0"/>
            </w:pPr>
            <w:r>
              <w:t>4 013</w:t>
            </w:r>
          </w:p>
        </w:tc>
      </w:tr>
      <w:tr w:rsidR="00964B88" w14:paraId="5F5DB42E"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tcBorders>
          </w:tcPr>
          <w:p w14:paraId="42FCA738" w14:textId="77777777" w:rsidR="00964B88" w:rsidRDefault="00964B88">
            <w:r>
              <w:rPr>
                <w:b/>
              </w:rPr>
              <w:t>Total revenue</w:t>
            </w:r>
          </w:p>
        </w:tc>
        <w:tc>
          <w:tcPr>
            <w:tcW w:w="836" w:type="dxa"/>
            <w:tcBorders>
              <w:top w:val="single" w:sz="6" w:space="0" w:color="auto"/>
            </w:tcBorders>
          </w:tcPr>
          <w:p w14:paraId="71A7F15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78 539</w:t>
            </w:r>
          </w:p>
        </w:tc>
        <w:tc>
          <w:tcPr>
            <w:tcW w:w="836" w:type="dxa"/>
            <w:tcBorders>
              <w:top w:val="single" w:sz="6" w:space="0" w:color="auto"/>
            </w:tcBorders>
          </w:tcPr>
          <w:p w14:paraId="52E2D3A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82 855</w:t>
            </w:r>
          </w:p>
        </w:tc>
        <w:tc>
          <w:tcPr>
            <w:tcW w:w="836" w:type="dxa"/>
            <w:tcBorders>
              <w:top w:val="single" w:sz="6" w:space="0" w:color="auto"/>
            </w:tcBorders>
          </w:tcPr>
          <w:p w14:paraId="62DE6BE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86 764</w:t>
            </w:r>
          </w:p>
        </w:tc>
        <w:tc>
          <w:tcPr>
            <w:tcW w:w="836" w:type="dxa"/>
            <w:tcBorders>
              <w:top w:val="single" w:sz="6" w:space="0" w:color="auto"/>
            </w:tcBorders>
          </w:tcPr>
          <w:p w14:paraId="09DF877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92 354</w:t>
            </w:r>
          </w:p>
        </w:tc>
      </w:tr>
      <w:tr w:rsidR="00964B88" w14:paraId="32FB5795"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28D62686" w14:textId="77777777" w:rsidR="00964B88" w:rsidRDefault="00964B88">
            <w:r>
              <w:rPr>
                <w:i/>
              </w:rPr>
              <w:t>% change</w:t>
            </w:r>
            <w:r>
              <w:rPr>
                <w:i/>
                <w:vertAlign w:val="superscript"/>
              </w:rPr>
              <w:t xml:space="preserve"> (b)</w:t>
            </w:r>
          </w:p>
        </w:tc>
        <w:tc>
          <w:tcPr>
            <w:tcW w:w="836" w:type="dxa"/>
          </w:tcPr>
          <w:p w14:paraId="3A90A60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(0.1)</w:t>
            </w:r>
          </w:p>
        </w:tc>
        <w:tc>
          <w:tcPr>
            <w:tcW w:w="836" w:type="dxa"/>
          </w:tcPr>
          <w:p w14:paraId="5A3EB2C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5.5</w:t>
            </w:r>
          </w:p>
        </w:tc>
        <w:tc>
          <w:tcPr>
            <w:tcW w:w="836" w:type="dxa"/>
          </w:tcPr>
          <w:p w14:paraId="325DAB1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4.7</w:t>
            </w:r>
          </w:p>
        </w:tc>
        <w:tc>
          <w:tcPr>
            <w:tcW w:w="836" w:type="dxa"/>
          </w:tcPr>
          <w:p w14:paraId="4E79D55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6.4</w:t>
            </w:r>
          </w:p>
        </w:tc>
      </w:tr>
      <w:tr w:rsidR="00964B88" w14:paraId="5A0ADED2"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6F5BC033" w14:textId="77777777" w:rsidR="00964B88" w:rsidRDefault="00964B88">
            <w:r>
              <w:rPr>
                <w:b/>
              </w:rPr>
              <w:t>Expenses</w:t>
            </w:r>
          </w:p>
        </w:tc>
        <w:tc>
          <w:tcPr>
            <w:tcW w:w="836" w:type="dxa"/>
          </w:tcPr>
          <w:p w14:paraId="2DE952E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36" w:type="dxa"/>
          </w:tcPr>
          <w:p w14:paraId="6B1E0A7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36" w:type="dxa"/>
          </w:tcPr>
          <w:p w14:paraId="7A84209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36" w:type="dxa"/>
          </w:tcPr>
          <w:p w14:paraId="39E324E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56C9A3CC"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6E130DA1" w14:textId="77777777" w:rsidR="00964B88" w:rsidRDefault="00964B88">
            <w:r>
              <w:t>Employee expenses</w:t>
            </w:r>
          </w:p>
        </w:tc>
        <w:tc>
          <w:tcPr>
            <w:tcW w:w="836" w:type="dxa"/>
          </w:tcPr>
          <w:p w14:paraId="6BFED68B" w14:textId="77777777" w:rsidR="00964B88" w:rsidRDefault="00964B88">
            <w:pPr>
              <w:cnfStyle w:val="000000000000" w:firstRow="0" w:lastRow="0" w:firstColumn="0" w:lastColumn="0" w:oddVBand="0" w:evenVBand="0" w:oddHBand="0" w:evenHBand="0" w:firstRowFirstColumn="0" w:firstRowLastColumn="0" w:lastRowFirstColumn="0" w:lastRowLastColumn="0"/>
            </w:pPr>
            <w:r>
              <w:t>27 457</w:t>
            </w:r>
          </w:p>
        </w:tc>
        <w:tc>
          <w:tcPr>
            <w:tcW w:w="836" w:type="dxa"/>
          </w:tcPr>
          <w:p w14:paraId="2A79727B" w14:textId="77777777" w:rsidR="00964B88" w:rsidRDefault="00964B88">
            <w:pPr>
              <w:cnfStyle w:val="000000000000" w:firstRow="0" w:lastRow="0" w:firstColumn="0" w:lastColumn="0" w:oddVBand="0" w:evenVBand="0" w:oddHBand="0" w:evenHBand="0" w:firstRowFirstColumn="0" w:firstRowLastColumn="0" w:lastRowFirstColumn="0" w:lastRowLastColumn="0"/>
            </w:pPr>
            <w:r>
              <w:t>28 915</w:t>
            </w:r>
          </w:p>
        </w:tc>
        <w:tc>
          <w:tcPr>
            <w:tcW w:w="836" w:type="dxa"/>
          </w:tcPr>
          <w:p w14:paraId="1029A663" w14:textId="77777777" w:rsidR="00964B88" w:rsidRDefault="00964B88">
            <w:pPr>
              <w:cnfStyle w:val="000000000000" w:firstRow="0" w:lastRow="0" w:firstColumn="0" w:lastColumn="0" w:oddVBand="0" w:evenVBand="0" w:oddHBand="0" w:evenHBand="0" w:firstRowFirstColumn="0" w:firstRowLastColumn="0" w:lastRowFirstColumn="0" w:lastRowLastColumn="0"/>
            </w:pPr>
            <w:r>
              <w:t>29 825</w:t>
            </w:r>
          </w:p>
        </w:tc>
        <w:tc>
          <w:tcPr>
            <w:tcW w:w="836" w:type="dxa"/>
          </w:tcPr>
          <w:p w14:paraId="28E0E54E" w14:textId="77777777" w:rsidR="00964B88" w:rsidRDefault="00964B88">
            <w:pPr>
              <w:cnfStyle w:val="000000000000" w:firstRow="0" w:lastRow="0" w:firstColumn="0" w:lastColumn="0" w:oddVBand="0" w:evenVBand="0" w:oddHBand="0" w:evenHBand="0" w:firstRowFirstColumn="0" w:firstRowLastColumn="0" w:lastRowFirstColumn="0" w:lastRowLastColumn="0"/>
            </w:pPr>
            <w:r>
              <w:t>31 196</w:t>
            </w:r>
          </w:p>
        </w:tc>
      </w:tr>
      <w:tr w:rsidR="00964B88" w14:paraId="26B48F52"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109DA75F" w14:textId="77777777" w:rsidR="00964B88" w:rsidRDefault="00964B88">
            <w:r>
              <w:t>Net superannuation interest expense</w:t>
            </w:r>
          </w:p>
        </w:tc>
        <w:tc>
          <w:tcPr>
            <w:tcW w:w="836" w:type="dxa"/>
          </w:tcPr>
          <w:p w14:paraId="0B2AAE53" w14:textId="77777777" w:rsidR="00964B88" w:rsidRDefault="00964B88">
            <w:pPr>
              <w:cnfStyle w:val="000000000000" w:firstRow="0" w:lastRow="0" w:firstColumn="0" w:lastColumn="0" w:oddVBand="0" w:evenVBand="0" w:oddHBand="0" w:evenHBand="0" w:firstRowFirstColumn="0" w:firstRowLastColumn="0" w:lastRowFirstColumn="0" w:lastRowLastColumn="0"/>
            </w:pPr>
            <w:r>
              <w:t>411</w:t>
            </w:r>
          </w:p>
        </w:tc>
        <w:tc>
          <w:tcPr>
            <w:tcW w:w="836" w:type="dxa"/>
          </w:tcPr>
          <w:p w14:paraId="7F6E4C36" w14:textId="77777777" w:rsidR="00964B88" w:rsidRDefault="00964B88">
            <w:pPr>
              <w:cnfStyle w:val="000000000000" w:firstRow="0" w:lastRow="0" w:firstColumn="0" w:lastColumn="0" w:oddVBand="0" w:evenVBand="0" w:oddHBand="0" w:evenHBand="0" w:firstRowFirstColumn="0" w:firstRowLastColumn="0" w:lastRowFirstColumn="0" w:lastRowLastColumn="0"/>
            </w:pPr>
            <w:r>
              <w:t>332</w:t>
            </w:r>
          </w:p>
        </w:tc>
        <w:tc>
          <w:tcPr>
            <w:tcW w:w="836" w:type="dxa"/>
          </w:tcPr>
          <w:p w14:paraId="456EBE4F" w14:textId="77777777" w:rsidR="00964B88" w:rsidRDefault="00964B88">
            <w:pPr>
              <w:cnfStyle w:val="000000000000" w:firstRow="0" w:lastRow="0" w:firstColumn="0" w:lastColumn="0" w:oddVBand="0" w:evenVBand="0" w:oddHBand="0" w:evenHBand="0" w:firstRowFirstColumn="0" w:firstRowLastColumn="0" w:lastRowFirstColumn="0" w:lastRowLastColumn="0"/>
            </w:pPr>
            <w:r>
              <w:t>316</w:t>
            </w:r>
          </w:p>
        </w:tc>
        <w:tc>
          <w:tcPr>
            <w:tcW w:w="836" w:type="dxa"/>
          </w:tcPr>
          <w:p w14:paraId="4487BEEE" w14:textId="77777777" w:rsidR="00964B88" w:rsidRDefault="00964B88">
            <w:pPr>
              <w:cnfStyle w:val="000000000000" w:firstRow="0" w:lastRow="0" w:firstColumn="0" w:lastColumn="0" w:oddVBand="0" w:evenVBand="0" w:oddHBand="0" w:evenHBand="0" w:firstRowFirstColumn="0" w:firstRowLastColumn="0" w:lastRowFirstColumn="0" w:lastRowLastColumn="0"/>
            </w:pPr>
            <w:r>
              <w:t>301</w:t>
            </w:r>
          </w:p>
        </w:tc>
      </w:tr>
      <w:tr w:rsidR="00964B88" w14:paraId="1042641E"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77EB14FA" w14:textId="77777777" w:rsidR="00964B88" w:rsidRDefault="00964B88">
            <w:r>
              <w:t>Other superannuation</w:t>
            </w:r>
          </w:p>
        </w:tc>
        <w:tc>
          <w:tcPr>
            <w:tcW w:w="836" w:type="dxa"/>
          </w:tcPr>
          <w:p w14:paraId="1090B302" w14:textId="77777777" w:rsidR="00964B88" w:rsidRDefault="00964B88">
            <w:pPr>
              <w:cnfStyle w:val="000000000000" w:firstRow="0" w:lastRow="0" w:firstColumn="0" w:lastColumn="0" w:oddVBand="0" w:evenVBand="0" w:oddHBand="0" w:evenHBand="0" w:firstRowFirstColumn="0" w:firstRowLastColumn="0" w:lastRowFirstColumn="0" w:lastRowLastColumn="0"/>
            </w:pPr>
            <w:r>
              <w:t>3 134</w:t>
            </w:r>
          </w:p>
        </w:tc>
        <w:tc>
          <w:tcPr>
            <w:tcW w:w="836" w:type="dxa"/>
          </w:tcPr>
          <w:p w14:paraId="1A3014B1" w14:textId="77777777" w:rsidR="00964B88" w:rsidRDefault="00964B88">
            <w:pPr>
              <w:cnfStyle w:val="000000000000" w:firstRow="0" w:lastRow="0" w:firstColumn="0" w:lastColumn="0" w:oddVBand="0" w:evenVBand="0" w:oddHBand="0" w:evenHBand="0" w:firstRowFirstColumn="0" w:firstRowLastColumn="0" w:lastRowFirstColumn="0" w:lastRowLastColumn="0"/>
            </w:pPr>
            <w:r>
              <w:t>3 219</w:t>
            </w:r>
          </w:p>
        </w:tc>
        <w:tc>
          <w:tcPr>
            <w:tcW w:w="836" w:type="dxa"/>
          </w:tcPr>
          <w:p w14:paraId="41969049" w14:textId="77777777" w:rsidR="00964B88" w:rsidRDefault="00964B88">
            <w:pPr>
              <w:cnfStyle w:val="000000000000" w:firstRow="0" w:lastRow="0" w:firstColumn="0" w:lastColumn="0" w:oddVBand="0" w:evenVBand="0" w:oddHBand="0" w:evenHBand="0" w:firstRowFirstColumn="0" w:firstRowLastColumn="0" w:lastRowFirstColumn="0" w:lastRowLastColumn="0"/>
            </w:pPr>
            <w:r>
              <w:t>3 326</w:t>
            </w:r>
          </w:p>
        </w:tc>
        <w:tc>
          <w:tcPr>
            <w:tcW w:w="836" w:type="dxa"/>
          </w:tcPr>
          <w:p w14:paraId="482A0D05" w14:textId="77777777" w:rsidR="00964B88" w:rsidRDefault="00964B88">
            <w:pPr>
              <w:cnfStyle w:val="000000000000" w:firstRow="0" w:lastRow="0" w:firstColumn="0" w:lastColumn="0" w:oddVBand="0" w:evenVBand="0" w:oddHBand="0" w:evenHBand="0" w:firstRowFirstColumn="0" w:firstRowLastColumn="0" w:lastRowFirstColumn="0" w:lastRowLastColumn="0"/>
            </w:pPr>
            <w:r>
              <w:t>3 425</w:t>
            </w:r>
          </w:p>
        </w:tc>
      </w:tr>
      <w:tr w:rsidR="00964B88" w14:paraId="7CA07EA3"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5E078A92" w14:textId="77777777" w:rsidR="00964B88" w:rsidRDefault="00964B88">
            <w:r>
              <w:t>Depreciation</w:t>
            </w:r>
          </w:p>
        </w:tc>
        <w:tc>
          <w:tcPr>
            <w:tcW w:w="836" w:type="dxa"/>
          </w:tcPr>
          <w:p w14:paraId="625BDB4E" w14:textId="77777777" w:rsidR="00964B88" w:rsidRDefault="00964B88">
            <w:pPr>
              <w:cnfStyle w:val="000000000000" w:firstRow="0" w:lastRow="0" w:firstColumn="0" w:lastColumn="0" w:oddVBand="0" w:evenVBand="0" w:oddHBand="0" w:evenHBand="0" w:firstRowFirstColumn="0" w:firstRowLastColumn="0" w:lastRowFirstColumn="0" w:lastRowLastColumn="0"/>
            </w:pPr>
            <w:r>
              <w:t>6 345</w:t>
            </w:r>
          </w:p>
        </w:tc>
        <w:tc>
          <w:tcPr>
            <w:tcW w:w="836" w:type="dxa"/>
          </w:tcPr>
          <w:p w14:paraId="78F9181F" w14:textId="77777777" w:rsidR="00964B88" w:rsidRDefault="00964B88">
            <w:pPr>
              <w:cnfStyle w:val="000000000000" w:firstRow="0" w:lastRow="0" w:firstColumn="0" w:lastColumn="0" w:oddVBand="0" w:evenVBand="0" w:oddHBand="0" w:evenHBand="0" w:firstRowFirstColumn="0" w:firstRowLastColumn="0" w:lastRowFirstColumn="0" w:lastRowLastColumn="0"/>
            </w:pPr>
            <w:r>
              <w:t>6 896</w:t>
            </w:r>
          </w:p>
        </w:tc>
        <w:tc>
          <w:tcPr>
            <w:tcW w:w="836" w:type="dxa"/>
          </w:tcPr>
          <w:p w14:paraId="071F66D5" w14:textId="77777777" w:rsidR="00964B88" w:rsidRDefault="00964B88">
            <w:pPr>
              <w:cnfStyle w:val="000000000000" w:firstRow="0" w:lastRow="0" w:firstColumn="0" w:lastColumn="0" w:oddVBand="0" w:evenVBand="0" w:oddHBand="0" w:evenHBand="0" w:firstRowFirstColumn="0" w:firstRowLastColumn="0" w:lastRowFirstColumn="0" w:lastRowLastColumn="0"/>
            </w:pPr>
            <w:r>
              <w:t>7 315</w:t>
            </w:r>
          </w:p>
        </w:tc>
        <w:tc>
          <w:tcPr>
            <w:tcW w:w="836" w:type="dxa"/>
          </w:tcPr>
          <w:p w14:paraId="5AB8BFBC" w14:textId="77777777" w:rsidR="00964B88" w:rsidRDefault="00964B88">
            <w:pPr>
              <w:cnfStyle w:val="000000000000" w:firstRow="0" w:lastRow="0" w:firstColumn="0" w:lastColumn="0" w:oddVBand="0" w:evenVBand="0" w:oddHBand="0" w:evenHBand="0" w:firstRowFirstColumn="0" w:firstRowLastColumn="0" w:lastRowFirstColumn="0" w:lastRowLastColumn="0"/>
            </w:pPr>
            <w:r>
              <w:t>7 797</w:t>
            </w:r>
          </w:p>
        </w:tc>
      </w:tr>
      <w:tr w:rsidR="00964B88" w14:paraId="32FD005D"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34273045" w14:textId="77777777" w:rsidR="00964B88" w:rsidRDefault="00964B88">
            <w:r>
              <w:t>Interest expense</w:t>
            </w:r>
          </w:p>
        </w:tc>
        <w:tc>
          <w:tcPr>
            <w:tcW w:w="836" w:type="dxa"/>
          </w:tcPr>
          <w:p w14:paraId="5E73A70C" w14:textId="77777777" w:rsidR="00964B88" w:rsidRDefault="00964B88">
            <w:pPr>
              <w:cnfStyle w:val="000000000000" w:firstRow="0" w:lastRow="0" w:firstColumn="0" w:lastColumn="0" w:oddVBand="0" w:evenVBand="0" w:oddHBand="0" w:evenHBand="0" w:firstRowFirstColumn="0" w:firstRowLastColumn="0" w:lastRowFirstColumn="0" w:lastRowLastColumn="0"/>
            </w:pPr>
            <w:r>
              <w:t>3 093</w:t>
            </w:r>
          </w:p>
        </w:tc>
        <w:tc>
          <w:tcPr>
            <w:tcW w:w="836" w:type="dxa"/>
          </w:tcPr>
          <w:p w14:paraId="15DC6B5A" w14:textId="77777777" w:rsidR="00964B88" w:rsidRDefault="00964B88">
            <w:pPr>
              <w:cnfStyle w:val="000000000000" w:firstRow="0" w:lastRow="0" w:firstColumn="0" w:lastColumn="0" w:oddVBand="0" w:evenVBand="0" w:oddHBand="0" w:evenHBand="0" w:firstRowFirstColumn="0" w:firstRowLastColumn="0" w:lastRowFirstColumn="0" w:lastRowLastColumn="0"/>
            </w:pPr>
            <w:r>
              <w:t>3 178</w:t>
            </w:r>
          </w:p>
        </w:tc>
        <w:tc>
          <w:tcPr>
            <w:tcW w:w="836" w:type="dxa"/>
          </w:tcPr>
          <w:p w14:paraId="440F1611" w14:textId="77777777" w:rsidR="00964B88" w:rsidRDefault="00964B88">
            <w:pPr>
              <w:cnfStyle w:val="000000000000" w:firstRow="0" w:lastRow="0" w:firstColumn="0" w:lastColumn="0" w:oddVBand="0" w:evenVBand="0" w:oddHBand="0" w:evenHBand="0" w:firstRowFirstColumn="0" w:firstRowLastColumn="0" w:lastRowFirstColumn="0" w:lastRowLastColumn="0"/>
            </w:pPr>
            <w:r>
              <w:t>3 340</w:t>
            </w:r>
          </w:p>
        </w:tc>
        <w:tc>
          <w:tcPr>
            <w:tcW w:w="836" w:type="dxa"/>
          </w:tcPr>
          <w:p w14:paraId="11CE50C3" w14:textId="77777777" w:rsidR="00964B88" w:rsidRDefault="00964B88">
            <w:pPr>
              <w:cnfStyle w:val="000000000000" w:firstRow="0" w:lastRow="0" w:firstColumn="0" w:lastColumn="0" w:oddVBand="0" w:evenVBand="0" w:oddHBand="0" w:evenHBand="0" w:firstRowFirstColumn="0" w:firstRowLastColumn="0" w:lastRowFirstColumn="0" w:lastRowLastColumn="0"/>
            </w:pPr>
            <w:r>
              <w:t>3 484</w:t>
            </w:r>
          </w:p>
        </w:tc>
      </w:tr>
      <w:tr w:rsidR="00964B88" w14:paraId="4C01E45E" w14:textId="77777777" w:rsidTr="00440992">
        <w:tc>
          <w:tcPr>
            <w:cnfStyle w:val="001000000000" w:firstRow="0" w:lastRow="0" w:firstColumn="1" w:lastColumn="0" w:oddVBand="0" w:evenVBand="0" w:oddHBand="0" w:evenHBand="0" w:firstRowFirstColumn="0" w:firstRowLastColumn="0" w:lastRowFirstColumn="0" w:lastRowLastColumn="0"/>
            <w:tcW w:w="4424" w:type="dxa"/>
          </w:tcPr>
          <w:p w14:paraId="2F03BA1E" w14:textId="77777777" w:rsidR="00964B88" w:rsidRDefault="00964B88">
            <w:r>
              <w:t>Grant expense</w:t>
            </w:r>
          </w:p>
        </w:tc>
        <w:tc>
          <w:tcPr>
            <w:tcW w:w="836" w:type="dxa"/>
          </w:tcPr>
          <w:p w14:paraId="3D07CB91" w14:textId="77777777" w:rsidR="00964B88" w:rsidRDefault="00964B88">
            <w:pPr>
              <w:cnfStyle w:val="000000000000" w:firstRow="0" w:lastRow="0" w:firstColumn="0" w:lastColumn="0" w:oddVBand="0" w:evenVBand="0" w:oddHBand="0" w:evenHBand="0" w:firstRowFirstColumn="0" w:firstRowLastColumn="0" w:lastRowFirstColumn="0" w:lastRowLastColumn="0"/>
            </w:pPr>
            <w:r>
              <w:t>9 168</w:t>
            </w:r>
          </w:p>
        </w:tc>
        <w:tc>
          <w:tcPr>
            <w:tcW w:w="836" w:type="dxa"/>
          </w:tcPr>
          <w:p w14:paraId="6F195C21" w14:textId="77777777" w:rsidR="00964B88" w:rsidRDefault="00964B88">
            <w:pPr>
              <w:cnfStyle w:val="000000000000" w:firstRow="0" w:lastRow="0" w:firstColumn="0" w:lastColumn="0" w:oddVBand="0" w:evenVBand="0" w:oddHBand="0" w:evenHBand="0" w:firstRowFirstColumn="0" w:firstRowLastColumn="0" w:lastRowFirstColumn="0" w:lastRowLastColumn="0"/>
            </w:pPr>
            <w:r>
              <w:t>11 057</w:t>
            </w:r>
          </w:p>
        </w:tc>
        <w:tc>
          <w:tcPr>
            <w:tcW w:w="836" w:type="dxa"/>
          </w:tcPr>
          <w:p w14:paraId="3AF051C1" w14:textId="77777777" w:rsidR="00964B88" w:rsidRDefault="00964B88">
            <w:pPr>
              <w:cnfStyle w:val="000000000000" w:firstRow="0" w:lastRow="0" w:firstColumn="0" w:lastColumn="0" w:oddVBand="0" w:evenVBand="0" w:oddHBand="0" w:evenHBand="0" w:firstRowFirstColumn="0" w:firstRowLastColumn="0" w:lastRowFirstColumn="0" w:lastRowLastColumn="0"/>
            </w:pPr>
            <w:r>
              <w:t>11 417</w:t>
            </w:r>
          </w:p>
        </w:tc>
        <w:tc>
          <w:tcPr>
            <w:tcW w:w="836" w:type="dxa"/>
          </w:tcPr>
          <w:p w14:paraId="307D2504" w14:textId="77777777" w:rsidR="00964B88" w:rsidRDefault="00964B88">
            <w:pPr>
              <w:cnfStyle w:val="000000000000" w:firstRow="0" w:lastRow="0" w:firstColumn="0" w:lastColumn="0" w:oddVBand="0" w:evenVBand="0" w:oddHBand="0" w:evenHBand="0" w:firstRowFirstColumn="0" w:firstRowLastColumn="0" w:lastRowFirstColumn="0" w:lastRowLastColumn="0"/>
            </w:pPr>
            <w:r>
              <w:t>11 914</w:t>
            </w:r>
          </w:p>
        </w:tc>
      </w:tr>
      <w:tr w:rsidR="00964B88" w14:paraId="022963E0"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bottom w:val="single" w:sz="6" w:space="0" w:color="auto"/>
            </w:tcBorders>
          </w:tcPr>
          <w:p w14:paraId="7FA2C2C9" w14:textId="77777777" w:rsidR="00964B88" w:rsidRDefault="00964B88">
            <w:r>
              <w:t>Other operating expenses</w:t>
            </w:r>
          </w:p>
        </w:tc>
        <w:tc>
          <w:tcPr>
            <w:tcW w:w="836" w:type="dxa"/>
            <w:tcBorders>
              <w:bottom w:val="single" w:sz="6" w:space="0" w:color="auto"/>
            </w:tcBorders>
          </w:tcPr>
          <w:p w14:paraId="221794A7" w14:textId="77777777" w:rsidR="00964B88" w:rsidRDefault="00964B88">
            <w:pPr>
              <w:cnfStyle w:val="000000000000" w:firstRow="0" w:lastRow="0" w:firstColumn="0" w:lastColumn="0" w:oddVBand="0" w:evenVBand="0" w:oddHBand="0" w:evenHBand="0" w:firstRowFirstColumn="0" w:firstRowLastColumn="0" w:lastRowFirstColumn="0" w:lastRowLastColumn="0"/>
            </w:pPr>
            <w:r>
              <w:t>33 095</w:t>
            </w:r>
          </w:p>
        </w:tc>
        <w:tc>
          <w:tcPr>
            <w:tcW w:w="836" w:type="dxa"/>
            <w:tcBorders>
              <w:bottom w:val="single" w:sz="6" w:space="0" w:color="auto"/>
            </w:tcBorders>
          </w:tcPr>
          <w:p w14:paraId="7DAE996A" w14:textId="77777777" w:rsidR="00964B88" w:rsidRDefault="00964B88">
            <w:pPr>
              <w:cnfStyle w:val="000000000000" w:firstRow="0" w:lastRow="0" w:firstColumn="0" w:lastColumn="0" w:oddVBand="0" w:evenVBand="0" w:oddHBand="0" w:evenHBand="0" w:firstRowFirstColumn="0" w:firstRowLastColumn="0" w:lastRowFirstColumn="0" w:lastRowLastColumn="0"/>
            </w:pPr>
            <w:r>
              <w:t>32 479</w:t>
            </w:r>
          </w:p>
        </w:tc>
        <w:tc>
          <w:tcPr>
            <w:tcW w:w="836" w:type="dxa"/>
            <w:tcBorders>
              <w:bottom w:val="single" w:sz="6" w:space="0" w:color="auto"/>
            </w:tcBorders>
          </w:tcPr>
          <w:p w14:paraId="2E40740A" w14:textId="77777777" w:rsidR="00964B88" w:rsidRDefault="00964B88">
            <w:pPr>
              <w:cnfStyle w:val="000000000000" w:firstRow="0" w:lastRow="0" w:firstColumn="0" w:lastColumn="0" w:oddVBand="0" w:evenVBand="0" w:oddHBand="0" w:evenHBand="0" w:firstRowFirstColumn="0" w:firstRowLastColumn="0" w:lastRowFirstColumn="0" w:lastRowLastColumn="0"/>
            </w:pPr>
            <w:r>
              <w:t>32 025</w:t>
            </w:r>
          </w:p>
        </w:tc>
        <w:tc>
          <w:tcPr>
            <w:tcW w:w="836" w:type="dxa"/>
            <w:tcBorders>
              <w:bottom w:val="single" w:sz="6" w:space="0" w:color="auto"/>
            </w:tcBorders>
          </w:tcPr>
          <w:p w14:paraId="79B07946" w14:textId="77777777" w:rsidR="00964B88" w:rsidRDefault="00964B88">
            <w:pPr>
              <w:cnfStyle w:val="000000000000" w:firstRow="0" w:lastRow="0" w:firstColumn="0" w:lastColumn="0" w:oddVBand="0" w:evenVBand="0" w:oddHBand="0" w:evenHBand="0" w:firstRowFirstColumn="0" w:firstRowLastColumn="0" w:lastRowFirstColumn="0" w:lastRowLastColumn="0"/>
            </w:pPr>
            <w:r>
              <w:t>33 350</w:t>
            </w:r>
          </w:p>
        </w:tc>
      </w:tr>
      <w:tr w:rsidR="00964B88" w14:paraId="664E91BF"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tcBorders>
          </w:tcPr>
          <w:p w14:paraId="08E93C27" w14:textId="77777777" w:rsidR="00964B88" w:rsidRDefault="00964B88">
            <w:r>
              <w:rPr>
                <w:b/>
              </w:rPr>
              <w:t>Total expenses</w:t>
            </w:r>
          </w:p>
        </w:tc>
        <w:tc>
          <w:tcPr>
            <w:tcW w:w="836" w:type="dxa"/>
            <w:tcBorders>
              <w:top w:val="single" w:sz="6" w:space="0" w:color="auto"/>
            </w:tcBorders>
          </w:tcPr>
          <w:p w14:paraId="76B56B5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82 704</w:t>
            </w:r>
          </w:p>
        </w:tc>
        <w:tc>
          <w:tcPr>
            <w:tcW w:w="836" w:type="dxa"/>
            <w:tcBorders>
              <w:top w:val="single" w:sz="6" w:space="0" w:color="auto"/>
            </w:tcBorders>
          </w:tcPr>
          <w:p w14:paraId="28E43B9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86 077</w:t>
            </w:r>
          </w:p>
        </w:tc>
        <w:tc>
          <w:tcPr>
            <w:tcW w:w="836" w:type="dxa"/>
            <w:tcBorders>
              <w:top w:val="single" w:sz="6" w:space="0" w:color="auto"/>
            </w:tcBorders>
          </w:tcPr>
          <w:p w14:paraId="56CF141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87 564</w:t>
            </w:r>
          </w:p>
        </w:tc>
        <w:tc>
          <w:tcPr>
            <w:tcW w:w="836" w:type="dxa"/>
            <w:tcBorders>
              <w:top w:val="single" w:sz="6" w:space="0" w:color="auto"/>
            </w:tcBorders>
          </w:tcPr>
          <w:p w14:paraId="61431A2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91 466</w:t>
            </w:r>
          </w:p>
        </w:tc>
      </w:tr>
      <w:tr w:rsidR="00964B88" w14:paraId="48EC4F25"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bottom w:val="single" w:sz="6" w:space="0" w:color="auto"/>
            </w:tcBorders>
          </w:tcPr>
          <w:p w14:paraId="6F3A2ED7" w14:textId="77777777" w:rsidR="00964B88" w:rsidRDefault="00964B88">
            <w:r>
              <w:rPr>
                <w:i/>
              </w:rPr>
              <w:t>% change</w:t>
            </w:r>
          </w:p>
        </w:tc>
        <w:tc>
          <w:tcPr>
            <w:tcW w:w="836" w:type="dxa"/>
            <w:tcBorders>
              <w:bottom w:val="single" w:sz="6" w:space="0" w:color="auto"/>
            </w:tcBorders>
          </w:tcPr>
          <w:p w14:paraId="2623E1D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3.4</w:t>
            </w:r>
          </w:p>
        </w:tc>
        <w:tc>
          <w:tcPr>
            <w:tcW w:w="836" w:type="dxa"/>
            <w:tcBorders>
              <w:bottom w:val="single" w:sz="6" w:space="0" w:color="auto"/>
            </w:tcBorders>
          </w:tcPr>
          <w:p w14:paraId="499CF3E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4.1</w:t>
            </w:r>
          </w:p>
        </w:tc>
        <w:tc>
          <w:tcPr>
            <w:tcW w:w="836" w:type="dxa"/>
            <w:tcBorders>
              <w:bottom w:val="single" w:sz="6" w:space="0" w:color="auto"/>
            </w:tcBorders>
          </w:tcPr>
          <w:p w14:paraId="254631E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1.7</w:t>
            </w:r>
          </w:p>
        </w:tc>
        <w:tc>
          <w:tcPr>
            <w:tcW w:w="836" w:type="dxa"/>
            <w:tcBorders>
              <w:bottom w:val="single" w:sz="6" w:space="0" w:color="auto"/>
            </w:tcBorders>
          </w:tcPr>
          <w:p w14:paraId="10F6036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i/>
              </w:rPr>
              <w:t>4.5</w:t>
            </w:r>
          </w:p>
        </w:tc>
      </w:tr>
      <w:tr w:rsidR="00964B88" w14:paraId="4D0D1BB2"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bottom w:val="single" w:sz="6" w:space="0" w:color="auto"/>
            </w:tcBorders>
          </w:tcPr>
          <w:p w14:paraId="2CA50D0B" w14:textId="77777777" w:rsidR="00964B88" w:rsidRDefault="00964B88">
            <w:r>
              <w:rPr>
                <w:b/>
              </w:rPr>
              <w:t>Net result from transactions</w:t>
            </w:r>
          </w:p>
        </w:tc>
        <w:tc>
          <w:tcPr>
            <w:tcW w:w="836" w:type="dxa"/>
            <w:tcBorders>
              <w:top w:val="single" w:sz="6" w:space="0" w:color="auto"/>
              <w:bottom w:val="single" w:sz="6" w:space="0" w:color="auto"/>
            </w:tcBorders>
          </w:tcPr>
          <w:p w14:paraId="52F2273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(4 165)</w:t>
            </w:r>
          </w:p>
        </w:tc>
        <w:tc>
          <w:tcPr>
            <w:tcW w:w="836" w:type="dxa"/>
            <w:tcBorders>
              <w:top w:val="single" w:sz="6" w:space="0" w:color="auto"/>
              <w:bottom w:val="single" w:sz="6" w:space="0" w:color="auto"/>
            </w:tcBorders>
          </w:tcPr>
          <w:p w14:paraId="2ED7B9C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(3 222)</w:t>
            </w:r>
          </w:p>
        </w:tc>
        <w:tc>
          <w:tcPr>
            <w:tcW w:w="836" w:type="dxa"/>
            <w:tcBorders>
              <w:top w:val="single" w:sz="6" w:space="0" w:color="auto"/>
              <w:bottom w:val="single" w:sz="6" w:space="0" w:color="auto"/>
            </w:tcBorders>
          </w:tcPr>
          <w:p w14:paraId="24FFF69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(800)</w:t>
            </w:r>
          </w:p>
        </w:tc>
        <w:tc>
          <w:tcPr>
            <w:tcW w:w="836" w:type="dxa"/>
            <w:tcBorders>
              <w:top w:val="single" w:sz="6" w:space="0" w:color="auto"/>
              <w:bottom w:val="single" w:sz="6" w:space="0" w:color="auto"/>
            </w:tcBorders>
          </w:tcPr>
          <w:p w14:paraId="0AA3E82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887</w:t>
            </w:r>
          </w:p>
        </w:tc>
      </w:tr>
      <w:tr w:rsidR="00964B88" w14:paraId="0ADD082C" w14:textId="77777777" w:rsidTr="00440992">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bottom w:val="single" w:sz="6" w:space="0" w:color="auto"/>
            </w:tcBorders>
          </w:tcPr>
          <w:p w14:paraId="0AEC501D" w14:textId="77777777" w:rsidR="00964B88" w:rsidRDefault="00964B88">
            <w:r>
              <w:rPr>
                <w:b/>
              </w:rPr>
              <w:t>Total other economic flows included in net result</w:t>
            </w:r>
          </w:p>
        </w:tc>
        <w:tc>
          <w:tcPr>
            <w:tcW w:w="836" w:type="dxa"/>
            <w:tcBorders>
              <w:top w:val="single" w:sz="6" w:space="0" w:color="auto"/>
              <w:bottom w:val="single" w:sz="6" w:space="0" w:color="auto"/>
            </w:tcBorders>
          </w:tcPr>
          <w:p w14:paraId="26CA10D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(411)</w:t>
            </w:r>
          </w:p>
        </w:tc>
        <w:tc>
          <w:tcPr>
            <w:tcW w:w="836" w:type="dxa"/>
            <w:tcBorders>
              <w:top w:val="single" w:sz="6" w:space="0" w:color="auto"/>
              <w:bottom w:val="single" w:sz="6" w:space="0" w:color="auto"/>
            </w:tcBorders>
          </w:tcPr>
          <w:p w14:paraId="30F5240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1 100</w:t>
            </w:r>
          </w:p>
        </w:tc>
        <w:tc>
          <w:tcPr>
            <w:tcW w:w="836" w:type="dxa"/>
            <w:tcBorders>
              <w:top w:val="single" w:sz="6" w:space="0" w:color="auto"/>
              <w:bottom w:val="single" w:sz="6" w:space="0" w:color="auto"/>
            </w:tcBorders>
          </w:tcPr>
          <w:p w14:paraId="4774208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1 264</w:t>
            </w:r>
          </w:p>
        </w:tc>
        <w:tc>
          <w:tcPr>
            <w:tcW w:w="836" w:type="dxa"/>
            <w:tcBorders>
              <w:top w:val="single" w:sz="6" w:space="0" w:color="auto"/>
              <w:bottom w:val="single" w:sz="6" w:space="0" w:color="auto"/>
            </w:tcBorders>
          </w:tcPr>
          <w:p w14:paraId="4D10717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1 289</w:t>
            </w:r>
          </w:p>
        </w:tc>
      </w:tr>
      <w:tr w:rsidR="00964B88" w14:paraId="024B3D0C" w14:textId="77777777" w:rsidTr="0044099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tcPr>
          <w:p w14:paraId="5C8F26B9" w14:textId="77777777" w:rsidR="00964B88" w:rsidRDefault="00964B88">
            <w:r>
              <w:t>Net result</w:t>
            </w:r>
          </w:p>
        </w:tc>
        <w:tc>
          <w:tcPr>
            <w:tcW w:w="836" w:type="dxa"/>
          </w:tcPr>
          <w:p w14:paraId="7ACD5D85" w14:textId="77777777" w:rsidR="00964B88" w:rsidRDefault="00964B88">
            <w:pPr>
              <w:cnfStyle w:val="010000000000" w:firstRow="0" w:lastRow="1" w:firstColumn="0" w:lastColumn="0" w:oddVBand="0" w:evenVBand="0" w:oddHBand="0" w:evenHBand="0" w:firstRowFirstColumn="0" w:firstRowLastColumn="0" w:lastRowFirstColumn="0" w:lastRowLastColumn="0"/>
            </w:pPr>
            <w:r>
              <w:t>(4 576)</w:t>
            </w:r>
          </w:p>
        </w:tc>
        <w:tc>
          <w:tcPr>
            <w:tcW w:w="836" w:type="dxa"/>
          </w:tcPr>
          <w:p w14:paraId="3389C11C" w14:textId="77777777" w:rsidR="00964B88" w:rsidRDefault="00964B88">
            <w:pPr>
              <w:cnfStyle w:val="010000000000" w:firstRow="0" w:lastRow="1" w:firstColumn="0" w:lastColumn="0" w:oddVBand="0" w:evenVBand="0" w:oddHBand="0" w:evenHBand="0" w:firstRowFirstColumn="0" w:firstRowLastColumn="0" w:lastRowFirstColumn="0" w:lastRowLastColumn="0"/>
            </w:pPr>
            <w:r>
              <w:t>(2 122)</w:t>
            </w:r>
          </w:p>
        </w:tc>
        <w:tc>
          <w:tcPr>
            <w:tcW w:w="836" w:type="dxa"/>
          </w:tcPr>
          <w:p w14:paraId="46C22A82" w14:textId="77777777" w:rsidR="00964B88" w:rsidRDefault="00964B88">
            <w:pPr>
              <w:cnfStyle w:val="010000000000" w:firstRow="0" w:lastRow="1" w:firstColumn="0" w:lastColumn="0" w:oddVBand="0" w:evenVBand="0" w:oddHBand="0" w:evenHBand="0" w:firstRowFirstColumn="0" w:firstRowLastColumn="0" w:lastRowFirstColumn="0" w:lastRowLastColumn="0"/>
            </w:pPr>
            <w:r>
              <w:t>465</w:t>
            </w:r>
          </w:p>
        </w:tc>
        <w:tc>
          <w:tcPr>
            <w:tcW w:w="836" w:type="dxa"/>
          </w:tcPr>
          <w:p w14:paraId="21E5A72D" w14:textId="77777777" w:rsidR="00964B88" w:rsidRDefault="00964B88">
            <w:pPr>
              <w:cnfStyle w:val="010000000000" w:firstRow="0" w:lastRow="1" w:firstColumn="0" w:lastColumn="0" w:oddVBand="0" w:evenVBand="0" w:oddHBand="0" w:evenHBand="0" w:firstRowFirstColumn="0" w:firstRowLastColumn="0" w:lastRowFirstColumn="0" w:lastRowLastColumn="0"/>
            </w:pPr>
            <w:r>
              <w:t>2 176</w:t>
            </w:r>
          </w:p>
        </w:tc>
      </w:tr>
    </w:tbl>
    <w:p w14:paraId="1B71A4B7" w14:textId="77777777" w:rsidR="00964B88" w:rsidRDefault="00964B88" w:rsidP="00F53820">
      <w:pPr>
        <w:pStyle w:val="Note"/>
      </w:pPr>
      <w:r>
        <w:t>Notes:</w:t>
      </w:r>
    </w:p>
    <w:p w14:paraId="71C8D287" w14:textId="77777777" w:rsidR="00964B88" w:rsidRPr="006E61F2" w:rsidRDefault="00964B88" w:rsidP="00F53820">
      <w:pPr>
        <w:pStyle w:val="Note"/>
      </w:pPr>
      <w:r>
        <w:t>(a)</w:t>
      </w:r>
      <w:r>
        <w:tab/>
        <w:t xml:space="preserve">This is a summary operating statement. The comprehensive operating statement is presented in Chapter 5 </w:t>
      </w:r>
      <w:r w:rsidRPr="00E377F9">
        <w:rPr>
          <w:i w:val="0"/>
        </w:rPr>
        <w:t>Supplementary uniform presentation framework tables</w:t>
      </w:r>
      <w:r>
        <w:t xml:space="preserve">. Figures in this table are subject to rounding to the nearest million and may not add up to totals. </w:t>
      </w:r>
    </w:p>
    <w:p w14:paraId="404171EA" w14:textId="77777777" w:rsidR="00964B88" w:rsidRDefault="00964B88" w:rsidP="00F53820">
      <w:pPr>
        <w:pStyle w:val="Note"/>
        <w:rPr>
          <w:i w:val="0"/>
        </w:rPr>
      </w:pPr>
      <w:r>
        <w:t>(b)</w:t>
      </w:r>
      <w:r>
        <w:tab/>
        <w:t xml:space="preserve">The revenue and expense growth for 2019-20 is based on published figures in the </w:t>
      </w:r>
      <w:r w:rsidRPr="00EF6664">
        <w:rPr>
          <w:i w:val="0"/>
        </w:rPr>
        <w:t>2018-19 Financial Report.</w:t>
      </w:r>
    </w:p>
    <w:p w14:paraId="29BBF500" w14:textId="77777777" w:rsidR="00964B88" w:rsidRPr="00EF6664" w:rsidRDefault="00964B88" w:rsidP="00F53820">
      <w:pPr>
        <w:pStyle w:val="Note"/>
        <w:rPr>
          <w:i w:val="0"/>
        </w:rPr>
      </w:pPr>
    </w:p>
    <w:p w14:paraId="2AB2D66B" w14:textId="77777777" w:rsidR="00964B88" w:rsidRDefault="00964B88" w:rsidP="00F53820">
      <w:r>
        <w:t>The net result from transactions for the State in 2019-20 is projected to be a deficit of $4.2</w:t>
      </w:r>
      <w:r w:rsidRPr="006A7C8A">
        <w:t> </w:t>
      </w:r>
      <w:r>
        <w:t>b</w:t>
      </w:r>
      <w:r w:rsidRPr="006A7C8A">
        <w:t>illion</w:t>
      </w:r>
      <w:r>
        <w:t>, improving to a surplus of $887</w:t>
      </w:r>
      <w:r w:rsidRPr="006A7C8A">
        <w:t> million</w:t>
      </w:r>
      <w:r>
        <w:t xml:space="preserve"> by 2022-23. </w:t>
      </w:r>
    </w:p>
    <w:p w14:paraId="29D8A369" w14:textId="77777777" w:rsidR="00964B88" w:rsidRDefault="00964B88" w:rsidP="00F53820">
      <w:r>
        <w:t xml:space="preserve">The State’s insurers contribute substantially to the projected deficits because a significant portion of investment returns used to fund future claims costs are reported under other economic flows. </w:t>
      </w:r>
    </w:p>
    <w:p w14:paraId="7701B321" w14:textId="77777777" w:rsidR="00964B88" w:rsidRDefault="00964B88" w:rsidP="00440992">
      <w:pPr>
        <w:ind w:right="332"/>
      </w:pPr>
      <w:r>
        <w:lastRenderedPageBreak/>
        <w:t>Consequently, the net result is a more meaningful measure of the expected operating position of the PFC sector and the State as it includes this substantial projected investment income averaging $811 million over the budget and forward estimates.</w:t>
      </w:r>
      <w:r w:rsidRPr="00CD44DE">
        <w:t xml:space="preserve"> </w:t>
      </w:r>
      <w:r>
        <w:t>The net result at a State level is a deficit of $4.6</w:t>
      </w:r>
      <w:r w:rsidRPr="006A7C8A">
        <w:t> </w:t>
      </w:r>
      <w:r>
        <w:t>b</w:t>
      </w:r>
      <w:r w:rsidRPr="006A7C8A">
        <w:t>illion</w:t>
      </w:r>
      <w:r>
        <w:t xml:space="preserve"> in </w:t>
      </w:r>
      <w:r w:rsidRPr="006A7C8A">
        <w:t>201</w:t>
      </w:r>
      <w:r>
        <w:t>9</w:t>
      </w:r>
      <w:r w:rsidRPr="006A7C8A">
        <w:noBreakHyphen/>
      </w:r>
      <w:r>
        <w:t>20, improving to a $2.2</w:t>
      </w:r>
      <w:r w:rsidRPr="006A7C8A">
        <w:t> billion</w:t>
      </w:r>
      <w:r>
        <w:t xml:space="preserve"> surplus by 2022-23.</w:t>
      </w:r>
    </w:p>
    <w:p w14:paraId="1741FDD7" w14:textId="77777777" w:rsidR="00964B88" w:rsidRDefault="00964B88" w:rsidP="00F53820">
      <w:r>
        <w:t>The large deficit in 2019-20 is largely due to the impact of a fall in bond rates which are used to value the claims liabilities of the Transport Accident Commission, WorkSafe and the Victorian Managed Insurance Authority. The fall in bond rates has increased insurance liabilities by $2.4 billion which is shown as a loss in the net result.</w:t>
      </w:r>
    </w:p>
    <w:p w14:paraId="59B3D687" w14:textId="77777777" w:rsidR="00964B88" w:rsidRDefault="00964B88" w:rsidP="00F53820">
      <w:pPr>
        <w:ind w:right="-86"/>
      </w:pPr>
      <w:r w:rsidRPr="00A2040D">
        <w:t xml:space="preserve">Table </w:t>
      </w:r>
      <w:r>
        <w:t>3.11</w:t>
      </w:r>
      <w:r w:rsidRPr="00A2040D">
        <w:t xml:space="preserve"> shows the State</w:t>
      </w:r>
      <w:r>
        <w:t>’</w:t>
      </w:r>
      <w:r w:rsidRPr="00A2040D">
        <w:t>s financial position is projected to improve over the budget and forward estimates. Overall, the State</w:t>
      </w:r>
      <w:r>
        <w:t>’</w:t>
      </w:r>
      <w:r w:rsidRPr="00A2040D">
        <w:t>s net assets are forecast to increase from $</w:t>
      </w:r>
      <w:r>
        <w:t>182</w:t>
      </w:r>
      <w:r w:rsidRPr="00A2040D">
        <w:t> billion in 2019</w:t>
      </w:r>
      <w:r w:rsidRPr="00A2040D">
        <w:noBreakHyphen/>
        <w:t>20 to</w:t>
      </w:r>
      <w:r>
        <w:t xml:space="preserve"> $202</w:t>
      </w:r>
      <w:r w:rsidRPr="00A2040D">
        <w:t> billion by 2022</w:t>
      </w:r>
      <w:r w:rsidRPr="00A2040D">
        <w:noBreakHyphen/>
        <w:t>23. Financial assets are estimated to increase from $</w:t>
      </w:r>
      <w:r>
        <w:t>62</w:t>
      </w:r>
      <w:r w:rsidRPr="00A2040D">
        <w:t> billion in 2019</w:t>
      </w:r>
      <w:r w:rsidRPr="00A2040D">
        <w:noBreakHyphen/>
        <w:t>20 to $</w:t>
      </w:r>
      <w:r>
        <w:t>65</w:t>
      </w:r>
      <w:r w:rsidRPr="00A2040D">
        <w:t> billion by 2022</w:t>
      </w:r>
      <w:r w:rsidRPr="00A2040D">
        <w:noBreakHyphen/>
        <w:t>23. Non</w:t>
      </w:r>
      <w:r w:rsidRPr="00A2040D">
        <w:noBreakHyphen/>
        <w:t>financial assets</w:t>
      </w:r>
      <w:r w:rsidRPr="00F25440">
        <w:t xml:space="preserve"> </w:t>
      </w:r>
      <w:r w:rsidRPr="00A2040D">
        <w:t>are estimated to increase from $</w:t>
      </w:r>
      <w:r>
        <w:t>310</w:t>
      </w:r>
      <w:r w:rsidRPr="00A2040D">
        <w:t> billion in 2019</w:t>
      </w:r>
      <w:r w:rsidRPr="00A2040D">
        <w:noBreakHyphen/>
        <w:t>20 to $</w:t>
      </w:r>
      <w:r>
        <w:t>351</w:t>
      </w:r>
      <w:r w:rsidRPr="00A2040D">
        <w:t> billion by 2022</w:t>
      </w:r>
      <w:r w:rsidRPr="00A2040D">
        <w:noBreakHyphen/>
        <w:t>23</w:t>
      </w:r>
      <w:r>
        <w:t>. This increase reflects the Government’s large pipeline of infrastructure spending.</w:t>
      </w:r>
    </w:p>
    <w:p w14:paraId="6339E670" w14:textId="77777777" w:rsidR="00964B88" w:rsidRPr="00A2040D" w:rsidRDefault="00964B88" w:rsidP="00F53820">
      <w:pPr>
        <w:ind w:right="-227"/>
      </w:pPr>
      <w:r w:rsidRPr="00A2040D">
        <w:t>The superannuation liability is projected to fall from $</w:t>
      </w:r>
      <w:r>
        <w:t>28</w:t>
      </w:r>
      <w:r w:rsidRPr="00A2040D">
        <w:t> billion in 2019-20 to $</w:t>
      </w:r>
      <w:r>
        <w:t>24</w:t>
      </w:r>
      <w:r w:rsidRPr="00A2040D">
        <w:t xml:space="preserve"> billion in 2022-23 reflecting the contributions the Government is making to fully fund the liabilities of the former state superannuation fund by 2035. </w:t>
      </w:r>
    </w:p>
    <w:p w14:paraId="3F4A3805" w14:textId="77777777" w:rsidR="00964B88" w:rsidRPr="00A2040D" w:rsidRDefault="00964B88" w:rsidP="00F53820">
      <w:r w:rsidRPr="00A2040D">
        <w:t>Offsetting these improvements in net assets is a projected increase in borrowings from $</w:t>
      </w:r>
      <w:r>
        <w:t>78</w:t>
      </w:r>
      <w:r w:rsidRPr="00A2040D">
        <w:t> billion in 2019</w:t>
      </w:r>
      <w:r w:rsidRPr="00A2040D">
        <w:noBreakHyphen/>
        <w:t>20 to $</w:t>
      </w:r>
      <w:r>
        <w:t>98</w:t>
      </w:r>
      <w:r w:rsidRPr="00A2040D">
        <w:t> billion by 2022</w:t>
      </w:r>
      <w:r w:rsidRPr="00A2040D">
        <w:noBreakHyphen/>
        <w:t>23</w:t>
      </w:r>
      <w:r>
        <w:t xml:space="preserve">. The incremental borrowings will be used to fund the </w:t>
      </w:r>
      <w:r w:rsidRPr="006C286C">
        <w:t>Government’s large pipeline of infrastructure spending</w:t>
      </w:r>
      <w:r w:rsidRPr="00A2040D">
        <w:t>.</w:t>
      </w:r>
    </w:p>
    <w:p w14:paraId="1D53EFC9" w14:textId="77777777" w:rsidR="00964B88" w:rsidRPr="00956279" w:rsidRDefault="00964B88" w:rsidP="00F53820">
      <w:pPr>
        <w:pStyle w:val="TableHeading"/>
        <w:rPr>
          <w:bCs/>
          <w:i/>
          <w:spacing w:val="-2"/>
          <w:sz w:val="14"/>
          <w:lang w:val="en-US"/>
        </w:rPr>
      </w:pPr>
      <w:bookmarkStart w:id="59" w:name="_Hlk26264691"/>
      <w:r>
        <w:t xml:space="preserve">Table 3.11: </w:t>
      </w:r>
      <w:r>
        <w:tab/>
        <w:t>Summary balance sheet for the State of Victoria</w:t>
      </w:r>
      <w:bookmarkEnd w:id="59"/>
      <w:r>
        <w:t xml:space="preserve"> </w:t>
      </w:r>
      <w:r w:rsidRPr="006A7C8A">
        <w:rPr>
          <w:vertAlign w:val="superscript"/>
        </w:rPr>
        <w:t>(a)</w:t>
      </w:r>
      <w:r>
        <w:tab/>
        <w:t>($ b</w:t>
      </w:r>
      <w:r w:rsidRPr="00455A9E">
        <w:t>illion)</w:t>
      </w:r>
    </w:p>
    <w:tbl>
      <w:tblPr>
        <w:tblStyle w:val="DTFTable"/>
        <w:tblW w:w="7768" w:type="dxa"/>
        <w:tblLayout w:type="fixed"/>
        <w:tblLook w:val="06E0" w:firstRow="1" w:lastRow="1" w:firstColumn="1" w:lastColumn="0" w:noHBand="1" w:noVBand="1"/>
      </w:tblPr>
      <w:tblGrid>
        <w:gridCol w:w="4368"/>
        <w:gridCol w:w="850"/>
        <w:gridCol w:w="850"/>
        <w:gridCol w:w="850"/>
        <w:gridCol w:w="850"/>
      </w:tblGrid>
      <w:tr w:rsidR="00964B88" w14:paraId="249F5DDE"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8" w:type="dxa"/>
          </w:tcPr>
          <w:p w14:paraId="3822AEF0" w14:textId="77777777" w:rsidR="00964B88" w:rsidRDefault="00964B88"/>
        </w:tc>
        <w:tc>
          <w:tcPr>
            <w:tcW w:w="850" w:type="dxa"/>
          </w:tcPr>
          <w:p w14:paraId="259DFA84"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38A05ED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7B6228A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7FBD84DF"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2943C4BF" w14:textId="77777777">
        <w:tc>
          <w:tcPr>
            <w:cnfStyle w:val="001000000000" w:firstRow="0" w:lastRow="0" w:firstColumn="1" w:lastColumn="0" w:oddVBand="0" w:evenVBand="0" w:oddHBand="0" w:evenHBand="0" w:firstRowFirstColumn="0" w:firstRowLastColumn="0" w:lastRowFirstColumn="0" w:lastRowLastColumn="0"/>
            <w:tcW w:w="4368" w:type="dxa"/>
          </w:tcPr>
          <w:p w14:paraId="10E0D50F" w14:textId="77777777" w:rsidR="00964B88" w:rsidRDefault="00964B88">
            <w:r>
              <w:rPr>
                <w:b/>
              </w:rPr>
              <w:t>Assets</w:t>
            </w:r>
          </w:p>
        </w:tc>
        <w:tc>
          <w:tcPr>
            <w:tcW w:w="850" w:type="dxa"/>
          </w:tcPr>
          <w:p w14:paraId="1C5A57E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50EAD5E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5C1D572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CA5A1F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8B33260" w14:textId="77777777">
        <w:tc>
          <w:tcPr>
            <w:cnfStyle w:val="001000000000" w:firstRow="0" w:lastRow="0" w:firstColumn="1" w:lastColumn="0" w:oddVBand="0" w:evenVBand="0" w:oddHBand="0" w:evenHBand="0" w:firstRowFirstColumn="0" w:firstRowLastColumn="0" w:lastRowFirstColumn="0" w:lastRowLastColumn="0"/>
            <w:tcW w:w="4368" w:type="dxa"/>
          </w:tcPr>
          <w:p w14:paraId="27DF8D75" w14:textId="77777777" w:rsidR="00964B88" w:rsidRDefault="00964B88">
            <w:r>
              <w:t>Total financial assets</w:t>
            </w:r>
          </w:p>
        </w:tc>
        <w:tc>
          <w:tcPr>
            <w:tcW w:w="850" w:type="dxa"/>
          </w:tcPr>
          <w:p w14:paraId="46429294" w14:textId="77777777" w:rsidR="00964B88" w:rsidRDefault="00964B88">
            <w:pPr>
              <w:cnfStyle w:val="000000000000" w:firstRow="0" w:lastRow="0" w:firstColumn="0" w:lastColumn="0" w:oddVBand="0" w:evenVBand="0" w:oddHBand="0" w:evenHBand="0" w:firstRowFirstColumn="0" w:firstRowLastColumn="0" w:lastRowFirstColumn="0" w:lastRowLastColumn="0"/>
            </w:pPr>
            <w:r>
              <w:t>62</w:t>
            </w:r>
          </w:p>
        </w:tc>
        <w:tc>
          <w:tcPr>
            <w:tcW w:w="850" w:type="dxa"/>
          </w:tcPr>
          <w:p w14:paraId="02FDFFC7" w14:textId="77777777" w:rsidR="00964B88" w:rsidRDefault="00964B88">
            <w:pPr>
              <w:cnfStyle w:val="000000000000" w:firstRow="0" w:lastRow="0" w:firstColumn="0" w:lastColumn="0" w:oddVBand="0" w:evenVBand="0" w:oddHBand="0" w:evenHBand="0" w:firstRowFirstColumn="0" w:firstRowLastColumn="0" w:lastRowFirstColumn="0" w:lastRowLastColumn="0"/>
            </w:pPr>
            <w:r>
              <w:t>61</w:t>
            </w:r>
          </w:p>
        </w:tc>
        <w:tc>
          <w:tcPr>
            <w:tcW w:w="850" w:type="dxa"/>
          </w:tcPr>
          <w:p w14:paraId="654A17C2" w14:textId="77777777" w:rsidR="00964B88" w:rsidRDefault="00964B88">
            <w:pPr>
              <w:cnfStyle w:val="000000000000" w:firstRow="0" w:lastRow="0" w:firstColumn="0" w:lastColumn="0" w:oddVBand="0" w:evenVBand="0" w:oddHBand="0" w:evenHBand="0" w:firstRowFirstColumn="0" w:firstRowLastColumn="0" w:lastRowFirstColumn="0" w:lastRowLastColumn="0"/>
            </w:pPr>
            <w:r>
              <w:t>63</w:t>
            </w:r>
          </w:p>
        </w:tc>
        <w:tc>
          <w:tcPr>
            <w:tcW w:w="850" w:type="dxa"/>
          </w:tcPr>
          <w:p w14:paraId="667E5C98" w14:textId="77777777" w:rsidR="00964B88" w:rsidRDefault="00964B88">
            <w:pPr>
              <w:cnfStyle w:val="000000000000" w:firstRow="0" w:lastRow="0" w:firstColumn="0" w:lastColumn="0" w:oddVBand="0" w:evenVBand="0" w:oddHBand="0" w:evenHBand="0" w:firstRowFirstColumn="0" w:firstRowLastColumn="0" w:lastRowFirstColumn="0" w:lastRowLastColumn="0"/>
            </w:pPr>
            <w:r>
              <w:t>65</w:t>
            </w:r>
          </w:p>
        </w:tc>
      </w:tr>
      <w:tr w:rsidR="00964B88" w14:paraId="17A11F6A"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bottom w:val="single" w:sz="6" w:space="0" w:color="auto"/>
            </w:tcBorders>
          </w:tcPr>
          <w:p w14:paraId="2DA049B8" w14:textId="77777777" w:rsidR="00964B88" w:rsidRDefault="00964B88">
            <w:r>
              <w:t>Total non</w:t>
            </w:r>
            <w:r>
              <w:noBreakHyphen/>
              <w:t>financial assets</w:t>
            </w:r>
          </w:p>
        </w:tc>
        <w:tc>
          <w:tcPr>
            <w:tcW w:w="850" w:type="dxa"/>
            <w:tcBorders>
              <w:bottom w:val="single" w:sz="6" w:space="0" w:color="auto"/>
            </w:tcBorders>
          </w:tcPr>
          <w:p w14:paraId="7938DE33" w14:textId="77777777" w:rsidR="00964B88" w:rsidRDefault="00964B88">
            <w:pPr>
              <w:cnfStyle w:val="000000000000" w:firstRow="0" w:lastRow="0" w:firstColumn="0" w:lastColumn="0" w:oddVBand="0" w:evenVBand="0" w:oddHBand="0" w:evenHBand="0" w:firstRowFirstColumn="0" w:firstRowLastColumn="0" w:lastRowFirstColumn="0" w:lastRowLastColumn="0"/>
            </w:pPr>
            <w:r>
              <w:t>310</w:t>
            </w:r>
          </w:p>
        </w:tc>
        <w:tc>
          <w:tcPr>
            <w:tcW w:w="850" w:type="dxa"/>
            <w:tcBorders>
              <w:bottom w:val="single" w:sz="6" w:space="0" w:color="auto"/>
            </w:tcBorders>
          </w:tcPr>
          <w:p w14:paraId="15B139E0" w14:textId="77777777" w:rsidR="00964B88" w:rsidRDefault="00964B88">
            <w:pPr>
              <w:cnfStyle w:val="000000000000" w:firstRow="0" w:lastRow="0" w:firstColumn="0" w:lastColumn="0" w:oddVBand="0" w:evenVBand="0" w:oddHBand="0" w:evenHBand="0" w:firstRowFirstColumn="0" w:firstRowLastColumn="0" w:lastRowFirstColumn="0" w:lastRowLastColumn="0"/>
            </w:pPr>
            <w:r>
              <w:t>328</w:t>
            </w:r>
          </w:p>
        </w:tc>
        <w:tc>
          <w:tcPr>
            <w:tcW w:w="850" w:type="dxa"/>
            <w:tcBorders>
              <w:bottom w:val="single" w:sz="6" w:space="0" w:color="auto"/>
            </w:tcBorders>
          </w:tcPr>
          <w:p w14:paraId="4B05F6DA" w14:textId="77777777" w:rsidR="00964B88" w:rsidRDefault="00964B88">
            <w:pPr>
              <w:cnfStyle w:val="000000000000" w:firstRow="0" w:lastRow="0" w:firstColumn="0" w:lastColumn="0" w:oddVBand="0" w:evenVBand="0" w:oddHBand="0" w:evenHBand="0" w:firstRowFirstColumn="0" w:firstRowLastColumn="0" w:lastRowFirstColumn="0" w:lastRowLastColumn="0"/>
            </w:pPr>
            <w:r>
              <w:t>340</w:t>
            </w:r>
          </w:p>
        </w:tc>
        <w:tc>
          <w:tcPr>
            <w:tcW w:w="850" w:type="dxa"/>
            <w:tcBorders>
              <w:bottom w:val="single" w:sz="6" w:space="0" w:color="auto"/>
            </w:tcBorders>
          </w:tcPr>
          <w:p w14:paraId="3EDBF70A" w14:textId="77777777" w:rsidR="00964B88" w:rsidRDefault="00964B88">
            <w:pPr>
              <w:cnfStyle w:val="000000000000" w:firstRow="0" w:lastRow="0" w:firstColumn="0" w:lastColumn="0" w:oddVBand="0" w:evenVBand="0" w:oddHBand="0" w:evenHBand="0" w:firstRowFirstColumn="0" w:firstRowLastColumn="0" w:lastRowFirstColumn="0" w:lastRowLastColumn="0"/>
            </w:pPr>
            <w:r>
              <w:t>351</w:t>
            </w:r>
          </w:p>
        </w:tc>
      </w:tr>
      <w:tr w:rsidR="00964B88" w14:paraId="1BE2EE9E"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top w:val="single" w:sz="6" w:space="0" w:color="auto"/>
            </w:tcBorders>
          </w:tcPr>
          <w:p w14:paraId="1B3EE4C0" w14:textId="77777777" w:rsidR="00964B88" w:rsidRDefault="00964B88">
            <w:r>
              <w:rPr>
                <w:b/>
              </w:rPr>
              <w:t>Total assets</w:t>
            </w:r>
          </w:p>
        </w:tc>
        <w:tc>
          <w:tcPr>
            <w:tcW w:w="850" w:type="dxa"/>
            <w:tcBorders>
              <w:top w:val="single" w:sz="6" w:space="0" w:color="auto"/>
            </w:tcBorders>
          </w:tcPr>
          <w:p w14:paraId="56DA58E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371</w:t>
            </w:r>
          </w:p>
        </w:tc>
        <w:tc>
          <w:tcPr>
            <w:tcW w:w="850" w:type="dxa"/>
            <w:tcBorders>
              <w:top w:val="single" w:sz="6" w:space="0" w:color="auto"/>
            </w:tcBorders>
          </w:tcPr>
          <w:p w14:paraId="1191E79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389</w:t>
            </w:r>
          </w:p>
        </w:tc>
        <w:tc>
          <w:tcPr>
            <w:tcW w:w="850" w:type="dxa"/>
            <w:tcBorders>
              <w:top w:val="single" w:sz="6" w:space="0" w:color="auto"/>
            </w:tcBorders>
          </w:tcPr>
          <w:p w14:paraId="256D885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402</w:t>
            </w:r>
          </w:p>
        </w:tc>
        <w:tc>
          <w:tcPr>
            <w:tcW w:w="850" w:type="dxa"/>
            <w:tcBorders>
              <w:top w:val="single" w:sz="6" w:space="0" w:color="auto"/>
            </w:tcBorders>
          </w:tcPr>
          <w:p w14:paraId="7614ED5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416</w:t>
            </w:r>
          </w:p>
        </w:tc>
      </w:tr>
      <w:tr w:rsidR="00964B88" w14:paraId="363425F9" w14:textId="77777777">
        <w:tc>
          <w:tcPr>
            <w:cnfStyle w:val="001000000000" w:firstRow="0" w:lastRow="0" w:firstColumn="1" w:lastColumn="0" w:oddVBand="0" w:evenVBand="0" w:oddHBand="0" w:evenHBand="0" w:firstRowFirstColumn="0" w:firstRowLastColumn="0" w:lastRowFirstColumn="0" w:lastRowLastColumn="0"/>
            <w:tcW w:w="4368" w:type="dxa"/>
          </w:tcPr>
          <w:p w14:paraId="6BE8D12D" w14:textId="77777777" w:rsidR="00964B88" w:rsidRDefault="00964B88">
            <w:r>
              <w:rPr>
                <w:b/>
              </w:rPr>
              <w:t>Liabilities</w:t>
            </w:r>
          </w:p>
        </w:tc>
        <w:tc>
          <w:tcPr>
            <w:tcW w:w="850" w:type="dxa"/>
          </w:tcPr>
          <w:p w14:paraId="5DADAAE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A81333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9965E4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8ACBF5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B6BB6B8" w14:textId="77777777">
        <w:tc>
          <w:tcPr>
            <w:cnfStyle w:val="001000000000" w:firstRow="0" w:lastRow="0" w:firstColumn="1" w:lastColumn="0" w:oddVBand="0" w:evenVBand="0" w:oddHBand="0" w:evenHBand="0" w:firstRowFirstColumn="0" w:firstRowLastColumn="0" w:lastRowFirstColumn="0" w:lastRowLastColumn="0"/>
            <w:tcW w:w="4368" w:type="dxa"/>
          </w:tcPr>
          <w:p w14:paraId="09A186FE" w14:textId="77777777" w:rsidR="00964B88" w:rsidRDefault="00964B88">
            <w:r>
              <w:t>Superannuation</w:t>
            </w:r>
          </w:p>
        </w:tc>
        <w:tc>
          <w:tcPr>
            <w:tcW w:w="850" w:type="dxa"/>
          </w:tcPr>
          <w:p w14:paraId="14C48755" w14:textId="77777777" w:rsidR="00964B88" w:rsidRDefault="00964B88">
            <w:pPr>
              <w:cnfStyle w:val="000000000000" w:firstRow="0" w:lastRow="0" w:firstColumn="0" w:lastColumn="0" w:oddVBand="0" w:evenVBand="0" w:oddHBand="0" w:evenHBand="0" w:firstRowFirstColumn="0" w:firstRowLastColumn="0" w:lastRowFirstColumn="0" w:lastRowLastColumn="0"/>
            </w:pPr>
            <w:r>
              <w:t>28</w:t>
            </w:r>
          </w:p>
        </w:tc>
        <w:tc>
          <w:tcPr>
            <w:tcW w:w="850" w:type="dxa"/>
          </w:tcPr>
          <w:p w14:paraId="52887F2D" w14:textId="77777777" w:rsidR="00964B88" w:rsidRDefault="00964B88">
            <w:pPr>
              <w:cnfStyle w:val="000000000000" w:firstRow="0" w:lastRow="0" w:firstColumn="0" w:lastColumn="0" w:oddVBand="0" w:evenVBand="0" w:oddHBand="0" w:evenHBand="0" w:firstRowFirstColumn="0" w:firstRowLastColumn="0" w:lastRowFirstColumn="0" w:lastRowLastColumn="0"/>
            </w:pPr>
            <w:r>
              <w:t>27</w:t>
            </w:r>
          </w:p>
        </w:tc>
        <w:tc>
          <w:tcPr>
            <w:tcW w:w="850" w:type="dxa"/>
          </w:tcPr>
          <w:p w14:paraId="5983BD22" w14:textId="77777777" w:rsidR="00964B88" w:rsidRDefault="00964B88">
            <w:pPr>
              <w:cnfStyle w:val="000000000000" w:firstRow="0" w:lastRow="0" w:firstColumn="0" w:lastColumn="0" w:oddVBand="0" w:evenVBand="0" w:oddHBand="0" w:evenHBand="0" w:firstRowFirstColumn="0" w:firstRowLastColumn="0" w:lastRowFirstColumn="0" w:lastRowLastColumn="0"/>
            </w:pPr>
            <w:r>
              <w:t>25</w:t>
            </w:r>
          </w:p>
        </w:tc>
        <w:tc>
          <w:tcPr>
            <w:tcW w:w="850" w:type="dxa"/>
          </w:tcPr>
          <w:p w14:paraId="2DFBAEC0" w14:textId="77777777" w:rsidR="00964B88" w:rsidRDefault="00964B88">
            <w:pPr>
              <w:cnfStyle w:val="000000000000" w:firstRow="0" w:lastRow="0" w:firstColumn="0" w:lastColumn="0" w:oddVBand="0" w:evenVBand="0" w:oddHBand="0" w:evenHBand="0" w:firstRowFirstColumn="0" w:firstRowLastColumn="0" w:lastRowFirstColumn="0" w:lastRowLastColumn="0"/>
            </w:pPr>
            <w:r>
              <w:t>24</w:t>
            </w:r>
          </w:p>
        </w:tc>
      </w:tr>
      <w:tr w:rsidR="00964B88" w14:paraId="3CF35481" w14:textId="77777777">
        <w:tc>
          <w:tcPr>
            <w:cnfStyle w:val="001000000000" w:firstRow="0" w:lastRow="0" w:firstColumn="1" w:lastColumn="0" w:oddVBand="0" w:evenVBand="0" w:oddHBand="0" w:evenHBand="0" w:firstRowFirstColumn="0" w:firstRowLastColumn="0" w:lastRowFirstColumn="0" w:lastRowLastColumn="0"/>
            <w:tcW w:w="4368" w:type="dxa"/>
          </w:tcPr>
          <w:p w14:paraId="5E4D88CF" w14:textId="77777777" w:rsidR="00964B88" w:rsidRDefault="00964B88">
            <w:r>
              <w:t>Borrowings</w:t>
            </w:r>
          </w:p>
        </w:tc>
        <w:tc>
          <w:tcPr>
            <w:tcW w:w="850" w:type="dxa"/>
          </w:tcPr>
          <w:p w14:paraId="5F86507A" w14:textId="77777777" w:rsidR="00964B88" w:rsidRDefault="00964B88">
            <w:pPr>
              <w:cnfStyle w:val="000000000000" w:firstRow="0" w:lastRow="0" w:firstColumn="0" w:lastColumn="0" w:oddVBand="0" w:evenVBand="0" w:oddHBand="0" w:evenHBand="0" w:firstRowFirstColumn="0" w:firstRowLastColumn="0" w:lastRowFirstColumn="0" w:lastRowLastColumn="0"/>
            </w:pPr>
            <w:r>
              <w:t>78</w:t>
            </w:r>
          </w:p>
        </w:tc>
        <w:tc>
          <w:tcPr>
            <w:tcW w:w="850" w:type="dxa"/>
          </w:tcPr>
          <w:p w14:paraId="3ECA4C03" w14:textId="77777777" w:rsidR="00964B88" w:rsidRDefault="00964B88">
            <w:pPr>
              <w:cnfStyle w:val="000000000000" w:firstRow="0" w:lastRow="0" w:firstColumn="0" w:lastColumn="0" w:oddVBand="0" w:evenVBand="0" w:oddHBand="0" w:evenHBand="0" w:firstRowFirstColumn="0" w:firstRowLastColumn="0" w:lastRowFirstColumn="0" w:lastRowLastColumn="0"/>
            </w:pPr>
            <w:r>
              <w:t>88</w:t>
            </w:r>
          </w:p>
        </w:tc>
        <w:tc>
          <w:tcPr>
            <w:tcW w:w="850" w:type="dxa"/>
          </w:tcPr>
          <w:p w14:paraId="71D2D3F2" w14:textId="77777777" w:rsidR="00964B88" w:rsidRDefault="00964B88">
            <w:pPr>
              <w:cnfStyle w:val="000000000000" w:firstRow="0" w:lastRow="0" w:firstColumn="0" w:lastColumn="0" w:oddVBand="0" w:evenVBand="0" w:oddHBand="0" w:evenHBand="0" w:firstRowFirstColumn="0" w:firstRowLastColumn="0" w:lastRowFirstColumn="0" w:lastRowLastColumn="0"/>
            </w:pPr>
            <w:r>
              <w:t>94</w:t>
            </w:r>
          </w:p>
        </w:tc>
        <w:tc>
          <w:tcPr>
            <w:tcW w:w="850" w:type="dxa"/>
          </w:tcPr>
          <w:p w14:paraId="4019E858" w14:textId="77777777" w:rsidR="00964B88" w:rsidRDefault="00964B88">
            <w:pPr>
              <w:cnfStyle w:val="000000000000" w:firstRow="0" w:lastRow="0" w:firstColumn="0" w:lastColumn="0" w:oddVBand="0" w:evenVBand="0" w:oddHBand="0" w:evenHBand="0" w:firstRowFirstColumn="0" w:firstRowLastColumn="0" w:lastRowFirstColumn="0" w:lastRowLastColumn="0"/>
            </w:pPr>
            <w:r>
              <w:t>98</w:t>
            </w:r>
          </w:p>
        </w:tc>
      </w:tr>
      <w:tr w:rsidR="00964B88" w14:paraId="15843B06" w14:textId="77777777">
        <w:tc>
          <w:tcPr>
            <w:cnfStyle w:val="001000000000" w:firstRow="0" w:lastRow="0" w:firstColumn="1" w:lastColumn="0" w:oddVBand="0" w:evenVBand="0" w:oddHBand="0" w:evenHBand="0" w:firstRowFirstColumn="0" w:firstRowLastColumn="0" w:lastRowFirstColumn="0" w:lastRowLastColumn="0"/>
            <w:tcW w:w="4368" w:type="dxa"/>
          </w:tcPr>
          <w:p w14:paraId="5DFDBF37" w14:textId="77777777" w:rsidR="00964B88" w:rsidRDefault="00964B88">
            <w:r>
              <w:t>Deposits held and advances received</w:t>
            </w:r>
          </w:p>
        </w:tc>
        <w:tc>
          <w:tcPr>
            <w:tcW w:w="850" w:type="dxa"/>
          </w:tcPr>
          <w:p w14:paraId="6A9D7F76"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c>
          <w:tcPr>
            <w:tcW w:w="850" w:type="dxa"/>
          </w:tcPr>
          <w:p w14:paraId="372FD3F2"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c>
          <w:tcPr>
            <w:tcW w:w="850" w:type="dxa"/>
          </w:tcPr>
          <w:p w14:paraId="40E2AAFA"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Pr>
          <w:p w14:paraId="52C61E46"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r>
      <w:tr w:rsidR="00964B88" w14:paraId="787C6321"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bottom w:val="single" w:sz="6" w:space="0" w:color="auto"/>
            </w:tcBorders>
          </w:tcPr>
          <w:p w14:paraId="0CD9159F" w14:textId="77777777" w:rsidR="00964B88" w:rsidRDefault="00964B88">
            <w:r>
              <w:t>Other liabilities</w:t>
            </w:r>
          </w:p>
        </w:tc>
        <w:tc>
          <w:tcPr>
            <w:tcW w:w="850" w:type="dxa"/>
            <w:tcBorders>
              <w:bottom w:val="single" w:sz="6" w:space="0" w:color="auto"/>
            </w:tcBorders>
          </w:tcPr>
          <w:p w14:paraId="7F1F3054" w14:textId="77777777" w:rsidR="00964B88" w:rsidRDefault="00964B88">
            <w:pPr>
              <w:cnfStyle w:val="000000000000" w:firstRow="0" w:lastRow="0" w:firstColumn="0" w:lastColumn="0" w:oddVBand="0" w:evenVBand="0" w:oddHBand="0" w:evenHBand="0" w:firstRowFirstColumn="0" w:firstRowLastColumn="0" w:lastRowFirstColumn="0" w:lastRowLastColumn="0"/>
            </w:pPr>
            <w:r>
              <w:t>81</w:t>
            </w:r>
          </w:p>
        </w:tc>
        <w:tc>
          <w:tcPr>
            <w:tcW w:w="850" w:type="dxa"/>
            <w:tcBorders>
              <w:bottom w:val="single" w:sz="6" w:space="0" w:color="auto"/>
            </w:tcBorders>
          </w:tcPr>
          <w:p w14:paraId="6A8DEFDD" w14:textId="77777777" w:rsidR="00964B88" w:rsidRDefault="00964B88">
            <w:pPr>
              <w:cnfStyle w:val="000000000000" w:firstRow="0" w:lastRow="0" w:firstColumn="0" w:lastColumn="0" w:oddVBand="0" w:evenVBand="0" w:oddHBand="0" w:evenHBand="0" w:firstRowFirstColumn="0" w:firstRowLastColumn="0" w:lastRowFirstColumn="0" w:lastRowLastColumn="0"/>
            </w:pPr>
            <w:r>
              <w:t>85</w:t>
            </w:r>
          </w:p>
        </w:tc>
        <w:tc>
          <w:tcPr>
            <w:tcW w:w="850" w:type="dxa"/>
            <w:tcBorders>
              <w:bottom w:val="single" w:sz="6" w:space="0" w:color="auto"/>
            </w:tcBorders>
          </w:tcPr>
          <w:p w14:paraId="6237DA1C" w14:textId="77777777" w:rsidR="00964B88" w:rsidRDefault="00964B88">
            <w:pPr>
              <w:cnfStyle w:val="000000000000" w:firstRow="0" w:lastRow="0" w:firstColumn="0" w:lastColumn="0" w:oddVBand="0" w:evenVBand="0" w:oddHBand="0" w:evenHBand="0" w:firstRowFirstColumn="0" w:firstRowLastColumn="0" w:lastRowFirstColumn="0" w:lastRowLastColumn="0"/>
            </w:pPr>
            <w:r>
              <w:t>88</w:t>
            </w:r>
          </w:p>
        </w:tc>
        <w:tc>
          <w:tcPr>
            <w:tcW w:w="850" w:type="dxa"/>
            <w:tcBorders>
              <w:bottom w:val="single" w:sz="6" w:space="0" w:color="auto"/>
            </w:tcBorders>
          </w:tcPr>
          <w:p w14:paraId="13B7426F" w14:textId="77777777" w:rsidR="00964B88" w:rsidRDefault="00964B88">
            <w:pPr>
              <w:cnfStyle w:val="000000000000" w:firstRow="0" w:lastRow="0" w:firstColumn="0" w:lastColumn="0" w:oddVBand="0" w:evenVBand="0" w:oddHBand="0" w:evenHBand="0" w:firstRowFirstColumn="0" w:firstRowLastColumn="0" w:lastRowFirstColumn="0" w:lastRowLastColumn="0"/>
            </w:pPr>
            <w:r>
              <w:t>91</w:t>
            </w:r>
          </w:p>
        </w:tc>
      </w:tr>
      <w:tr w:rsidR="00964B88" w14:paraId="4D380B1D" w14:textId="77777777" w:rsidTr="00F53820">
        <w:tc>
          <w:tcPr>
            <w:cnfStyle w:val="001000000000" w:firstRow="0" w:lastRow="0" w:firstColumn="1" w:lastColumn="0" w:oddVBand="0" w:evenVBand="0" w:oddHBand="0" w:evenHBand="0" w:firstRowFirstColumn="0" w:firstRowLastColumn="0" w:lastRowFirstColumn="0" w:lastRowLastColumn="0"/>
            <w:tcW w:w="4368" w:type="dxa"/>
            <w:tcBorders>
              <w:top w:val="single" w:sz="6" w:space="0" w:color="auto"/>
              <w:bottom w:val="single" w:sz="6" w:space="0" w:color="auto"/>
            </w:tcBorders>
          </w:tcPr>
          <w:p w14:paraId="56F3DBC7" w14:textId="77777777" w:rsidR="00964B88" w:rsidRDefault="00964B88">
            <w:r>
              <w:rPr>
                <w:b/>
              </w:rPr>
              <w:t>Total liabilities</w:t>
            </w:r>
          </w:p>
        </w:tc>
        <w:tc>
          <w:tcPr>
            <w:tcW w:w="850" w:type="dxa"/>
            <w:tcBorders>
              <w:top w:val="single" w:sz="6" w:space="0" w:color="auto"/>
              <w:bottom w:val="single" w:sz="6" w:space="0" w:color="auto"/>
            </w:tcBorders>
          </w:tcPr>
          <w:p w14:paraId="6443459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190</w:t>
            </w:r>
          </w:p>
        </w:tc>
        <w:tc>
          <w:tcPr>
            <w:tcW w:w="850" w:type="dxa"/>
            <w:tcBorders>
              <w:top w:val="single" w:sz="6" w:space="0" w:color="auto"/>
              <w:bottom w:val="single" w:sz="6" w:space="0" w:color="auto"/>
            </w:tcBorders>
          </w:tcPr>
          <w:p w14:paraId="03D2C6E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201</w:t>
            </w:r>
          </w:p>
        </w:tc>
        <w:tc>
          <w:tcPr>
            <w:tcW w:w="850" w:type="dxa"/>
            <w:tcBorders>
              <w:top w:val="single" w:sz="6" w:space="0" w:color="auto"/>
              <w:bottom w:val="single" w:sz="6" w:space="0" w:color="auto"/>
            </w:tcBorders>
          </w:tcPr>
          <w:p w14:paraId="4825FD4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209</w:t>
            </w:r>
          </w:p>
        </w:tc>
        <w:tc>
          <w:tcPr>
            <w:tcW w:w="850" w:type="dxa"/>
            <w:tcBorders>
              <w:top w:val="single" w:sz="6" w:space="0" w:color="auto"/>
              <w:bottom w:val="single" w:sz="6" w:space="0" w:color="auto"/>
            </w:tcBorders>
          </w:tcPr>
          <w:p w14:paraId="7471CFA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214</w:t>
            </w:r>
          </w:p>
        </w:tc>
      </w:tr>
      <w:tr w:rsidR="00964B88" w14:paraId="769B61F3"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8" w:type="dxa"/>
          </w:tcPr>
          <w:p w14:paraId="7A0F4274" w14:textId="77777777" w:rsidR="00964B88" w:rsidRDefault="00964B88">
            <w:r>
              <w:t>Net assets</w:t>
            </w:r>
          </w:p>
        </w:tc>
        <w:tc>
          <w:tcPr>
            <w:tcW w:w="850" w:type="dxa"/>
          </w:tcPr>
          <w:p w14:paraId="36756410" w14:textId="77777777" w:rsidR="00964B88" w:rsidRDefault="00964B88">
            <w:pPr>
              <w:cnfStyle w:val="010000000000" w:firstRow="0" w:lastRow="1" w:firstColumn="0" w:lastColumn="0" w:oddVBand="0" w:evenVBand="0" w:oddHBand="0" w:evenHBand="0" w:firstRowFirstColumn="0" w:firstRowLastColumn="0" w:lastRowFirstColumn="0" w:lastRowLastColumn="0"/>
            </w:pPr>
            <w:r>
              <w:t>182</w:t>
            </w:r>
          </w:p>
        </w:tc>
        <w:tc>
          <w:tcPr>
            <w:tcW w:w="850" w:type="dxa"/>
          </w:tcPr>
          <w:p w14:paraId="508C8078" w14:textId="77777777" w:rsidR="00964B88" w:rsidRDefault="00964B88">
            <w:pPr>
              <w:cnfStyle w:val="010000000000" w:firstRow="0" w:lastRow="1" w:firstColumn="0" w:lastColumn="0" w:oddVBand="0" w:evenVBand="0" w:oddHBand="0" w:evenHBand="0" w:firstRowFirstColumn="0" w:firstRowLastColumn="0" w:lastRowFirstColumn="0" w:lastRowLastColumn="0"/>
            </w:pPr>
            <w:r>
              <w:t>188</w:t>
            </w:r>
          </w:p>
        </w:tc>
        <w:tc>
          <w:tcPr>
            <w:tcW w:w="850" w:type="dxa"/>
          </w:tcPr>
          <w:p w14:paraId="39296073" w14:textId="77777777" w:rsidR="00964B88" w:rsidRDefault="00964B88">
            <w:pPr>
              <w:cnfStyle w:val="010000000000" w:firstRow="0" w:lastRow="1" w:firstColumn="0" w:lastColumn="0" w:oddVBand="0" w:evenVBand="0" w:oddHBand="0" w:evenHBand="0" w:firstRowFirstColumn="0" w:firstRowLastColumn="0" w:lastRowFirstColumn="0" w:lastRowLastColumn="0"/>
            </w:pPr>
            <w:r>
              <w:t>194</w:t>
            </w:r>
          </w:p>
        </w:tc>
        <w:tc>
          <w:tcPr>
            <w:tcW w:w="850" w:type="dxa"/>
          </w:tcPr>
          <w:p w14:paraId="0365E1FD" w14:textId="77777777" w:rsidR="00964B88" w:rsidRDefault="00964B88">
            <w:pPr>
              <w:cnfStyle w:val="010000000000" w:firstRow="0" w:lastRow="1" w:firstColumn="0" w:lastColumn="0" w:oddVBand="0" w:evenVBand="0" w:oddHBand="0" w:evenHBand="0" w:firstRowFirstColumn="0" w:firstRowLastColumn="0" w:lastRowFirstColumn="0" w:lastRowLastColumn="0"/>
            </w:pPr>
            <w:r>
              <w:t>202</w:t>
            </w:r>
          </w:p>
        </w:tc>
      </w:tr>
    </w:tbl>
    <w:p w14:paraId="4209AC93" w14:textId="77777777" w:rsidR="00964B88" w:rsidRDefault="00964B88" w:rsidP="00F53820">
      <w:pPr>
        <w:pStyle w:val="Note"/>
      </w:pPr>
      <w:r>
        <w:t>Note:</w:t>
      </w:r>
    </w:p>
    <w:p w14:paraId="082E62A4" w14:textId="77777777" w:rsidR="00964B88" w:rsidRDefault="00964B88" w:rsidP="00F53820">
      <w:pPr>
        <w:pStyle w:val="Note"/>
      </w:pPr>
      <w:r>
        <w:t>(a)</w:t>
      </w:r>
      <w:r>
        <w:tab/>
        <w:t xml:space="preserve">This is a summary balance sheet. The comprehensive balance sheet is presented in Chapter 5 </w:t>
      </w:r>
      <w:r w:rsidRPr="00E377F9">
        <w:rPr>
          <w:i w:val="0"/>
        </w:rPr>
        <w:t>Supplementary uniform presentation framework tables</w:t>
      </w:r>
      <w:r>
        <w:t>. Figures in this table are subject to rounding to the nearest billion and may not add up to totals.</w:t>
      </w:r>
    </w:p>
    <w:p w14:paraId="768ADBE1" w14:textId="77777777" w:rsidR="00440992" w:rsidRDefault="00440992">
      <w:pPr>
        <w:keepLines w:val="0"/>
      </w:pPr>
      <w:r>
        <w:br w:type="page"/>
      </w:r>
    </w:p>
    <w:p w14:paraId="482250AE" w14:textId="77777777" w:rsidR="00964B88" w:rsidRDefault="00964B88" w:rsidP="00F53820"/>
    <w:p w14:paraId="677E0C7C" w14:textId="77777777" w:rsidR="00440992" w:rsidRPr="006A7C8A" w:rsidRDefault="00440992" w:rsidP="00F53820"/>
    <w:p w14:paraId="69B1D2C0" w14:textId="77777777" w:rsidR="00964B88" w:rsidRDefault="00964B88" w:rsidP="0052294D">
      <w:pPr>
        <w:sectPr w:rsidR="00964B88" w:rsidSect="00495025">
          <w:headerReference w:type="even" r:id="rId38"/>
          <w:headerReference w:type="default" r:id="rId39"/>
          <w:footerReference w:type="even" r:id="rId40"/>
          <w:footerReference w:type="default" r:id="rId41"/>
          <w:headerReference w:type="first" r:id="rId42"/>
          <w:footerReference w:type="first" r:id="rId43"/>
          <w:pgSz w:w="9979" w:h="14175" w:code="34"/>
          <w:pgMar w:top="851" w:right="1140" w:bottom="851" w:left="1140" w:header="618" w:footer="561" w:gutter="0"/>
          <w:cols w:sep="1" w:space="567"/>
          <w:docGrid w:linePitch="360"/>
        </w:sectPr>
      </w:pPr>
    </w:p>
    <w:p w14:paraId="65EF0A8E" w14:textId="77777777" w:rsidR="00964B88" w:rsidRDefault="00964B88" w:rsidP="000C43CD">
      <w:pPr>
        <w:pStyle w:val="Chapterheading"/>
      </w:pPr>
      <w:bookmarkStart w:id="61" w:name="_Toc26788540"/>
      <w:r>
        <w:lastRenderedPageBreak/>
        <w:t>C</w:t>
      </w:r>
      <w:r w:rsidRPr="004E4D8E">
        <w:t xml:space="preserve">hapter </w:t>
      </w:r>
      <w:r>
        <w:t>4</w:t>
      </w:r>
      <w:r w:rsidRPr="004E4D8E">
        <w:t xml:space="preserve"> – Estimated financial statements and notes</w:t>
      </w:r>
      <w:bookmarkEnd w:id="61"/>
    </w:p>
    <w:p w14:paraId="1E74DEA0" w14:textId="77777777" w:rsidR="00964B88" w:rsidRDefault="00964B88" w:rsidP="00F53820">
      <w:pPr>
        <w:pStyle w:val="Heading10"/>
      </w:pPr>
      <w:bookmarkStart w:id="62" w:name="_Toc517171541"/>
      <w:bookmarkStart w:id="63" w:name="_Toc26788541"/>
      <w:r>
        <w:t>Estimated general government sector</w:t>
      </w:r>
      <w:r>
        <w:br/>
        <w:t>comprehensive operating statement</w:t>
      </w:r>
      <w:bookmarkEnd w:id="62"/>
      <w:bookmarkEnd w:id="63"/>
    </w:p>
    <w:p w14:paraId="048D6F54" w14:textId="77777777" w:rsidR="00964B88" w:rsidRDefault="00964B88" w:rsidP="00F53820">
      <w:pPr>
        <w:pStyle w:val="TableHeading"/>
      </w:pPr>
      <w:r w:rsidRPr="00504EB3">
        <w:t>For the financial year ended 30 June</w:t>
      </w:r>
      <w:r w:rsidRPr="00504EB3">
        <w:tab/>
        <w:t>($ million)</w:t>
      </w:r>
    </w:p>
    <w:tbl>
      <w:tblPr>
        <w:tblStyle w:val="DTFTable"/>
        <w:tblW w:w="7768" w:type="dxa"/>
        <w:tblLayout w:type="fixed"/>
        <w:tblLook w:val="06E0" w:firstRow="1" w:lastRow="1" w:firstColumn="1" w:lastColumn="0" w:noHBand="1" w:noVBand="1"/>
      </w:tblPr>
      <w:tblGrid>
        <w:gridCol w:w="2781"/>
        <w:gridCol w:w="737"/>
        <w:gridCol w:w="850"/>
        <w:gridCol w:w="850"/>
        <w:gridCol w:w="850"/>
        <w:gridCol w:w="850"/>
        <w:gridCol w:w="850"/>
      </w:tblGrid>
      <w:tr w:rsidR="00964B88" w14:paraId="5911E18F" w14:textId="77777777" w:rsidTr="009011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1" w:type="dxa"/>
          </w:tcPr>
          <w:p w14:paraId="40F49CC4" w14:textId="77777777" w:rsidR="00964B88" w:rsidRDefault="00964B88"/>
        </w:tc>
        <w:tc>
          <w:tcPr>
            <w:tcW w:w="737" w:type="dxa"/>
          </w:tcPr>
          <w:p w14:paraId="032EEE56" w14:textId="77777777" w:rsidR="00964B88" w:rsidRDefault="00964B88">
            <w:pPr>
              <w:jc w:val="center"/>
              <w:cnfStyle w:val="100000000000" w:firstRow="1" w:lastRow="0" w:firstColumn="0" w:lastColumn="0" w:oddVBand="0" w:evenVBand="0" w:oddHBand="0" w:evenHBand="0" w:firstRowFirstColumn="0" w:firstRowLastColumn="0" w:lastRowFirstColumn="0" w:lastRowLastColumn="0"/>
            </w:pPr>
            <w:r>
              <w:t>Notes</w:t>
            </w:r>
          </w:p>
        </w:tc>
        <w:tc>
          <w:tcPr>
            <w:tcW w:w="850" w:type="dxa"/>
          </w:tcPr>
          <w:p w14:paraId="3A7A18A2"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790FCBF4"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6E103CF5"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7FFF83C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087058F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2993351A"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1E06FF05" w14:textId="77777777" w:rsidR="00964B88" w:rsidRDefault="00964B88">
            <w:r>
              <w:rPr>
                <w:b/>
              </w:rPr>
              <w:t>Revenue from transactions</w:t>
            </w:r>
          </w:p>
        </w:tc>
        <w:tc>
          <w:tcPr>
            <w:tcW w:w="737" w:type="dxa"/>
          </w:tcPr>
          <w:p w14:paraId="0D723504"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716897E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549803E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6DBB64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5EC7C1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2C613DF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12E4670"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0F68F067" w14:textId="77777777" w:rsidR="00964B88" w:rsidRDefault="00964B88">
            <w:r>
              <w:t>Taxation revenue</w:t>
            </w:r>
          </w:p>
        </w:tc>
        <w:tc>
          <w:tcPr>
            <w:tcW w:w="737" w:type="dxa"/>
          </w:tcPr>
          <w:p w14:paraId="47DB5D9C"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4.2.1</w:t>
            </w:r>
          </w:p>
        </w:tc>
        <w:tc>
          <w:tcPr>
            <w:tcW w:w="850" w:type="dxa"/>
          </w:tcPr>
          <w:p w14:paraId="45A2FA5F" w14:textId="77777777" w:rsidR="00964B88" w:rsidRDefault="00964B88">
            <w:pPr>
              <w:cnfStyle w:val="000000000000" w:firstRow="0" w:lastRow="0" w:firstColumn="0" w:lastColumn="0" w:oddVBand="0" w:evenVBand="0" w:oddHBand="0" w:evenHBand="0" w:firstRowFirstColumn="0" w:firstRowLastColumn="0" w:lastRowFirstColumn="0" w:lastRowLastColumn="0"/>
            </w:pPr>
            <w:r>
              <w:t>24 328</w:t>
            </w:r>
          </w:p>
        </w:tc>
        <w:tc>
          <w:tcPr>
            <w:tcW w:w="850" w:type="dxa"/>
          </w:tcPr>
          <w:p w14:paraId="186BDA0B" w14:textId="77777777" w:rsidR="00964B88" w:rsidRDefault="00964B88">
            <w:pPr>
              <w:cnfStyle w:val="000000000000" w:firstRow="0" w:lastRow="0" w:firstColumn="0" w:lastColumn="0" w:oddVBand="0" w:evenVBand="0" w:oddHBand="0" w:evenHBand="0" w:firstRowFirstColumn="0" w:firstRowLastColumn="0" w:lastRowFirstColumn="0" w:lastRowLastColumn="0"/>
            </w:pPr>
            <w:r>
              <w:t>24 382</w:t>
            </w:r>
          </w:p>
        </w:tc>
        <w:tc>
          <w:tcPr>
            <w:tcW w:w="850" w:type="dxa"/>
          </w:tcPr>
          <w:p w14:paraId="7C988F11" w14:textId="77777777" w:rsidR="00964B88" w:rsidRDefault="00964B88">
            <w:pPr>
              <w:cnfStyle w:val="000000000000" w:firstRow="0" w:lastRow="0" w:firstColumn="0" w:lastColumn="0" w:oddVBand="0" w:evenVBand="0" w:oddHBand="0" w:evenHBand="0" w:firstRowFirstColumn="0" w:firstRowLastColumn="0" w:lastRowFirstColumn="0" w:lastRowLastColumn="0"/>
            </w:pPr>
            <w:r>
              <w:t>25 427</w:t>
            </w:r>
          </w:p>
        </w:tc>
        <w:tc>
          <w:tcPr>
            <w:tcW w:w="850" w:type="dxa"/>
          </w:tcPr>
          <w:p w14:paraId="03B56C6D" w14:textId="77777777" w:rsidR="00964B88" w:rsidRDefault="00964B88">
            <w:pPr>
              <w:cnfStyle w:val="000000000000" w:firstRow="0" w:lastRow="0" w:firstColumn="0" w:lastColumn="0" w:oddVBand="0" w:evenVBand="0" w:oddHBand="0" w:evenHBand="0" w:firstRowFirstColumn="0" w:firstRowLastColumn="0" w:lastRowFirstColumn="0" w:lastRowLastColumn="0"/>
            </w:pPr>
            <w:r>
              <w:t>26 791</w:t>
            </w:r>
          </w:p>
        </w:tc>
        <w:tc>
          <w:tcPr>
            <w:tcW w:w="850" w:type="dxa"/>
          </w:tcPr>
          <w:p w14:paraId="620D3EC7" w14:textId="77777777" w:rsidR="00964B88" w:rsidRDefault="00964B88">
            <w:pPr>
              <w:cnfStyle w:val="000000000000" w:firstRow="0" w:lastRow="0" w:firstColumn="0" w:lastColumn="0" w:oddVBand="0" w:evenVBand="0" w:oddHBand="0" w:evenHBand="0" w:firstRowFirstColumn="0" w:firstRowLastColumn="0" w:lastRowFirstColumn="0" w:lastRowLastColumn="0"/>
            </w:pPr>
            <w:r>
              <w:t>28 356</w:t>
            </w:r>
          </w:p>
        </w:tc>
      </w:tr>
      <w:tr w:rsidR="00964B88" w14:paraId="2C8E3F18"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575110FA" w14:textId="77777777" w:rsidR="00964B88" w:rsidRDefault="00964B88">
            <w:r>
              <w:t>Interest revenue</w:t>
            </w:r>
          </w:p>
        </w:tc>
        <w:tc>
          <w:tcPr>
            <w:tcW w:w="737" w:type="dxa"/>
          </w:tcPr>
          <w:p w14:paraId="5C051BF0"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4B0DAD37" w14:textId="77777777" w:rsidR="00964B88" w:rsidRDefault="00964B88">
            <w:pPr>
              <w:cnfStyle w:val="000000000000" w:firstRow="0" w:lastRow="0" w:firstColumn="0" w:lastColumn="0" w:oddVBand="0" w:evenVBand="0" w:oddHBand="0" w:evenHBand="0" w:firstRowFirstColumn="0" w:firstRowLastColumn="0" w:lastRowFirstColumn="0" w:lastRowLastColumn="0"/>
            </w:pPr>
            <w:r>
              <w:t>719</w:t>
            </w:r>
          </w:p>
        </w:tc>
        <w:tc>
          <w:tcPr>
            <w:tcW w:w="850" w:type="dxa"/>
          </w:tcPr>
          <w:p w14:paraId="66BAE774" w14:textId="77777777" w:rsidR="00964B88" w:rsidRDefault="00964B88">
            <w:pPr>
              <w:cnfStyle w:val="000000000000" w:firstRow="0" w:lastRow="0" w:firstColumn="0" w:lastColumn="0" w:oddVBand="0" w:evenVBand="0" w:oddHBand="0" w:evenHBand="0" w:firstRowFirstColumn="0" w:firstRowLastColumn="0" w:lastRowFirstColumn="0" w:lastRowLastColumn="0"/>
            </w:pPr>
            <w:r>
              <w:t>712</w:t>
            </w:r>
          </w:p>
        </w:tc>
        <w:tc>
          <w:tcPr>
            <w:tcW w:w="850" w:type="dxa"/>
          </w:tcPr>
          <w:p w14:paraId="2B4E2A21" w14:textId="77777777" w:rsidR="00964B88" w:rsidRDefault="00964B88">
            <w:pPr>
              <w:cnfStyle w:val="000000000000" w:firstRow="0" w:lastRow="0" w:firstColumn="0" w:lastColumn="0" w:oddVBand="0" w:evenVBand="0" w:oddHBand="0" w:evenHBand="0" w:firstRowFirstColumn="0" w:firstRowLastColumn="0" w:lastRowFirstColumn="0" w:lastRowLastColumn="0"/>
            </w:pPr>
            <w:r>
              <w:t>692</w:t>
            </w:r>
          </w:p>
        </w:tc>
        <w:tc>
          <w:tcPr>
            <w:tcW w:w="850" w:type="dxa"/>
          </w:tcPr>
          <w:p w14:paraId="70B2F76C" w14:textId="77777777" w:rsidR="00964B88" w:rsidRDefault="00964B88">
            <w:pPr>
              <w:cnfStyle w:val="000000000000" w:firstRow="0" w:lastRow="0" w:firstColumn="0" w:lastColumn="0" w:oddVBand="0" w:evenVBand="0" w:oddHBand="0" w:evenHBand="0" w:firstRowFirstColumn="0" w:firstRowLastColumn="0" w:lastRowFirstColumn="0" w:lastRowLastColumn="0"/>
            </w:pPr>
            <w:r>
              <w:t>681</w:t>
            </w:r>
          </w:p>
        </w:tc>
        <w:tc>
          <w:tcPr>
            <w:tcW w:w="850" w:type="dxa"/>
          </w:tcPr>
          <w:p w14:paraId="1CCAD65C" w14:textId="77777777" w:rsidR="00964B88" w:rsidRDefault="00964B88">
            <w:pPr>
              <w:cnfStyle w:val="000000000000" w:firstRow="0" w:lastRow="0" w:firstColumn="0" w:lastColumn="0" w:oddVBand="0" w:evenVBand="0" w:oddHBand="0" w:evenHBand="0" w:firstRowFirstColumn="0" w:firstRowLastColumn="0" w:lastRowFirstColumn="0" w:lastRowLastColumn="0"/>
            </w:pPr>
            <w:r>
              <w:t>669</w:t>
            </w:r>
          </w:p>
        </w:tc>
      </w:tr>
      <w:tr w:rsidR="00964B88" w14:paraId="1D7823C1"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681753FB" w14:textId="77777777" w:rsidR="00964B88" w:rsidRDefault="00964B88">
            <w:r>
              <w:t>Dividends, income tax equivalent and rate equivalent revenue</w:t>
            </w:r>
          </w:p>
        </w:tc>
        <w:tc>
          <w:tcPr>
            <w:tcW w:w="737" w:type="dxa"/>
          </w:tcPr>
          <w:p w14:paraId="61FDC356"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4.2.2</w:t>
            </w:r>
          </w:p>
        </w:tc>
        <w:tc>
          <w:tcPr>
            <w:tcW w:w="850" w:type="dxa"/>
          </w:tcPr>
          <w:p w14:paraId="5F3B9D72" w14:textId="77777777" w:rsidR="00964B88" w:rsidRDefault="00964B88">
            <w:pPr>
              <w:cnfStyle w:val="000000000000" w:firstRow="0" w:lastRow="0" w:firstColumn="0" w:lastColumn="0" w:oddVBand="0" w:evenVBand="0" w:oddHBand="0" w:evenHBand="0" w:firstRowFirstColumn="0" w:firstRowLastColumn="0" w:lastRowFirstColumn="0" w:lastRowLastColumn="0"/>
            </w:pPr>
            <w:r>
              <w:t>863</w:t>
            </w:r>
          </w:p>
        </w:tc>
        <w:tc>
          <w:tcPr>
            <w:tcW w:w="850" w:type="dxa"/>
          </w:tcPr>
          <w:p w14:paraId="0D140B23" w14:textId="77777777" w:rsidR="00964B88" w:rsidRDefault="00964B88">
            <w:pPr>
              <w:cnfStyle w:val="000000000000" w:firstRow="0" w:lastRow="0" w:firstColumn="0" w:lastColumn="0" w:oddVBand="0" w:evenVBand="0" w:oddHBand="0" w:evenHBand="0" w:firstRowFirstColumn="0" w:firstRowLastColumn="0" w:lastRowFirstColumn="0" w:lastRowLastColumn="0"/>
            </w:pPr>
            <w:r>
              <w:t>825</w:t>
            </w:r>
          </w:p>
        </w:tc>
        <w:tc>
          <w:tcPr>
            <w:tcW w:w="850" w:type="dxa"/>
          </w:tcPr>
          <w:p w14:paraId="54FC06B2" w14:textId="77777777" w:rsidR="00964B88" w:rsidRDefault="00964B88">
            <w:pPr>
              <w:cnfStyle w:val="000000000000" w:firstRow="0" w:lastRow="0" w:firstColumn="0" w:lastColumn="0" w:oddVBand="0" w:evenVBand="0" w:oddHBand="0" w:evenHBand="0" w:firstRowFirstColumn="0" w:firstRowLastColumn="0" w:lastRowFirstColumn="0" w:lastRowLastColumn="0"/>
            </w:pPr>
            <w:r>
              <w:t>515</w:t>
            </w:r>
          </w:p>
        </w:tc>
        <w:tc>
          <w:tcPr>
            <w:tcW w:w="850" w:type="dxa"/>
          </w:tcPr>
          <w:p w14:paraId="6399B15B" w14:textId="77777777" w:rsidR="00964B88" w:rsidRDefault="00964B88">
            <w:pPr>
              <w:cnfStyle w:val="000000000000" w:firstRow="0" w:lastRow="0" w:firstColumn="0" w:lastColumn="0" w:oddVBand="0" w:evenVBand="0" w:oddHBand="0" w:evenHBand="0" w:firstRowFirstColumn="0" w:firstRowLastColumn="0" w:lastRowFirstColumn="0" w:lastRowLastColumn="0"/>
            </w:pPr>
            <w:r>
              <w:t>525</w:t>
            </w:r>
          </w:p>
        </w:tc>
        <w:tc>
          <w:tcPr>
            <w:tcW w:w="850" w:type="dxa"/>
          </w:tcPr>
          <w:p w14:paraId="1A35CFF8" w14:textId="77777777" w:rsidR="00964B88" w:rsidRDefault="00964B88">
            <w:pPr>
              <w:cnfStyle w:val="000000000000" w:firstRow="0" w:lastRow="0" w:firstColumn="0" w:lastColumn="0" w:oddVBand="0" w:evenVBand="0" w:oddHBand="0" w:evenHBand="0" w:firstRowFirstColumn="0" w:firstRowLastColumn="0" w:lastRowFirstColumn="0" w:lastRowLastColumn="0"/>
            </w:pPr>
            <w:r>
              <w:t>570</w:t>
            </w:r>
          </w:p>
        </w:tc>
      </w:tr>
      <w:tr w:rsidR="00964B88" w14:paraId="50A128EC"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2500619B" w14:textId="77777777" w:rsidR="00964B88" w:rsidRDefault="00964B88">
            <w:r>
              <w:t>Sales of goods and services</w:t>
            </w:r>
          </w:p>
        </w:tc>
        <w:tc>
          <w:tcPr>
            <w:tcW w:w="737" w:type="dxa"/>
          </w:tcPr>
          <w:p w14:paraId="1AAD3D85"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4.2.3</w:t>
            </w:r>
          </w:p>
        </w:tc>
        <w:tc>
          <w:tcPr>
            <w:tcW w:w="850" w:type="dxa"/>
          </w:tcPr>
          <w:p w14:paraId="031DD25D" w14:textId="77777777" w:rsidR="00964B88" w:rsidRDefault="00964B88">
            <w:pPr>
              <w:cnfStyle w:val="000000000000" w:firstRow="0" w:lastRow="0" w:firstColumn="0" w:lastColumn="0" w:oddVBand="0" w:evenVBand="0" w:oddHBand="0" w:evenHBand="0" w:firstRowFirstColumn="0" w:firstRowLastColumn="0" w:lastRowFirstColumn="0" w:lastRowLastColumn="0"/>
            </w:pPr>
            <w:r>
              <w:t>8 030</w:t>
            </w:r>
          </w:p>
        </w:tc>
        <w:tc>
          <w:tcPr>
            <w:tcW w:w="850" w:type="dxa"/>
          </w:tcPr>
          <w:p w14:paraId="2A1BF25C" w14:textId="77777777" w:rsidR="00964B88" w:rsidRDefault="00964B88">
            <w:pPr>
              <w:cnfStyle w:val="000000000000" w:firstRow="0" w:lastRow="0" w:firstColumn="0" w:lastColumn="0" w:oddVBand="0" w:evenVBand="0" w:oddHBand="0" w:evenHBand="0" w:firstRowFirstColumn="0" w:firstRowLastColumn="0" w:lastRowFirstColumn="0" w:lastRowLastColumn="0"/>
            </w:pPr>
            <w:r>
              <w:t>8 118</w:t>
            </w:r>
          </w:p>
        </w:tc>
        <w:tc>
          <w:tcPr>
            <w:tcW w:w="850" w:type="dxa"/>
          </w:tcPr>
          <w:p w14:paraId="0D2D6C39" w14:textId="77777777" w:rsidR="00964B88" w:rsidRDefault="00964B88">
            <w:pPr>
              <w:cnfStyle w:val="000000000000" w:firstRow="0" w:lastRow="0" w:firstColumn="0" w:lastColumn="0" w:oddVBand="0" w:evenVBand="0" w:oddHBand="0" w:evenHBand="0" w:firstRowFirstColumn="0" w:firstRowLastColumn="0" w:lastRowFirstColumn="0" w:lastRowLastColumn="0"/>
            </w:pPr>
            <w:r>
              <w:t>8 791</w:t>
            </w:r>
          </w:p>
        </w:tc>
        <w:tc>
          <w:tcPr>
            <w:tcW w:w="850" w:type="dxa"/>
          </w:tcPr>
          <w:p w14:paraId="229D850D" w14:textId="77777777" w:rsidR="00964B88" w:rsidRDefault="00964B88">
            <w:pPr>
              <w:cnfStyle w:val="000000000000" w:firstRow="0" w:lastRow="0" w:firstColumn="0" w:lastColumn="0" w:oddVBand="0" w:evenVBand="0" w:oddHBand="0" w:evenHBand="0" w:firstRowFirstColumn="0" w:firstRowLastColumn="0" w:lastRowFirstColumn="0" w:lastRowLastColumn="0"/>
            </w:pPr>
            <w:r>
              <w:t>9 086</w:t>
            </w:r>
          </w:p>
        </w:tc>
        <w:tc>
          <w:tcPr>
            <w:tcW w:w="850" w:type="dxa"/>
          </w:tcPr>
          <w:p w14:paraId="1005FBFF" w14:textId="77777777" w:rsidR="00964B88" w:rsidRDefault="00964B88">
            <w:pPr>
              <w:cnfStyle w:val="000000000000" w:firstRow="0" w:lastRow="0" w:firstColumn="0" w:lastColumn="0" w:oddVBand="0" w:evenVBand="0" w:oddHBand="0" w:evenHBand="0" w:firstRowFirstColumn="0" w:firstRowLastColumn="0" w:lastRowFirstColumn="0" w:lastRowLastColumn="0"/>
            </w:pPr>
            <w:r>
              <w:t>9 243</w:t>
            </w:r>
          </w:p>
        </w:tc>
      </w:tr>
      <w:tr w:rsidR="00964B88" w14:paraId="63326F01"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51ABC3EB" w14:textId="77777777" w:rsidR="00964B88" w:rsidRDefault="00964B88">
            <w:r>
              <w:t>Grant revenue</w:t>
            </w:r>
          </w:p>
        </w:tc>
        <w:tc>
          <w:tcPr>
            <w:tcW w:w="737" w:type="dxa"/>
          </w:tcPr>
          <w:p w14:paraId="4587F493"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4.2.4</w:t>
            </w:r>
          </w:p>
        </w:tc>
        <w:tc>
          <w:tcPr>
            <w:tcW w:w="850" w:type="dxa"/>
          </w:tcPr>
          <w:p w14:paraId="0BBE7BF4" w14:textId="77777777" w:rsidR="00964B88" w:rsidRDefault="00964B88">
            <w:pPr>
              <w:cnfStyle w:val="000000000000" w:firstRow="0" w:lastRow="0" w:firstColumn="0" w:lastColumn="0" w:oddVBand="0" w:evenVBand="0" w:oddHBand="0" w:evenHBand="0" w:firstRowFirstColumn="0" w:firstRowLastColumn="0" w:lastRowFirstColumn="0" w:lastRowLastColumn="0"/>
            </w:pPr>
            <w:r>
              <w:t>34 093</w:t>
            </w:r>
          </w:p>
        </w:tc>
        <w:tc>
          <w:tcPr>
            <w:tcW w:w="850" w:type="dxa"/>
          </w:tcPr>
          <w:p w14:paraId="25A5FD3C" w14:textId="77777777" w:rsidR="00964B88" w:rsidRDefault="00964B88">
            <w:pPr>
              <w:cnfStyle w:val="000000000000" w:firstRow="0" w:lastRow="0" w:firstColumn="0" w:lastColumn="0" w:oddVBand="0" w:evenVBand="0" w:oddHBand="0" w:evenHBand="0" w:firstRowFirstColumn="0" w:firstRowLastColumn="0" w:lastRowFirstColumn="0" w:lastRowLastColumn="0"/>
            </w:pPr>
            <w:r>
              <w:t>33 889</w:t>
            </w:r>
          </w:p>
        </w:tc>
        <w:tc>
          <w:tcPr>
            <w:tcW w:w="850" w:type="dxa"/>
          </w:tcPr>
          <w:p w14:paraId="6BF0A61C" w14:textId="77777777" w:rsidR="00964B88" w:rsidRDefault="00964B88">
            <w:pPr>
              <w:cnfStyle w:val="000000000000" w:firstRow="0" w:lastRow="0" w:firstColumn="0" w:lastColumn="0" w:oddVBand="0" w:evenVBand="0" w:oddHBand="0" w:evenHBand="0" w:firstRowFirstColumn="0" w:firstRowLastColumn="0" w:lastRowFirstColumn="0" w:lastRowLastColumn="0"/>
            </w:pPr>
            <w:r>
              <w:t>35 922</w:t>
            </w:r>
          </w:p>
        </w:tc>
        <w:tc>
          <w:tcPr>
            <w:tcW w:w="850" w:type="dxa"/>
          </w:tcPr>
          <w:p w14:paraId="0A216CAC" w14:textId="77777777" w:rsidR="00964B88" w:rsidRDefault="00964B88">
            <w:pPr>
              <w:cnfStyle w:val="000000000000" w:firstRow="0" w:lastRow="0" w:firstColumn="0" w:lastColumn="0" w:oddVBand="0" w:evenVBand="0" w:oddHBand="0" w:evenHBand="0" w:firstRowFirstColumn="0" w:firstRowLastColumn="0" w:lastRowFirstColumn="0" w:lastRowLastColumn="0"/>
            </w:pPr>
            <w:r>
              <w:t>37 910</w:t>
            </w:r>
          </w:p>
        </w:tc>
        <w:tc>
          <w:tcPr>
            <w:tcW w:w="850" w:type="dxa"/>
          </w:tcPr>
          <w:p w14:paraId="3F52B68F" w14:textId="77777777" w:rsidR="00964B88" w:rsidRDefault="00964B88">
            <w:pPr>
              <w:cnfStyle w:val="000000000000" w:firstRow="0" w:lastRow="0" w:firstColumn="0" w:lastColumn="0" w:oddVBand="0" w:evenVBand="0" w:oddHBand="0" w:evenHBand="0" w:firstRowFirstColumn="0" w:firstRowLastColumn="0" w:lastRowFirstColumn="0" w:lastRowLastColumn="0"/>
            </w:pPr>
            <w:r>
              <w:t>40 345</w:t>
            </w:r>
          </w:p>
        </w:tc>
      </w:tr>
      <w:tr w:rsidR="00964B88" w14:paraId="647BA198" w14:textId="77777777" w:rsidTr="0090119F">
        <w:tc>
          <w:tcPr>
            <w:cnfStyle w:val="001000000000" w:firstRow="0" w:lastRow="0" w:firstColumn="1" w:lastColumn="0" w:oddVBand="0" w:evenVBand="0" w:oddHBand="0" w:evenHBand="0" w:firstRowFirstColumn="0" w:firstRowLastColumn="0" w:lastRowFirstColumn="0" w:lastRowLastColumn="0"/>
            <w:tcW w:w="2781" w:type="dxa"/>
            <w:tcBorders>
              <w:bottom w:val="single" w:sz="6" w:space="0" w:color="auto"/>
            </w:tcBorders>
          </w:tcPr>
          <w:p w14:paraId="20D95826" w14:textId="77777777" w:rsidR="00964B88" w:rsidRDefault="00964B88">
            <w:r>
              <w:t>Other revenue</w:t>
            </w:r>
          </w:p>
        </w:tc>
        <w:tc>
          <w:tcPr>
            <w:tcW w:w="737" w:type="dxa"/>
            <w:tcBorders>
              <w:bottom w:val="single" w:sz="6" w:space="0" w:color="auto"/>
            </w:tcBorders>
          </w:tcPr>
          <w:p w14:paraId="4D177B07"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4.2.5</w:t>
            </w:r>
          </w:p>
        </w:tc>
        <w:tc>
          <w:tcPr>
            <w:tcW w:w="850" w:type="dxa"/>
            <w:tcBorders>
              <w:bottom w:val="single" w:sz="6" w:space="0" w:color="auto"/>
            </w:tcBorders>
          </w:tcPr>
          <w:p w14:paraId="18D7917D" w14:textId="77777777" w:rsidR="00964B88" w:rsidRDefault="00964B88">
            <w:pPr>
              <w:cnfStyle w:val="000000000000" w:firstRow="0" w:lastRow="0" w:firstColumn="0" w:lastColumn="0" w:oddVBand="0" w:evenVBand="0" w:oddHBand="0" w:evenHBand="0" w:firstRowFirstColumn="0" w:firstRowLastColumn="0" w:lastRowFirstColumn="0" w:lastRowLastColumn="0"/>
            </w:pPr>
            <w:r>
              <w:t>2 999</w:t>
            </w:r>
          </w:p>
        </w:tc>
        <w:tc>
          <w:tcPr>
            <w:tcW w:w="850" w:type="dxa"/>
            <w:tcBorders>
              <w:bottom w:val="single" w:sz="6" w:space="0" w:color="auto"/>
            </w:tcBorders>
          </w:tcPr>
          <w:p w14:paraId="20F52900" w14:textId="77777777" w:rsidR="00964B88" w:rsidRDefault="00964B88">
            <w:pPr>
              <w:cnfStyle w:val="000000000000" w:firstRow="0" w:lastRow="0" w:firstColumn="0" w:lastColumn="0" w:oddVBand="0" w:evenVBand="0" w:oddHBand="0" w:evenHBand="0" w:firstRowFirstColumn="0" w:firstRowLastColumn="0" w:lastRowFirstColumn="0" w:lastRowLastColumn="0"/>
            </w:pPr>
            <w:r>
              <w:t>3 025</w:t>
            </w:r>
          </w:p>
        </w:tc>
        <w:tc>
          <w:tcPr>
            <w:tcW w:w="850" w:type="dxa"/>
            <w:tcBorders>
              <w:bottom w:val="single" w:sz="6" w:space="0" w:color="auto"/>
            </w:tcBorders>
          </w:tcPr>
          <w:p w14:paraId="7832AE80" w14:textId="77777777" w:rsidR="00964B88" w:rsidRDefault="00964B88">
            <w:pPr>
              <w:cnfStyle w:val="000000000000" w:firstRow="0" w:lastRow="0" w:firstColumn="0" w:lastColumn="0" w:oddVBand="0" w:evenVBand="0" w:oddHBand="0" w:evenHBand="0" w:firstRowFirstColumn="0" w:firstRowLastColumn="0" w:lastRowFirstColumn="0" w:lastRowLastColumn="0"/>
            </w:pPr>
            <w:r>
              <w:t>3 170</w:t>
            </w:r>
          </w:p>
        </w:tc>
        <w:tc>
          <w:tcPr>
            <w:tcW w:w="850" w:type="dxa"/>
            <w:tcBorders>
              <w:bottom w:val="single" w:sz="6" w:space="0" w:color="auto"/>
            </w:tcBorders>
          </w:tcPr>
          <w:p w14:paraId="4B5D6BF8" w14:textId="77777777" w:rsidR="00964B88" w:rsidRDefault="00964B88">
            <w:pPr>
              <w:cnfStyle w:val="000000000000" w:firstRow="0" w:lastRow="0" w:firstColumn="0" w:lastColumn="0" w:oddVBand="0" w:evenVBand="0" w:oddHBand="0" w:evenHBand="0" w:firstRowFirstColumn="0" w:firstRowLastColumn="0" w:lastRowFirstColumn="0" w:lastRowLastColumn="0"/>
            </w:pPr>
            <w:r>
              <w:t>3 268</w:t>
            </w:r>
          </w:p>
        </w:tc>
        <w:tc>
          <w:tcPr>
            <w:tcW w:w="850" w:type="dxa"/>
            <w:tcBorders>
              <w:bottom w:val="single" w:sz="6" w:space="0" w:color="auto"/>
            </w:tcBorders>
          </w:tcPr>
          <w:p w14:paraId="5A03F284" w14:textId="77777777" w:rsidR="00964B88" w:rsidRDefault="00964B88">
            <w:pPr>
              <w:cnfStyle w:val="000000000000" w:firstRow="0" w:lastRow="0" w:firstColumn="0" w:lastColumn="0" w:oddVBand="0" w:evenVBand="0" w:oddHBand="0" w:evenHBand="0" w:firstRowFirstColumn="0" w:firstRowLastColumn="0" w:lastRowFirstColumn="0" w:lastRowLastColumn="0"/>
            </w:pPr>
            <w:r>
              <w:t>3 382</w:t>
            </w:r>
          </w:p>
        </w:tc>
      </w:tr>
      <w:tr w:rsidR="00964B88" w14:paraId="3DDD2E43" w14:textId="77777777" w:rsidTr="0090119F">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tcBorders>
          </w:tcPr>
          <w:p w14:paraId="75F336C8" w14:textId="77777777" w:rsidR="00964B88" w:rsidRDefault="00964B88">
            <w:r>
              <w:rPr>
                <w:b/>
              </w:rPr>
              <w:t>Total revenue from transactions</w:t>
            </w:r>
          </w:p>
        </w:tc>
        <w:tc>
          <w:tcPr>
            <w:tcW w:w="737" w:type="dxa"/>
            <w:tcBorders>
              <w:top w:val="single" w:sz="6" w:space="0" w:color="auto"/>
            </w:tcBorders>
          </w:tcPr>
          <w:p w14:paraId="0E898C72"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4DDDB99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71 032</w:t>
            </w:r>
          </w:p>
        </w:tc>
        <w:tc>
          <w:tcPr>
            <w:tcW w:w="850" w:type="dxa"/>
            <w:tcBorders>
              <w:top w:val="single" w:sz="6" w:space="0" w:color="auto"/>
            </w:tcBorders>
          </w:tcPr>
          <w:p w14:paraId="4E24ECC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70 951</w:t>
            </w:r>
          </w:p>
        </w:tc>
        <w:tc>
          <w:tcPr>
            <w:tcW w:w="850" w:type="dxa"/>
            <w:tcBorders>
              <w:top w:val="single" w:sz="6" w:space="0" w:color="auto"/>
            </w:tcBorders>
          </w:tcPr>
          <w:p w14:paraId="799D81B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74 517</w:t>
            </w:r>
          </w:p>
        </w:tc>
        <w:tc>
          <w:tcPr>
            <w:tcW w:w="850" w:type="dxa"/>
            <w:tcBorders>
              <w:top w:val="single" w:sz="6" w:space="0" w:color="auto"/>
            </w:tcBorders>
          </w:tcPr>
          <w:p w14:paraId="2A860C0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78 260</w:t>
            </w:r>
          </w:p>
        </w:tc>
        <w:tc>
          <w:tcPr>
            <w:tcW w:w="850" w:type="dxa"/>
            <w:tcBorders>
              <w:top w:val="single" w:sz="6" w:space="0" w:color="auto"/>
            </w:tcBorders>
          </w:tcPr>
          <w:p w14:paraId="7387DAA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82 566</w:t>
            </w:r>
          </w:p>
        </w:tc>
      </w:tr>
      <w:tr w:rsidR="00964B88" w14:paraId="3054A29F"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69448D4A" w14:textId="77777777" w:rsidR="00964B88" w:rsidRDefault="00964B88">
            <w:r>
              <w:rPr>
                <w:b/>
              </w:rPr>
              <w:t>Expenses from transactions</w:t>
            </w:r>
          </w:p>
        </w:tc>
        <w:tc>
          <w:tcPr>
            <w:tcW w:w="737" w:type="dxa"/>
          </w:tcPr>
          <w:p w14:paraId="05ED3EA1"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79886BC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19C4BA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40DFCC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7A785B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40C067A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47A7A4E0"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39EF6F66" w14:textId="77777777" w:rsidR="00964B88" w:rsidRDefault="00964B88">
            <w:r>
              <w:t>Employee expenses</w:t>
            </w:r>
          </w:p>
        </w:tc>
        <w:tc>
          <w:tcPr>
            <w:tcW w:w="737" w:type="dxa"/>
          </w:tcPr>
          <w:p w14:paraId="31917A64"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35111C1B" w14:textId="77777777" w:rsidR="00964B88" w:rsidRDefault="00964B88">
            <w:pPr>
              <w:cnfStyle w:val="000000000000" w:firstRow="0" w:lastRow="0" w:firstColumn="0" w:lastColumn="0" w:oddVBand="0" w:evenVBand="0" w:oddHBand="0" w:evenHBand="0" w:firstRowFirstColumn="0" w:firstRowLastColumn="0" w:lastRowFirstColumn="0" w:lastRowLastColumn="0"/>
            </w:pPr>
            <w:r>
              <w:t>26 208</w:t>
            </w:r>
          </w:p>
        </w:tc>
        <w:tc>
          <w:tcPr>
            <w:tcW w:w="850" w:type="dxa"/>
          </w:tcPr>
          <w:p w14:paraId="6C70001D" w14:textId="77777777" w:rsidR="00964B88" w:rsidRDefault="00964B88">
            <w:pPr>
              <w:cnfStyle w:val="000000000000" w:firstRow="0" w:lastRow="0" w:firstColumn="0" w:lastColumn="0" w:oddVBand="0" w:evenVBand="0" w:oddHBand="0" w:evenHBand="0" w:firstRowFirstColumn="0" w:firstRowLastColumn="0" w:lastRowFirstColumn="0" w:lastRowLastColumn="0"/>
            </w:pPr>
            <w:r>
              <w:t>26 089</w:t>
            </w:r>
          </w:p>
        </w:tc>
        <w:tc>
          <w:tcPr>
            <w:tcW w:w="850" w:type="dxa"/>
          </w:tcPr>
          <w:p w14:paraId="1FC13D3E" w14:textId="77777777" w:rsidR="00964B88" w:rsidRDefault="00964B88">
            <w:pPr>
              <w:cnfStyle w:val="000000000000" w:firstRow="0" w:lastRow="0" w:firstColumn="0" w:lastColumn="0" w:oddVBand="0" w:evenVBand="0" w:oddHBand="0" w:evenHBand="0" w:firstRowFirstColumn="0" w:firstRowLastColumn="0" w:lastRowFirstColumn="0" w:lastRowLastColumn="0"/>
            </w:pPr>
            <w:r>
              <w:t>27 536</w:t>
            </w:r>
          </w:p>
        </w:tc>
        <w:tc>
          <w:tcPr>
            <w:tcW w:w="850" w:type="dxa"/>
          </w:tcPr>
          <w:p w14:paraId="53572BCB" w14:textId="77777777" w:rsidR="00964B88" w:rsidRDefault="00964B88">
            <w:pPr>
              <w:cnfStyle w:val="000000000000" w:firstRow="0" w:lastRow="0" w:firstColumn="0" w:lastColumn="0" w:oddVBand="0" w:evenVBand="0" w:oddHBand="0" w:evenHBand="0" w:firstRowFirstColumn="0" w:firstRowLastColumn="0" w:lastRowFirstColumn="0" w:lastRowLastColumn="0"/>
            </w:pPr>
            <w:r>
              <w:t>28 409</w:t>
            </w:r>
          </w:p>
        </w:tc>
        <w:tc>
          <w:tcPr>
            <w:tcW w:w="850" w:type="dxa"/>
          </w:tcPr>
          <w:p w14:paraId="5237F465" w14:textId="77777777" w:rsidR="00964B88" w:rsidRDefault="00964B88">
            <w:pPr>
              <w:cnfStyle w:val="000000000000" w:firstRow="0" w:lastRow="0" w:firstColumn="0" w:lastColumn="0" w:oddVBand="0" w:evenVBand="0" w:oddHBand="0" w:evenHBand="0" w:firstRowFirstColumn="0" w:firstRowLastColumn="0" w:lastRowFirstColumn="0" w:lastRowLastColumn="0"/>
            </w:pPr>
            <w:r>
              <w:t>29 765</w:t>
            </w:r>
          </w:p>
        </w:tc>
      </w:tr>
      <w:tr w:rsidR="00964B88" w14:paraId="3A3D8A3B"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056D0B95" w14:textId="77777777" w:rsidR="00964B88" w:rsidRDefault="00964B88">
            <w:r>
              <w:t>Net superannuation interest expense</w:t>
            </w:r>
          </w:p>
        </w:tc>
        <w:tc>
          <w:tcPr>
            <w:tcW w:w="737" w:type="dxa"/>
          </w:tcPr>
          <w:p w14:paraId="4361FD50"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4.3.2</w:t>
            </w:r>
          </w:p>
        </w:tc>
        <w:tc>
          <w:tcPr>
            <w:tcW w:w="850" w:type="dxa"/>
          </w:tcPr>
          <w:p w14:paraId="213FCA05" w14:textId="77777777" w:rsidR="00964B88" w:rsidRDefault="00964B88">
            <w:pPr>
              <w:cnfStyle w:val="000000000000" w:firstRow="0" w:lastRow="0" w:firstColumn="0" w:lastColumn="0" w:oddVBand="0" w:evenVBand="0" w:oddHBand="0" w:evenHBand="0" w:firstRowFirstColumn="0" w:firstRowLastColumn="0" w:lastRowFirstColumn="0" w:lastRowLastColumn="0"/>
            </w:pPr>
            <w:r>
              <w:t>565</w:t>
            </w:r>
          </w:p>
        </w:tc>
        <w:tc>
          <w:tcPr>
            <w:tcW w:w="850" w:type="dxa"/>
          </w:tcPr>
          <w:p w14:paraId="2735E122" w14:textId="77777777" w:rsidR="00964B88" w:rsidRDefault="00964B88">
            <w:pPr>
              <w:cnfStyle w:val="000000000000" w:firstRow="0" w:lastRow="0" w:firstColumn="0" w:lastColumn="0" w:oddVBand="0" w:evenVBand="0" w:oddHBand="0" w:evenHBand="0" w:firstRowFirstColumn="0" w:firstRowLastColumn="0" w:lastRowFirstColumn="0" w:lastRowLastColumn="0"/>
            </w:pPr>
            <w:r>
              <w:t>407</w:t>
            </w:r>
          </w:p>
        </w:tc>
        <w:tc>
          <w:tcPr>
            <w:tcW w:w="850" w:type="dxa"/>
          </w:tcPr>
          <w:p w14:paraId="590A9B7C" w14:textId="77777777" w:rsidR="00964B88" w:rsidRDefault="00964B88">
            <w:pPr>
              <w:cnfStyle w:val="000000000000" w:firstRow="0" w:lastRow="0" w:firstColumn="0" w:lastColumn="0" w:oddVBand="0" w:evenVBand="0" w:oddHBand="0" w:evenHBand="0" w:firstRowFirstColumn="0" w:firstRowLastColumn="0" w:lastRowFirstColumn="0" w:lastRowLastColumn="0"/>
            </w:pPr>
            <w:r>
              <w:t>328</w:t>
            </w:r>
          </w:p>
        </w:tc>
        <w:tc>
          <w:tcPr>
            <w:tcW w:w="850" w:type="dxa"/>
          </w:tcPr>
          <w:p w14:paraId="06FBBE7D" w14:textId="77777777" w:rsidR="00964B88" w:rsidRDefault="00964B88">
            <w:pPr>
              <w:cnfStyle w:val="000000000000" w:firstRow="0" w:lastRow="0" w:firstColumn="0" w:lastColumn="0" w:oddVBand="0" w:evenVBand="0" w:oddHBand="0" w:evenHBand="0" w:firstRowFirstColumn="0" w:firstRowLastColumn="0" w:lastRowFirstColumn="0" w:lastRowLastColumn="0"/>
            </w:pPr>
            <w:r>
              <w:t>312</w:t>
            </w:r>
          </w:p>
        </w:tc>
        <w:tc>
          <w:tcPr>
            <w:tcW w:w="850" w:type="dxa"/>
          </w:tcPr>
          <w:p w14:paraId="02C77E1B" w14:textId="77777777" w:rsidR="00964B88" w:rsidRDefault="00964B88">
            <w:pPr>
              <w:cnfStyle w:val="000000000000" w:firstRow="0" w:lastRow="0" w:firstColumn="0" w:lastColumn="0" w:oddVBand="0" w:evenVBand="0" w:oddHBand="0" w:evenHBand="0" w:firstRowFirstColumn="0" w:firstRowLastColumn="0" w:lastRowFirstColumn="0" w:lastRowLastColumn="0"/>
            </w:pPr>
            <w:r>
              <w:t>297</w:t>
            </w:r>
          </w:p>
        </w:tc>
      </w:tr>
      <w:tr w:rsidR="00964B88" w14:paraId="0667DD7D"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65ECCAA8" w14:textId="77777777" w:rsidR="00964B88" w:rsidRDefault="00964B88">
            <w:r>
              <w:t>Other superannuation</w:t>
            </w:r>
          </w:p>
        </w:tc>
        <w:tc>
          <w:tcPr>
            <w:tcW w:w="737" w:type="dxa"/>
          </w:tcPr>
          <w:p w14:paraId="48277BFA"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4.3.2</w:t>
            </w:r>
          </w:p>
        </w:tc>
        <w:tc>
          <w:tcPr>
            <w:tcW w:w="850" w:type="dxa"/>
          </w:tcPr>
          <w:p w14:paraId="2DCC03B5" w14:textId="77777777" w:rsidR="00964B88" w:rsidRDefault="00964B88">
            <w:pPr>
              <w:cnfStyle w:val="000000000000" w:firstRow="0" w:lastRow="0" w:firstColumn="0" w:lastColumn="0" w:oddVBand="0" w:evenVBand="0" w:oddHBand="0" w:evenHBand="0" w:firstRowFirstColumn="0" w:firstRowLastColumn="0" w:lastRowFirstColumn="0" w:lastRowLastColumn="0"/>
            </w:pPr>
            <w:r>
              <w:t>2 960</w:t>
            </w:r>
          </w:p>
        </w:tc>
        <w:tc>
          <w:tcPr>
            <w:tcW w:w="850" w:type="dxa"/>
          </w:tcPr>
          <w:p w14:paraId="06B70116" w14:textId="77777777" w:rsidR="00964B88" w:rsidRDefault="00964B88">
            <w:pPr>
              <w:cnfStyle w:val="000000000000" w:firstRow="0" w:lastRow="0" w:firstColumn="0" w:lastColumn="0" w:oddVBand="0" w:evenVBand="0" w:oddHBand="0" w:evenHBand="0" w:firstRowFirstColumn="0" w:firstRowLastColumn="0" w:lastRowFirstColumn="0" w:lastRowLastColumn="0"/>
            </w:pPr>
            <w:r>
              <w:t>2 965</w:t>
            </w:r>
          </w:p>
        </w:tc>
        <w:tc>
          <w:tcPr>
            <w:tcW w:w="850" w:type="dxa"/>
          </w:tcPr>
          <w:p w14:paraId="35B163A9" w14:textId="77777777" w:rsidR="00964B88" w:rsidRDefault="00964B88">
            <w:pPr>
              <w:cnfStyle w:val="000000000000" w:firstRow="0" w:lastRow="0" w:firstColumn="0" w:lastColumn="0" w:oddVBand="0" w:evenVBand="0" w:oddHBand="0" w:evenHBand="0" w:firstRowFirstColumn="0" w:firstRowLastColumn="0" w:lastRowFirstColumn="0" w:lastRowLastColumn="0"/>
            </w:pPr>
            <w:r>
              <w:t>3 049</w:t>
            </w:r>
          </w:p>
        </w:tc>
        <w:tc>
          <w:tcPr>
            <w:tcW w:w="850" w:type="dxa"/>
          </w:tcPr>
          <w:p w14:paraId="71492CD9" w14:textId="77777777" w:rsidR="00964B88" w:rsidRDefault="00964B88">
            <w:pPr>
              <w:cnfStyle w:val="000000000000" w:firstRow="0" w:lastRow="0" w:firstColumn="0" w:lastColumn="0" w:oddVBand="0" w:evenVBand="0" w:oddHBand="0" w:evenHBand="0" w:firstRowFirstColumn="0" w:firstRowLastColumn="0" w:lastRowFirstColumn="0" w:lastRowLastColumn="0"/>
            </w:pPr>
            <w:r>
              <w:t>3 147</w:t>
            </w:r>
          </w:p>
        </w:tc>
        <w:tc>
          <w:tcPr>
            <w:tcW w:w="850" w:type="dxa"/>
          </w:tcPr>
          <w:p w14:paraId="1F4A7499" w14:textId="77777777" w:rsidR="00964B88" w:rsidRDefault="00964B88">
            <w:pPr>
              <w:cnfStyle w:val="000000000000" w:firstRow="0" w:lastRow="0" w:firstColumn="0" w:lastColumn="0" w:oddVBand="0" w:evenVBand="0" w:oddHBand="0" w:evenHBand="0" w:firstRowFirstColumn="0" w:firstRowLastColumn="0" w:lastRowFirstColumn="0" w:lastRowLastColumn="0"/>
            </w:pPr>
            <w:r>
              <w:t>3 241</w:t>
            </w:r>
          </w:p>
        </w:tc>
      </w:tr>
      <w:tr w:rsidR="00964B88" w14:paraId="5D18DCD2"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59A8B7F6" w14:textId="77777777" w:rsidR="00964B88" w:rsidRDefault="00964B88">
            <w:r>
              <w:t>Depreciation</w:t>
            </w:r>
          </w:p>
        </w:tc>
        <w:tc>
          <w:tcPr>
            <w:tcW w:w="737" w:type="dxa"/>
          </w:tcPr>
          <w:p w14:paraId="38A63102"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4.4.2</w:t>
            </w:r>
          </w:p>
        </w:tc>
        <w:tc>
          <w:tcPr>
            <w:tcW w:w="850" w:type="dxa"/>
          </w:tcPr>
          <w:p w14:paraId="5AB2EEFE" w14:textId="77777777" w:rsidR="00964B88" w:rsidRDefault="00964B88">
            <w:pPr>
              <w:cnfStyle w:val="000000000000" w:firstRow="0" w:lastRow="0" w:firstColumn="0" w:lastColumn="0" w:oddVBand="0" w:evenVBand="0" w:oddHBand="0" w:evenHBand="0" w:firstRowFirstColumn="0" w:firstRowLastColumn="0" w:lastRowFirstColumn="0" w:lastRowLastColumn="0"/>
            </w:pPr>
            <w:r>
              <w:t>3 748</w:t>
            </w:r>
          </w:p>
        </w:tc>
        <w:tc>
          <w:tcPr>
            <w:tcW w:w="850" w:type="dxa"/>
          </w:tcPr>
          <w:p w14:paraId="1D877B3D" w14:textId="77777777" w:rsidR="00964B88" w:rsidRDefault="00964B88">
            <w:pPr>
              <w:cnfStyle w:val="000000000000" w:firstRow="0" w:lastRow="0" w:firstColumn="0" w:lastColumn="0" w:oddVBand="0" w:evenVBand="0" w:oddHBand="0" w:evenHBand="0" w:firstRowFirstColumn="0" w:firstRowLastColumn="0" w:lastRowFirstColumn="0" w:lastRowLastColumn="0"/>
            </w:pPr>
            <w:r>
              <w:t>3 717</w:t>
            </w:r>
          </w:p>
        </w:tc>
        <w:tc>
          <w:tcPr>
            <w:tcW w:w="850" w:type="dxa"/>
          </w:tcPr>
          <w:p w14:paraId="718F9B63" w14:textId="77777777" w:rsidR="00964B88" w:rsidRDefault="00964B88">
            <w:pPr>
              <w:cnfStyle w:val="000000000000" w:firstRow="0" w:lastRow="0" w:firstColumn="0" w:lastColumn="0" w:oddVBand="0" w:evenVBand="0" w:oddHBand="0" w:evenHBand="0" w:firstRowFirstColumn="0" w:firstRowLastColumn="0" w:lastRowFirstColumn="0" w:lastRowLastColumn="0"/>
            </w:pPr>
            <w:r>
              <w:t>4 113</w:t>
            </w:r>
          </w:p>
        </w:tc>
        <w:tc>
          <w:tcPr>
            <w:tcW w:w="850" w:type="dxa"/>
          </w:tcPr>
          <w:p w14:paraId="2D492911" w14:textId="77777777" w:rsidR="00964B88" w:rsidRDefault="00964B88">
            <w:pPr>
              <w:cnfStyle w:val="000000000000" w:firstRow="0" w:lastRow="0" w:firstColumn="0" w:lastColumn="0" w:oddVBand="0" w:evenVBand="0" w:oddHBand="0" w:evenHBand="0" w:firstRowFirstColumn="0" w:firstRowLastColumn="0" w:lastRowFirstColumn="0" w:lastRowLastColumn="0"/>
            </w:pPr>
            <w:r>
              <w:t>4 343</w:t>
            </w:r>
          </w:p>
        </w:tc>
        <w:tc>
          <w:tcPr>
            <w:tcW w:w="850" w:type="dxa"/>
          </w:tcPr>
          <w:p w14:paraId="6AB92DA4" w14:textId="77777777" w:rsidR="00964B88" w:rsidRDefault="00964B88">
            <w:pPr>
              <w:cnfStyle w:val="000000000000" w:firstRow="0" w:lastRow="0" w:firstColumn="0" w:lastColumn="0" w:oddVBand="0" w:evenVBand="0" w:oddHBand="0" w:evenHBand="0" w:firstRowFirstColumn="0" w:firstRowLastColumn="0" w:lastRowFirstColumn="0" w:lastRowLastColumn="0"/>
            </w:pPr>
            <w:r>
              <w:t>4 647</w:t>
            </w:r>
          </w:p>
        </w:tc>
      </w:tr>
      <w:tr w:rsidR="00964B88" w14:paraId="4D55DBBF"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1DDC41E0" w14:textId="77777777" w:rsidR="00964B88" w:rsidRDefault="00964B88">
            <w:r>
              <w:t>Interest expense</w:t>
            </w:r>
          </w:p>
        </w:tc>
        <w:tc>
          <w:tcPr>
            <w:tcW w:w="737" w:type="dxa"/>
          </w:tcPr>
          <w:p w14:paraId="25D80332"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4.5.3</w:t>
            </w:r>
          </w:p>
        </w:tc>
        <w:tc>
          <w:tcPr>
            <w:tcW w:w="850" w:type="dxa"/>
          </w:tcPr>
          <w:p w14:paraId="6AFF6051" w14:textId="77777777" w:rsidR="00964B88" w:rsidRDefault="00964B88">
            <w:pPr>
              <w:cnfStyle w:val="000000000000" w:firstRow="0" w:lastRow="0" w:firstColumn="0" w:lastColumn="0" w:oddVBand="0" w:evenVBand="0" w:oddHBand="0" w:evenHBand="0" w:firstRowFirstColumn="0" w:firstRowLastColumn="0" w:lastRowFirstColumn="0" w:lastRowLastColumn="0"/>
            </w:pPr>
            <w:r>
              <w:t>2 611</w:t>
            </w:r>
          </w:p>
        </w:tc>
        <w:tc>
          <w:tcPr>
            <w:tcW w:w="850" w:type="dxa"/>
          </w:tcPr>
          <w:p w14:paraId="621EE462" w14:textId="77777777" w:rsidR="00964B88" w:rsidRDefault="00964B88">
            <w:pPr>
              <w:cnfStyle w:val="000000000000" w:firstRow="0" w:lastRow="0" w:firstColumn="0" w:lastColumn="0" w:oddVBand="0" w:evenVBand="0" w:oddHBand="0" w:evenHBand="0" w:firstRowFirstColumn="0" w:firstRowLastColumn="0" w:lastRowFirstColumn="0" w:lastRowLastColumn="0"/>
            </w:pPr>
            <w:r>
              <w:t>2 556</w:t>
            </w:r>
          </w:p>
        </w:tc>
        <w:tc>
          <w:tcPr>
            <w:tcW w:w="850" w:type="dxa"/>
          </w:tcPr>
          <w:p w14:paraId="562C5F3D" w14:textId="77777777" w:rsidR="00964B88" w:rsidRDefault="00964B88">
            <w:pPr>
              <w:cnfStyle w:val="000000000000" w:firstRow="0" w:lastRow="0" w:firstColumn="0" w:lastColumn="0" w:oddVBand="0" w:evenVBand="0" w:oddHBand="0" w:evenHBand="0" w:firstRowFirstColumn="0" w:firstRowLastColumn="0" w:lastRowFirstColumn="0" w:lastRowLastColumn="0"/>
            </w:pPr>
            <w:r>
              <w:t>2 622</w:t>
            </w:r>
          </w:p>
        </w:tc>
        <w:tc>
          <w:tcPr>
            <w:tcW w:w="850" w:type="dxa"/>
          </w:tcPr>
          <w:p w14:paraId="7F4E869E" w14:textId="77777777" w:rsidR="00964B88" w:rsidRDefault="00964B88">
            <w:pPr>
              <w:cnfStyle w:val="000000000000" w:firstRow="0" w:lastRow="0" w:firstColumn="0" w:lastColumn="0" w:oddVBand="0" w:evenVBand="0" w:oddHBand="0" w:evenHBand="0" w:firstRowFirstColumn="0" w:firstRowLastColumn="0" w:lastRowFirstColumn="0" w:lastRowLastColumn="0"/>
            </w:pPr>
            <w:r>
              <w:t>2 752</w:t>
            </w:r>
          </w:p>
        </w:tc>
        <w:tc>
          <w:tcPr>
            <w:tcW w:w="850" w:type="dxa"/>
          </w:tcPr>
          <w:p w14:paraId="028F44FA" w14:textId="77777777" w:rsidR="00964B88" w:rsidRDefault="00964B88">
            <w:pPr>
              <w:cnfStyle w:val="000000000000" w:firstRow="0" w:lastRow="0" w:firstColumn="0" w:lastColumn="0" w:oddVBand="0" w:evenVBand="0" w:oddHBand="0" w:evenHBand="0" w:firstRowFirstColumn="0" w:firstRowLastColumn="0" w:lastRowFirstColumn="0" w:lastRowLastColumn="0"/>
            </w:pPr>
            <w:r>
              <w:t>2 875</w:t>
            </w:r>
          </w:p>
        </w:tc>
      </w:tr>
      <w:tr w:rsidR="00964B88" w14:paraId="6F602253"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71DC1FAE" w14:textId="77777777" w:rsidR="00964B88" w:rsidRDefault="00964B88">
            <w:r>
              <w:t>Grant expense</w:t>
            </w:r>
          </w:p>
        </w:tc>
        <w:tc>
          <w:tcPr>
            <w:tcW w:w="737" w:type="dxa"/>
          </w:tcPr>
          <w:p w14:paraId="24B83945"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4.3.3</w:t>
            </w:r>
          </w:p>
        </w:tc>
        <w:tc>
          <w:tcPr>
            <w:tcW w:w="850" w:type="dxa"/>
          </w:tcPr>
          <w:p w14:paraId="4A79C4A3" w14:textId="77777777" w:rsidR="00964B88" w:rsidRDefault="00964B88">
            <w:pPr>
              <w:cnfStyle w:val="000000000000" w:firstRow="0" w:lastRow="0" w:firstColumn="0" w:lastColumn="0" w:oddVBand="0" w:evenVBand="0" w:oddHBand="0" w:evenHBand="0" w:firstRowFirstColumn="0" w:firstRowLastColumn="0" w:lastRowFirstColumn="0" w:lastRowLastColumn="0"/>
            </w:pPr>
            <w:r>
              <w:t>12 934</w:t>
            </w:r>
          </w:p>
        </w:tc>
        <w:tc>
          <w:tcPr>
            <w:tcW w:w="850" w:type="dxa"/>
          </w:tcPr>
          <w:p w14:paraId="3C798060" w14:textId="77777777" w:rsidR="00964B88" w:rsidRDefault="00964B88">
            <w:pPr>
              <w:cnfStyle w:val="000000000000" w:firstRow="0" w:lastRow="0" w:firstColumn="0" w:lastColumn="0" w:oddVBand="0" w:evenVBand="0" w:oddHBand="0" w:evenHBand="0" w:firstRowFirstColumn="0" w:firstRowLastColumn="0" w:lastRowFirstColumn="0" w:lastRowLastColumn="0"/>
            </w:pPr>
            <w:r>
              <w:t>13 015</w:t>
            </w:r>
          </w:p>
        </w:tc>
        <w:tc>
          <w:tcPr>
            <w:tcW w:w="850" w:type="dxa"/>
          </w:tcPr>
          <w:p w14:paraId="1C3EB094" w14:textId="77777777" w:rsidR="00964B88" w:rsidRDefault="00964B88">
            <w:pPr>
              <w:cnfStyle w:val="000000000000" w:firstRow="0" w:lastRow="0" w:firstColumn="0" w:lastColumn="0" w:oddVBand="0" w:evenVBand="0" w:oddHBand="0" w:evenHBand="0" w:firstRowFirstColumn="0" w:firstRowLastColumn="0" w:lastRowFirstColumn="0" w:lastRowLastColumn="0"/>
            </w:pPr>
            <w:r>
              <w:t>14 869</w:t>
            </w:r>
          </w:p>
        </w:tc>
        <w:tc>
          <w:tcPr>
            <w:tcW w:w="850" w:type="dxa"/>
          </w:tcPr>
          <w:p w14:paraId="2C08DF1B" w14:textId="77777777" w:rsidR="00964B88" w:rsidRDefault="00964B88">
            <w:pPr>
              <w:cnfStyle w:val="000000000000" w:firstRow="0" w:lastRow="0" w:firstColumn="0" w:lastColumn="0" w:oddVBand="0" w:evenVBand="0" w:oddHBand="0" w:evenHBand="0" w:firstRowFirstColumn="0" w:firstRowLastColumn="0" w:lastRowFirstColumn="0" w:lastRowLastColumn="0"/>
            </w:pPr>
            <w:r>
              <w:t>15 306</w:t>
            </w:r>
          </w:p>
        </w:tc>
        <w:tc>
          <w:tcPr>
            <w:tcW w:w="850" w:type="dxa"/>
          </w:tcPr>
          <w:p w14:paraId="6B63D145" w14:textId="77777777" w:rsidR="00964B88" w:rsidRDefault="00964B88">
            <w:pPr>
              <w:cnfStyle w:val="000000000000" w:firstRow="0" w:lastRow="0" w:firstColumn="0" w:lastColumn="0" w:oddVBand="0" w:evenVBand="0" w:oddHBand="0" w:evenHBand="0" w:firstRowFirstColumn="0" w:firstRowLastColumn="0" w:lastRowFirstColumn="0" w:lastRowLastColumn="0"/>
            </w:pPr>
            <w:r>
              <w:t>15 915</w:t>
            </w:r>
          </w:p>
        </w:tc>
      </w:tr>
      <w:tr w:rsidR="00964B88" w14:paraId="379A526D" w14:textId="77777777" w:rsidTr="0090119F">
        <w:tc>
          <w:tcPr>
            <w:cnfStyle w:val="001000000000" w:firstRow="0" w:lastRow="0" w:firstColumn="1" w:lastColumn="0" w:oddVBand="0" w:evenVBand="0" w:oddHBand="0" w:evenHBand="0" w:firstRowFirstColumn="0" w:firstRowLastColumn="0" w:lastRowFirstColumn="0" w:lastRowLastColumn="0"/>
            <w:tcW w:w="2781" w:type="dxa"/>
            <w:tcBorders>
              <w:bottom w:val="single" w:sz="6" w:space="0" w:color="auto"/>
            </w:tcBorders>
          </w:tcPr>
          <w:p w14:paraId="5611B779" w14:textId="77777777" w:rsidR="00964B88" w:rsidRDefault="00964B88">
            <w:r>
              <w:t>Other operating expenses</w:t>
            </w:r>
          </w:p>
        </w:tc>
        <w:tc>
          <w:tcPr>
            <w:tcW w:w="737" w:type="dxa"/>
            <w:tcBorders>
              <w:bottom w:val="single" w:sz="6" w:space="0" w:color="auto"/>
            </w:tcBorders>
          </w:tcPr>
          <w:p w14:paraId="00B87766"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4.3.4</w:t>
            </w:r>
          </w:p>
        </w:tc>
        <w:tc>
          <w:tcPr>
            <w:tcW w:w="850" w:type="dxa"/>
            <w:tcBorders>
              <w:bottom w:val="single" w:sz="6" w:space="0" w:color="auto"/>
            </w:tcBorders>
          </w:tcPr>
          <w:p w14:paraId="3FC940BF" w14:textId="77777777" w:rsidR="00964B88" w:rsidRDefault="00964B88">
            <w:pPr>
              <w:cnfStyle w:val="000000000000" w:firstRow="0" w:lastRow="0" w:firstColumn="0" w:lastColumn="0" w:oddVBand="0" w:evenVBand="0" w:oddHBand="0" w:evenHBand="0" w:firstRowFirstColumn="0" w:firstRowLastColumn="0" w:lastRowFirstColumn="0" w:lastRowLastColumn="0"/>
            </w:pPr>
            <w:r>
              <w:t>20 955</w:t>
            </w:r>
          </w:p>
        </w:tc>
        <w:tc>
          <w:tcPr>
            <w:tcW w:w="850" w:type="dxa"/>
            <w:tcBorders>
              <w:bottom w:val="single" w:sz="6" w:space="0" w:color="auto"/>
            </w:tcBorders>
          </w:tcPr>
          <w:p w14:paraId="26C5BE2D" w14:textId="77777777" w:rsidR="00964B88" w:rsidRDefault="00964B88">
            <w:pPr>
              <w:cnfStyle w:val="000000000000" w:firstRow="0" w:lastRow="0" w:firstColumn="0" w:lastColumn="0" w:oddVBand="0" w:evenVBand="0" w:oddHBand="0" w:evenHBand="0" w:firstRowFirstColumn="0" w:firstRowLastColumn="0" w:lastRowFirstColumn="0" w:lastRowLastColumn="0"/>
            </w:pPr>
            <w:r>
              <w:t>21 584</w:t>
            </w:r>
          </w:p>
        </w:tc>
        <w:tc>
          <w:tcPr>
            <w:tcW w:w="850" w:type="dxa"/>
            <w:tcBorders>
              <w:bottom w:val="single" w:sz="6" w:space="0" w:color="auto"/>
            </w:tcBorders>
          </w:tcPr>
          <w:p w14:paraId="0B1D7AAD" w14:textId="77777777" w:rsidR="00964B88" w:rsidRDefault="00964B88">
            <w:pPr>
              <w:cnfStyle w:val="000000000000" w:firstRow="0" w:lastRow="0" w:firstColumn="0" w:lastColumn="0" w:oddVBand="0" w:evenVBand="0" w:oddHBand="0" w:evenHBand="0" w:firstRowFirstColumn="0" w:firstRowLastColumn="0" w:lastRowFirstColumn="0" w:lastRowLastColumn="0"/>
            </w:pPr>
            <w:r>
              <w:t>20 779</w:t>
            </w:r>
          </w:p>
        </w:tc>
        <w:tc>
          <w:tcPr>
            <w:tcW w:w="850" w:type="dxa"/>
            <w:tcBorders>
              <w:bottom w:val="single" w:sz="6" w:space="0" w:color="auto"/>
            </w:tcBorders>
          </w:tcPr>
          <w:p w14:paraId="04F7E66A" w14:textId="77777777" w:rsidR="00964B88" w:rsidRDefault="00964B88">
            <w:pPr>
              <w:cnfStyle w:val="000000000000" w:firstRow="0" w:lastRow="0" w:firstColumn="0" w:lastColumn="0" w:oddVBand="0" w:evenVBand="0" w:oddHBand="0" w:evenHBand="0" w:firstRowFirstColumn="0" w:firstRowLastColumn="0" w:lastRowFirstColumn="0" w:lastRowLastColumn="0"/>
            </w:pPr>
            <w:r>
              <w:t>20 149</w:t>
            </w:r>
          </w:p>
        </w:tc>
        <w:tc>
          <w:tcPr>
            <w:tcW w:w="850" w:type="dxa"/>
            <w:tcBorders>
              <w:bottom w:val="single" w:sz="6" w:space="0" w:color="auto"/>
            </w:tcBorders>
          </w:tcPr>
          <w:p w14:paraId="354F2063" w14:textId="77777777" w:rsidR="00964B88" w:rsidRDefault="00964B88">
            <w:pPr>
              <w:cnfStyle w:val="000000000000" w:firstRow="0" w:lastRow="0" w:firstColumn="0" w:lastColumn="0" w:oddVBand="0" w:evenVBand="0" w:oddHBand="0" w:evenHBand="0" w:firstRowFirstColumn="0" w:firstRowLastColumn="0" w:lastRowFirstColumn="0" w:lastRowLastColumn="0"/>
            </w:pPr>
            <w:r>
              <w:t>20 929</w:t>
            </w:r>
          </w:p>
        </w:tc>
      </w:tr>
      <w:tr w:rsidR="00964B88" w14:paraId="1EBE2FFB" w14:textId="77777777" w:rsidTr="0090119F">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bottom w:val="single" w:sz="6" w:space="0" w:color="auto"/>
            </w:tcBorders>
          </w:tcPr>
          <w:p w14:paraId="3658FEFB" w14:textId="77777777" w:rsidR="00964B88" w:rsidRDefault="00964B88">
            <w:r>
              <w:rPr>
                <w:b/>
              </w:rPr>
              <w:t>Total expenses from transactions</w:t>
            </w:r>
          </w:p>
        </w:tc>
        <w:tc>
          <w:tcPr>
            <w:tcW w:w="737" w:type="dxa"/>
            <w:tcBorders>
              <w:top w:val="single" w:sz="6" w:space="0" w:color="auto"/>
              <w:bottom w:val="single" w:sz="6" w:space="0" w:color="auto"/>
            </w:tcBorders>
          </w:tcPr>
          <w:p w14:paraId="0F3AC5CB"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4.3.5</w:t>
            </w:r>
          </w:p>
        </w:tc>
        <w:tc>
          <w:tcPr>
            <w:tcW w:w="850" w:type="dxa"/>
            <w:tcBorders>
              <w:top w:val="single" w:sz="6" w:space="0" w:color="auto"/>
              <w:bottom w:val="single" w:sz="6" w:space="0" w:color="auto"/>
            </w:tcBorders>
          </w:tcPr>
          <w:p w14:paraId="5CC2B1B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69 982</w:t>
            </w:r>
          </w:p>
        </w:tc>
        <w:tc>
          <w:tcPr>
            <w:tcW w:w="850" w:type="dxa"/>
            <w:tcBorders>
              <w:top w:val="single" w:sz="6" w:space="0" w:color="auto"/>
              <w:bottom w:val="single" w:sz="6" w:space="0" w:color="auto"/>
            </w:tcBorders>
          </w:tcPr>
          <w:p w14:paraId="3428C9C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70 333</w:t>
            </w:r>
          </w:p>
        </w:tc>
        <w:tc>
          <w:tcPr>
            <w:tcW w:w="850" w:type="dxa"/>
            <w:tcBorders>
              <w:top w:val="single" w:sz="6" w:space="0" w:color="auto"/>
              <w:bottom w:val="single" w:sz="6" w:space="0" w:color="auto"/>
            </w:tcBorders>
          </w:tcPr>
          <w:p w14:paraId="1BD2447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73 295</w:t>
            </w:r>
          </w:p>
        </w:tc>
        <w:tc>
          <w:tcPr>
            <w:tcW w:w="850" w:type="dxa"/>
            <w:tcBorders>
              <w:top w:val="single" w:sz="6" w:space="0" w:color="auto"/>
              <w:bottom w:val="single" w:sz="6" w:space="0" w:color="auto"/>
            </w:tcBorders>
          </w:tcPr>
          <w:p w14:paraId="6C9878C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74 419</w:t>
            </w:r>
          </w:p>
        </w:tc>
        <w:tc>
          <w:tcPr>
            <w:tcW w:w="850" w:type="dxa"/>
            <w:tcBorders>
              <w:top w:val="single" w:sz="6" w:space="0" w:color="auto"/>
              <w:bottom w:val="single" w:sz="6" w:space="0" w:color="auto"/>
            </w:tcBorders>
          </w:tcPr>
          <w:p w14:paraId="305DEF9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77 668</w:t>
            </w:r>
          </w:p>
        </w:tc>
      </w:tr>
      <w:tr w:rsidR="00964B88" w14:paraId="37C364C0" w14:textId="77777777" w:rsidTr="0090119F">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bottom w:val="single" w:sz="12" w:space="0" w:color="auto"/>
            </w:tcBorders>
          </w:tcPr>
          <w:p w14:paraId="014370C7" w14:textId="77777777" w:rsidR="00964B88" w:rsidRDefault="00964B88">
            <w:r>
              <w:rPr>
                <w:b/>
              </w:rPr>
              <w:t>Net result from transactions –</w:t>
            </w:r>
            <w:r>
              <w:br/>
            </w:r>
            <w:r>
              <w:rPr>
                <w:b/>
              </w:rPr>
              <w:t>net operating balance</w:t>
            </w:r>
          </w:p>
        </w:tc>
        <w:tc>
          <w:tcPr>
            <w:tcW w:w="737" w:type="dxa"/>
            <w:tcBorders>
              <w:top w:val="single" w:sz="6" w:space="0" w:color="auto"/>
              <w:bottom w:val="single" w:sz="12" w:space="0" w:color="auto"/>
            </w:tcBorders>
          </w:tcPr>
          <w:p w14:paraId="134A2570"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bottom w:val="single" w:sz="12" w:space="0" w:color="auto"/>
            </w:tcBorders>
          </w:tcPr>
          <w:p w14:paraId="1E8AF46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1 050</w:t>
            </w:r>
          </w:p>
        </w:tc>
        <w:tc>
          <w:tcPr>
            <w:tcW w:w="850" w:type="dxa"/>
            <w:tcBorders>
              <w:top w:val="single" w:sz="6" w:space="0" w:color="auto"/>
              <w:bottom w:val="single" w:sz="12" w:space="0" w:color="auto"/>
            </w:tcBorders>
          </w:tcPr>
          <w:p w14:paraId="53D014E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618</w:t>
            </w:r>
          </w:p>
        </w:tc>
        <w:tc>
          <w:tcPr>
            <w:tcW w:w="850" w:type="dxa"/>
            <w:tcBorders>
              <w:top w:val="single" w:sz="6" w:space="0" w:color="auto"/>
              <w:bottom w:val="single" w:sz="12" w:space="0" w:color="auto"/>
            </w:tcBorders>
          </w:tcPr>
          <w:p w14:paraId="70BE206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1 222</w:t>
            </w:r>
          </w:p>
        </w:tc>
        <w:tc>
          <w:tcPr>
            <w:tcW w:w="850" w:type="dxa"/>
            <w:tcBorders>
              <w:top w:val="single" w:sz="6" w:space="0" w:color="auto"/>
              <w:bottom w:val="single" w:sz="12" w:space="0" w:color="auto"/>
            </w:tcBorders>
          </w:tcPr>
          <w:p w14:paraId="48ED8F4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3 841</w:t>
            </w:r>
          </w:p>
        </w:tc>
        <w:tc>
          <w:tcPr>
            <w:tcW w:w="850" w:type="dxa"/>
            <w:tcBorders>
              <w:top w:val="single" w:sz="6" w:space="0" w:color="auto"/>
              <w:bottom w:val="single" w:sz="12" w:space="0" w:color="auto"/>
            </w:tcBorders>
          </w:tcPr>
          <w:p w14:paraId="5C9E161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4 898</w:t>
            </w:r>
          </w:p>
        </w:tc>
      </w:tr>
      <w:tr w:rsidR="00964B88" w14:paraId="27A4A57C" w14:textId="77777777" w:rsidTr="0090119F">
        <w:tc>
          <w:tcPr>
            <w:cnfStyle w:val="001000000000" w:firstRow="0" w:lastRow="0" w:firstColumn="1" w:lastColumn="0" w:oddVBand="0" w:evenVBand="0" w:oddHBand="0" w:evenHBand="0" w:firstRowFirstColumn="0" w:firstRowLastColumn="0" w:lastRowFirstColumn="0" w:lastRowLastColumn="0"/>
            <w:tcW w:w="2781" w:type="dxa"/>
            <w:tcBorders>
              <w:top w:val="single" w:sz="0" w:space="0" w:color="auto"/>
            </w:tcBorders>
          </w:tcPr>
          <w:p w14:paraId="5DFCEA26" w14:textId="77777777" w:rsidR="00964B88" w:rsidRDefault="00964B88">
            <w:r>
              <w:rPr>
                <w:b/>
              </w:rPr>
              <w:t>Other economic flows included in</w:t>
            </w:r>
            <w:r>
              <w:br/>
            </w:r>
            <w:r>
              <w:rPr>
                <w:b/>
              </w:rPr>
              <w:t>net result</w:t>
            </w:r>
          </w:p>
        </w:tc>
        <w:tc>
          <w:tcPr>
            <w:tcW w:w="737" w:type="dxa"/>
            <w:tcBorders>
              <w:top w:val="single" w:sz="0" w:space="0" w:color="auto"/>
            </w:tcBorders>
          </w:tcPr>
          <w:p w14:paraId="4AAF89D2"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4B472B3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04517C0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450EED7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68B96D9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2CADEE8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11976CA"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726D43DC" w14:textId="77777777" w:rsidR="00964B88" w:rsidRDefault="00964B88">
            <w:r>
              <w:t>Net gain/(loss) on disposal of non</w:t>
            </w:r>
            <w:r>
              <w:noBreakHyphen/>
              <w:t>financial assets</w:t>
            </w:r>
          </w:p>
        </w:tc>
        <w:tc>
          <w:tcPr>
            <w:tcW w:w="737" w:type="dxa"/>
          </w:tcPr>
          <w:p w14:paraId="64D14981"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4BFDB9FF" w14:textId="77777777" w:rsidR="00964B88" w:rsidRDefault="00964B88">
            <w:pPr>
              <w:cnfStyle w:val="000000000000" w:firstRow="0" w:lastRow="0" w:firstColumn="0" w:lastColumn="0" w:oddVBand="0" w:evenVBand="0" w:oddHBand="0" w:evenHBand="0" w:firstRowFirstColumn="0" w:firstRowLastColumn="0" w:lastRowFirstColumn="0" w:lastRowLastColumn="0"/>
            </w:pPr>
            <w:r>
              <w:t>40</w:t>
            </w:r>
          </w:p>
        </w:tc>
        <w:tc>
          <w:tcPr>
            <w:tcW w:w="850" w:type="dxa"/>
          </w:tcPr>
          <w:p w14:paraId="5FD54733" w14:textId="77777777" w:rsidR="00964B88" w:rsidRDefault="00964B88">
            <w:pPr>
              <w:cnfStyle w:val="000000000000" w:firstRow="0" w:lastRow="0" w:firstColumn="0" w:lastColumn="0" w:oddVBand="0" w:evenVBand="0" w:oddHBand="0" w:evenHBand="0" w:firstRowFirstColumn="0" w:firstRowLastColumn="0" w:lastRowFirstColumn="0" w:lastRowLastColumn="0"/>
            </w:pPr>
            <w:r>
              <w:t>25</w:t>
            </w:r>
          </w:p>
        </w:tc>
        <w:tc>
          <w:tcPr>
            <w:tcW w:w="850" w:type="dxa"/>
          </w:tcPr>
          <w:p w14:paraId="14194805"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Pr>
          <w:p w14:paraId="28ECAF26" w14:textId="77777777" w:rsidR="00964B88" w:rsidRDefault="00964B88">
            <w:pPr>
              <w:cnfStyle w:val="000000000000" w:firstRow="0" w:lastRow="0" w:firstColumn="0" w:lastColumn="0" w:oddVBand="0" w:evenVBand="0" w:oddHBand="0" w:evenHBand="0" w:firstRowFirstColumn="0" w:firstRowLastColumn="0" w:lastRowFirstColumn="0" w:lastRowLastColumn="0"/>
            </w:pPr>
            <w:r>
              <w:t>23</w:t>
            </w:r>
          </w:p>
        </w:tc>
        <w:tc>
          <w:tcPr>
            <w:tcW w:w="850" w:type="dxa"/>
          </w:tcPr>
          <w:p w14:paraId="1B081BA6" w14:textId="77777777" w:rsidR="00964B88" w:rsidRDefault="00964B88">
            <w:pPr>
              <w:cnfStyle w:val="000000000000" w:firstRow="0" w:lastRow="0" w:firstColumn="0" w:lastColumn="0" w:oddVBand="0" w:evenVBand="0" w:oddHBand="0" w:evenHBand="0" w:firstRowFirstColumn="0" w:firstRowLastColumn="0" w:lastRowFirstColumn="0" w:lastRowLastColumn="0"/>
            </w:pPr>
            <w:r>
              <w:t>41</w:t>
            </w:r>
          </w:p>
        </w:tc>
      </w:tr>
      <w:tr w:rsidR="00964B88" w14:paraId="22C6503A" w14:textId="77777777" w:rsidTr="0090119F">
        <w:tc>
          <w:tcPr>
            <w:cnfStyle w:val="001000000000" w:firstRow="0" w:lastRow="0" w:firstColumn="1" w:lastColumn="0" w:oddVBand="0" w:evenVBand="0" w:oddHBand="0" w:evenHBand="0" w:firstRowFirstColumn="0" w:firstRowLastColumn="0" w:lastRowFirstColumn="0" w:lastRowLastColumn="0"/>
            <w:tcW w:w="2781" w:type="dxa"/>
          </w:tcPr>
          <w:p w14:paraId="68EEE1CC" w14:textId="77777777" w:rsidR="00964B88" w:rsidRDefault="00964B88">
            <w:r>
              <w:t>Net gain/(loss) on financial assets or liabilities at fair value</w:t>
            </w:r>
          </w:p>
        </w:tc>
        <w:tc>
          <w:tcPr>
            <w:tcW w:w="737" w:type="dxa"/>
          </w:tcPr>
          <w:p w14:paraId="2F5934B7"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0C480FA6" w14:textId="77777777" w:rsidR="00964B88" w:rsidRDefault="00964B88">
            <w:pPr>
              <w:cnfStyle w:val="000000000000" w:firstRow="0" w:lastRow="0" w:firstColumn="0" w:lastColumn="0" w:oddVBand="0" w:evenVBand="0" w:oddHBand="0" w:evenHBand="0" w:firstRowFirstColumn="0" w:firstRowLastColumn="0" w:lastRowFirstColumn="0" w:lastRowLastColumn="0"/>
            </w:pPr>
            <w:r>
              <w:t>25</w:t>
            </w:r>
          </w:p>
        </w:tc>
        <w:tc>
          <w:tcPr>
            <w:tcW w:w="850" w:type="dxa"/>
          </w:tcPr>
          <w:p w14:paraId="438D0B80" w14:textId="77777777" w:rsidR="00964B88" w:rsidRDefault="00964B88">
            <w:pPr>
              <w:cnfStyle w:val="000000000000" w:firstRow="0" w:lastRow="0" w:firstColumn="0" w:lastColumn="0" w:oddVBand="0" w:evenVBand="0" w:oddHBand="0" w:evenHBand="0" w:firstRowFirstColumn="0" w:firstRowLastColumn="0" w:lastRowFirstColumn="0" w:lastRowLastColumn="0"/>
            </w:pPr>
            <w:r>
              <w:t>18</w:t>
            </w:r>
          </w:p>
        </w:tc>
        <w:tc>
          <w:tcPr>
            <w:tcW w:w="850" w:type="dxa"/>
          </w:tcPr>
          <w:p w14:paraId="14FF102F" w14:textId="77777777" w:rsidR="00964B88" w:rsidRDefault="00964B88">
            <w:pPr>
              <w:cnfStyle w:val="000000000000" w:firstRow="0" w:lastRow="0" w:firstColumn="0" w:lastColumn="0" w:oddVBand="0" w:evenVBand="0" w:oddHBand="0" w:evenHBand="0" w:firstRowFirstColumn="0" w:firstRowLastColumn="0" w:lastRowFirstColumn="0" w:lastRowLastColumn="0"/>
            </w:pPr>
            <w:r>
              <w:t>18</w:t>
            </w:r>
          </w:p>
        </w:tc>
        <w:tc>
          <w:tcPr>
            <w:tcW w:w="850" w:type="dxa"/>
          </w:tcPr>
          <w:p w14:paraId="181C9705" w14:textId="77777777" w:rsidR="00964B88" w:rsidRDefault="00964B88">
            <w:pPr>
              <w:cnfStyle w:val="000000000000" w:firstRow="0" w:lastRow="0" w:firstColumn="0" w:lastColumn="0" w:oddVBand="0" w:evenVBand="0" w:oddHBand="0" w:evenHBand="0" w:firstRowFirstColumn="0" w:firstRowLastColumn="0" w:lastRowFirstColumn="0" w:lastRowLastColumn="0"/>
            </w:pPr>
            <w:r>
              <w:t>15</w:t>
            </w:r>
          </w:p>
        </w:tc>
        <w:tc>
          <w:tcPr>
            <w:tcW w:w="850" w:type="dxa"/>
          </w:tcPr>
          <w:p w14:paraId="1BDA5A49" w14:textId="77777777" w:rsidR="00964B88" w:rsidRDefault="00964B88">
            <w:pPr>
              <w:cnfStyle w:val="000000000000" w:firstRow="0" w:lastRow="0" w:firstColumn="0" w:lastColumn="0" w:oddVBand="0" w:evenVBand="0" w:oddHBand="0" w:evenHBand="0" w:firstRowFirstColumn="0" w:firstRowLastColumn="0" w:lastRowFirstColumn="0" w:lastRowLastColumn="0"/>
            </w:pPr>
            <w:r>
              <w:t>15</w:t>
            </w:r>
          </w:p>
        </w:tc>
      </w:tr>
      <w:tr w:rsidR="00964B88" w14:paraId="06524D42" w14:textId="77777777" w:rsidTr="0090119F">
        <w:tc>
          <w:tcPr>
            <w:cnfStyle w:val="001000000000" w:firstRow="0" w:lastRow="0" w:firstColumn="1" w:lastColumn="0" w:oddVBand="0" w:evenVBand="0" w:oddHBand="0" w:evenHBand="0" w:firstRowFirstColumn="0" w:firstRowLastColumn="0" w:lastRowFirstColumn="0" w:lastRowLastColumn="0"/>
            <w:tcW w:w="2781" w:type="dxa"/>
            <w:tcBorders>
              <w:bottom w:val="single" w:sz="6" w:space="0" w:color="auto"/>
            </w:tcBorders>
          </w:tcPr>
          <w:p w14:paraId="2D009345" w14:textId="77777777" w:rsidR="00964B88" w:rsidRDefault="00964B88">
            <w:r>
              <w:t>Other gains/(losses) from other economic flows</w:t>
            </w:r>
          </w:p>
        </w:tc>
        <w:tc>
          <w:tcPr>
            <w:tcW w:w="737" w:type="dxa"/>
            <w:tcBorders>
              <w:bottom w:val="single" w:sz="6" w:space="0" w:color="auto"/>
            </w:tcBorders>
          </w:tcPr>
          <w:p w14:paraId="0A1E7B83"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4.7.1</w:t>
            </w:r>
          </w:p>
        </w:tc>
        <w:tc>
          <w:tcPr>
            <w:tcW w:w="850" w:type="dxa"/>
            <w:tcBorders>
              <w:bottom w:val="single" w:sz="6" w:space="0" w:color="auto"/>
            </w:tcBorders>
          </w:tcPr>
          <w:p w14:paraId="4E7501F8" w14:textId="77777777" w:rsidR="00964B88" w:rsidRDefault="00964B88">
            <w:pPr>
              <w:cnfStyle w:val="000000000000" w:firstRow="0" w:lastRow="0" w:firstColumn="0" w:lastColumn="0" w:oddVBand="0" w:evenVBand="0" w:oddHBand="0" w:evenHBand="0" w:firstRowFirstColumn="0" w:firstRowLastColumn="0" w:lastRowFirstColumn="0" w:lastRowLastColumn="0"/>
            </w:pPr>
            <w:r>
              <w:t>(388)</w:t>
            </w:r>
          </w:p>
        </w:tc>
        <w:tc>
          <w:tcPr>
            <w:tcW w:w="850" w:type="dxa"/>
            <w:tcBorders>
              <w:bottom w:val="single" w:sz="6" w:space="0" w:color="auto"/>
            </w:tcBorders>
          </w:tcPr>
          <w:p w14:paraId="79D95577" w14:textId="77777777" w:rsidR="00964B88" w:rsidRDefault="00964B88">
            <w:pPr>
              <w:cnfStyle w:val="000000000000" w:firstRow="0" w:lastRow="0" w:firstColumn="0" w:lastColumn="0" w:oddVBand="0" w:evenVBand="0" w:oddHBand="0" w:evenHBand="0" w:firstRowFirstColumn="0" w:firstRowLastColumn="0" w:lastRowFirstColumn="0" w:lastRowLastColumn="0"/>
            </w:pPr>
            <w:r>
              <w:t>(382)</w:t>
            </w:r>
          </w:p>
        </w:tc>
        <w:tc>
          <w:tcPr>
            <w:tcW w:w="850" w:type="dxa"/>
            <w:tcBorders>
              <w:bottom w:val="single" w:sz="6" w:space="0" w:color="auto"/>
            </w:tcBorders>
          </w:tcPr>
          <w:p w14:paraId="21B0B649" w14:textId="77777777" w:rsidR="00964B88" w:rsidRDefault="00964B88">
            <w:pPr>
              <w:cnfStyle w:val="000000000000" w:firstRow="0" w:lastRow="0" w:firstColumn="0" w:lastColumn="0" w:oddVBand="0" w:evenVBand="0" w:oddHBand="0" w:evenHBand="0" w:firstRowFirstColumn="0" w:firstRowLastColumn="0" w:lastRowFirstColumn="0" w:lastRowLastColumn="0"/>
            </w:pPr>
            <w:r>
              <w:t>(389)</w:t>
            </w:r>
          </w:p>
        </w:tc>
        <w:tc>
          <w:tcPr>
            <w:tcW w:w="850" w:type="dxa"/>
            <w:tcBorders>
              <w:bottom w:val="single" w:sz="6" w:space="0" w:color="auto"/>
            </w:tcBorders>
          </w:tcPr>
          <w:p w14:paraId="134DD255" w14:textId="77777777" w:rsidR="00964B88" w:rsidRDefault="00964B88">
            <w:pPr>
              <w:cnfStyle w:val="000000000000" w:firstRow="0" w:lastRow="0" w:firstColumn="0" w:lastColumn="0" w:oddVBand="0" w:evenVBand="0" w:oddHBand="0" w:evenHBand="0" w:firstRowFirstColumn="0" w:firstRowLastColumn="0" w:lastRowFirstColumn="0" w:lastRowLastColumn="0"/>
            </w:pPr>
            <w:r>
              <w:t>(394)</w:t>
            </w:r>
          </w:p>
        </w:tc>
        <w:tc>
          <w:tcPr>
            <w:tcW w:w="850" w:type="dxa"/>
            <w:tcBorders>
              <w:bottom w:val="single" w:sz="6" w:space="0" w:color="auto"/>
            </w:tcBorders>
          </w:tcPr>
          <w:p w14:paraId="2B8AC91E" w14:textId="77777777" w:rsidR="00964B88" w:rsidRDefault="00964B88">
            <w:pPr>
              <w:cnfStyle w:val="000000000000" w:firstRow="0" w:lastRow="0" w:firstColumn="0" w:lastColumn="0" w:oddVBand="0" w:evenVBand="0" w:oddHBand="0" w:evenHBand="0" w:firstRowFirstColumn="0" w:firstRowLastColumn="0" w:lastRowFirstColumn="0" w:lastRowLastColumn="0"/>
            </w:pPr>
            <w:r>
              <w:t>(418)</w:t>
            </w:r>
          </w:p>
        </w:tc>
      </w:tr>
      <w:tr w:rsidR="00964B88" w14:paraId="70CEB4C3" w14:textId="77777777" w:rsidTr="009B6CF1">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bottom w:val="single" w:sz="6" w:space="0" w:color="auto"/>
            </w:tcBorders>
          </w:tcPr>
          <w:p w14:paraId="1E6A89C9" w14:textId="77777777" w:rsidR="00964B88" w:rsidRDefault="00964B88">
            <w:r>
              <w:rPr>
                <w:b/>
              </w:rPr>
              <w:t>Total other economic flows included in net result</w:t>
            </w:r>
          </w:p>
        </w:tc>
        <w:tc>
          <w:tcPr>
            <w:tcW w:w="737" w:type="dxa"/>
            <w:tcBorders>
              <w:top w:val="single" w:sz="6" w:space="0" w:color="auto"/>
              <w:bottom w:val="single" w:sz="6" w:space="0" w:color="auto"/>
            </w:tcBorders>
          </w:tcPr>
          <w:p w14:paraId="7834AF52"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bottom w:val="single" w:sz="6" w:space="0" w:color="auto"/>
            </w:tcBorders>
          </w:tcPr>
          <w:p w14:paraId="1836CBB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(323)</w:t>
            </w:r>
          </w:p>
        </w:tc>
        <w:tc>
          <w:tcPr>
            <w:tcW w:w="850" w:type="dxa"/>
            <w:tcBorders>
              <w:top w:val="single" w:sz="6" w:space="0" w:color="auto"/>
              <w:bottom w:val="single" w:sz="6" w:space="0" w:color="auto"/>
            </w:tcBorders>
          </w:tcPr>
          <w:p w14:paraId="0930CBD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(339)</w:t>
            </w:r>
          </w:p>
        </w:tc>
        <w:tc>
          <w:tcPr>
            <w:tcW w:w="850" w:type="dxa"/>
            <w:tcBorders>
              <w:top w:val="single" w:sz="6" w:space="0" w:color="auto"/>
              <w:bottom w:val="single" w:sz="6" w:space="0" w:color="auto"/>
            </w:tcBorders>
          </w:tcPr>
          <w:p w14:paraId="3008099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(370)</w:t>
            </w:r>
          </w:p>
        </w:tc>
        <w:tc>
          <w:tcPr>
            <w:tcW w:w="850" w:type="dxa"/>
            <w:tcBorders>
              <w:top w:val="single" w:sz="6" w:space="0" w:color="auto"/>
              <w:bottom w:val="single" w:sz="6" w:space="0" w:color="auto"/>
            </w:tcBorders>
          </w:tcPr>
          <w:p w14:paraId="3F639DB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(355)</w:t>
            </w:r>
          </w:p>
        </w:tc>
        <w:tc>
          <w:tcPr>
            <w:tcW w:w="850" w:type="dxa"/>
            <w:tcBorders>
              <w:top w:val="single" w:sz="6" w:space="0" w:color="auto"/>
              <w:bottom w:val="single" w:sz="6" w:space="0" w:color="auto"/>
            </w:tcBorders>
          </w:tcPr>
          <w:p w14:paraId="6BA695D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(361)</w:t>
            </w:r>
          </w:p>
        </w:tc>
      </w:tr>
      <w:tr w:rsidR="00964B88" w:rsidRPr="0090119F" w14:paraId="2C178240" w14:textId="77777777" w:rsidTr="009B6CF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bottom w:val="single" w:sz="6" w:space="0" w:color="auto"/>
            </w:tcBorders>
          </w:tcPr>
          <w:p w14:paraId="44F99972" w14:textId="77777777" w:rsidR="00964B88" w:rsidRPr="0090119F" w:rsidRDefault="00964B88">
            <w:r w:rsidRPr="0090119F">
              <w:t>Net result</w:t>
            </w:r>
          </w:p>
        </w:tc>
        <w:tc>
          <w:tcPr>
            <w:tcW w:w="737" w:type="dxa"/>
            <w:tcBorders>
              <w:top w:val="single" w:sz="6" w:space="0" w:color="auto"/>
              <w:bottom w:val="single" w:sz="6" w:space="0" w:color="auto"/>
            </w:tcBorders>
          </w:tcPr>
          <w:p w14:paraId="368086F4" w14:textId="77777777" w:rsidR="00964B88" w:rsidRPr="0090119F" w:rsidRDefault="00964B88">
            <w:pPr>
              <w:jc w:val="center"/>
              <w:cnfStyle w:val="010000000000" w:firstRow="0" w:lastRow="1" w:firstColumn="0" w:lastColumn="0" w:oddVBand="0" w:evenVBand="0" w:oddHBand="0" w:evenHBand="0" w:firstRowFirstColumn="0" w:firstRowLastColumn="0" w:lastRowFirstColumn="0" w:lastRowLastColumn="0"/>
            </w:pPr>
          </w:p>
        </w:tc>
        <w:tc>
          <w:tcPr>
            <w:tcW w:w="850" w:type="dxa"/>
            <w:tcBorders>
              <w:top w:val="single" w:sz="6" w:space="0" w:color="auto"/>
              <w:bottom w:val="single" w:sz="6" w:space="0" w:color="auto"/>
            </w:tcBorders>
          </w:tcPr>
          <w:p w14:paraId="7BC5FEA0" w14:textId="77777777" w:rsidR="00964B88" w:rsidRPr="0090119F" w:rsidRDefault="00964B88">
            <w:pPr>
              <w:cnfStyle w:val="010000000000" w:firstRow="0" w:lastRow="1" w:firstColumn="0" w:lastColumn="0" w:oddVBand="0" w:evenVBand="0" w:oddHBand="0" w:evenHBand="0" w:firstRowFirstColumn="0" w:firstRowLastColumn="0" w:lastRowFirstColumn="0" w:lastRowLastColumn="0"/>
            </w:pPr>
            <w:r w:rsidRPr="0090119F">
              <w:t>726</w:t>
            </w:r>
          </w:p>
        </w:tc>
        <w:tc>
          <w:tcPr>
            <w:tcW w:w="850" w:type="dxa"/>
            <w:tcBorders>
              <w:top w:val="single" w:sz="6" w:space="0" w:color="auto"/>
              <w:bottom w:val="single" w:sz="6" w:space="0" w:color="auto"/>
            </w:tcBorders>
          </w:tcPr>
          <w:p w14:paraId="75C644F8" w14:textId="77777777" w:rsidR="00964B88" w:rsidRPr="0090119F" w:rsidRDefault="00964B88">
            <w:pPr>
              <w:cnfStyle w:val="010000000000" w:firstRow="0" w:lastRow="1" w:firstColumn="0" w:lastColumn="0" w:oddVBand="0" w:evenVBand="0" w:oddHBand="0" w:evenHBand="0" w:firstRowFirstColumn="0" w:firstRowLastColumn="0" w:lastRowFirstColumn="0" w:lastRowLastColumn="0"/>
            </w:pPr>
            <w:r w:rsidRPr="0090119F">
              <w:t>279</w:t>
            </w:r>
          </w:p>
        </w:tc>
        <w:tc>
          <w:tcPr>
            <w:tcW w:w="850" w:type="dxa"/>
            <w:tcBorders>
              <w:top w:val="single" w:sz="6" w:space="0" w:color="auto"/>
              <w:bottom w:val="single" w:sz="6" w:space="0" w:color="auto"/>
            </w:tcBorders>
          </w:tcPr>
          <w:p w14:paraId="5250E03E" w14:textId="77777777" w:rsidR="00964B88" w:rsidRPr="0090119F" w:rsidRDefault="00964B88">
            <w:pPr>
              <w:cnfStyle w:val="010000000000" w:firstRow="0" w:lastRow="1" w:firstColumn="0" w:lastColumn="0" w:oddVBand="0" w:evenVBand="0" w:oddHBand="0" w:evenHBand="0" w:firstRowFirstColumn="0" w:firstRowLastColumn="0" w:lastRowFirstColumn="0" w:lastRowLastColumn="0"/>
            </w:pPr>
            <w:r w:rsidRPr="0090119F">
              <w:t>852</w:t>
            </w:r>
          </w:p>
        </w:tc>
        <w:tc>
          <w:tcPr>
            <w:tcW w:w="850" w:type="dxa"/>
            <w:tcBorders>
              <w:top w:val="single" w:sz="6" w:space="0" w:color="auto"/>
              <w:bottom w:val="single" w:sz="6" w:space="0" w:color="auto"/>
            </w:tcBorders>
          </w:tcPr>
          <w:p w14:paraId="03B797FF" w14:textId="77777777" w:rsidR="00964B88" w:rsidRPr="0090119F" w:rsidRDefault="00964B88">
            <w:pPr>
              <w:cnfStyle w:val="010000000000" w:firstRow="0" w:lastRow="1" w:firstColumn="0" w:lastColumn="0" w:oddVBand="0" w:evenVBand="0" w:oddHBand="0" w:evenHBand="0" w:firstRowFirstColumn="0" w:firstRowLastColumn="0" w:lastRowFirstColumn="0" w:lastRowLastColumn="0"/>
            </w:pPr>
            <w:r w:rsidRPr="0090119F">
              <w:t>3 486</w:t>
            </w:r>
          </w:p>
        </w:tc>
        <w:tc>
          <w:tcPr>
            <w:tcW w:w="850" w:type="dxa"/>
            <w:tcBorders>
              <w:top w:val="single" w:sz="6" w:space="0" w:color="auto"/>
              <w:bottom w:val="single" w:sz="6" w:space="0" w:color="auto"/>
            </w:tcBorders>
          </w:tcPr>
          <w:p w14:paraId="354ED393" w14:textId="77777777" w:rsidR="00964B88" w:rsidRPr="0090119F" w:rsidRDefault="00964B88">
            <w:pPr>
              <w:cnfStyle w:val="010000000000" w:firstRow="0" w:lastRow="1" w:firstColumn="0" w:lastColumn="0" w:oddVBand="0" w:evenVBand="0" w:oddHBand="0" w:evenHBand="0" w:firstRowFirstColumn="0" w:firstRowLastColumn="0" w:lastRowFirstColumn="0" w:lastRowLastColumn="0"/>
            </w:pPr>
            <w:r w:rsidRPr="0090119F">
              <w:t>4 537</w:t>
            </w:r>
          </w:p>
        </w:tc>
      </w:tr>
    </w:tbl>
    <w:p w14:paraId="1CEC8E8B" w14:textId="77777777" w:rsidR="0090119F" w:rsidRDefault="0090119F" w:rsidP="0090119F">
      <w:pPr>
        <w:pStyle w:val="Heading10"/>
      </w:pPr>
      <w:bookmarkStart w:id="64" w:name="_Toc26788486"/>
      <w:bookmarkStart w:id="65" w:name="_Toc26788542"/>
      <w:r>
        <w:lastRenderedPageBreak/>
        <w:t>Estimated general government sector</w:t>
      </w:r>
      <w:r>
        <w:br/>
        <w:t xml:space="preserve">comprehensive operating statement </w:t>
      </w:r>
      <w:r w:rsidRPr="0090119F">
        <w:rPr>
          <w:i/>
          <w:caps w:val="0"/>
          <w:sz w:val="22"/>
        </w:rPr>
        <w:t>(continued)</w:t>
      </w:r>
      <w:bookmarkEnd w:id="64"/>
      <w:bookmarkEnd w:id="65"/>
    </w:p>
    <w:p w14:paraId="3A25344D" w14:textId="77777777" w:rsidR="0090119F" w:rsidRDefault="0090119F" w:rsidP="0090119F">
      <w:pPr>
        <w:pStyle w:val="TableHeading"/>
      </w:pPr>
      <w:r w:rsidRPr="00504EB3">
        <w:t>For the financial year ended 30 June</w:t>
      </w:r>
      <w:r w:rsidRPr="00504EB3">
        <w:tab/>
        <w:t>($ million)</w:t>
      </w:r>
    </w:p>
    <w:tbl>
      <w:tblPr>
        <w:tblStyle w:val="DTFTable"/>
        <w:tblW w:w="7768" w:type="dxa"/>
        <w:tblLayout w:type="fixed"/>
        <w:tblLook w:val="04A0" w:firstRow="1" w:lastRow="0" w:firstColumn="1" w:lastColumn="0" w:noHBand="0" w:noVBand="1"/>
      </w:tblPr>
      <w:tblGrid>
        <w:gridCol w:w="2781"/>
        <w:gridCol w:w="737"/>
        <w:gridCol w:w="850"/>
        <w:gridCol w:w="850"/>
        <w:gridCol w:w="850"/>
        <w:gridCol w:w="850"/>
        <w:gridCol w:w="850"/>
      </w:tblGrid>
      <w:tr w:rsidR="0090119F" w14:paraId="4CA2E483" w14:textId="77777777" w:rsidTr="00901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Pr>
          <w:p w14:paraId="40544497" w14:textId="77777777" w:rsidR="0090119F" w:rsidRDefault="0090119F" w:rsidP="002A3255"/>
        </w:tc>
        <w:tc>
          <w:tcPr>
            <w:tcW w:w="737" w:type="dxa"/>
          </w:tcPr>
          <w:p w14:paraId="7BD82DCB" w14:textId="77777777" w:rsidR="0090119F" w:rsidRDefault="0090119F" w:rsidP="002A3255">
            <w:pPr>
              <w:jc w:val="center"/>
              <w:cnfStyle w:val="100000000000" w:firstRow="1" w:lastRow="0" w:firstColumn="0" w:lastColumn="0" w:oddVBand="0" w:evenVBand="0" w:oddHBand="0" w:evenHBand="0" w:firstRowFirstColumn="0" w:firstRowLastColumn="0" w:lastRowFirstColumn="0" w:lastRowLastColumn="0"/>
            </w:pPr>
            <w:r>
              <w:t>Notes</w:t>
            </w:r>
          </w:p>
        </w:tc>
        <w:tc>
          <w:tcPr>
            <w:tcW w:w="850" w:type="dxa"/>
          </w:tcPr>
          <w:p w14:paraId="2F61B5E4" w14:textId="77777777" w:rsidR="0090119F" w:rsidRDefault="0090119F" w:rsidP="002A3255">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528BAA18" w14:textId="77777777" w:rsidR="0090119F" w:rsidRDefault="0090119F" w:rsidP="002A3255">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53093262" w14:textId="77777777" w:rsidR="0090119F" w:rsidRDefault="0090119F" w:rsidP="002A3255">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22DEC760" w14:textId="77777777" w:rsidR="0090119F" w:rsidRDefault="0090119F" w:rsidP="002A3255">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57936552" w14:textId="77777777" w:rsidR="0090119F" w:rsidRDefault="0090119F" w:rsidP="002A3255">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1BC1A2D2" w14:textId="77777777" w:rsidTr="00F53820">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Borders>
              <w:top w:val="single" w:sz="0" w:space="0" w:color="auto"/>
            </w:tcBorders>
          </w:tcPr>
          <w:p w14:paraId="20255ABF" w14:textId="77777777" w:rsidR="00964B88" w:rsidRDefault="00964B88" w:rsidP="0090119F">
            <w:r>
              <w:rPr>
                <w:b/>
              </w:rPr>
              <w:t>Other economic flows –</w:t>
            </w:r>
            <w:r>
              <w:br/>
            </w:r>
            <w:r>
              <w:rPr>
                <w:b/>
              </w:rPr>
              <w:t>other comprehensive income</w:t>
            </w:r>
          </w:p>
        </w:tc>
        <w:tc>
          <w:tcPr>
            <w:tcW w:w="737" w:type="dxa"/>
            <w:tcBorders>
              <w:top w:val="single" w:sz="0" w:space="0" w:color="auto"/>
            </w:tcBorders>
          </w:tcPr>
          <w:p w14:paraId="54170D1B"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135E95B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2EA3075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3F5E723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2550BCB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2564815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CA069B3" w14:textId="77777777">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Pr>
          <w:p w14:paraId="6E901413" w14:textId="77777777" w:rsidR="00964B88" w:rsidRDefault="00964B88">
            <w:r>
              <w:rPr>
                <w:b/>
              </w:rPr>
              <w:t>Items that will not be reclassified to net result</w:t>
            </w:r>
          </w:p>
        </w:tc>
        <w:tc>
          <w:tcPr>
            <w:tcW w:w="737" w:type="dxa"/>
          </w:tcPr>
          <w:p w14:paraId="285F092D"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0EFC8F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9FD2F0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101F91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3BD76C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6830D4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1B42E24" w14:textId="77777777">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Pr>
          <w:p w14:paraId="6103F83A" w14:textId="77777777" w:rsidR="00964B88" w:rsidRDefault="00964B88">
            <w:r>
              <w:t>Changes in non</w:t>
            </w:r>
            <w:r>
              <w:noBreakHyphen/>
              <w:t>financial assets revaluation surplus</w:t>
            </w:r>
          </w:p>
        </w:tc>
        <w:tc>
          <w:tcPr>
            <w:tcW w:w="737" w:type="dxa"/>
          </w:tcPr>
          <w:p w14:paraId="7056C12E"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4B3DE212" w14:textId="77777777" w:rsidR="00964B88" w:rsidRDefault="00964B88">
            <w:pPr>
              <w:cnfStyle w:val="000000000000" w:firstRow="0" w:lastRow="0" w:firstColumn="0" w:lastColumn="0" w:oddVBand="0" w:evenVBand="0" w:oddHBand="0" w:evenHBand="0" w:firstRowFirstColumn="0" w:firstRowLastColumn="0" w:lastRowFirstColumn="0" w:lastRowLastColumn="0"/>
            </w:pPr>
            <w:r>
              <w:t>3 204</w:t>
            </w:r>
          </w:p>
        </w:tc>
        <w:tc>
          <w:tcPr>
            <w:tcW w:w="850" w:type="dxa"/>
          </w:tcPr>
          <w:p w14:paraId="201696CC" w14:textId="77777777" w:rsidR="00964B88" w:rsidRDefault="00964B88">
            <w:pPr>
              <w:cnfStyle w:val="000000000000" w:firstRow="0" w:lastRow="0" w:firstColumn="0" w:lastColumn="0" w:oddVBand="0" w:evenVBand="0" w:oddHBand="0" w:evenHBand="0" w:firstRowFirstColumn="0" w:firstRowLastColumn="0" w:lastRowFirstColumn="0" w:lastRowLastColumn="0"/>
            </w:pPr>
            <w:r>
              <w:t>3 114</w:t>
            </w:r>
          </w:p>
        </w:tc>
        <w:tc>
          <w:tcPr>
            <w:tcW w:w="850" w:type="dxa"/>
          </w:tcPr>
          <w:p w14:paraId="1DA3C3D0" w14:textId="77777777" w:rsidR="00964B88" w:rsidRDefault="00964B88">
            <w:pPr>
              <w:cnfStyle w:val="000000000000" w:firstRow="0" w:lastRow="0" w:firstColumn="0" w:lastColumn="0" w:oddVBand="0" w:evenVBand="0" w:oddHBand="0" w:evenHBand="0" w:firstRowFirstColumn="0" w:firstRowLastColumn="0" w:lastRowFirstColumn="0" w:lastRowLastColumn="0"/>
            </w:pPr>
            <w:r>
              <w:t>5 387</w:t>
            </w:r>
          </w:p>
        </w:tc>
        <w:tc>
          <w:tcPr>
            <w:tcW w:w="850" w:type="dxa"/>
          </w:tcPr>
          <w:p w14:paraId="2E9BC2C7" w14:textId="77777777" w:rsidR="00964B88" w:rsidRDefault="00964B88">
            <w:pPr>
              <w:cnfStyle w:val="000000000000" w:firstRow="0" w:lastRow="0" w:firstColumn="0" w:lastColumn="0" w:oddVBand="0" w:evenVBand="0" w:oddHBand="0" w:evenHBand="0" w:firstRowFirstColumn="0" w:firstRowLastColumn="0" w:lastRowFirstColumn="0" w:lastRowLastColumn="0"/>
            </w:pPr>
            <w:r>
              <w:t>3 727</w:t>
            </w:r>
          </w:p>
        </w:tc>
        <w:tc>
          <w:tcPr>
            <w:tcW w:w="850" w:type="dxa"/>
          </w:tcPr>
          <w:p w14:paraId="288C1952" w14:textId="77777777" w:rsidR="00964B88" w:rsidRDefault="00964B88">
            <w:pPr>
              <w:cnfStyle w:val="000000000000" w:firstRow="0" w:lastRow="0" w:firstColumn="0" w:lastColumn="0" w:oddVBand="0" w:evenVBand="0" w:oddHBand="0" w:evenHBand="0" w:firstRowFirstColumn="0" w:firstRowLastColumn="0" w:lastRowFirstColumn="0" w:lastRowLastColumn="0"/>
            </w:pPr>
            <w:r>
              <w:t>4 801</w:t>
            </w:r>
          </w:p>
        </w:tc>
      </w:tr>
      <w:tr w:rsidR="00964B88" w14:paraId="0C558DFC" w14:textId="77777777">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Pr>
          <w:p w14:paraId="185ADC45" w14:textId="77777777" w:rsidR="00964B88" w:rsidRDefault="00964B88">
            <w:r>
              <w:t>Remeasurement of superannuation defined benefit plans</w:t>
            </w:r>
          </w:p>
        </w:tc>
        <w:tc>
          <w:tcPr>
            <w:tcW w:w="737" w:type="dxa"/>
          </w:tcPr>
          <w:p w14:paraId="70C0F797"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4.3.2</w:t>
            </w:r>
          </w:p>
        </w:tc>
        <w:tc>
          <w:tcPr>
            <w:tcW w:w="850" w:type="dxa"/>
          </w:tcPr>
          <w:p w14:paraId="35E7425C" w14:textId="77777777" w:rsidR="00964B88" w:rsidRDefault="00964B88">
            <w:pPr>
              <w:cnfStyle w:val="000000000000" w:firstRow="0" w:lastRow="0" w:firstColumn="0" w:lastColumn="0" w:oddVBand="0" w:evenVBand="0" w:oddHBand="0" w:evenHBand="0" w:firstRowFirstColumn="0" w:firstRowLastColumn="0" w:lastRowFirstColumn="0" w:lastRowLastColumn="0"/>
            </w:pPr>
            <w:r>
              <w:t>1 109</w:t>
            </w:r>
          </w:p>
        </w:tc>
        <w:tc>
          <w:tcPr>
            <w:tcW w:w="850" w:type="dxa"/>
          </w:tcPr>
          <w:p w14:paraId="03E9897C" w14:textId="77777777" w:rsidR="00964B88" w:rsidRDefault="00964B88">
            <w:pPr>
              <w:cnfStyle w:val="000000000000" w:firstRow="0" w:lastRow="0" w:firstColumn="0" w:lastColumn="0" w:oddVBand="0" w:evenVBand="0" w:oddHBand="0" w:evenHBand="0" w:firstRowFirstColumn="0" w:firstRowLastColumn="0" w:lastRowFirstColumn="0" w:lastRowLastColumn="0"/>
            </w:pPr>
            <w:r>
              <w:t>63</w:t>
            </w:r>
          </w:p>
        </w:tc>
        <w:tc>
          <w:tcPr>
            <w:tcW w:w="850" w:type="dxa"/>
          </w:tcPr>
          <w:p w14:paraId="314C0728" w14:textId="77777777" w:rsidR="00964B88" w:rsidRDefault="00964B88">
            <w:pPr>
              <w:cnfStyle w:val="000000000000" w:firstRow="0" w:lastRow="0" w:firstColumn="0" w:lastColumn="0" w:oddVBand="0" w:evenVBand="0" w:oddHBand="0" w:evenHBand="0" w:firstRowFirstColumn="0" w:firstRowLastColumn="0" w:lastRowFirstColumn="0" w:lastRowLastColumn="0"/>
            </w:pPr>
            <w:r>
              <w:t>1 424</w:t>
            </w:r>
          </w:p>
        </w:tc>
        <w:tc>
          <w:tcPr>
            <w:tcW w:w="850" w:type="dxa"/>
          </w:tcPr>
          <w:p w14:paraId="4CBB4A58" w14:textId="77777777" w:rsidR="00964B88" w:rsidRDefault="00964B88">
            <w:pPr>
              <w:cnfStyle w:val="000000000000" w:firstRow="0" w:lastRow="0" w:firstColumn="0" w:lastColumn="0" w:oddVBand="0" w:evenVBand="0" w:oddHBand="0" w:evenHBand="0" w:firstRowFirstColumn="0" w:firstRowLastColumn="0" w:lastRowFirstColumn="0" w:lastRowLastColumn="0"/>
            </w:pPr>
            <w:r>
              <w:t>1 454</w:t>
            </w:r>
          </w:p>
        </w:tc>
        <w:tc>
          <w:tcPr>
            <w:tcW w:w="850" w:type="dxa"/>
          </w:tcPr>
          <w:p w14:paraId="481FF061" w14:textId="77777777" w:rsidR="00964B88" w:rsidRDefault="00964B88">
            <w:pPr>
              <w:cnfStyle w:val="000000000000" w:firstRow="0" w:lastRow="0" w:firstColumn="0" w:lastColumn="0" w:oddVBand="0" w:evenVBand="0" w:oddHBand="0" w:evenHBand="0" w:firstRowFirstColumn="0" w:firstRowLastColumn="0" w:lastRowFirstColumn="0" w:lastRowLastColumn="0"/>
            </w:pPr>
            <w:r>
              <w:t>1 481</w:t>
            </w:r>
          </w:p>
        </w:tc>
      </w:tr>
      <w:tr w:rsidR="00964B88" w14:paraId="793EF99E" w14:textId="77777777">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Pr>
          <w:p w14:paraId="4934C0BB" w14:textId="77777777" w:rsidR="00964B88" w:rsidRDefault="00964B88">
            <w:r>
              <w:t>Other movements in equity</w:t>
            </w:r>
          </w:p>
        </w:tc>
        <w:tc>
          <w:tcPr>
            <w:tcW w:w="737" w:type="dxa"/>
          </w:tcPr>
          <w:p w14:paraId="07D2AB04"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37F76D34" w14:textId="77777777" w:rsidR="00964B88" w:rsidRDefault="00964B88">
            <w:pPr>
              <w:cnfStyle w:val="000000000000" w:firstRow="0" w:lastRow="0" w:firstColumn="0" w:lastColumn="0" w:oddVBand="0" w:evenVBand="0" w:oddHBand="0" w:evenHBand="0" w:firstRowFirstColumn="0" w:firstRowLastColumn="0" w:lastRowFirstColumn="0" w:lastRowLastColumn="0"/>
            </w:pPr>
            <w:r>
              <w:t>47</w:t>
            </w:r>
          </w:p>
        </w:tc>
        <w:tc>
          <w:tcPr>
            <w:tcW w:w="850" w:type="dxa"/>
          </w:tcPr>
          <w:p w14:paraId="2A2538F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710608E1"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0F8F9AB3" w14:textId="77777777" w:rsidR="00964B88" w:rsidRDefault="00964B88">
            <w:pPr>
              <w:cnfStyle w:val="000000000000" w:firstRow="0" w:lastRow="0" w:firstColumn="0" w:lastColumn="0" w:oddVBand="0" w:evenVBand="0" w:oddHBand="0" w:evenHBand="0" w:firstRowFirstColumn="0" w:firstRowLastColumn="0" w:lastRowFirstColumn="0" w:lastRowLastColumn="0"/>
            </w:pPr>
            <w:r>
              <w:t>26</w:t>
            </w:r>
          </w:p>
        </w:tc>
        <w:tc>
          <w:tcPr>
            <w:tcW w:w="850" w:type="dxa"/>
          </w:tcPr>
          <w:p w14:paraId="132E7B5A" w14:textId="77777777" w:rsidR="00964B88" w:rsidRDefault="00964B88">
            <w:pPr>
              <w:cnfStyle w:val="000000000000" w:firstRow="0" w:lastRow="0" w:firstColumn="0" w:lastColumn="0" w:oddVBand="0" w:evenVBand="0" w:oddHBand="0" w:evenHBand="0" w:firstRowFirstColumn="0" w:firstRowLastColumn="0" w:lastRowFirstColumn="0" w:lastRowLastColumn="0"/>
            </w:pPr>
            <w:r>
              <w:t>24</w:t>
            </w:r>
          </w:p>
        </w:tc>
      </w:tr>
      <w:tr w:rsidR="00964B88" w14:paraId="00C220CB" w14:textId="77777777">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Pr>
          <w:p w14:paraId="7FFB1F00" w14:textId="77777777" w:rsidR="00964B88" w:rsidRDefault="00964B88">
            <w:r>
              <w:rPr>
                <w:b/>
              </w:rPr>
              <w:t>Items that may be reclassified subsequently to net result</w:t>
            </w:r>
          </w:p>
        </w:tc>
        <w:tc>
          <w:tcPr>
            <w:tcW w:w="737" w:type="dxa"/>
          </w:tcPr>
          <w:p w14:paraId="5FE145E6"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0436EF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60578A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AF1DCC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5BB0B1A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249B9C2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B7D28E5" w14:textId="77777777">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Pr>
          <w:p w14:paraId="3270CE0F" w14:textId="77777777" w:rsidR="00964B88" w:rsidRDefault="00964B88">
            <w:r>
              <w:t>Net gain/(loss) on financial assets at fair value</w:t>
            </w:r>
          </w:p>
        </w:tc>
        <w:tc>
          <w:tcPr>
            <w:tcW w:w="737" w:type="dxa"/>
          </w:tcPr>
          <w:p w14:paraId="2C9DE5C6"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4084B77B"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c>
          <w:tcPr>
            <w:tcW w:w="850" w:type="dxa"/>
          </w:tcPr>
          <w:p w14:paraId="3E7FC403"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c>
          <w:tcPr>
            <w:tcW w:w="850" w:type="dxa"/>
          </w:tcPr>
          <w:p w14:paraId="468F6C79"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c>
          <w:tcPr>
            <w:tcW w:w="850" w:type="dxa"/>
          </w:tcPr>
          <w:p w14:paraId="07413F71"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c>
          <w:tcPr>
            <w:tcW w:w="850" w:type="dxa"/>
          </w:tcPr>
          <w:p w14:paraId="6D2B9196"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r>
      <w:tr w:rsidR="00964B88" w14:paraId="15328686" w14:textId="77777777" w:rsidTr="00F53820">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Borders>
              <w:bottom w:val="single" w:sz="6" w:space="0" w:color="auto"/>
            </w:tcBorders>
          </w:tcPr>
          <w:p w14:paraId="4B96A757" w14:textId="77777777" w:rsidR="00964B88" w:rsidRDefault="00964B88">
            <w:r>
              <w:t>Net gain/(loss) on equity investments in other sector entities at proportional share of the carrying amount of net assets</w:t>
            </w:r>
          </w:p>
        </w:tc>
        <w:tc>
          <w:tcPr>
            <w:tcW w:w="737" w:type="dxa"/>
            <w:tcBorders>
              <w:bottom w:val="single" w:sz="6" w:space="0" w:color="auto"/>
            </w:tcBorders>
          </w:tcPr>
          <w:p w14:paraId="6D9E9FC0"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4.6.1</w:t>
            </w:r>
          </w:p>
        </w:tc>
        <w:tc>
          <w:tcPr>
            <w:tcW w:w="850" w:type="dxa"/>
            <w:tcBorders>
              <w:bottom w:val="single" w:sz="6" w:space="0" w:color="auto"/>
            </w:tcBorders>
          </w:tcPr>
          <w:p w14:paraId="79637F35" w14:textId="77777777" w:rsidR="00964B88" w:rsidRDefault="00964B88">
            <w:pPr>
              <w:cnfStyle w:val="000000000000" w:firstRow="0" w:lastRow="0" w:firstColumn="0" w:lastColumn="0" w:oddVBand="0" w:evenVBand="0" w:oddHBand="0" w:evenHBand="0" w:firstRowFirstColumn="0" w:firstRowLastColumn="0" w:lastRowFirstColumn="0" w:lastRowLastColumn="0"/>
            </w:pPr>
            <w:r>
              <w:t>692</w:t>
            </w:r>
          </w:p>
        </w:tc>
        <w:tc>
          <w:tcPr>
            <w:tcW w:w="850" w:type="dxa"/>
            <w:tcBorders>
              <w:bottom w:val="single" w:sz="6" w:space="0" w:color="auto"/>
            </w:tcBorders>
          </w:tcPr>
          <w:p w14:paraId="79141B32" w14:textId="77777777" w:rsidR="00964B88" w:rsidRDefault="00964B88">
            <w:pPr>
              <w:cnfStyle w:val="000000000000" w:firstRow="0" w:lastRow="0" w:firstColumn="0" w:lastColumn="0" w:oddVBand="0" w:evenVBand="0" w:oddHBand="0" w:evenHBand="0" w:firstRowFirstColumn="0" w:firstRowLastColumn="0" w:lastRowFirstColumn="0" w:lastRowLastColumn="0"/>
            </w:pPr>
            <w:r>
              <w:t>383</w:t>
            </w:r>
          </w:p>
        </w:tc>
        <w:tc>
          <w:tcPr>
            <w:tcW w:w="850" w:type="dxa"/>
            <w:tcBorders>
              <w:bottom w:val="single" w:sz="6" w:space="0" w:color="auto"/>
            </w:tcBorders>
          </w:tcPr>
          <w:p w14:paraId="1364529D" w14:textId="77777777" w:rsidR="00964B88" w:rsidRDefault="00964B88">
            <w:pPr>
              <w:cnfStyle w:val="000000000000" w:firstRow="0" w:lastRow="0" w:firstColumn="0" w:lastColumn="0" w:oddVBand="0" w:evenVBand="0" w:oddHBand="0" w:evenHBand="0" w:firstRowFirstColumn="0" w:firstRowLastColumn="0" w:lastRowFirstColumn="0" w:lastRowLastColumn="0"/>
            </w:pPr>
            <w:r>
              <w:t>651</w:t>
            </w:r>
          </w:p>
        </w:tc>
        <w:tc>
          <w:tcPr>
            <w:tcW w:w="850" w:type="dxa"/>
            <w:tcBorders>
              <w:bottom w:val="single" w:sz="6" w:space="0" w:color="auto"/>
            </w:tcBorders>
          </w:tcPr>
          <w:p w14:paraId="0AC217D9" w14:textId="77777777" w:rsidR="00964B88" w:rsidRDefault="00964B88">
            <w:pPr>
              <w:cnfStyle w:val="000000000000" w:firstRow="0" w:lastRow="0" w:firstColumn="0" w:lastColumn="0" w:oddVBand="0" w:evenVBand="0" w:oddHBand="0" w:evenHBand="0" w:firstRowFirstColumn="0" w:firstRowLastColumn="0" w:lastRowFirstColumn="0" w:lastRowLastColumn="0"/>
            </w:pPr>
            <w:r>
              <w:t>(579)</w:t>
            </w:r>
          </w:p>
        </w:tc>
        <w:tc>
          <w:tcPr>
            <w:tcW w:w="850" w:type="dxa"/>
            <w:tcBorders>
              <w:bottom w:val="single" w:sz="6" w:space="0" w:color="auto"/>
            </w:tcBorders>
          </w:tcPr>
          <w:p w14:paraId="531985E5" w14:textId="77777777" w:rsidR="00964B88" w:rsidRDefault="00964B88">
            <w:pPr>
              <w:cnfStyle w:val="000000000000" w:firstRow="0" w:lastRow="0" w:firstColumn="0" w:lastColumn="0" w:oddVBand="0" w:evenVBand="0" w:oddHBand="0" w:evenHBand="0" w:firstRowFirstColumn="0" w:firstRowLastColumn="0" w:lastRowFirstColumn="0" w:lastRowLastColumn="0"/>
            </w:pPr>
            <w:r>
              <w:t>(670)</w:t>
            </w:r>
          </w:p>
        </w:tc>
      </w:tr>
      <w:tr w:rsidR="00964B88" w14:paraId="450A1106" w14:textId="77777777" w:rsidTr="00F53820">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bottom w:val="single" w:sz="6" w:space="0" w:color="auto"/>
            </w:tcBorders>
          </w:tcPr>
          <w:p w14:paraId="4E5F7E79" w14:textId="77777777" w:rsidR="00964B88" w:rsidRDefault="00964B88">
            <w:r>
              <w:rPr>
                <w:b/>
              </w:rPr>
              <w:t>Total other economic flows –</w:t>
            </w:r>
            <w:r>
              <w:br/>
            </w:r>
            <w:r>
              <w:rPr>
                <w:b/>
              </w:rPr>
              <w:t>other comprehensive income</w:t>
            </w:r>
          </w:p>
        </w:tc>
        <w:tc>
          <w:tcPr>
            <w:tcW w:w="737" w:type="dxa"/>
            <w:tcBorders>
              <w:top w:val="single" w:sz="6" w:space="0" w:color="auto"/>
              <w:bottom w:val="single" w:sz="6" w:space="0" w:color="auto"/>
            </w:tcBorders>
          </w:tcPr>
          <w:p w14:paraId="4083BFD9"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bottom w:val="single" w:sz="6" w:space="0" w:color="auto"/>
            </w:tcBorders>
          </w:tcPr>
          <w:p w14:paraId="1963C42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5 055</w:t>
            </w:r>
          </w:p>
        </w:tc>
        <w:tc>
          <w:tcPr>
            <w:tcW w:w="850" w:type="dxa"/>
            <w:tcBorders>
              <w:top w:val="single" w:sz="6" w:space="0" w:color="auto"/>
              <w:bottom w:val="single" w:sz="6" w:space="0" w:color="auto"/>
            </w:tcBorders>
          </w:tcPr>
          <w:p w14:paraId="236890E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3 563</w:t>
            </w:r>
          </w:p>
        </w:tc>
        <w:tc>
          <w:tcPr>
            <w:tcW w:w="850" w:type="dxa"/>
            <w:tcBorders>
              <w:top w:val="single" w:sz="6" w:space="0" w:color="auto"/>
              <w:bottom w:val="single" w:sz="6" w:space="0" w:color="auto"/>
            </w:tcBorders>
          </w:tcPr>
          <w:p w14:paraId="7D8B3F4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7 465</w:t>
            </w:r>
          </w:p>
        </w:tc>
        <w:tc>
          <w:tcPr>
            <w:tcW w:w="850" w:type="dxa"/>
            <w:tcBorders>
              <w:top w:val="single" w:sz="6" w:space="0" w:color="auto"/>
              <w:bottom w:val="single" w:sz="6" w:space="0" w:color="auto"/>
            </w:tcBorders>
          </w:tcPr>
          <w:p w14:paraId="6208BAA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4 630</w:t>
            </w:r>
          </w:p>
        </w:tc>
        <w:tc>
          <w:tcPr>
            <w:tcW w:w="850" w:type="dxa"/>
            <w:tcBorders>
              <w:top w:val="single" w:sz="6" w:space="0" w:color="auto"/>
              <w:bottom w:val="single" w:sz="6" w:space="0" w:color="auto"/>
            </w:tcBorders>
          </w:tcPr>
          <w:p w14:paraId="03ED636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5 638</w:t>
            </w:r>
          </w:p>
        </w:tc>
      </w:tr>
      <w:tr w:rsidR="00964B88" w14:paraId="08B8D5DD" w14:textId="77777777" w:rsidTr="00F53820">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bottom w:val="single" w:sz="12" w:space="0" w:color="auto"/>
            </w:tcBorders>
          </w:tcPr>
          <w:p w14:paraId="2E3BE108" w14:textId="77777777" w:rsidR="00964B88" w:rsidRDefault="00964B88">
            <w:r>
              <w:rPr>
                <w:b/>
              </w:rPr>
              <w:t>Comprehensive result –</w:t>
            </w:r>
            <w:r>
              <w:br/>
            </w:r>
            <w:r>
              <w:rPr>
                <w:b/>
              </w:rPr>
              <w:t>total change in net worth</w:t>
            </w:r>
          </w:p>
        </w:tc>
        <w:tc>
          <w:tcPr>
            <w:tcW w:w="737" w:type="dxa"/>
            <w:tcBorders>
              <w:top w:val="single" w:sz="6" w:space="0" w:color="auto"/>
              <w:bottom w:val="single" w:sz="12" w:space="0" w:color="auto"/>
            </w:tcBorders>
          </w:tcPr>
          <w:p w14:paraId="4A34BF2E"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bottom w:val="single" w:sz="12" w:space="0" w:color="auto"/>
            </w:tcBorders>
          </w:tcPr>
          <w:p w14:paraId="6497284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5 782</w:t>
            </w:r>
          </w:p>
        </w:tc>
        <w:tc>
          <w:tcPr>
            <w:tcW w:w="850" w:type="dxa"/>
            <w:tcBorders>
              <w:top w:val="single" w:sz="6" w:space="0" w:color="auto"/>
              <w:bottom w:val="single" w:sz="12" w:space="0" w:color="auto"/>
            </w:tcBorders>
          </w:tcPr>
          <w:p w14:paraId="15F1A44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3 842</w:t>
            </w:r>
          </w:p>
        </w:tc>
        <w:tc>
          <w:tcPr>
            <w:tcW w:w="850" w:type="dxa"/>
            <w:tcBorders>
              <w:top w:val="single" w:sz="6" w:space="0" w:color="auto"/>
              <w:bottom w:val="single" w:sz="12" w:space="0" w:color="auto"/>
            </w:tcBorders>
          </w:tcPr>
          <w:p w14:paraId="723737B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8 317</w:t>
            </w:r>
          </w:p>
        </w:tc>
        <w:tc>
          <w:tcPr>
            <w:tcW w:w="850" w:type="dxa"/>
            <w:tcBorders>
              <w:top w:val="single" w:sz="6" w:space="0" w:color="auto"/>
              <w:bottom w:val="single" w:sz="12" w:space="0" w:color="auto"/>
            </w:tcBorders>
          </w:tcPr>
          <w:p w14:paraId="4B623D9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8 116</w:t>
            </w:r>
          </w:p>
        </w:tc>
        <w:tc>
          <w:tcPr>
            <w:tcW w:w="850" w:type="dxa"/>
            <w:tcBorders>
              <w:top w:val="single" w:sz="6" w:space="0" w:color="auto"/>
              <w:bottom w:val="single" w:sz="12" w:space="0" w:color="auto"/>
            </w:tcBorders>
          </w:tcPr>
          <w:p w14:paraId="12E2252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10 175</w:t>
            </w:r>
          </w:p>
        </w:tc>
      </w:tr>
      <w:tr w:rsidR="00964B88" w14:paraId="4FCB5659" w14:textId="77777777" w:rsidTr="00F53820">
        <w:tblPrEx>
          <w:tblLook w:val="06E0" w:firstRow="1" w:lastRow="1" w:firstColumn="1" w:lastColumn="0" w:noHBand="1" w:noVBand="1"/>
        </w:tblPrEx>
        <w:trPr>
          <w:trHeight w:hRule="exact" w:val="113"/>
        </w:trPr>
        <w:tc>
          <w:tcPr>
            <w:cnfStyle w:val="001000000000" w:firstRow="0" w:lastRow="0" w:firstColumn="1" w:lastColumn="0" w:oddVBand="0" w:evenVBand="0" w:oddHBand="0" w:evenHBand="0" w:firstRowFirstColumn="0" w:firstRowLastColumn="0" w:lastRowFirstColumn="0" w:lastRowLastColumn="0"/>
            <w:tcW w:w="2781" w:type="dxa"/>
            <w:tcBorders>
              <w:top w:val="single" w:sz="0" w:space="0" w:color="auto"/>
            </w:tcBorders>
          </w:tcPr>
          <w:p w14:paraId="35F140B3" w14:textId="77777777" w:rsidR="00964B88" w:rsidRDefault="00964B88"/>
        </w:tc>
        <w:tc>
          <w:tcPr>
            <w:tcW w:w="737" w:type="dxa"/>
            <w:tcBorders>
              <w:top w:val="single" w:sz="0" w:space="0" w:color="auto"/>
            </w:tcBorders>
          </w:tcPr>
          <w:p w14:paraId="034BDC76"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10554EA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33B6D72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0867C68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10383C6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5873067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C940441" w14:textId="77777777">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Pr>
          <w:p w14:paraId="46BC75BD" w14:textId="77777777" w:rsidR="00964B88" w:rsidRDefault="00964B88">
            <w:r>
              <w:rPr>
                <w:b/>
              </w:rPr>
              <w:t>KEY FISCAL AGGREGATES</w:t>
            </w:r>
          </w:p>
        </w:tc>
        <w:tc>
          <w:tcPr>
            <w:tcW w:w="737" w:type="dxa"/>
          </w:tcPr>
          <w:p w14:paraId="46FDB298"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0DB9506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94D66F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4972ECE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58F6A94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9C95A2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EAE280E" w14:textId="77777777">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Pr>
          <w:p w14:paraId="2573D7AE" w14:textId="77777777" w:rsidR="00964B88" w:rsidRDefault="00964B88">
            <w:r>
              <w:rPr>
                <w:b/>
              </w:rPr>
              <w:t>Net operating balance</w:t>
            </w:r>
          </w:p>
        </w:tc>
        <w:tc>
          <w:tcPr>
            <w:tcW w:w="737" w:type="dxa"/>
          </w:tcPr>
          <w:p w14:paraId="6825EC2D"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11E25C8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1 050</w:t>
            </w:r>
          </w:p>
        </w:tc>
        <w:tc>
          <w:tcPr>
            <w:tcW w:w="850" w:type="dxa"/>
          </w:tcPr>
          <w:p w14:paraId="340398C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618</w:t>
            </w:r>
          </w:p>
        </w:tc>
        <w:tc>
          <w:tcPr>
            <w:tcW w:w="850" w:type="dxa"/>
          </w:tcPr>
          <w:p w14:paraId="0908006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1 222</w:t>
            </w:r>
          </w:p>
        </w:tc>
        <w:tc>
          <w:tcPr>
            <w:tcW w:w="850" w:type="dxa"/>
          </w:tcPr>
          <w:p w14:paraId="1305270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3 841</w:t>
            </w:r>
          </w:p>
        </w:tc>
        <w:tc>
          <w:tcPr>
            <w:tcW w:w="850" w:type="dxa"/>
          </w:tcPr>
          <w:p w14:paraId="47B7BBD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4 898</w:t>
            </w:r>
          </w:p>
        </w:tc>
      </w:tr>
      <w:tr w:rsidR="00964B88" w14:paraId="3715CDD3" w14:textId="77777777" w:rsidTr="00F53820">
        <w:tblPrEx>
          <w:tblLook w:val="06E0" w:firstRow="1" w:lastRow="1"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781" w:type="dxa"/>
            <w:tcBorders>
              <w:bottom w:val="single" w:sz="6" w:space="0" w:color="auto"/>
            </w:tcBorders>
          </w:tcPr>
          <w:p w14:paraId="2A439214" w14:textId="77777777" w:rsidR="00964B88" w:rsidRDefault="00964B88">
            <w:r>
              <w:t>Less: Net acquisition of non</w:t>
            </w:r>
            <w:r>
              <w:noBreakHyphen/>
              <w:t>financial assets from transactions</w:t>
            </w:r>
          </w:p>
        </w:tc>
        <w:tc>
          <w:tcPr>
            <w:tcW w:w="737" w:type="dxa"/>
            <w:tcBorders>
              <w:bottom w:val="single" w:sz="6" w:space="0" w:color="auto"/>
            </w:tcBorders>
          </w:tcPr>
          <w:p w14:paraId="7D47DFCE"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4.3.7</w:t>
            </w:r>
          </w:p>
        </w:tc>
        <w:tc>
          <w:tcPr>
            <w:tcW w:w="850" w:type="dxa"/>
            <w:tcBorders>
              <w:bottom w:val="single" w:sz="6" w:space="0" w:color="auto"/>
            </w:tcBorders>
          </w:tcPr>
          <w:p w14:paraId="4961DA2C" w14:textId="77777777" w:rsidR="00964B88" w:rsidRDefault="00964B88">
            <w:pPr>
              <w:cnfStyle w:val="000000000000" w:firstRow="0" w:lastRow="0" w:firstColumn="0" w:lastColumn="0" w:oddVBand="0" w:evenVBand="0" w:oddHBand="0" w:evenHBand="0" w:firstRowFirstColumn="0" w:firstRowLastColumn="0" w:lastRowFirstColumn="0" w:lastRowLastColumn="0"/>
            </w:pPr>
            <w:r>
              <w:t>3 889</w:t>
            </w:r>
          </w:p>
        </w:tc>
        <w:tc>
          <w:tcPr>
            <w:tcW w:w="850" w:type="dxa"/>
            <w:tcBorders>
              <w:bottom w:val="single" w:sz="6" w:space="0" w:color="auto"/>
            </w:tcBorders>
          </w:tcPr>
          <w:p w14:paraId="49FB9909" w14:textId="77777777" w:rsidR="00964B88" w:rsidRDefault="00964B88">
            <w:pPr>
              <w:cnfStyle w:val="000000000000" w:firstRow="0" w:lastRow="0" w:firstColumn="0" w:lastColumn="0" w:oddVBand="0" w:evenVBand="0" w:oddHBand="0" w:evenHBand="0" w:firstRowFirstColumn="0" w:firstRowLastColumn="0" w:lastRowFirstColumn="0" w:lastRowLastColumn="0"/>
            </w:pPr>
            <w:r>
              <w:t>6 529</w:t>
            </w:r>
          </w:p>
        </w:tc>
        <w:tc>
          <w:tcPr>
            <w:tcW w:w="850" w:type="dxa"/>
            <w:tcBorders>
              <w:bottom w:val="single" w:sz="6" w:space="0" w:color="auto"/>
            </w:tcBorders>
          </w:tcPr>
          <w:p w14:paraId="542AB9F2" w14:textId="77777777" w:rsidR="00964B88" w:rsidRDefault="00964B88">
            <w:pPr>
              <w:cnfStyle w:val="000000000000" w:firstRow="0" w:lastRow="0" w:firstColumn="0" w:lastColumn="0" w:oddVBand="0" w:evenVBand="0" w:oddHBand="0" w:evenHBand="0" w:firstRowFirstColumn="0" w:firstRowLastColumn="0" w:lastRowFirstColumn="0" w:lastRowLastColumn="0"/>
            </w:pPr>
            <w:r>
              <w:t>5 388</w:t>
            </w:r>
          </w:p>
        </w:tc>
        <w:tc>
          <w:tcPr>
            <w:tcW w:w="850" w:type="dxa"/>
            <w:tcBorders>
              <w:bottom w:val="single" w:sz="6" w:space="0" w:color="auto"/>
            </w:tcBorders>
          </w:tcPr>
          <w:p w14:paraId="062C644A" w14:textId="77777777" w:rsidR="00964B88" w:rsidRDefault="00964B88">
            <w:pPr>
              <w:cnfStyle w:val="000000000000" w:firstRow="0" w:lastRow="0" w:firstColumn="0" w:lastColumn="0" w:oddVBand="0" w:evenVBand="0" w:oddHBand="0" w:evenHBand="0" w:firstRowFirstColumn="0" w:firstRowLastColumn="0" w:lastRowFirstColumn="0" w:lastRowLastColumn="0"/>
            </w:pPr>
            <w:r>
              <w:t>3 642</w:t>
            </w:r>
          </w:p>
        </w:tc>
        <w:tc>
          <w:tcPr>
            <w:tcW w:w="850" w:type="dxa"/>
            <w:tcBorders>
              <w:bottom w:val="single" w:sz="6" w:space="0" w:color="auto"/>
            </w:tcBorders>
          </w:tcPr>
          <w:p w14:paraId="70102985" w14:textId="77777777" w:rsidR="00964B88" w:rsidRDefault="00964B88">
            <w:pPr>
              <w:cnfStyle w:val="000000000000" w:firstRow="0" w:lastRow="0" w:firstColumn="0" w:lastColumn="0" w:oddVBand="0" w:evenVBand="0" w:oddHBand="0" w:evenHBand="0" w:firstRowFirstColumn="0" w:firstRowLastColumn="0" w:lastRowFirstColumn="0" w:lastRowLastColumn="0"/>
            </w:pPr>
            <w:r>
              <w:t>3 977</w:t>
            </w:r>
          </w:p>
        </w:tc>
      </w:tr>
      <w:tr w:rsidR="00964B88" w14:paraId="30FB3719" w14:textId="77777777">
        <w:tblPrEx>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Pr>
          <w:p w14:paraId="5A85F0E4" w14:textId="77777777" w:rsidR="00964B88" w:rsidRDefault="00964B88">
            <w:r>
              <w:t>Net lending/(borrowing)</w:t>
            </w:r>
          </w:p>
        </w:tc>
        <w:tc>
          <w:tcPr>
            <w:tcW w:w="737" w:type="dxa"/>
          </w:tcPr>
          <w:p w14:paraId="5F77417A" w14:textId="77777777" w:rsidR="00964B88" w:rsidRDefault="00964B88">
            <w:pPr>
              <w:jc w:val="center"/>
              <w:cnfStyle w:val="010000000000" w:firstRow="0" w:lastRow="1" w:firstColumn="0" w:lastColumn="0" w:oddVBand="0" w:evenVBand="0" w:oddHBand="0" w:evenHBand="0" w:firstRowFirstColumn="0" w:firstRowLastColumn="0" w:lastRowFirstColumn="0" w:lastRowLastColumn="0"/>
            </w:pPr>
          </w:p>
        </w:tc>
        <w:tc>
          <w:tcPr>
            <w:tcW w:w="850" w:type="dxa"/>
          </w:tcPr>
          <w:p w14:paraId="7D17DFAD" w14:textId="77777777" w:rsidR="00964B88" w:rsidRDefault="00964B88">
            <w:pPr>
              <w:cnfStyle w:val="010000000000" w:firstRow="0" w:lastRow="1" w:firstColumn="0" w:lastColumn="0" w:oddVBand="0" w:evenVBand="0" w:oddHBand="0" w:evenHBand="0" w:firstRowFirstColumn="0" w:firstRowLastColumn="0" w:lastRowFirstColumn="0" w:lastRowLastColumn="0"/>
            </w:pPr>
            <w:r>
              <w:t>(2 839)</w:t>
            </w:r>
          </w:p>
        </w:tc>
        <w:tc>
          <w:tcPr>
            <w:tcW w:w="850" w:type="dxa"/>
          </w:tcPr>
          <w:p w14:paraId="17ECE171" w14:textId="77777777" w:rsidR="00964B88" w:rsidRDefault="00964B88">
            <w:pPr>
              <w:cnfStyle w:val="010000000000" w:firstRow="0" w:lastRow="1" w:firstColumn="0" w:lastColumn="0" w:oddVBand="0" w:evenVBand="0" w:oddHBand="0" w:evenHBand="0" w:firstRowFirstColumn="0" w:firstRowLastColumn="0" w:lastRowFirstColumn="0" w:lastRowLastColumn="0"/>
            </w:pPr>
            <w:r>
              <w:t>(5 911)</w:t>
            </w:r>
          </w:p>
        </w:tc>
        <w:tc>
          <w:tcPr>
            <w:tcW w:w="850" w:type="dxa"/>
          </w:tcPr>
          <w:p w14:paraId="75916D9C" w14:textId="77777777" w:rsidR="00964B88" w:rsidRDefault="00964B88">
            <w:pPr>
              <w:cnfStyle w:val="010000000000" w:firstRow="0" w:lastRow="1" w:firstColumn="0" w:lastColumn="0" w:oddVBand="0" w:evenVBand="0" w:oddHBand="0" w:evenHBand="0" w:firstRowFirstColumn="0" w:firstRowLastColumn="0" w:lastRowFirstColumn="0" w:lastRowLastColumn="0"/>
            </w:pPr>
            <w:r>
              <w:t>(4 166)</w:t>
            </w:r>
          </w:p>
        </w:tc>
        <w:tc>
          <w:tcPr>
            <w:tcW w:w="850" w:type="dxa"/>
          </w:tcPr>
          <w:p w14:paraId="6726F766" w14:textId="77777777" w:rsidR="00964B88" w:rsidRDefault="00964B88">
            <w:pPr>
              <w:cnfStyle w:val="010000000000" w:firstRow="0" w:lastRow="1" w:firstColumn="0" w:lastColumn="0" w:oddVBand="0" w:evenVBand="0" w:oddHBand="0" w:evenHBand="0" w:firstRowFirstColumn="0" w:firstRowLastColumn="0" w:lastRowFirstColumn="0" w:lastRowLastColumn="0"/>
            </w:pPr>
            <w:r>
              <w:t>200</w:t>
            </w:r>
          </w:p>
        </w:tc>
        <w:tc>
          <w:tcPr>
            <w:tcW w:w="850" w:type="dxa"/>
          </w:tcPr>
          <w:p w14:paraId="5CEDFC77" w14:textId="77777777" w:rsidR="00964B88" w:rsidRDefault="00964B88">
            <w:pPr>
              <w:cnfStyle w:val="010000000000" w:firstRow="0" w:lastRow="1" w:firstColumn="0" w:lastColumn="0" w:oddVBand="0" w:evenVBand="0" w:oddHBand="0" w:evenHBand="0" w:firstRowFirstColumn="0" w:firstRowLastColumn="0" w:lastRowFirstColumn="0" w:lastRowLastColumn="0"/>
            </w:pPr>
            <w:r>
              <w:t>921</w:t>
            </w:r>
          </w:p>
        </w:tc>
      </w:tr>
    </w:tbl>
    <w:p w14:paraId="307D9A11" w14:textId="77777777" w:rsidR="00964B88" w:rsidRDefault="00964B88" w:rsidP="00F53820">
      <w:pPr>
        <w:pStyle w:val="Note"/>
      </w:pPr>
      <w:r>
        <w:t>The accompanying notes form part of these Estimated Financial Statements.</w:t>
      </w:r>
    </w:p>
    <w:p w14:paraId="5D8C4BCD" w14:textId="77777777" w:rsidR="00964B88" w:rsidRDefault="00964B88" w:rsidP="00F53820"/>
    <w:p w14:paraId="6A44D834" w14:textId="77777777" w:rsidR="00964B88" w:rsidRDefault="00964B88" w:rsidP="00F53820">
      <w:pPr>
        <w:keepLines w:val="0"/>
      </w:pPr>
      <w:r>
        <w:br w:type="page"/>
      </w:r>
    </w:p>
    <w:p w14:paraId="6E272FD5" w14:textId="77777777" w:rsidR="00964B88" w:rsidRDefault="00964B88" w:rsidP="00F53820">
      <w:pPr>
        <w:pStyle w:val="Heading10"/>
      </w:pPr>
      <w:bookmarkStart w:id="66" w:name="_Toc517171543"/>
      <w:bookmarkStart w:id="67" w:name="_Toc26788543"/>
      <w:r>
        <w:lastRenderedPageBreak/>
        <w:t>Estimated general government sector</w:t>
      </w:r>
      <w:r>
        <w:br/>
        <w:t>balance sheet</w:t>
      </w:r>
      <w:bookmarkEnd w:id="66"/>
      <w:bookmarkEnd w:id="67"/>
      <w:r>
        <w:t xml:space="preserve"> </w:t>
      </w:r>
    </w:p>
    <w:p w14:paraId="706302A0" w14:textId="77777777" w:rsidR="00964B88" w:rsidRDefault="00964B88" w:rsidP="00F53820">
      <w:pPr>
        <w:pStyle w:val="TableHeading"/>
      </w:pPr>
      <w:r>
        <w:t>As at 30 June</w:t>
      </w:r>
      <w:r>
        <w:tab/>
      </w:r>
      <w:r>
        <w:tab/>
        <w:t>($ million)</w:t>
      </w:r>
    </w:p>
    <w:tbl>
      <w:tblPr>
        <w:tblStyle w:val="DTFTable"/>
        <w:tblW w:w="7768" w:type="dxa"/>
        <w:tblLayout w:type="fixed"/>
        <w:tblLook w:val="06A0" w:firstRow="1" w:lastRow="0" w:firstColumn="1" w:lastColumn="0" w:noHBand="1" w:noVBand="1"/>
      </w:tblPr>
      <w:tblGrid>
        <w:gridCol w:w="2781"/>
        <w:gridCol w:w="737"/>
        <w:gridCol w:w="850"/>
        <w:gridCol w:w="850"/>
        <w:gridCol w:w="850"/>
        <w:gridCol w:w="850"/>
        <w:gridCol w:w="850"/>
      </w:tblGrid>
      <w:tr w:rsidR="00964B88" w14:paraId="19A47E4B"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1" w:type="dxa"/>
          </w:tcPr>
          <w:p w14:paraId="2168A4E5" w14:textId="77777777" w:rsidR="00964B88" w:rsidRDefault="00964B88"/>
        </w:tc>
        <w:tc>
          <w:tcPr>
            <w:tcW w:w="737" w:type="dxa"/>
          </w:tcPr>
          <w:p w14:paraId="468AA6E7" w14:textId="77777777" w:rsidR="00964B88" w:rsidRDefault="00964B88">
            <w:pPr>
              <w:jc w:val="center"/>
              <w:cnfStyle w:val="100000000000" w:firstRow="1" w:lastRow="0" w:firstColumn="0" w:lastColumn="0" w:oddVBand="0" w:evenVBand="0" w:oddHBand="0" w:evenHBand="0" w:firstRowFirstColumn="0" w:firstRowLastColumn="0" w:lastRowFirstColumn="0" w:lastRowLastColumn="0"/>
            </w:pPr>
            <w:r>
              <w:t>Notes</w:t>
            </w:r>
          </w:p>
        </w:tc>
        <w:tc>
          <w:tcPr>
            <w:tcW w:w="850" w:type="dxa"/>
          </w:tcPr>
          <w:p w14:paraId="5031D13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r>
              <w:rPr>
                <w:vertAlign w:val="superscript"/>
              </w:rPr>
              <w:t xml:space="preserve"> (a)</w:t>
            </w:r>
          </w:p>
        </w:tc>
        <w:tc>
          <w:tcPr>
            <w:tcW w:w="850" w:type="dxa"/>
          </w:tcPr>
          <w:p w14:paraId="2234415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50" w:type="dxa"/>
          </w:tcPr>
          <w:p w14:paraId="49BC557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50" w:type="dxa"/>
          </w:tcPr>
          <w:p w14:paraId="5927976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50" w:type="dxa"/>
          </w:tcPr>
          <w:p w14:paraId="5EE8878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65F68AD2" w14:textId="77777777">
        <w:tc>
          <w:tcPr>
            <w:cnfStyle w:val="001000000000" w:firstRow="0" w:lastRow="0" w:firstColumn="1" w:lastColumn="0" w:oddVBand="0" w:evenVBand="0" w:oddHBand="0" w:evenHBand="0" w:firstRowFirstColumn="0" w:firstRowLastColumn="0" w:lastRowFirstColumn="0" w:lastRowLastColumn="0"/>
            <w:tcW w:w="2781" w:type="dxa"/>
          </w:tcPr>
          <w:p w14:paraId="568DCFD2" w14:textId="77777777" w:rsidR="00964B88" w:rsidRDefault="00964B88">
            <w:r>
              <w:rPr>
                <w:b/>
              </w:rPr>
              <w:t>Assets</w:t>
            </w:r>
          </w:p>
        </w:tc>
        <w:tc>
          <w:tcPr>
            <w:tcW w:w="737" w:type="dxa"/>
          </w:tcPr>
          <w:p w14:paraId="196A9D8F"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2A2B2A8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550A492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6A4BF5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94D87E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2E64A40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7ABE18BE" w14:textId="77777777">
        <w:tc>
          <w:tcPr>
            <w:cnfStyle w:val="001000000000" w:firstRow="0" w:lastRow="0" w:firstColumn="1" w:lastColumn="0" w:oddVBand="0" w:evenVBand="0" w:oddHBand="0" w:evenHBand="0" w:firstRowFirstColumn="0" w:firstRowLastColumn="0" w:lastRowFirstColumn="0" w:lastRowLastColumn="0"/>
            <w:tcW w:w="2781" w:type="dxa"/>
          </w:tcPr>
          <w:p w14:paraId="3E387D0C" w14:textId="77777777" w:rsidR="00964B88" w:rsidRDefault="00964B88">
            <w:r>
              <w:rPr>
                <w:b/>
              </w:rPr>
              <w:t>Financial assets</w:t>
            </w:r>
          </w:p>
        </w:tc>
        <w:tc>
          <w:tcPr>
            <w:tcW w:w="737" w:type="dxa"/>
          </w:tcPr>
          <w:p w14:paraId="1821F846"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A3E50C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3AD905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488818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3DECD9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581419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9B0D99D" w14:textId="77777777">
        <w:tc>
          <w:tcPr>
            <w:cnfStyle w:val="001000000000" w:firstRow="0" w:lastRow="0" w:firstColumn="1" w:lastColumn="0" w:oddVBand="0" w:evenVBand="0" w:oddHBand="0" w:evenHBand="0" w:firstRowFirstColumn="0" w:firstRowLastColumn="0" w:lastRowFirstColumn="0" w:lastRowLastColumn="0"/>
            <w:tcW w:w="2781" w:type="dxa"/>
          </w:tcPr>
          <w:p w14:paraId="69C81799" w14:textId="77777777" w:rsidR="00964B88" w:rsidRDefault="00964B88">
            <w:r>
              <w:t>Cash and deposits</w:t>
            </w:r>
          </w:p>
        </w:tc>
        <w:tc>
          <w:tcPr>
            <w:tcW w:w="737" w:type="dxa"/>
          </w:tcPr>
          <w:p w14:paraId="3C3E3C0C"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3A926EAD" w14:textId="77777777" w:rsidR="00964B88" w:rsidRDefault="00964B88">
            <w:pPr>
              <w:cnfStyle w:val="000000000000" w:firstRow="0" w:lastRow="0" w:firstColumn="0" w:lastColumn="0" w:oddVBand="0" w:evenVBand="0" w:oddHBand="0" w:evenHBand="0" w:firstRowFirstColumn="0" w:firstRowLastColumn="0" w:lastRowFirstColumn="0" w:lastRowLastColumn="0"/>
            </w:pPr>
            <w:r>
              <w:t>7 736</w:t>
            </w:r>
          </w:p>
        </w:tc>
        <w:tc>
          <w:tcPr>
            <w:tcW w:w="850" w:type="dxa"/>
          </w:tcPr>
          <w:p w14:paraId="1EACC648" w14:textId="77777777" w:rsidR="00964B88" w:rsidRDefault="00964B88">
            <w:pPr>
              <w:cnfStyle w:val="000000000000" w:firstRow="0" w:lastRow="0" w:firstColumn="0" w:lastColumn="0" w:oddVBand="0" w:evenVBand="0" w:oddHBand="0" w:evenHBand="0" w:firstRowFirstColumn="0" w:firstRowLastColumn="0" w:lastRowFirstColumn="0" w:lastRowLastColumn="0"/>
            </w:pPr>
            <w:r>
              <w:t>6 266</w:t>
            </w:r>
          </w:p>
        </w:tc>
        <w:tc>
          <w:tcPr>
            <w:tcW w:w="850" w:type="dxa"/>
          </w:tcPr>
          <w:p w14:paraId="653F6D0E" w14:textId="77777777" w:rsidR="00964B88" w:rsidRDefault="00964B88">
            <w:pPr>
              <w:cnfStyle w:val="000000000000" w:firstRow="0" w:lastRow="0" w:firstColumn="0" w:lastColumn="0" w:oddVBand="0" w:evenVBand="0" w:oddHBand="0" w:evenHBand="0" w:firstRowFirstColumn="0" w:firstRowLastColumn="0" w:lastRowFirstColumn="0" w:lastRowLastColumn="0"/>
            </w:pPr>
            <w:r>
              <w:t>6 301</w:t>
            </w:r>
          </w:p>
        </w:tc>
        <w:tc>
          <w:tcPr>
            <w:tcW w:w="850" w:type="dxa"/>
          </w:tcPr>
          <w:p w14:paraId="4D479511" w14:textId="77777777" w:rsidR="00964B88" w:rsidRDefault="00964B88">
            <w:pPr>
              <w:cnfStyle w:val="000000000000" w:firstRow="0" w:lastRow="0" w:firstColumn="0" w:lastColumn="0" w:oddVBand="0" w:evenVBand="0" w:oddHBand="0" w:evenHBand="0" w:firstRowFirstColumn="0" w:firstRowLastColumn="0" w:lastRowFirstColumn="0" w:lastRowLastColumn="0"/>
            </w:pPr>
            <w:r>
              <w:t>6 491</w:t>
            </w:r>
          </w:p>
        </w:tc>
        <w:tc>
          <w:tcPr>
            <w:tcW w:w="850" w:type="dxa"/>
          </w:tcPr>
          <w:p w14:paraId="4E2E84FE" w14:textId="77777777" w:rsidR="00964B88" w:rsidRDefault="00964B88">
            <w:pPr>
              <w:cnfStyle w:val="000000000000" w:firstRow="0" w:lastRow="0" w:firstColumn="0" w:lastColumn="0" w:oddVBand="0" w:evenVBand="0" w:oddHBand="0" w:evenHBand="0" w:firstRowFirstColumn="0" w:firstRowLastColumn="0" w:lastRowFirstColumn="0" w:lastRowLastColumn="0"/>
            </w:pPr>
            <w:r>
              <w:t>6 673</w:t>
            </w:r>
          </w:p>
        </w:tc>
      </w:tr>
      <w:tr w:rsidR="00964B88" w14:paraId="2700F0AA" w14:textId="77777777">
        <w:tc>
          <w:tcPr>
            <w:cnfStyle w:val="001000000000" w:firstRow="0" w:lastRow="0" w:firstColumn="1" w:lastColumn="0" w:oddVBand="0" w:evenVBand="0" w:oddHBand="0" w:evenHBand="0" w:firstRowFirstColumn="0" w:firstRowLastColumn="0" w:lastRowFirstColumn="0" w:lastRowLastColumn="0"/>
            <w:tcW w:w="2781" w:type="dxa"/>
          </w:tcPr>
          <w:p w14:paraId="409957F8" w14:textId="77777777" w:rsidR="00964B88" w:rsidRDefault="00964B88">
            <w:r>
              <w:t>Advances paid</w:t>
            </w:r>
          </w:p>
        </w:tc>
        <w:tc>
          <w:tcPr>
            <w:tcW w:w="737" w:type="dxa"/>
          </w:tcPr>
          <w:p w14:paraId="55D08934"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4.5.2</w:t>
            </w:r>
          </w:p>
        </w:tc>
        <w:tc>
          <w:tcPr>
            <w:tcW w:w="850" w:type="dxa"/>
          </w:tcPr>
          <w:p w14:paraId="3C2C6E00" w14:textId="77777777" w:rsidR="00964B88" w:rsidRDefault="00964B88">
            <w:pPr>
              <w:cnfStyle w:val="000000000000" w:firstRow="0" w:lastRow="0" w:firstColumn="0" w:lastColumn="0" w:oddVBand="0" w:evenVBand="0" w:oddHBand="0" w:evenHBand="0" w:firstRowFirstColumn="0" w:firstRowLastColumn="0" w:lastRowFirstColumn="0" w:lastRowLastColumn="0"/>
            </w:pPr>
            <w:r>
              <w:t>6 243</w:t>
            </w:r>
          </w:p>
        </w:tc>
        <w:tc>
          <w:tcPr>
            <w:tcW w:w="850" w:type="dxa"/>
          </w:tcPr>
          <w:p w14:paraId="0F84D53D" w14:textId="77777777" w:rsidR="00964B88" w:rsidRDefault="00964B88">
            <w:pPr>
              <w:cnfStyle w:val="000000000000" w:firstRow="0" w:lastRow="0" w:firstColumn="0" w:lastColumn="0" w:oddVBand="0" w:evenVBand="0" w:oddHBand="0" w:evenHBand="0" w:firstRowFirstColumn="0" w:firstRowLastColumn="0" w:lastRowFirstColumn="0" w:lastRowLastColumn="0"/>
            </w:pPr>
            <w:r>
              <w:t>6 478</w:t>
            </w:r>
          </w:p>
        </w:tc>
        <w:tc>
          <w:tcPr>
            <w:tcW w:w="850" w:type="dxa"/>
          </w:tcPr>
          <w:p w14:paraId="75F53376" w14:textId="77777777" w:rsidR="00964B88" w:rsidRDefault="00964B88">
            <w:pPr>
              <w:cnfStyle w:val="000000000000" w:firstRow="0" w:lastRow="0" w:firstColumn="0" w:lastColumn="0" w:oddVBand="0" w:evenVBand="0" w:oddHBand="0" w:evenHBand="0" w:firstRowFirstColumn="0" w:firstRowLastColumn="0" w:lastRowFirstColumn="0" w:lastRowLastColumn="0"/>
            </w:pPr>
            <w:r>
              <w:t>5 193</w:t>
            </w:r>
          </w:p>
        </w:tc>
        <w:tc>
          <w:tcPr>
            <w:tcW w:w="850" w:type="dxa"/>
          </w:tcPr>
          <w:p w14:paraId="5AC43FCF" w14:textId="77777777" w:rsidR="00964B88" w:rsidRDefault="00964B88">
            <w:pPr>
              <w:cnfStyle w:val="000000000000" w:firstRow="0" w:lastRow="0" w:firstColumn="0" w:lastColumn="0" w:oddVBand="0" w:evenVBand="0" w:oddHBand="0" w:evenHBand="0" w:firstRowFirstColumn="0" w:firstRowLastColumn="0" w:lastRowFirstColumn="0" w:lastRowLastColumn="0"/>
            </w:pPr>
            <w:r>
              <w:t>4 669</w:t>
            </w:r>
          </w:p>
        </w:tc>
        <w:tc>
          <w:tcPr>
            <w:tcW w:w="850" w:type="dxa"/>
          </w:tcPr>
          <w:p w14:paraId="35D0D179" w14:textId="77777777" w:rsidR="00964B88" w:rsidRDefault="00964B88">
            <w:pPr>
              <w:cnfStyle w:val="000000000000" w:firstRow="0" w:lastRow="0" w:firstColumn="0" w:lastColumn="0" w:oddVBand="0" w:evenVBand="0" w:oddHBand="0" w:evenHBand="0" w:firstRowFirstColumn="0" w:firstRowLastColumn="0" w:lastRowFirstColumn="0" w:lastRowLastColumn="0"/>
            </w:pPr>
            <w:r>
              <w:t>4 701</w:t>
            </w:r>
          </w:p>
        </w:tc>
      </w:tr>
      <w:tr w:rsidR="00964B88" w14:paraId="5B0F8D7E" w14:textId="77777777">
        <w:tc>
          <w:tcPr>
            <w:cnfStyle w:val="001000000000" w:firstRow="0" w:lastRow="0" w:firstColumn="1" w:lastColumn="0" w:oddVBand="0" w:evenVBand="0" w:oddHBand="0" w:evenHBand="0" w:firstRowFirstColumn="0" w:firstRowLastColumn="0" w:lastRowFirstColumn="0" w:lastRowLastColumn="0"/>
            <w:tcW w:w="2781" w:type="dxa"/>
          </w:tcPr>
          <w:p w14:paraId="6A1D7E33" w14:textId="77777777" w:rsidR="00964B88" w:rsidRDefault="00964B88">
            <w:r>
              <w:t>Receivables</w:t>
            </w:r>
          </w:p>
        </w:tc>
        <w:tc>
          <w:tcPr>
            <w:tcW w:w="737" w:type="dxa"/>
          </w:tcPr>
          <w:p w14:paraId="087F5F92"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19820CE1" w14:textId="77777777" w:rsidR="00964B88" w:rsidRDefault="00964B88">
            <w:pPr>
              <w:cnfStyle w:val="000000000000" w:firstRow="0" w:lastRow="0" w:firstColumn="0" w:lastColumn="0" w:oddVBand="0" w:evenVBand="0" w:oddHBand="0" w:evenHBand="0" w:firstRowFirstColumn="0" w:firstRowLastColumn="0" w:lastRowFirstColumn="0" w:lastRowLastColumn="0"/>
            </w:pPr>
            <w:r>
              <w:t>6 969</w:t>
            </w:r>
          </w:p>
        </w:tc>
        <w:tc>
          <w:tcPr>
            <w:tcW w:w="850" w:type="dxa"/>
          </w:tcPr>
          <w:p w14:paraId="2D34C6FE" w14:textId="77777777" w:rsidR="00964B88" w:rsidRDefault="00964B88">
            <w:pPr>
              <w:cnfStyle w:val="000000000000" w:firstRow="0" w:lastRow="0" w:firstColumn="0" w:lastColumn="0" w:oddVBand="0" w:evenVBand="0" w:oddHBand="0" w:evenHBand="0" w:firstRowFirstColumn="0" w:firstRowLastColumn="0" w:lastRowFirstColumn="0" w:lastRowLastColumn="0"/>
            </w:pPr>
            <w:r>
              <w:t>6 843</w:t>
            </w:r>
          </w:p>
        </w:tc>
        <w:tc>
          <w:tcPr>
            <w:tcW w:w="850" w:type="dxa"/>
          </w:tcPr>
          <w:p w14:paraId="5CC2BB0A" w14:textId="77777777" w:rsidR="00964B88" w:rsidRDefault="00964B88">
            <w:pPr>
              <w:cnfStyle w:val="000000000000" w:firstRow="0" w:lastRow="0" w:firstColumn="0" w:lastColumn="0" w:oddVBand="0" w:evenVBand="0" w:oddHBand="0" w:evenHBand="0" w:firstRowFirstColumn="0" w:firstRowLastColumn="0" w:lastRowFirstColumn="0" w:lastRowLastColumn="0"/>
            </w:pPr>
            <w:r>
              <w:t>7 187</w:t>
            </w:r>
          </w:p>
        </w:tc>
        <w:tc>
          <w:tcPr>
            <w:tcW w:w="850" w:type="dxa"/>
          </w:tcPr>
          <w:p w14:paraId="358E5463" w14:textId="77777777" w:rsidR="00964B88" w:rsidRDefault="00964B88">
            <w:pPr>
              <w:cnfStyle w:val="000000000000" w:firstRow="0" w:lastRow="0" w:firstColumn="0" w:lastColumn="0" w:oddVBand="0" w:evenVBand="0" w:oddHBand="0" w:evenHBand="0" w:firstRowFirstColumn="0" w:firstRowLastColumn="0" w:lastRowFirstColumn="0" w:lastRowLastColumn="0"/>
            </w:pPr>
            <w:r>
              <w:t>7 597</w:t>
            </w:r>
          </w:p>
        </w:tc>
        <w:tc>
          <w:tcPr>
            <w:tcW w:w="850" w:type="dxa"/>
          </w:tcPr>
          <w:p w14:paraId="30482711" w14:textId="77777777" w:rsidR="00964B88" w:rsidRDefault="00964B88">
            <w:pPr>
              <w:cnfStyle w:val="000000000000" w:firstRow="0" w:lastRow="0" w:firstColumn="0" w:lastColumn="0" w:oddVBand="0" w:evenVBand="0" w:oddHBand="0" w:evenHBand="0" w:firstRowFirstColumn="0" w:firstRowLastColumn="0" w:lastRowFirstColumn="0" w:lastRowLastColumn="0"/>
            </w:pPr>
            <w:r>
              <w:t>8 043</w:t>
            </w:r>
          </w:p>
        </w:tc>
      </w:tr>
      <w:tr w:rsidR="00964B88" w14:paraId="5352AD41" w14:textId="77777777">
        <w:tc>
          <w:tcPr>
            <w:cnfStyle w:val="001000000000" w:firstRow="0" w:lastRow="0" w:firstColumn="1" w:lastColumn="0" w:oddVBand="0" w:evenVBand="0" w:oddHBand="0" w:evenHBand="0" w:firstRowFirstColumn="0" w:firstRowLastColumn="0" w:lastRowFirstColumn="0" w:lastRowLastColumn="0"/>
            <w:tcW w:w="2781" w:type="dxa"/>
          </w:tcPr>
          <w:p w14:paraId="7EB3FE33" w14:textId="77777777" w:rsidR="00964B88" w:rsidRDefault="00964B88">
            <w:r>
              <w:t>Investments, loans and placements</w:t>
            </w:r>
          </w:p>
        </w:tc>
        <w:tc>
          <w:tcPr>
            <w:tcW w:w="737" w:type="dxa"/>
          </w:tcPr>
          <w:p w14:paraId="5A2BEC27"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4.5.2</w:t>
            </w:r>
          </w:p>
        </w:tc>
        <w:tc>
          <w:tcPr>
            <w:tcW w:w="850" w:type="dxa"/>
          </w:tcPr>
          <w:p w14:paraId="620F774C" w14:textId="77777777" w:rsidR="00964B88" w:rsidRDefault="00964B88">
            <w:pPr>
              <w:cnfStyle w:val="000000000000" w:firstRow="0" w:lastRow="0" w:firstColumn="0" w:lastColumn="0" w:oddVBand="0" w:evenVBand="0" w:oddHBand="0" w:evenHBand="0" w:firstRowFirstColumn="0" w:firstRowLastColumn="0" w:lastRowFirstColumn="0" w:lastRowLastColumn="0"/>
            </w:pPr>
            <w:r>
              <w:t>2 968</w:t>
            </w:r>
          </w:p>
        </w:tc>
        <w:tc>
          <w:tcPr>
            <w:tcW w:w="850" w:type="dxa"/>
          </w:tcPr>
          <w:p w14:paraId="0660845E" w14:textId="77777777" w:rsidR="00964B88" w:rsidRDefault="00964B88">
            <w:pPr>
              <w:cnfStyle w:val="000000000000" w:firstRow="0" w:lastRow="0" w:firstColumn="0" w:lastColumn="0" w:oddVBand="0" w:evenVBand="0" w:oddHBand="0" w:evenHBand="0" w:firstRowFirstColumn="0" w:firstRowLastColumn="0" w:lastRowFirstColumn="0" w:lastRowLastColumn="0"/>
            </w:pPr>
            <w:r>
              <w:t>2 846</w:t>
            </w:r>
          </w:p>
        </w:tc>
        <w:tc>
          <w:tcPr>
            <w:tcW w:w="850" w:type="dxa"/>
          </w:tcPr>
          <w:p w14:paraId="3FC2B0E3" w14:textId="77777777" w:rsidR="00964B88" w:rsidRDefault="00964B88">
            <w:pPr>
              <w:cnfStyle w:val="000000000000" w:firstRow="0" w:lastRow="0" w:firstColumn="0" w:lastColumn="0" w:oddVBand="0" w:evenVBand="0" w:oddHBand="0" w:evenHBand="0" w:firstRowFirstColumn="0" w:firstRowLastColumn="0" w:lastRowFirstColumn="0" w:lastRowLastColumn="0"/>
            </w:pPr>
            <w:r>
              <w:t>2 900</w:t>
            </w:r>
          </w:p>
        </w:tc>
        <w:tc>
          <w:tcPr>
            <w:tcW w:w="850" w:type="dxa"/>
          </w:tcPr>
          <w:p w14:paraId="2B08CAC9" w14:textId="77777777" w:rsidR="00964B88" w:rsidRDefault="00964B88">
            <w:pPr>
              <w:cnfStyle w:val="000000000000" w:firstRow="0" w:lastRow="0" w:firstColumn="0" w:lastColumn="0" w:oddVBand="0" w:evenVBand="0" w:oddHBand="0" w:evenHBand="0" w:firstRowFirstColumn="0" w:firstRowLastColumn="0" w:lastRowFirstColumn="0" w:lastRowLastColumn="0"/>
            </w:pPr>
            <w:r>
              <w:t>2 877</w:t>
            </w:r>
          </w:p>
        </w:tc>
        <w:tc>
          <w:tcPr>
            <w:tcW w:w="850" w:type="dxa"/>
          </w:tcPr>
          <w:p w14:paraId="0B583E17" w14:textId="77777777" w:rsidR="00964B88" w:rsidRDefault="00964B88">
            <w:pPr>
              <w:cnfStyle w:val="000000000000" w:firstRow="0" w:lastRow="0" w:firstColumn="0" w:lastColumn="0" w:oddVBand="0" w:evenVBand="0" w:oddHBand="0" w:evenHBand="0" w:firstRowFirstColumn="0" w:firstRowLastColumn="0" w:lastRowFirstColumn="0" w:lastRowLastColumn="0"/>
            </w:pPr>
            <w:r>
              <w:t>2 942</w:t>
            </w:r>
          </w:p>
        </w:tc>
      </w:tr>
      <w:tr w:rsidR="00964B88" w14:paraId="6CF69B8A" w14:textId="77777777">
        <w:tc>
          <w:tcPr>
            <w:cnfStyle w:val="001000000000" w:firstRow="0" w:lastRow="0" w:firstColumn="1" w:lastColumn="0" w:oddVBand="0" w:evenVBand="0" w:oddHBand="0" w:evenHBand="0" w:firstRowFirstColumn="0" w:firstRowLastColumn="0" w:lastRowFirstColumn="0" w:lastRowLastColumn="0"/>
            <w:tcW w:w="2781" w:type="dxa"/>
          </w:tcPr>
          <w:p w14:paraId="25CD7998" w14:textId="77777777" w:rsidR="00964B88" w:rsidRDefault="00964B88">
            <w:r>
              <w:t>Investments accounted for using equity method</w:t>
            </w:r>
          </w:p>
        </w:tc>
        <w:tc>
          <w:tcPr>
            <w:tcW w:w="737" w:type="dxa"/>
          </w:tcPr>
          <w:p w14:paraId="56BE9409"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841F29C"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850" w:type="dxa"/>
          </w:tcPr>
          <w:p w14:paraId="4505469A"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850" w:type="dxa"/>
          </w:tcPr>
          <w:p w14:paraId="76726C6A"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850" w:type="dxa"/>
          </w:tcPr>
          <w:p w14:paraId="1EB622FC"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850" w:type="dxa"/>
          </w:tcPr>
          <w:p w14:paraId="4C68D66B"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r>
      <w:tr w:rsidR="00964B88" w14:paraId="3C9D0AC5"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bottom w:val="single" w:sz="6" w:space="0" w:color="auto"/>
            </w:tcBorders>
          </w:tcPr>
          <w:p w14:paraId="4BB9E0B6" w14:textId="77777777" w:rsidR="00964B88" w:rsidRDefault="00964B88">
            <w:r>
              <w:t>Investments in other sector entities</w:t>
            </w:r>
          </w:p>
        </w:tc>
        <w:tc>
          <w:tcPr>
            <w:tcW w:w="737" w:type="dxa"/>
            <w:tcBorders>
              <w:bottom w:val="single" w:sz="6" w:space="0" w:color="auto"/>
            </w:tcBorders>
          </w:tcPr>
          <w:p w14:paraId="34EE8F64"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4.6.1</w:t>
            </w:r>
          </w:p>
        </w:tc>
        <w:tc>
          <w:tcPr>
            <w:tcW w:w="850" w:type="dxa"/>
            <w:tcBorders>
              <w:bottom w:val="single" w:sz="6" w:space="0" w:color="auto"/>
            </w:tcBorders>
          </w:tcPr>
          <w:p w14:paraId="3EFFD109" w14:textId="77777777" w:rsidR="00964B88" w:rsidRDefault="00964B88">
            <w:pPr>
              <w:cnfStyle w:val="000000000000" w:firstRow="0" w:lastRow="0" w:firstColumn="0" w:lastColumn="0" w:oddVBand="0" w:evenVBand="0" w:oddHBand="0" w:evenHBand="0" w:firstRowFirstColumn="0" w:firstRowLastColumn="0" w:lastRowFirstColumn="0" w:lastRowLastColumn="0"/>
            </w:pPr>
            <w:r>
              <w:t>107 723</w:t>
            </w:r>
          </w:p>
        </w:tc>
        <w:tc>
          <w:tcPr>
            <w:tcW w:w="850" w:type="dxa"/>
            <w:tcBorders>
              <w:bottom w:val="single" w:sz="6" w:space="0" w:color="auto"/>
            </w:tcBorders>
          </w:tcPr>
          <w:p w14:paraId="77031AB6" w14:textId="77777777" w:rsidR="00964B88" w:rsidRDefault="00964B88">
            <w:pPr>
              <w:cnfStyle w:val="000000000000" w:firstRow="0" w:lastRow="0" w:firstColumn="0" w:lastColumn="0" w:oddVBand="0" w:evenVBand="0" w:oddHBand="0" w:evenHBand="0" w:firstRowFirstColumn="0" w:firstRowLastColumn="0" w:lastRowFirstColumn="0" w:lastRowLastColumn="0"/>
            </w:pPr>
            <w:r>
              <w:t>106 310</w:t>
            </w:r>
          </w:p>
        </w:tc>
        <w:tc>
          <w:tcPr>
            <w:tcW w:w="850" w:type="dxa"/>
            <w:tcBorders>
              <w:bottom w:val="single" w:sz="6" w:space="0" w:color="auto"/>
            </w:tcBorders>
          </w:tcPr>
          <w:p w14:paraId="4D24AD28" w14:textId="77777777" w:rsidR="00964B88" w:rsidRDefault="00964B88">
            <w:pPr>
              <w:cnfStyle w:val="000000000000" w:firstRow="0" w:lastRow="0" w:firstColumn="0" w:lastColumn="0" w:oddVBand="0" w:evenVBand="0" w:oddHBand="0" w:evenHBand="0" w:firstRowFirstColumn="0" w:firstRowLastColumn="0" w:lastRowFirstColumn="0" w:lastRowLastColumn="0"/>
            </w:pPr>
            <w:r>
              <w:t>111 030</w:t>
            </w:r>
          </w:p>
        </w:tc>
        <w:tc>
          <w:tcPr>
            <w:tcW w:w="850" w:type="dxa"/>
            <w:tcBorders>
              <w:bottom w:val="single" w:sz="6" w:space="0" w:color="auto"/>
            </w:tcBorders>
          </w:tcPr>
          <w:p w14:paraId="1313A6E2" w14:textId="77777777" w:rsidR="00964B88" w:rsidRDefault="00964B88">
            <w:pPr>
              <w:cnfStyle w:val="000000000000" w:firstRow="0" w:lastRow="0" w:firstColumn="0" w:lastColumn="0" w:oddVBand="0" w:evenVBand="0" w:oddHBand="0" w:evenHBand="0" w:firstRowFirstColumn="0" w:firstRowLastColumn="0" w:lastRowFirstColumn="0" w:lastRowLastColumn="0"/>
            </w:pPr>
            <w:r>
              <w:t>114 644</w:t>
            </w:r>
          </w:p>
        </w:tc>
        <w:tc>
          <w:tcPr>
            <w:tcW w:w="850" w:type="dxa"/>
            <w:tcBorders>
              <w:bottom w:val="single" w:sz="6" w:space="0" w:color="auto"/>
            </w:tcBorders>
          </w:tcPr>
          <w:p w14:paraId="73F5ED49" w14:textId="77777777" w:rsidR="00964B88" w:rsidRDefault="00964B88">
            <w:pPr>
              <w:cnfStyle w:val="000000000000" w:firstRow="0" w:lastRow="0" w:firstColumn="0" w:lastColumn="0" w:oddVBand="0" w:evenVBand="0" w:oddHBand="0" w:evenHBand="0" w:firstRowFirstColumn="0" w:firstRowLastColumn="0" w:lastRowFirstColumn="0" w:lastRowLastColumn="0"/>
            </w:pPr>
            <w:r>
              <w:t>118 325</w:t>
            </w:r>
          </w:p>
        </w:tc>
      </w:tr>
      <w:tr w:rsidR="00964B88" w14:paraId="14AE4626"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bottom w:val="single" w:sz="6" w:space="0" w:color="auto"/>
            </w:tcBorders>
          </w:tcPr>
          <w:p w14:paraId="6FB30E24" w14:textId="77777777" w:rsidR="00964B88" w:rsidRDefault="00964B88">
            <w:r>
              <w:rPr>
                <w:b/>
              </w:rPr>
              <w:t>Total financial assets</w:t>
            </w:r>
          </w:p>
        </w:tc>
        <w:tc>
          <w:tcPr>
            <w:tcW w:w="737" w:type="dxa"/>
            <w:tcBorders>
              <w:top w:val="single" w:sz="6" w:space="0" w:color="auto"/>
              <w:bottom w:val="single" w:sz="6" w:space="0" w:color="auto"/>
            </w:tcBorders>
          </w:tcPr>
          <w:p w14:paraId="43326E78"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bottom w:val="single" w:sz="6" w:space="0" w:color="auto"/>
            </w:tcBorders>
          </w:tcPr>
          <w:p w14:paraId="00C4C0F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131 684</w:t>
            </w:r>
          </w:p>
        </w:tc>
        <w:tc>
          <w:tcPr>
            <w:tcW w:w="850" w:type="dxa"/>
            <w:tcBorders>
              <w:top w:val="single" w:sz="6" w:space="0" w:color="auto"/>
              <w:bottom w:val="single" w:sz="6" w:space="0" w:color="auto"/>
            </w:tcBorders>
          </w:tcPr>
          <w:p w14:paraId="172AC51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128 787</w:t>
            </w:r>
          </w:p>
        </w:tc>
        <w:tc>
          <w:tcPr>
            <w:tcW w:w="850" w:type="dxa"/>
            <w:tcBorders>
              <w:top w:val="single" w:sz="6" w:space="0" w:color="auto"/>
              <w:bottom w:val="single" w:sz="6" w:space="0" w:color="auto"/>
            </w:tcBorders>
          </w:tcPr>
          <w:p w14:paraId="5ED8515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132 655</w:t>
            </w:r>
          </w:p>
        </w:tc>
        <w:tc>
          <w:tcPr>
            <w:tcW w:w="850" w:type="dxa"/>
            <w:tcBorders>
              <w:top w:val="single" w:sz="6" w:space="0" w:color="auto"/>
              <w:bottom w:val="single" w:sz="6" w:space="0" w:color="auto"/>
            </w:tcBorders>
          </w:tcPr>
          <w:p w14:paraId="2BB51BE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136 323</w:t>
            </w:r>
          </w:p>
        </w:tc>
        <w:tc>
          <w:tcPr>
            <w:tcW w:w="850" w:type="dxa"/>
            <w:tcBorders>
              <w:top w:val="single" w:sz="6" w:space="0" w:color="auto"/>
              <w:bottom w:val="single" w:sz="6" w:space="0" w:color="auto"/>
            </w:tcBorders>
          </w:tcPr>
          <w:p w14:paraId="5DFB81C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140 730</w:t>
            </w:r>
          </w:p>
        </w:tc>
      </w:tr>
      <w:tr w:rsidR="00964B88" w14:paraId="2097E059"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tcBorders>
          </w:tcPr>
          <w:p w14:paraId="7CC5E2A3" w14:textId="77777777" w:rsidR="00964B88" w:rsidRDefault="00964B88">
            <w:r>
              <w:rPr>
                <w:b/>
              </w:rPr>
              <w:t>Non</w:t>
            </w:r>
            <w:r>
              <w:rPr>
                <w:b/>
              </w:rPr>
              <w:noBreakHyphen/>
              <w:t>financial assets</w:t>
            </w:r>
          </w:p>
        </w:tc>
        <w:tc>
          <w:tcPr>
            <w:tcW w:w="737" w:type="dxa"/>
            <w:tcBorders>
              <w:top w:val="single" w:sz="6" w:space="0" w:color="auto"/>
            </w:tcBorders>
          </w:tcPr>
          <w:p w14:paraId="4E948851"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33E641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7B91B57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1FEAA50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07C952C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178C12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A11A31F" w14:textId="77777777">
        <w:tc>
          <w:tcPr>
            <w:cnfStyle w:val="001000000000" w:firstRow="0" w:lastRow="0" w:firstColumn="1" w:lastColumn="0" w:oddVBand="0" w:evenVBand="0" w:oddHBand="0" w:evenHBand="0" w:firstRowFirstColumn="0" w:firstRowLastColumn="0" w:lastRowFirstColumn="0" w:lastRowLastColumn="0"/>
            <w:tcW w:w="2781" w:type="dxa"/>
          </w:tcPr>
          <w:p w14:paraId="7D86799D" w14:textId="77777777" w:rsidR="00964B88" w:rsidRDefault="00964B88">
            <w:r>
              <w:t>Inventories</w:t>
            </w:r>
          </w:p>
        </w:tc>
        <w:tc>
          <w:tcPr>
            <w:tcW w:w="737" w:type="dxa"/>
          </w:tcPr>
          <w:p w14:paraId="2AF48096"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00F5BA69" w14:textId="77777777" w:rsidR="00964B88" w:rsidRDefault="00964B88">
            <w:pPr>
              <w:cnfStyle w:val="000000000000" w:firstRow="0" w:lastRow="0" w:firstColumn="0" w:lastColumn="0" w:oddVBand="0" w:evenVBand="0" w:oddHBand="0" w:evenHBand="0" w:firstRowFirstColumn="0" w:firstRowLastColumn="0" w:lastRowFirstColumn="0" w:lastRowLastColumn="0"/>
            </w:pPr>
            <w:r>
              <w:t>172</w:t>
            </w:r>
          </w:p>
        </w:tc>
        <w:tc>
          <w:tcPr>
            <w:tcW w:w="850" w:type="dxa"/>
          </w:tcPr>
          <w:p w14:paraId="6DFCFF4C" w14:textId="77777777" w:rsidR="00964B88" w:rsidRDefault="00964B88">
            <w:pPr>
              <w:cnfStyle w:val="000000000000" w:firstRow="0" w:lastRow="0" w:firstColumn="0" w:lastColumn="0" w:oddVBand="0" w:evenVBand="0" w:oddHBand="0" w:evenHBand="0" w:firstRowFirstColumn="0" w:firstRowLastColumn="0" w:lastRowFirstColumn="0" w:lastRowLastColumn="0"/>
            </w:pPr>
            <w:r>
              <w:t>172</w:t>
            </w:r>
          </w:p>
        </w:tc>
        <w:tc>
          <w:tcPr>
            <w:tcW w:w="850" w:type="dxa"/>
          </w:tcPr>
          <w:p w14:paraId="1DDAE672" w14:textId="77777777" w:rsidR="00964B88" w:rsidRDefault="00964B88">
            <w:pPr>
              <w:cnfStyle w:val="000000000000" w:firstRow="0" w:lastRow="0" w:firstColumn="0" w:lastColumn="0" w:oddVBand="0" w:evenVBand="0" w:oddHBand="0" w:evenHBand="0" w:firstRowFirstColumn="0" w:firstRowLastColumn="0" w:lastRowFirstColumn="0" w:lastRowLastColumn="0"/>
            </w:pPr>
            <w:r>
              <w:t>176</w:t>
            </w:r>
          </w:p>
        </w:tc>
        <w:tc>
          <w:tcPr>
            <w:tcW w:w="850" w:type="dxa"/>
          </w:tcPr>
          <w:p w14:paraId="71C76EB7" w14:textId="77777777" w:rsidR="00964B88" w:rsidRDefault="00964B88">
            <w:pPr>
              <w:cnfStyle w:val="000000000000" w:firstRow="0" w:lastRow="0" w:firstColumn="0" w:lastColumn="0" w:oddVBand="0" w:evenVBand="0" w:oddHBand="0" w:evenHBand="0" w:firstRowFirstColumn="0" w:firstRowLastColumn="0" w:lastRowFirstColumn="0" w:lastRowLastColumn="0"/>
            </w:pPr>
            <w:r>
              <w:t>180</w:t>
            </w:r>
          </w:p>
        </w:tc>
        <w:tc>
          <w:tcPr>
            <w:tcW w:w="850" w:type="dxa"/>
          </w:tcPr>
          <w:p w14:paraId="0AEF5161" w14:textId="77777777" w:rsidR="00964B88" w:rsidRDefault="00964B88">
            <w:pPr>
              <w:cnfStyle w:val="000000000000" w:firstRow="0" w:lastRow="0" w:firstColumn="0" w:lastColumn="0" w:oddVBand="0" w:evenVBand="0" w:oddHBand="0" w:evenHBand="0" w:firstRowFirstColumn="0" w:firstRowLastColumn="0" w:lastRowFirstColumn="0" w:lastRowLastColumn="0"/>
            </w:pPr>
            <w:r>
              <w:t>184</w:t>
            </w:r>
          </w:p>
        </w:tc>
      </w:tr>
      <w:tr w:rsidR="00964B88" w14:paraId="759BA465" w14:textId="77777777">
        <w:tc>
          <w:tcPr>
            <w:cnfStyle w:val="001000000000" w:firstRow="0" w:lastRow="0" w:firstColumn="1" w:lastColumn="0" w:oddVBand="0" w:evenVBand="0" w:oddHBand="0" w:evenHBand="0" w:firstRowFirstColumn="0" w:firstRowLastColumn="0" w:lastRowFirstColumn="0" w:lastRowLastColumn="0"/>
            <w:tcW w:w="2781" w:type="dxa"/>
          </w:tcPr>
          <w:p w14:paraId="31ABAE89" w14:textId="77777777" w:rsidR="00964B88" w:rsidRDefault="00964B88">
            <w:r>
              <w:t>Non</w:t>
            </w:r>
            <w:r>
              <w:noBreakHyphen/>
              <w:t>financial assets held for sale</w:t>
            </w:r>
          </w:p>
        </w:tc>
        <w:tc>
          <w:tcPr>
            <w:tcW w:w="737" w:type="dxa"/>
          </w:tcPr>
          <w:p w14:paraId="2253822E"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78B5F254" w14:textId="77777777" w:rsidR="00964B88" w:rsidRDefault="00964B88">
            <w:pPr>
              <w:cnfStyle w:val="000000000000" w:firstRow="0" w:lastRow="0" w:firstColumn="0" w:lastColumn="0" w:oddVBand="0" w:evenVBand="0" w:oddHBand="0" w:evenHBand="0" w:firstRowFirstColumn="0" w:firstRowLastColumn="0" w:lastRowFirstColumn="0" w:lastRowLastColumn="0"/>
            </w:pPr>
            <w:r>
              <w:t>215</w:t>
            </w:r>
          </w:p>
        </w:tc>
        <w:tc>
          <w:tcPr>
            <w:tcW w:w="850" w:type="dxa"/>
          </w:tcPr>
          <w:p w14:paraId="771E75A0" w14:textId="77777777" w:rsidR="00964B88" w:rsidRDefault="00964B88">
            <w:pPr>
              <w:cnfStyle w:val="000000000000" w:firstRow="0" w:lastRow="0" w:firstColumn="0" w:lastColumn="0" w:oddVBand="0" w:evenVBand="0" w:oddHBand="0" w:evenHBand="0" w:firstRowFirstColumn="0" w:firstRowLastColumn="0" w:lastRowFirstColumn="0" w:lastRowLastColumn="0"/>
            </w:pPr>
            <w:r>
              <w:t>229</w:t>
            </w:r>
          </w:p>
        </w:tc>
        <w:tc>
          <w:tcPr>
            <w:tcW w:w="850" w:type="dxa"/>
          </w:tcPr>
          <w:p w14:paraId="669377BB" w14:textId="77777777" w:rsidR="00964B88" w:rsidRDefault="00964B88">
            <w:pPr>
              <w:cnfStyle w:val="000000000000" w:firstRow="0" w:lastRow="0" w:firstColumn="0" w:lastColumn="0" w:oddVBand="0" w:evenVBand="0" w:oddHBand="0" w:evenHBand="0" w:firstRowFirstColumn="0" w:firstRowLastColumn="0" w:lastRowFirstColumn="0" w:lastRowLastColumn="0"/>
            </w:pPr>
            <w:r>
              <w:t>223</w:t>
            </w:r>
          </w:p>
        </w:tc>
        <w:tc>
          <w:tcPr>
            <w:tcW w:w="850" w:type="dxa"/>
          </w:tcPr>
          <w:p w14:paraId="42651D78" w14:textId="77777777" w:rsidR="00964B88" w:rsidRDefault="00964B88">
            <w:pPr>
              <w:cnfStyle w:val="000000000000" w:firstRow="0" w:lastRow="0" w:firstColumn="0" w:lastColumn="0" w:oddVBand="0" w:evenVBand="0" w:oddHBand="0" w:evenHBand="0" w:firstRowFirstColumn="0" w:firstRowLastColumn="0" w:lastRowFirstColumn="0" w:lastRowLastColumn="0"/>
            </w:pPr>
            <w:r>
              <w:t>234</w:t>
            </w:r>
          </w:p>
        </w:tc>
        <w:tc>
          <w:tcPr>
            <w:tcW w:w="850" w:type="dxa"/>
          </w:tcPr>
          <w:p w14:paraId="3C286AF2" w14:textId="77777777" w:rsidR="00964B88" w:rsidRDefault="00964B88">
            <w:pPr>
              <w:cnfStyle w:val="000000000000" w:firstRow="0" w:lastRow="0" w:firstColumn="0" w:lastColumn="0" w:oddVBand="0" w:evenVBand="0" w:oddHBand="0" w:evenHBand="0" w:firstRowFirstColumn="0" w:firstRowLastColumn="0" w:lastRowFirstColumn="0" w:lastRowLastColumn="0"/>
            </w:pPr>
            <w:r>
              <w:t>236</w:t>
            </w:r>
          </w:p>
        </w:tc>
      </w:tr>
      <w:tr w:rsidR="00964B88" w14:paraId="4BB3FF2D" w14:textId="77777777">
        <w:tc>
          <w:tcPr>
            <w:cnfStyle w:val="001000000000" w:firstRow="0" w:lastRow="0" w:firstColumn="1" w:lastColumn="0" w:oddVBand="0" w:evenVBand="0" w:oddHBand="0" w:evenHBand="0" w:firstRowFirstColumn="0" w:firstRowLastColumn="0" w:lastRowFirstColumn="0" w:lastRowLastColumn="0"/>
            <w:tcW w:w="2781" w:type="dxa"/>
          </w:tcPr>
          <w:p w14:paraId="6EFEB8C4" w14:textId="77777777" w:rsidR="00964B88" w:rsidRDefault="00964B88">
            <w:r>
              <w:t>Land, buildings, infrastructure, plant and equipment</w:t>
            </w:r>
          </w:p>
        </w:tc>
        <w:tc>
          <w:tcPr>
            <w:tcW w:w="737" w:type="dxa"/>
          </w:tcPr>
          <w:p w14:paraId="3D031DA1"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4.4.1</w:t>
            </w:r>
          </w:p>
        </w:tc>
        <w:tc>
          <w:tcPr>
            <w:tcW w:w="850" w:type="dxa"/>
          </w:tcPr>
          <w:p w14:paraId="3B948F04" w14:textId="77777777" w:rsidR="00964B88" w:rsidRDefault="00964B88">
            <w:pPr>
              <w:cnfStyle w:val="000000000000" w:firstRow="0" w:lastRow="0" w:firstColumn="0" w:lastColumn="0" w:oddVBand="0" w:evenVBand="0" w:oddHBand="0" w:evenHBand="0" w:firstRowFirstColumn="0" w:firstRowLastColumn="0" w:lastRowFirstColumn="0" w:lastRowLastColumn="0"/>
            </w:pPr>
            <w:r>
              <w:t>165 417</w:t>
            </w:r>
          </w:p>
        </w:tc>
        <w:tc>
          <w:tcPr>
            <w:tcW w:w="850" w:type="dxa"/>
          </w:tcPr>
          <w:p w14:paraId="4D3F6B03" w14:textId="77777777" w:rsidR="00964B88" w:rsidRDefault="00964B88">
            <w:pPr>
              <w:cnfStyle w:val="000000000000" w:firstRow="0" w:lastRow="0" w:firstColumn="0" w:lastColumn="0" w:oddVBand="0" w:evenVBand="0" w:oddHBand="0" w:evenHBand="0" w:firstRowFirstColumn="0" w:firstRowLastColumn="0" w:lastRowFirstColumn="0" w:lastRowLastColumn="0"/>
            </w:pPr>
            <w:r>
              <w:t>168 202</w:t>
            </w:r>
          </w:p>
        </w:tc>
        <w:tc>
          <w:tcPr>
            <w:tcW w:w="850" w:type="dxa"/>
          </w:tcPr>
          <w:p w14:paraId="14F934C6" w14:textId="77777777" w:rsidR="00964B88" w:rsidRDefault="00964B88">
            <w:pPr>
              <w:cnfStyle w:val="000000000000" w:firstRow="0" w:lastRow="0" w:firstColumn="0" w:lastColumn="0" w:oddVBand="0" w:evenVBand="0" w:oddHBand="0" w:evenHBand="0" w:firstRowFirstColumn="0" w:firstRowLastColumn="0" w:lastRowFirstColumn="0" w:lastRowLastColumn="0"/>
            </w:pPr>
            <w:r>
              <w:t>179 823</w:t>
            </w:r>
          </w:p>
        </w:tc>
        <w:tc>
          <w:tcPr>
            <w:tcW w:w="850" w:type="dxa"/>
          </w:tcPr>
          <w:p w14:paraId="376A4BE0" w14:textId="77777777" w:rsidR="00964B88" w:rsidRDefault="00964B88">
            <w:pPr>
              <w:cnfStyle w:val="000000000000" w:firstRow="0" w:lastRow="0" w:firstColumn="0" w:lastColumn="0" w:oddVBand="0" w:evenVBand="0" w:oddHBand="0" w:evenHBand="0" w:firstRowFirstColumn="0" w:firstRowLastColumn="0" w:lastRowFirstColumn="0" w:lastRowLastColumn="0"/>
            </w:pPr>
            <w:r>
              <w:t>187 696</w:t>
            </w:r>
          </w:p>
        </w:tc>
        <w:tc>
          <w:tcPr>
            <w:tcW w:w="850" w:type="dxa"/>
          </w:tcPr>
          <w:p w14:paraId="03ED8FD8" w14:textId="77777777" w:rsidR="00964B88" w:rsidRDefault="00964B88">
            <w:pPr>
              <w:cnfStyle w:val="000000000000" w:firstRow="0" w:lastRow="0" w:firstColumn="0" w:lastColumn="0" w:oddVBand="0" w:evenVBand="0" w:oddHBand="0" w:evenHBand="0" w:firstRowFirstColumn="0" w:firstRowLastColumn="0" w:lastRowFirstColumn="0" w:lastRowLastColumn="0"/>
            </w:pPr>
            <w:r>
              <w:t>195 961</w:t>
            </w:r>
          </w:p>
        </w:tc>
      </w:tr>
      <w:tr w:rsidR="00964B88" w14:paraId="273FC98F"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bottom w:val="single" w:sz="6" w:space="0" w:color="auto"/>
            </w:tcBorders>
          </w:tcPr>
          <w:p w14:paraId="5351338B" w14:textId="77777777" w:rsidR="00964B88" w:rsidRDefault="00964B88">
            <w:r>
              <w:t>Other non</w:t>
            </w:r>
            <w:r>
              <w:noBreakHyphen/>
              <w:t>financial assets</w:t>
            </w:r>
          </w:p>
        </w:tc>
        <w:tc>
          <w:tcPr>
            <w:tcW w:w="737" w:type="dxa"/>
            <w:tcBorders>
              <w:bottom w:val="single" w:sz="6" w:space="0" w:color="auto"/>
            </w:tcBorders>
          </w:tcPr>
          <w:p w14:paraId="6D333F4C"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4.4.4</w:t>
            </w:r>
          </w:p>
        </w:tc>
        <w:tc>
          <w:tcPr>
            <w:tcW w:w="850" w:type="dxa"/>
            <w:tcBorders>
              <w:bottom w:val="single" w:sz="6" w:space="0" w:color="auto"/>
            </w:tcBorders>
          </w:tcPr>
          <w:p w14:paraId="621044B6" w14:textId="77777777" w:rsidR="00964B88" w:rsidRDefault="00964B88">
            <w:pPr>
              <w:cnfStyle w:val="000000000000" w:firstRow="0" w:lastRow="0" w:firstColumn="0" w:lastColumn="0" w:oddVBand="0" w:evenVBand="0" w:oddHBand="0" w:evenHBand="0" w:firstRowFirstColumn="0" w:firstRowLastColumn="0" w:lastRowFirstColumn="0" w:lastRowLastColumn="0"/>
            </w:pPr>
            <w:r>
              <w:t>1 971</w:t>
            </w:r>
          </w:p>
        </w:tc>
        <w:tc>
          <w:tcPr>
            <w:tcW w:w="850" w:type="dxa"/>
            <w:tcBorders>
              <w:bottom w:val="single" w:sz="6" w:space="0" w:color="auto"/>
            </w:tcBorders>
          </w:tcPr>
          <w:p w14:paraId="2528EEEF" w14:textId="77777777" w:rsidR="00964B88" w:rsidRDefault="00964B88">
            <w:pPr>
              <w:cnfStyle w:val="000000000000" w:firstRow="0" w:lastRow="0" w:firstColumn="0" w:lastColumn="0" w:oddVBand="0" w:evenVBand="0" w:oddHBand="0" w:evenHBand="0" w:firstRowFirstColumn="0" w:firstRowLastColumn="0" w:lastRowFirstColumn="0" w:lastRowLastColumn="0"/>
            </w:pPr>
            <w:r>
              <w:t>2 048</w:t>
            </w:r>
          </w:p>
        </w:tc>
        <w:tc>
          <w:tcPr>
            <w:tcW w:w="850" w:type="dxa"/>
            <w:tcBorders>
              <w:bottom w:val="single" w:sz="6" w:space="0" w:color="auto"/>
            </w:tcBorders>
          </w:tcPr>
          <w:p w14:paraId="2E63011F" w14:textId="77777777" w:rsidR="00964B88" w:rsidRDefault="00964B88">
            <w:pPr>
              <w:cnfStyle w:val="000000000000" w:firstRow="0" w:lastRow="0" w:firstColumn="0" w:lastColumn="0" w:oddVBand="0" w:evenVBand="0" w:oddHBand="0" w:evenHBand="0" w:firstRowFirstColumn="0" w:firstRowLastColumn="0" w:lastRowFirstColumn="0" w:lastRowLastColumn="0"/>
            </w:pPr>
            <w:r>
              <w:t>1 880</w:t>
            </w:r>
          </w:p>
        </w:tc>
        <w:tc>
          <w:tcPr>
            <w:tcW w:w="850" w:type="dxa"/>
            <w:tcBorders>
              <w:bottom w:val="single" w:sz="6" w:space="0" w:color="auto"/>
            </w:tcBorders>
          </w:tcPr>
          <w:p w14:paraId="272EC1E1" w14:textId="77777777" w:rsidR="00964B88" w:rsidRDefault="00964B88">
            <w:pPr>
              <w:cnfStyle w:val="000000000000" w:firstRow="0" w:lastRow="0" w:firstColumn="0" w:lastColumn="0" w:oddVBand="0" w:evenVBand="0" w:oddHBand="0" w:evenHBand="0" w:firstRowFirstColumn="0" w:firstRowLastColumn="0" w:lastRowFirstColumn="0" w:lastRowLastColumn="0"/>
            </w:pPr>
            <w:r>
              <w:t>1 737</w:t>
            </w:r>
          </w:p>
        </w:tc>
        <w:tc>
          <w:tcPr>
            <w:tcW w:w="850" w:type="dxa"/>
            <w:tcBorders>
              <w:bottom w:val="single" w:sz="6" w:space="0" w:color="auto"/>
            </w:tcBorders>
          </w:tcPr>
          <w:p w14:paraId="47D09062" w14:textId="77777777" w:rsidR="00964B88" w:rsidRDefault="00964B88">
            <w:pPr>
              <w:cnfStyle w:val="000000000000" w:firstRow="0" w:lastRow="0" w:firstColumn="0" w:lastColumn="0" w:oddVBand="0" w:evenVBand="0" w:oddHBand="0" w:evenHBand="0" w:firstRowFirstColumn="0" w:firstRowLastColumn="0" w:lastRowFirstColumn="0" w:lastRowLastColumn="0"/>
            </w:pPr>
            <w:r>
              <w:t>1 576</w:t>
            </w:r>
          </w:p>
        </w:tc>
      </w:tr>
      <w:tr w:rsidR="00964B88" w14:paraId="17048F5B"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bottom w:val="single" w:sz="6" w:space="0" w:color="auto"/>
            </w:tcBorders>
          </w:tcPr>
          <w:p w14:paraId="55243124" w14:textId="77777777" w:rsidR="00964B88" w:rsidRDefault="00964B88">
            <w:r>
              <w:rPr>
                <w:b/>
              </w:rPr>
              <w:t>Total non</w:t>
            </w:r>
            <w:r>
              <w:rPr>
                <w:b/>
              </w:rPr>
              <w:noBreakHyphen/>
              <w:t>financial assets</w:t>
            </w:r>
          </w:p>
        </w:tc>
        <w:tc>
          <w:tcPr>
            <w:tcW w:w="737" w:type="dxa"/>
            <w:tcBorders>
              <w:top w:val="single" w:sz="6" w:space="0" w:color="auto"/>
              <w:bottom w:val="single" w:sz="6" w:space="0" w:color="auto"/>
            </w:tcBorders>
          </w:tcPr>
          <w:p w14:paraId="687E02C6"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bottom w:val="single" w:sz="6" w:space="0" w:color="auto"/>
            </w:tcBorders>
          </w:tcPr>
          <w:p w14:paraId="453D57D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167 775</w:t>
            </w:r>
          </w:p>
        </w:tc>
        <w:tc>
          <w:tcPr>
            <w:tcW w:w="850" w:type="dxa"/>
            <w:tcBorders>
              <w:top w:val="single" w:sz="6" w:space="0" w:color="auto"/>
              <w:bottom w:val="single" w:sz="6" w:space="0" w:color="auto"/>
            </w:tcBorders>
          </w:tcPr>
          <w:p w14:paraId="5D5EF0B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170 652</w:t>
            </w:r>
          </w:p>
        </w:tc>
        <w:tc>
          <w:tcPr>
            <w:tcW w:w="850" w:type="dxa"/>
            <w:tcBorders>
              <w:top w:val="single" w:sz="6" w:space="0" w:color="auto"/>
              <w:bottom w:val="single" w:sz="6" w:space="0" w:color="auto"/>
            </w:tcBorders>
          </w:tcPr>
          <w:p w14:paraId="1E45D67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182 102</w:t>
            </w:r>
          </w:p>
        </w:tc>
        <w:tc>
          <w:tcPr>
            <w:tcW w:w="850" w:type="dxa"/>
            <w:tcBorders>
              <w:top w:val="single" w:sz="6" w:space="0" w:color="auto"/>
              <w:bottom w:val="single" w:sz="6" w:space="0" w:color="auto"/>
            </w:tcBorders>
          </w:tcPr>
          <w:p w14:paraId="7840F38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189 848</w:t>
            </w:r>
          </w:p>
        </w:tc>
        <w:tc>
          <w:tcPr>
            <w:tcW w:w="850" w:type="dxa"/>
            <w:tcBorders>
              <w:top w:val="single" w:sz="6" w:space="0" w:color="auto"/>
              <w:bottom w:val="single" w:sz="6" w:space="0" w:color="auto"/>
            </w:tcBorders>
          </w:tcPr>
          <w:p w14:paraId="6ECBAEF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197 957</w:t>
            </w:r>
          </w:p>
        </w:tc>
      </w:tr>
      <w:tr w:rsidR="00964B88" w14:paraId="5D0BB18C"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tcBorders>
          </w:tcPr>
          <w:p w14:paraId="24FC4424" w14:textId="77777777" w:rsidR="00964B88" w:rsidRDefault="00964B88">
            <w:r>
              <w:rPr>
                <w:b/>
              </w:rPr>
              <w:t>Total assets</w:t>
            </w:r>
          </w:p>
        </w:tc>
        <w:tc>
          <w:tcPr>
            <w:tcW w:w="737" w:type="dxa"/>
            <w:tcBorders>
              <w:top w:val="single" w:sz="6" w:space="0" w:color="auto"/>
            </w:tcBorders>
          </w:tcPr>
          <w:p w14:paraId="7CCEE7C0"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4.4.5</w:t>
            </w:r>
          </w:p>
        </w:tc>
        <w:tc>
          <w:tcPr>
            <w:tcW w:w="850" w:type="dxa"/>
            <w:tcBorders>
              <w:top w:val="single" w:sz="6" w:space="0" w:color="auto"/>
            </w:tcBorders>
          </w:tcPr>
          <w:p w14:paraId="289DA65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299 459</w:t>
            </w:r>
          </w:p>
        </w:tc>
        <w:tc>
          <w:tcPr>
            <w:tcW w:w="850" w:type="dxa"/>
            <w:tcBorders>
              <w:top w:val="single" w:sz="6" w:space="0" w:color="auto"/>
            </w:tcBorders>
          </w:tcPr>
          <w:p w14:paraId="430224C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299 439</w:t>
            </w:r>
          </w:p>
        </w:tc>
        <w:tc>
          <w:tcPr>
            <w:tcW w:w="850" w:type="dxa"/>
            <w:tcBorders>
              <w:top w:val="single" w:sz="6" w:space="0" w:color="auto"/>
            </w:tcBorders>
          </w:tcPr>
          <w:p w14:paraId="4448C3D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314 758</w:t>
            </w:r>
          </w:p>
        </w:tc>
        <w:tc>
          <w:tcPr>
            <w:tcW w:w="850" w:type="dxa"/>
            <w:tcBorders>
              <w:top w:val="single" w:sz="6" w:space="0" w:color="auto"/>
            </w:tcBorders>
          </w:tcPr>
          <w:p w14:paraId="368E3D7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326 170</w:t>
            </w:r>
          </w:p>
        </w:tc>
        <w:tc>
          <w:tcPr>
            <w:tcW w:w="850" w:type="dxa"/>
            <w:tcBorders>
              <w:top w:val="single" w:sz="6" w:space="0" w:color="auto"/>
            </w:tcBorders>
          </w:tcPr>
          <w:p w14:paraId="09D8CBB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338 686</w:t>
            </w:r>
          </w:p>
        </w:tc>
      </w:tr>
      <w:tr w:rsidR="00964B88" w14:paraId="78E5BB05" w14:textId="77777777">
        <w:tc>
          <w:tcPr>
            <w:cnfStyle w:val="001000000000" w:firstRow="0" w:lastRow="0" w:firstColumn="1" w:lastColumn="0" w:oddVBand="0" w:evenVBand="0" w:oddHBand="0" w:evenHBand="0" w:firstRowFirstColumn="0" w:firstRowLastColumn="0" w:lastRowFirstColumn="0" w:lastRowLastColumn="0"/>
            <w:tcW w:w="2781" w:type="dxa"/>
          </w:tcPr>
          <w:p w14:paraId="24A73D0D" w14:textId="77777777" w:rsidR="00964B88" w:rsidRDefault="00964B88">
            <w:r>
              <w:rPr>
                <w:b/>
              </w:rPr>
              <w:t>Liabilities</w:t>
            </w:r>
          </w:p>
        </w:tc>
        <w:tc>
          <w:tcPr>
            <w:tcW w:w="737" w:type="dxa"/>
          </w:tcPr>
          <w:p w14:paraId="3EDDD27F"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5EE1238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E1C161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688E88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D4D009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2E1BBB1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5D9C91F7" w14:textId="77777777">
        <w:tc>
          <w:tcPr>
            <w:cnfStyle w:val="001000000000" w:firstRow="0" w:lastRow="0" w:firstColumn="1" w:lastColumn="0" w:oddVBand="0" w:evenVBand="0" w:oddHBand="0" w:evenHBand="0" w:firstRowFirstColumn="0" w:firstRowLastColumn="0" w:lastRowFirstColumn="0" w:lastRowLastColumn="0"/>
            <w:tcW w:w="2781" w:type="dxa"/>
          </w:tcPr>
          <w:p w14:paraId="2044A235" w14:textId="77777777" w:rsidR="00964B88" w:rsidRDefault="00964B88">
            <w:r>
              <w:t>Deposits held and advances received</w:t>
            </w:r>
          </w:p>
        </w:tc>
        <w:tc>
          <w:tcPr>
            <w:tcW w:w="737" w:type="dxa"/>
          </w:tcPr>
          <w:p w14:paraId="040F9A9B"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5AAED7F" w14:textId="77777777" w:rsidR="00964B88" w:rsidRDefault="00964B88">
            <w:pPr>
              <w:cnfStyle w:val="000000000000" w:firstRow="0" w:lastRow="0" w:firstColumn="0" w:lastColumn="0" w:oddVBand="0" w:evenVBand="0" w:oddHBand="0" w:evenHBand="0" w:firstRowFirstColumn="0" w:firstRowLastColumn="0" w:lastRowFirstColumn="0" w:lastRowLastColumn="0"/>
            </w:pPr>
            <w:r>
              <w:t>3 215</w:t>
            </w:r>
          </w:p>
        </w:tc>
        <w:tc>
          <w:tcPr>
            <w:tcW w:w="850" w:type="dxa"/>
          </w:tcPr>
          <w:p w14:paraId="6965FC06" w14:textId="77777777" w:rsidR="00964B88" w:rsidRDefault="00964B88">
            <w:pPr>
              <w:cnfStyle w:val="000000000000" w:firstRow="0" w:lastRow="0" w:firstColumn="0" w:lastColumn="0" w:oddVBand="0" w:evenVBand="0" w:oddHBand="0" w:evenHBand="0" w:firstRowFirstColumn="0" w:firstRowLastColumn="0" w:lastRowFirstColumn="0" w:lastRowLastColumn="0"/>
            </w:pPr>
            <w:r>
              <w:t>3 205</w:t>
            </w:r>
          </w:p>
        </w:tc>
        <w:tc>
          <w:tcPr>
            <w:tcW w:w="850" w:type="dxa"/>
          </w:tcPr>
          <w:p w14:paraId="088258AF" w14:textId="77777777" w:rsidR="00964B88" w:rsidRDefault="00964B88">
            <w:pPr>
              <w:cnfStyle w:val="000000000000" w:firstRow="0" w:lastRow="0" w:firstColumn="0" w:lastColumn="0" w:oddVBand="0" w:evenVBand="0" w:oddHBand="0" w:evenHBand="0" w:firstRowFirstColumn="0" w:firstRowLastColumn="0" w:lastRowFirstColumn="0" w:lastRowLastColumn="0"/>
            </w:pPr>
            <w:r>
              <w:t>2 002</w:t>
            </w:r>
          </w:p>
        </w:tc>
        <w:tc>
          <w:tcPr>
            <w:tcW w:w="850" w:type="dxa"/>
          </w:tcPr>
          <w:p w14:paraId="0B90F7A3" w14:textId="77777777" w:rsidR="00964B88" w:rsidRDefault="00964B88">
            <w:pPr>
              <w:cnfStyle w:val="000000000000" w:firstRow="0" w:lastRow="0" w:firstColumn="0" w:lastColumn="0" w:oddVBand="0" w:evenVBand="0" w:oddHBand="0" w:evenHBand="0" w:firstRowFirstColumn="0" w:firstRowLastColumn="0" w:lastRowFirstColumn="0" w:lastRowLastColumn="0"/>
            </w:pPr>
            <w:r>
              <w:t>1 350</w:t>
            </w:r>
          </w:p>
        </w:tc>
        <w:tc>
          <w:tcPr>
            <w:tcW w:w="850" w:type="dxa"/>
          </w:tcPr>
          <w:p w14:paraId="5378D552" w14:textId="77777777" w:rsidR="00964B88" w:rsidRDefault="00964B88">
            <w:pPr>
              <w:cnfStyle w:val="000000000000" w:firstRow="0" w:lastRow="0" w:firstColumn="0" w:lastColumn="0" w:oddVBand="0" w:evenVBand="0" w:oddHBand="0" w:evenHBand="0" w:firstRowFirstColumn="0" w:firstRowLastColumn="0" w:lastRowFirstColumn="0" w:lastRowLastColumn="0"/>
            </w:pPr>
            <w:r>
              <w:t>1 194</w:t>
            </w:r>
          </w:p>
        </w:tc>
      </w:tr>
      <w:tr w:rsidR="00964B88" w14:paraId="68F2CDB1" w14:textId="77777777">
        <w:tc>
          <w:tcPr>
            <w:cnfStyle w:val="001000000000" w:firstRow="0" w:lastRow="0" w:firstColumn="1" w:lastColumn="0" w:oddVBand="0" w:evenVBand="0" w:oddHBand="0" w:evenHBand="0" w:firstRowFirstColumn="0" w:firstRowLastColumn="0" w:lastRowFirstColumn="0" w:lastRowLastColumn="0"/>
            <w:tcW w:w="2781" w:type="dxa"/>
          </w:tcPr>
          <w:p w14:paraId="5A988F24" w14:textId="77777777" w:rsidR="00964B88" w:rsidRDefault="00964B88">
            <w:r>
              <w:t>Payables</w:t>
            </w:r>
          </w:p>
        </w:tc>
        <w:tc>
          <w:tcPr>
            <w:tcW w:w="737" w:type="dxa"/>
          </w:tcPr>
          <w:p w14:paraId="29B82CD3"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4.6.2</w:t>
            </w:r>
          </w:p>
        </w:tc>
        <w:tc>
          <w:tcPr>
            <w:tcW w:w="850" w:type="dxa"/>
          </w:tcPr>
          <w:p w14:paraId="199C5ED7" w14:textId="77777777" w:rsidR="00964B88" w:rsidRDefault="00964B88">
            <w:pPr>
              <w:cnfStyle w:val="000000000000" w:firstRow="0" w:lastRow="0" w:firstColumn="0" w:lastColumn="0" w:oddVBand="0" w:evenVBand="0" w:oddHBand="0" w:evenHBand="0" w:firstRowFirstColumn="0" w:firstRowLastColumn="0" w:lastRowFirstColumn="0" w:lastRowLastColumn="0"/>
            </w:pPr>
            <w:r>
              <w:t>16 430</w:t>
            </w:r>
          </w:p>
        </w:tc>
        <w:tc>
          <w:tcPr>
            <w:tcW w:w="850" w:type="dxa"/>
          </w:tcPr>
          <w:p w14:paraId="1EEF1CD3" w14:textId="77777777" w:rsidR="00964B88" w:rsidRDefault="00964B88">
            <w:pPr>
              <w:cnfStyle w:val="000000000000" w:firstRow="0" w:lastRow="0" w:firstColumn="0" w:lastColumn="0" w:oddVBand="0" w:evenVBand="0" w:oddHBand="0" w:evenHBand="0" w:firstRowFirstColumn="0" w:firstRowLastColumn="0" w:lastRowFirstColumn="0" w:lastRowLastColumn="0"/>
            </w:pPr>
            <w:r>
              <w:t>16 014</w:t>
            </w:r>
          </w:p>
        </w:tc>
        <w:tc>
          <w:tcPr>
            <w:tcW w:w="850" w:type="dxa"/>
          </w:tcPr>
          <w:p w14:paraId="56317F67" w14:textId="77777777" w:rsidR="00964B88" w:rsidRDefault="00964B88">
            <w:pPr>
              <w:cnfStyle w:val="000000000000" w:firstRow="0" w:lastRow="0" w:firstColumn="0" w:lastColumn="0" w:oddVBand="0" w:evenVBand="0" w:oddHBand="0" w:evenHBand="0" w:firstRowFirstColumn="0" w:firstRowLastColumn="0" w:lastRowFirstColumn="0" w:lastRowLastColumn="0"/>
            </w:pPr>
            <w:r>
              <w:t>16 573</w:t>
            </w:r>
          </w:p>
        </w:tc>
        <w:tc>
          <w:tcPr>
            <w:tcW w:w="850" w:type="dxa"/>
          </w:tcPr>
          <w:p w14:paraId="43F16776" w14:textId="77777777" w:rsidR="00964B88" w:rsidRDefault="00964B88">
            <w:pPr>
              <w:cnfStyle w:val="000000000000" w:firstRow="0" w:lastRow="0" w:firstColumn="0" w:lastColumn="0" w:oddVBand="0" w:evenVBand="0" w:oddHBand="0" w:evenHBand="0" w:firstRowFirstColumn="0" w:firstRowLastColumn="0" w:lastRowFirstColumn="0" w:lastRowLastColumn="0"/>
            </w:pPr>
            <w:r>
              <w:t>16 807</w:t>
            </w:r>
          </w:p>
        </w:tc>
        <w:tc>
          <w:tcPr>
            <w:tcW w:w="850" w:type="dxa"/>
          </w:tcPr>
          <w:p w14:paraId="1F1AF9ED" w14:textId="77777777" w:rsidR="00964B88" w:rsidRDefault="00964B88">
            <w:pPr>
              <w:cnfStyle w:val="000000000000" w:firstRow="0" w:lastRow="0" w:firstColumn="0" w:lastColumn="0" w:oddVBand="0" w:evenVBand="0" w:oddHBand="0" w:evenHBand="0" w:firstRowFirstColumn="0" w:firstRowLastColumn="0" w:lastRowFirstColumn="0" w:lastRowLastColumn="0"/>
            </w:pPr>
            <w:r>
              <w:t>16 096</w:t>
            </w:r>
          </w:p>
        </w:tc>
      </w:tr>
      <w:tr w:rsidR="00964B88" w14:paraId="1A06C641" w14:textId="77777777">
        <w:tc>
          <w:tcPr>
            <w:cnfStyle w:val="001000000000" w:firstRow="0" w:lastRow="0" w:firstColumn="1" w:lastColumn="0" w:oddVBand="0" w:evenVBand="0" w:oddHBand="0" w:evenHBand="0" w:firstRowFirstColumn="0" w:firstRowLastColumn="0" w:lastRowFirstColumn="0" w:lastRowLastColumn="0"/>
            <w:tcW w:w="2781" w:type="dxa"/>
          </w:tcPr>
          <w:p w14:paraId="45C9DBEA" w14:textId="77777777" w:rsidR="00964B88" w:rsidRDefault="00964B88">
            <w:r>
              <w:t>Borrowings</w:t>
            </w:r>
          </w:p>
        </w:tc>
        <w:tc>
          <w:tcPr>
            <w:tcW w:w="737" w:type="dxa"/>
          </w:tcPr>
          <w:p w14:paraId="6C0666F6"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4.5.1</w:t>
            </w:r>
          </w:p>
        </w:tc>
        <w:tc>
          <w:tcPr>
            <w:tcW w:w="850" w:type="dxa"/>
          </w:tcPr>
          <w:p w14:paraId="4CA8EC18" w14:textId="77777777" w:rsidR="00964B88" w:rsidRDefault="00964B88">
            <w:pPr>
              <w:cnfStyle w:val="000000000000" w:firstRow="0" w:lastRow="0" w:firstColumn="0" w:lastColumn="0" w:oddVBand="0" w:evenVBand="0" w:oddHBand="0" w:evenHBand="0" w:firstRowFirstColumn="0" w:firstRowLastColumn="0" w:lastRowFirstColumn="0" w:lastRowLastColumn="0"/>
            </w:pPr>
            <w:r>
              <w:t>51 237</w:t>
            </w:r>
          </w:p>
        </w:tc>
        <w:tc>
          <w:tcPr>
            <w:tcW w:w="850" w:type="dxa"/>
          </w:tcPr>
          <w:p w14:paraId="077630F6" w14:textId="77777777" w:rsidR="00964B88" w:rsidRDefault="00964B88">
            <w:pPr>
              <w:cnfStyle w:val="000000000000" w:firstRow="0" w:lastRow="0" w:firstColumn="0" w:lastColumn="0" w:oddVBand="0" w:evenVBand="0" w:oddHBand="0" w:evenHBand="0" w:firstRowFirstColumn="0" w:firstRowLastColumn="0" w:lastRowFirstColumn="0" w:lastRowLastColumn="0"/>
            </w:pPr>
            <w:r>
              <w:t>52 732</w:t>
            </w:r>
          </w:p>
        </w:tc>
        <w:tc>
          <w:tcPr>
            <w:tcW w:w="850" w:type="dxa"/>
          </w:tcPr>
          <w:p w14:paraId="5C40F17B" w14:textId="77777777" w:rsidR="00964B88" w:rsidRDefault="00964B88">
            <w:pPr>
              <w:cnfStyle w:val="000000000000" w:firstRow="0" w:lastRow="0" w:firstColumn="0" w:lastColumn="0" w:oddVBand="0" w:evenVBand="0" w:oddHBand="0" w:evenHBand="0" w:firstRowFirstColumn="0" w:firstRowLastColumn="0" w:lastRowFirstColumn="0" w:lastRowLastColumn="0"/>
            </w:pPr>
            <w:r>
              <w:t>61 663</w:t>
            </w:r>
          </w:p>
        </w:tc>
        <w:tc>
          <w:tcPr>
            <w:tcW w:w="850" w:type="dxa"/>
          </w:tcPr>
          <w:p w14:paraId="427CEAA7" w14:textId="77777777" w:rsidR="00964B88" w:rsidRDefault="00964B88">
            <w:pPr>
              <w:cnfStyle w:val="000000000000" w:firstRow="0" w:lastRow="0" w:firstColumn="0" w:lastColumn="0" w:oddVBand="0" w:evenVBand="0" w:oddHBand="0" w:evenHBand="0" w:firstRowFirstColumn="0" w:firstRowLastColumn="0" w:lastRowFirstColumn="0" w:lastRowLastColumn="0"/>
            </w:pPr>
            <w:r>
              <w:t>66 558</w:t>
            </w:r>
          </w:p>
        </w:tc>
        <w:tc>
          <w:tcPr>
            <w:tcW w:w="850" w:type="dxa"/>
          </w:tcPr>
          <w:p w14:paraId="4D42E2E2" w14:textId="77777777" w:rsidR="00964B88" w:rsidRDefault="00964B88">
            <w:pPr>
              <w:cnfStyle w:val="000000000000" w:firstRow="0" w:lastRow="0" w:firstColumn="0" w:lastColumn="0" w:oddVBand="0" w:evenVBand="0" w:oddHBand="0" w:evenHBand="0" w:firstRowFirstColumn="0" w:firstRowLastColumn="0" w:lastRowFirstColumn="0" w:lastRowLastColumn="0"/>
            </w:pPr>
            <w:r>
              <w:t>70 953</w:t>
            </w:r>
          </w:p>
        </w:tc>
      </w:tr>
      <w:tr w:rsidR="00964B88" w14:paraId="63F16CBB" w14:textId="77777777">
        <w:tc>
          <w:tcPr>
            <w:cnfStyle w:val="001000000000" w:firstRow="0" w:lastRow="0" w:firstColumn="1" w:lastColumn="0" w:oddVBand="0" w:evenVBand="0" w:oddHBand="0" w:evenHBand="0" w:firstRowFirstColumn="0" w:firstRowLastColumn="0" w:lastRowFirstColumn="0" w:lastRowLastColumn="0"/>
            <w:tcW w:w="2781" w:type="dxa"/>
          </w:tcPr>
          <w:p w14:paraId="10F07067" w14:textId="77777777" w:rsidR="00964B88" w:rsidRDefault="00964B88">
            <w:r>
              <w:t>Employee benefits</w:t>
            </w:r>
          </w:p>
        </w:tc>
        <w:tc>
          <w:tcPr>
            <w:tcW w:w="737" w:type="dxa"/>
          </w:tcPr>
          <w:p w14:paraId="7314C926"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4.3.1</w:t>
            </w:r>
          </w:p>
        </w:tc>
        <w:tc>
          <w:tcPr>
            <w:tcW w:w="850" w:type="dxa"/>
          </w:tcPr>
          <w:p w14:paraId="7F75BDAC" w14:textId="77777777" w:rsidR="00964B88" w:rsidRDefault="00964B88">
            <w:pPr>
              <w:cnfStyle w:val="000000000000" w:firstRow="0" w:lastRow="0" w:firstColumn="0" w:lastColumn="0" w:oddVBand="0" w:evenVBand="0" w:oddHBand="0" w:evenHBand="0" w:firstRowFirstColumn="0" w:firstRowLastColumn="0" w:lastRowFirstColumn="0" w:lastRowLastColumn="0"/>
            </w:pPr>
            <w:r>
              <w:t>8 337</w:t>
            </w:r>
          </w:p>
        </w:tc>
        <w:tc>
          <w:tcPr>
            <w:tcW w:w="850" w:type="dxa"/>
          </w:tcPr>
          <w:p w14:paraId="62FA6DE3" w14:textId="77777777" w:rsidR="00964B88" w:rsidRDefault="00964B88">
            <w:pPr>
              <w:cnfStyle w:val="000000000000" w:firstRow="0" w:lastRow="0" w:firstColumn="0" w:lastColumn="0" w:oddVBand="0" w:evenVBand="0" w:oddHBand="0" w:evenHBand="0" w:firstRowFirstColumn="0" w:firstRowLastColumn="0" w:lastRowFirstColumn="0" w:lastRowLastColumn="0"/>
            </w:pPr>
            <w:r>
              <w:t>8 333</w:t>
            </w:r>
          </w:p>
        </w:tc>
        <w:tc>
          <w:tcPr>
            <w:tcW w:w="850" w:type="dxa"/>
          </w:tcPr>
          <w:p w14:paraId="3C5687CA" w14:textId="77777777" w:rsidR="00964B88" w:rsidRDefault="00964B88">
            <w:pPr>
              <w:cnfStyle w:val="000000000000" w:firstRow="0" w:lastRow="0" w:firstColumn="0" w:lastColumn="0" w:oddVBand="0" w:evenVBand="0" w:oddHBand="0" w:evenHBand="0" w:firstRowFirstColumn="0" w:firstRowLastColumn="0" w:lastRowFirstColumn="0" w:lastRowLastColumn="0"/>
            </w:pPr>
            <w:r>
              <w:t>8 624</w:t>
            </w:r>
          </w:p>
        </w:tc>
        <w:tc>
          <w:tcPr>
            <w:tcW w:w="850" w:type="dxa"/>
          </w:tcPr>
          <w:p w14:paraId="5EA4208E" w14:textId="77777777" w:rsidR="00964B88" w:rsidRDefault="00964B88">
            <w:pPr>
              <w:cnfStyle w:val="000000000000" w:firstRow="0" w:lastRow="0" w:firstColumn="0" w:lastColumn="0" w:oddVBand="0" w:evenVBand="0" w:oddHBand="0" w:evenHBand="0" w:firstRowFirstColumn="0" w:firstRowLastColumn="0" w:lastRowFirstColumn="0" w:lastRowLastColumn="0"/>
            </w:pPr>
            <w:r>
              <w:t>8 916</w:t>
            </w:r>
          </w:p>
        </w:tc>
        <w:tc>
          <w:tcPr>
            <w:tcW w:w="850" w:type="dxa"/>
          </w:tcPr>
          <w:p w14:paraId="5981CF10" w14:textId="77777777" w:rsidR="00964B88" w:rsidRDefault="00964B88">
            <w:pPr>
              <w:cnfStyle w:val="000000000000" w:firstRow="0" w:lastRow="0" w:firstColumn="0" w:lastColumn="0" w:oddVBand="0" w:evenVBand="0" w:oddHBand="0" w:evenHBand="0" w:firstRowFirstColumn="0" w:firstRowLastColumn="0" w:lastRowFirstColumn="0" w:lastRowLastColumn="0"/>
            </w:pPr>
            <w:r>
              <w:t>9 214</w:t>
            </w:r>
          </w:p>
        </w:tc>
      </w:tr>
      <w:tr w:rsidR="00964B88" w14:paraId="1204DD6D" w14:textId="77777777">
        <w:tc>
          <w:tcPr>
            <w:cnfStyle w:val="001000000000" w:firstRow="0" w:lastRow="0" w:firstColumn="1" w:lastColumn="0" w:oddVBand="0" w:evenVBand="0" w:oddHBand="0" w:evenHBand="0" w:firstRowFirstColumn="0" w:firstRowLastColumn="0" w:lastRowFirstColumn="0" w:lastRowLastColumn="0"/>
            <w:tcW w:w="2781" w:type="dxa"/>
          </w:tcPr>
          <w:p w14:paraId="3FE52C8F" w14:textId="77777777" w:rsidR="00964B88" w:rsidRDefault="00964B88">
            <w:r>
              <w:t>Superannuation</w:t>
            </w:r>
          </w:p>
        </w:tc>
        <w:tc>
          <w:tcPr>
            <w:tcW w:w="737" w:type="dxa"/>
          </w:tcPr>
          <w:p w14:paraId="55EB2FA2"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r>
              <w:t>4.6.3</w:t>
            </w:r>
          </w:p>
        </w:tc>
        <w:tc>
          <w:tcPr>
            <w:tcW w:w="850" w:type="dxa"/>
          </w:tcPr>
          <w:p w14:paraId="3A8F30D8" w14:textId="77777777" w:rsidR="00964B88" w:rsidRDefault="00964B88">
            <w:pPr>
              <w:cnfStyle w:val="000000000000" w:firstRow="0" w:lastRow="0" w:firstColumn="0" w:lastColumn="0" w:oddVBand="0" w:evenVBand="0" w:oddHBand="0" w:evenHBand="0" w:firstRowFirstColumn="0" w:firstRowLastColumn="0" w:lastRowFirstColumn="0" w:lastRowLastColumn="0"/>
            </w:pPr>
            <w:r>
              <w:t>27 551</w:t>
            </w:r>
          </w:p>
        </w:tc>
        <w:tc>
          <w:tcPr>
            <w:tcW w:w="850" w:type="dxa"/>
          </w:tcPr>
          <w:p w14:paraId="2251A3E4" w14:textId="77777777" w:rsidR="00964B88" w:rsidRDefault="00964B88">
            <w:pPr>
              <w:cnfStyle w:val="000000000000" w:firstRow="0" w:lastRow="0" w:firstColumn="0" w:lastColumn="0" w:oddVBand="0" w:evenVBand="0" w:oddHBand="0" w:evenHBand="0" w:firstRowFirstColumn="0" w:firstRowLastColumn="0" w:lastRowFirstColumn="0" w:lastRowLastColumn="0"/>
            </w:pPr>
            <w:r>
              <w:t>28 437</w:t>
            </w:r>
          </w:p>
        </w:tc>
        <w:tc>
          <w:tcPr>
            <w:tcW w:w="850" w:type="dxa"/>
          </w:tcPr>
          <w:p w14:paraId="31091801" w14:textId="77777777" w:rsidR="00964B88" w:rsidRDefault="00964B88">
            <w:pPr>
              <w:cnfStyle w:val="000000000000" w:firstRow="0" w:lastRow="0" w:firstColumn="0" w:lastColumn="0" w:oddVBand="0" w:evenVBand="0" w:oddHBand="0" w:evenHBand="0" w:firstRowFirstColumn="0" w:firstRowLastColumn="0" w:lastRowFirstColumn="0" w:lastRowLastColumn="0"/>
            </w:pPr>
            <w:r>
              <w:t>26 844</w:t>
            </w:r>
          </w:p>
        </w:tc>
        <w:tc>
          <w:tcPr>
            <w:tcW w:w="850" w:type="dxa"/>
          </w:tcPr>
          <w:p w14:paraId="44EA9E5A" w14:textId="77777777" w:rsidR="00964B88" w:rsidRDefault="00964B88">
            <w:pPr>
              <w:cnfStyle w:val="000000000000" w:firstRow="0" w:lastRow="0" w:firstColumn="0" w:lastColumn="0" w:oddVBand="0" w:evenVBand="0" w:oddHBand="0" w:evenHBand="0" w:firstRowFirstColumn="0" w:firstRowLastColumn="0" w:lastRowFirstColumn="0" w:lastRowLastColumn="0"/>
            </w:pPr>
            <w:r>
              <w:t>25 331</w:t>
            </w:r>
          </w:p>
        </w:tc>
        <w:tc>
          <w:tcPr>
            <w:tcW w:w="850" w:type="dxa"/>
          </w:tcPr>
          <w:p w14:paraId="77C9C12D" w14:textId="77777777" w:rsidR="00964B88" w:rsidRDefault="00964B88">
            <w:pPr>
              <w:cnfStyle w:val="000000000000" w:firstRow="0" w:lastRow="0" w:firstColumn="0" w:lastColumn="0" w:oddVBand="0" w:evenVBand="0" w:oddHBand="0" w:evenHBand="0" w:firstRowFirstColumn="0" w:firstRowLastColumn="0" w:lastRowFirstColumn="0" w:lastRowLastColumn="0"/>
            </w:pPr>
            <w:r>
              <w:t>23 817</w:t>
            </w:r>
          </w:p>
        </w:tc>
      </w:tr>
      <w:tr w:rsidR="00964B88" w14:paraId="246F410C"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bottom w:val="single" w:sz="6" w:space="0" w:color="auto"/>
            </w:tcBorders>
          </w:tcPr>
          <w:p w14:paraId="5FAF5EA9" w14:textId="77777777" w:rsidR="00964B88" w:rsidRDefault="00964B88">
            <w:r>
              <w:t>Other provisions</w:t>
            </w:r>
          </w:p>
        </w:tc>
        <w:tc>
          <w:tcPr>
            <w:tcW w:w="737" w:type="dxa"/>
            <w:tcBorders>
              <w:bottom w:val="single" w:sz="6" w:space="0" w:color="auto"/>
            </w:tcBorders>
          </w:tcPr>
          <w:p w14:paraId="65CF5ED8"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bottom w:val="single" w:sz="6" w:space="0" w:color="auto"/>
            </w:tcBorders>
          </w:tcPr>
          <w:p w14:paraId="5F76826C" w14:textId="77777777" w:rsidR="00964B88" w:rsidRDefault="00964B88">
            <w:pPr>
              <w:cnfStyle w:val="000000000000" w:firstRow="0" w:lastRow="0" w:firstColumn="0" w:lastColumn="0" w:oddVBand="0" w:evenVBand="0" w:oddHBand="0" w:evenHBand="0" w:firstRowFirstColumn="0" w:firstRowLastColumn="0" w:lastRowFirstColumn="0" w:lastRowLastColumn="0"/>
            </w:pPr>
            <w:r>
              <w:t>1 056</w:t>
            </w:r>
          </w:p>
        </w:tc>
        <w:tc>
          <w:tcPr>
            <w:tcW w:w="850" w:type="dxa"/>
            <w:tcBorders>
              <w:bottom w:val="single" w:sz="6" w:space="0" w:color="auto"/>
            </w:tcBorders>
          </w:tcPr>
          <w:p w14:paraId="60765009" w14:textId="77777777" w:rsidR="00964B88" w:rsidRDefault="00964B88">
            <w:pPr>
              <w:cnfStyle w:val="000000000000" w:firstRow="0" w:lastRow="0" w:firstColumn="0" w:lastColumn="0" w:oddVBand="0" w:evenVBand="0" w:oddHBand="0" w:evenHBand="0" w:firstRowFirstColumn="0" w:firstRowLastColumn="0" w:lastRowFirstColumn="0" w:lastRowLastColumn="0"/>
            </w:pPr>
            <w:r>
              <w:t>1 024</w:t>
            </w:r>
          </w:p>
        </w:tc>
        <w:tc>
          <w:tcPr>
            <w:tcW w:w="850" w:type="dxa"/>
            <w:tcBorders>
              <w:bottom w:val="single" w:sz="6" w:space="0" w:color="auto"/>
            </w:tcBorders>
          </w:tcPr>
          <w:p w14:paraId="35E94B34" w14:textId="77777777" w:rsidR="00964B88" w:rsidRDefault="00964B88">
            <w:pPr>
              <w:cnfStyle w:val="000000000000" w:firstRow="0" w:lastRow="0" w:firstColumn="0" w:lastColumn="0" w:oddVBand="0" w:evenVBand="0" w:oddHBand="0" w:evenHBand="0" w:firstRowFirstColumn="0" w:firstRowLastColumn="0" w:lastRowFirstColumn="0" w:lastRowLastColumn="0"/>
            </w:pPr>
            <w:r>
              <w:t>1 042</w:t>
            </w:r>
          </w:p>
        </w:tc>
        <w:tc>
          <w:tcPr>
            <w:tcW w:w="850" w:type="dxa"/>
            <w:tcBorders>
              <w:bottom w:val="single" w:sz="6" w:space="0" w:color="auto"/>
            </w:tcBorders>
          </w:tcPr>
          <w:p w14:paraId="51F6CCE0" w14:textId="77777777" w:rsidR="00964B88" w:rsidRDefault="00964B88">
            <w:pPr>
              <w:cnfStyle w:val="000000000000" w:firstRow="0" w:lastRow="0" w:firstColumn="0" w:lastColumn="0" w:oddVBand="0" w:evenVBand="0" w:oddHBand="0" w:evenHBand="0" w:firstRowFirstColumn="0" w:firstRowLastColumn="0" w:lastRowFirstColumn="0" w:lastRowLastColumn="0"/>
            </w:pPr>
            <w:r>
              <w:t>1 083</w:t>
            </w:r>
          </w:p>
        </w:tc>
        <w:tc>
          <w:tcPr>
            <w:tcW w:w="850" w:type="dxa"/>
            <w:tcBorders>
              <w:bottom w:val="single" w:sz="6" w:space="0" w:color="auto"/>
            </w:tcBorders>
          </w:tcPr>
          <w:p w14:paraId="041E960E" w14:textId="77777777" w:rsidR="00964B88" w:rsidRDefault="00964B88">
            <w:pPr>
              <w:cnfStyle w:val="000000000000" w:firstRow="0" w:lastRow="0" w:firstColumn="0" w:lastColumn="0" w:oddVBand="0" w:evenVBand="0" w:oddHBand="0" w:evenHBand="0" w:firstRowFirstColumn="0" w:firstRowLastColumn="0" w:lastRowFirstColumn="0" w:lastRowLastColumn="0"/>
            </w:pPr>
            <w:r>
              <w:t>1 113</w:t>
            </w:r>
          </w:p>
        </w:tc>
      </w:tr>
      <w:tr w:rsidR="00964B88" w14:paraId="7332928D"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bottom w:val="single" w:sz="6" w:space="0" w:color="auto"/>
            </w:tcBorders>
          </w:tcPr>
          <w:p w14:paraId="5B1F3868" w14:textId="77777777" w:rsidR="00964B88" w:rsidRDefault="00964B88">
            <w:r>
              <w:rPr>
                <w:b/>
              </w:rPr>
              <w:t>Total liabilities</w:t>
            </w:r>
          </w:p>
        </w:tc>
        <w:tc>
          <w:tcPr>
            <w:tcW w:w="737" w:type="dxa"/>
            <w:tcBorders>
              <w:top w:val="single" w:sz="6" w:space="0" w:color="auto"/>
              <w:bottom w:val="single" w:sz="6" w:space="0" w:color="auto"/>
            </w:tcBorders>
          </w:tcPr>
          <w:p w14:paraId="57C3DFD2"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bottom w:val="single" w:sz="6" w:space="0" w:color="auto"/>
            </w:tcBorders>
          </w:tcPr>
          <w:p w14:paraId="106E66A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107 826</w:t>
            </w:r>
          </w:p>
        </w:tc>
        <w:tc>
          <w:tcPr>
            <w:tcW w:w="850" w:type="dxa"/>
            <w:tcBorders>
              <w:top w:val="single" w:sz="6" w:space="0" w:color="auto"/>
              <w:bottom w:val="single" w:sz="6" w:space="0" w:color="auto"/>
            </w:tcBorders>
          </w:tcPr>
          <w:p w14:paraId="7665466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109 746</w:t>
            </w:r>
          </w:p>
        </w:tc>
        <w:tc>
          <w:tcPr>
            <w:tcW w:w="850" w:type="dxa"/>
            <w:tcBorders>
              <w:top w:val="single" w:sz="6" w:space="0" w:color="auto"/>
              <w:bottom w:val="single" w:sz="6" w:space="0" w:color="auto"/>
            </w:tcBorders>
          </w:tcPr>
          <w:p w14:paraId="264A8B3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116 748</w:t>
            </w:r>
          </w:p>
        </w:tc>
        <w:tc>
          <w:tcPr>
            <w:tcW w:w="850" w:type="dxa"/>
            <w:tcBorders>
              <w:top w:val="single" w:sz="6" w:space="0" w:color="auto"/>
              <w:bottom w:val="single" w:sz="6" w:space="0" w:color="auto"/>
            </w:tcBorders>
          </w:tcPr>
          <w:p w14:paraId="14CAFCC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120 045</w:t>
            </w:r>
          </w:p>
        </w:tc>
        <w:tc>
          <w:tcPr>
            <w:tcW w:w="850" w:type="dxa"/>
            <w:tcBorders>
              <w:top w:val="single" w:sz="6" w:space="0" w:color="auto"/>
              <w:bottom w:val="single" w:sz="6" w:space="0" w:color="auto"/>
            </w:tcBorders>
          </w:tcPr>
          <w:p w14:paraId="4A4FD1D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122 386</w:t>
            </w:r>
          </w:p>
        </w:tc>
      </w:tr>
      <w:tr w:rsidR="00964B88" w14:paraId="2910336D"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bottom w:val="single" w:sz="12" w:space="0" w:color="auto"/>
            </w:tcBorders>
          </w:tcPr>
          <w:p w14:paraId="762D1CD0" w14:textId="77777777" w:rsidR="00964B88" w:rsidRDefault="00964B88">
            <w:r>
              <w:rPr>
                <w:b/>
              </w:rPr>
              <w:t>Net assets</w:t>
            </w:r>
          </w:p>
        </w:tc>
        <w:tc>
          <w:tcPr>
            <w:tcW w:w="737" w:type="dxa"/>
            <w:tcBorders>
              <w:top w:val="single" w:sz="6" w:space="0" w:color="auto"/>
              <w:bottom w:val="single" w:sz="12" w:space="0" w:color="auto"/>
            </w:tcBorders>
          </w:tcPr>
          <w:p w14:paraId="3BB73F7D"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bottom w:val="single" w:sz="12" w:space="0" w:color="auto"/>
            </w:tcBorders>
          </w:tcPr>
          <w:p w14:paraId="000B75D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191 633</w:t>
            </w:r>
          </w:p>
        </w:tc>
        <w:tc>
          <w:tcPr>
            <w:tcW w:w="850" w:type="dxa"/>
            <w:tcBorders>
              <w:top w:val="single" w:sz="6" w:space="0" w:color="auto"/>
              <w:bottom w:val="single" w:sz="12" w:space="0" w:color="auto"/>
            </w:tcBorders>
          </w:tcPr>
          <w:p w14:paraId="52B5050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189 693</w:t>
            </w:r>
          </w:p>
        </w:tc>
        <w:tc>
          <w:tcPr>
            <w:tcW w:w="850" w:type="dxa"/>
            <w:tcBorders>
              <w:top w:val="single" w:sz="6" w:space="0" w:color="auto"/>
              <w:bottom w:val="single" w:sz="12" w:space="0" w:color="auto"/>
            </w:tcBorders>
          </w:tcPr>
          <w:p w14:paraId="058FFAA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198 010</w:t>
            </w:r>
          </w:p>
        </w:tc>
        <w:tc>
          <w:tcPr>
            <w:tcW w:w="850" w:type="dxa"/>
            <w:tcBorders>
              <w:top w:val="single" w:sz="6" w:space="0" w:color="auto"/>
              <w:bottom w:val="single" w:sz="12" w:space="0" w:color="auto"/>
            </w:tcBorders>
          </w:tcPr>
          <w:p w14:paraId="7F8E9BF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206 125</w:t>
            </w:r>
          </w:p>
        </w:tc>
        <w:tc>
          <w:tcPr>
            <w:tcW w:w="850" w:type="dxa"/>
            <w:tcBorders>
              <w:top w:val="single" w:sz="6" w:space="0" w:color="auto"/>
              <w:bottom w:val="single" w:sz="12" w:space="0" w:color="auto"/>
            </w:tcBorders>
          </w:tcPr>
          <w:p w14:paraId="1D03779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216 300</w:t>
            </w:r>
          </w:p>
        </w:tc>
      </w:tr>
      <w:tr w:rsidR="00964B88" w14:paraId="346CBD1C"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top w:val="single" w:sz="0" w:space="0" w:color="auto"/>
            </w:tcBorders>
          </w:tcPr>
          <w:p w14:paraId="6D91A653" w14:textId="77777777" w:rsidR="00964B88" w:rsidRDefault="00964B88">
            <w:r>
              <w:t>Accumulated surplus/(deficit)</w:t>
            </w:r>
          </w:p>
        </w:tc>
        <w:tc>
          <w:tcPr>
            <w:tcW w:w="737" w:type="dxa"/>
            <w:tcBorders>
              <w:top w:val="single" w:sz="0" w:space="0" w:color="auto"/>
            </w:tcBorders>
          </w:tcPr>
          <w:p w14:paraId="07A6B42B"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215A8C65" w14:textId="77777777" w:rsidR="00964B88" w:rsidRDefault="00964B88">
            <w:pPr>
              <w:cnfStyle w:val="000000000000" w:firstRow="0" w:lastRow="0" w:firstColumn="0" w:lastColumn="0" w:oddVBand="0" w:evenVBand="0" w:oddHBand="0" w:evenHBand="0" w:firstRowFirstColumn="0" w:firstRowLastColumn="0" w:lastRowFirstColumn="0" w:lastRowLastColumn="0"/>
            </w:pPr>
            <w:r>
              <w:t>57 449</w:t>
            </w:r>
          </w:p>
        </w:tc>
        <w:tc>
          <w:tcPr>
            <w:tcW w:w="850" w:type="dxa"/>
            <w:tcBorders>
              <w:top w:val="single" w:sz="0" w:space="0" w:color="auto"/>
            </w:tcBorders>
          </w:tcPr>
          <w:p w14:paraId="29C8D011" w14:textId="77777777" w:rsidR="00964B88" w:rsidRDefault="00964B88">
            <w:pPr>
              <w:cnfStyle w:val="000000000000" w:firstRow="0" w:lastRow="0" w:firstColumn="0" w:lastColumn="0" w:oddVBand="0" w:evenVBand="0" w:oddHBand="0" w:evenHBand="0" w:firstRowFirstColumn="0" w:firstRowLastColumn="0" w:lastRowFirstColumn="0" w:lastRowLastColumn="0"/>
            </w:pPr>
            <w:r>
              <w:t>79 584</w:t>
            </w:r>
          </w:p>
        </w:tc>
        <w:tc>
          <w:tcPr>
            <w:tcW w:w="850" w:type="dxa"/>
            <w:tcBorders>
              <w:top w:val="single" w:sz="0" w:space="0" w:color="auto"/>
            </w:tcBorders>
          </w:tcPr>
          <w:p w14:paraId="17E2D9B2" w14:textId="77777777" w:rsidR="00964B88" w:rsidRDefault="00964B88">
            <w:pPr>
              <w:cnfStyle w:val="000000000000" w:firstRow="0" w:lastRow="0" w:firstColumn="0" w:lastColumn="0" w:oddVBand="0" w:evenVBand="0" w:oddHBand="0" w:evenHBand="0" w:firstRowFirstColumn="0" w:firstRowLastColumn="0" w:lastRowFirstColumn="0" w:lastRowLastColumn="0"/>
            </w:pPr>
            <w:r>
              <w:t>81 862</w:t>
            </w:r>
          </w:p>
        </w:tc>
        <w:tc>
          <w:tcPr>
            <w:tcW w:w="850" w:type="dxa"/>
            <w:tcBorders>
              <w:top w:val="single" w:sz="0" w:space="0" w:color="auto"/>
            </w:tcBorders>
          </w:tcPr>
          <w:p w14:paraId="74C63A02" w14:textId="77777777" w:rsidR="00964B88" w:rsidRDefault="00964B88">
            <w:pPr>
              <w:cnfStyle w:val="000000000000" w:firstRow="0" w:lastRow="0" w:firstColumn="0" w:lastColumn="0" w:oddVBand="0" w:evenVBand="0" w:oddHBand="0" w:evenHBand="0" w:firstRowFirstColumn="0" w:firstRowLastColumn="0" w:lastRowFirstColumn="0" w:lastRowLastColumn="0"/>
            </w:pPr>
            <w:r>
              <w:t>86 827</w:t>
            </w:r>
          </w:p>
        </w:tc>
        <w:tc>
          <w:tcPr>
            <w:tcW w:w="850" w:type="dxa"/>
            <w:tcBorders>
              <w:top w:val="single" w:sz="0" w:space="0" w:color="auto"/>
            </w:tcBorders>
          </w:tcPr>
          <w:p w14:paraId="73AC4F57" w14:textId="77777777" w:rsidR="00964B88" w:rsidRDefault="00964B88">
            <w:pPr>
              <w:cnfStyle w:val="000000000000" w:firstRow="0" w:lastRow="0" w:firstColumn="0" w:lastColumn="0" w:oddVBand="0" w:evenVBand="0" w:oddHBand="0" w:evenHBand="0" w:firstRowFirstColumn="0" w:firstRowLastColumn="0" w:lastRowFirstColumn="0" w:lastRowLastColumn="0"/>
            </w:pPr>
            <w:r>
              <w:t>92 868</w:t>
            </w:r>
          </w:p>
        </w:tc>
      </w:tr>
      <w:tr w:rsidR="00964B88" w14:paraId="07366EBA"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bottom w:val="single" w:sz="6" w:space="0" w:color="auto"/>
            </w:tcBorders>
          </w:tcPr>
          <w:p w14:paraId="4A9FA26E" w14:textId="77777777" w:rsidR="00964B88" w:rsidRDefault="00964B88">
            <w:r>
              <w:t>Reserves</w:t>
            </w:r>
          </w:p>
        </w:tc>
        <w:tc>
          <w:tcPr>
            <w:tcW w:w="737" w:type="dxa"/>
            <w:tcBorders>
              <w:bottom w:val="single" w:sz="6" w:space="0" w:color="auto"/>
            </w:tcBorders>
          </w:tcPr>
          <w:p w14:paraId="692725D5"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bottom w:val="single" w:sz="6" w:space="0" w:color="auto"/>
            </w:tcBorders>
          </w:tcPr>
          <w:p w14:paraId="1DE34E59" w14:textId="77777777" w:rsidR="00964B88" w:rsidRDefault="00964B88">
            <w:pPr>
              <w:cnfStyle w:val="000000000000" w:firstRow="0" w:lastRow="0" w:firstColumn="0" w:lastColumn="0" w:oddVBand="0" w:evenVBand="0" w:oddHBand="0" w:evenHBand="0" w:firstRowFirstColumn="0" w:firstRowLastColumn="0" w:lastRowFirstColumn="0" w:lastRowLastColumn="0"/>
            </w:pPr>
            <w:r>
              <w:t>134 184</w:t>
            </w:r>
          </w:p>
        </w:tc>
        <w:tc>
          <w:tcPr>
            <w:tcW w:w="850" w:type="dxa"/>
            <w:tcBorders>
              <w:bottom w:val="single" w:sz="6" w:space="0" w:color="auto"/>
            </w:tcBorders>
          </w:tcPr>
          <w:p w14:paraId="34416A60" w14:textId="77777777" w:rsidR="00964B88" w:rsidRDefault="00964B88">
            <w:pPr>
              <w:cnfStyle w:val="000000000000" w:firstRow="0" w:lastRow="0" w:firstColumn="0" w:lastColumn="0" w:oddVBand="0" w:evenVBand="0" w:oddHBand="0" w:evenHBand="0" w:firstRowFirstColumn="0" w:firstRowLastColumn="0" w:lastRowFirstColumn="0" w:lastRowLastColumn="0"/>
            </w:pPr>
            <w:r>
              <w:t>110 109</w:t>
            </w:r>
          </w:p>
        </w:tc>
        <w:tc>
          <w:tcPr>
            <w:tcW w:w="850" w:type="dxa"/>
            <w:tcBorders>
              <w:bottom w:val="single" w:sz="6" w:space="0" w:color="auto"/>
            </w:tcBorders>
          </w:tcPr>
          <w:p w14:paraId="4C9AA7A3" w14:textId="77777777" w:rsidR="00964B88" w:rsidRDefault="00964B88">
            <w:pPr>
              <w:cnfStyle w:val="000000000000" w:firstRow="0" w:lastRow="0" w:firstColumn="0" w:lastColumn="0" w:oddVBand="0" w:evenVBand="0" w:oddHBand="0" w:evenHBand="0" w:firstRowFirstColumn="0" w:firstRowLastColumn="0" w:lastRowFirstColumn="0" w:lastRowLastColumn="0"/>
            </w:pPr>
            <w:r>
              <w:t>116 148</w:t>
            </w:r>
          </w:p>
        </w:tc>
        <w:tc>
          <w:tcPr>
            <w:tcW w:w="850" w:type="dxa"/>
            <w:tcBorders>
              <w:bottom w:val="single" w:sz="6" w:space="0" w:color="auto"/>
            </w:tcBorders>
          </w:tcPr>
          <w:p w14:paraId="641DEBFC" w14:textId="77777777" w:rsidR="00964B88" w:rsidRDefault="00964B88">
            <w:pPr>
              <w:cnfStyle w:val="000000000000" w:firstRow="0" w:lastRow="0" w:firstColumn="0" w:lastColumn="0" w:oddVBand="0" w:evenVBand="0" w:oddHBand="0" w:evenHBand="0" w:firstRowFirstColumn="0" w:firstRowLastColumn="0" w:lastRowFirstColumn="0" w:lastRowLastColumn="0"/>
            </w:pPr>
            <w:r>
              <w:t>119 298</w:t>
            </w:r>
          </w:p>
        </w:tc>
        <w:tc>
          <w:tcPr>
            <w:tcW w:w="850" w:type="dxa"/>
            <w:tcBorders>
              <w:bottom w:val="single" w:sz="6" w:space="0" w:color="auto"/>
            </w:tcBorders>
          </w:tcPr>
          <w:p w14:paraId="6AF2FF3B" w14:textId="77777777" w:rsidR="00964B88" w:rsidRDefault="00964B88">
            <w:pPr>
              <w:cnfStyle w:val="000000000000" w:firstRow="0" w:lastRow="0" w:firstColumn="0" w:lastColumn="0" w:oddVBand="0" w:evenVBand="0" w:oddHBand="0" w:evenHBand="0" w:firstRowFirstColumn="0" w:firstRowLastColumn="0" w:lastRowFirstColumn="0" w:lastRowLastColumn="0"/>
            </w:pPr>
            <w:r>
              <w:t>123 432</w:t>
            </w:r>
          </w:p>
        </w:tc>
      </w:tr>
      <w:tr w:rsidR="00964B88" w14:paraId="2CBFB315" w14:textId="77777777" w:rsidTr="00F53820">
        <w:tc>
          <w:tcPr>
            <w:cnfStyle w:val="001000000000" w:firstRow="0" w:lastRow="0" w:firstColumn="1" w:lastColumn="0" w:oddVBand="0" w:evenVBand="0" w:oddHBand="0" w:evenHBand="0" w:firstRowFirstColumn="0" w:firstRowLastColumn="0" w:lastRowFirstColumn="0" w:lastRowLastColumn="0"/>
            <w:tcW w:w="2781" w:type="dxa"/>
            <w:tcBorders>
              <w:top w:val="single" w:sz="6" w:space="0" w:color="auto"/>
              <w:bottom w:val="single" w:sz="12" w:space="0" w:color="auto"/>
            </w:tcBorders>
          </w:tcPr>
          <w:p w14:paraId="4E428573" w14:textId="77777777" w:rsidR="00964B88" w:rsidRDefault="00964B88">
            <w:r>
              <w:rPr>
                <w:b/>
              </w:rPr>
              <w:t>Net worth</w:t>
            </w:r>
          </w:p>
        </w:tc>
        <w:tc>
          <w:tcPr>
            <w:tcW w:w="737" w:type="dxa"/>
            <w:tcBorders>
              <w:top w:val="single" w:sz="6" w:space="0" w:color="auto"/>
              <w:bottom w:val="single" w:sz="12" w:space="0" w:color="auto"/>
            </w:tcBorders>
          </w:tcPr>
          <w:p w14:paraId="6906693D"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bottom w:val="single" w:sz="12" w:space="0" w:color="auto"/>
            </w:tcBorders>
          </w:tcPr>
          <w:p w14:paraId="3600288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191 633</w:t>
            </w:r>
          </w:p>
        </w:tc>
        <w:tc>
          <w:tcPr>
            <w:tcW w:w="850" w:type="dxa"/>
            <w:tcBorders>
              <w:top w:val="single" w:sz="6" w:space="0" w:color="auto"/>
              <w:bottom w:val="single" w:sz="12" w:space="0" w:color="auto"/>
            </w:tcBorders>
          </w:tcPr>
          <w:p w14:paraId="3F203F1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189 693</w:t>
            </w:r>
          </w:p>
        </w:tc>
        <w:tc>
          <w:tcPr>
            <w:tcW w:w="850" w:type="dxa"/>
            <w:tcBorders>
              <w:top w:val="single" w:sz="6" w:space="0" w:color="auto"/>
              <w:bottom w:val="single" w:sz="12" w:space="0" w:color="auto"/>
            </w:tcBorders>
          </w:tcPr>
          <w:p w14:paraId="5321A3C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198 010</w:t>
            </w:r>
          </w:p>
        </w:tc>
        <w:tc>
          <w:tcPr>
            <w:tcW w:w="850" w:type="dxa"/>
            <w:tcBorders>
              <w:top w:val="single" w:sz="6" w:space="0" w:color="auto"/>
              <w:bottom w:val="single" w:sz="12" w:space="0" w:color="auto"/>
            </w:tcBorders>
          </w:tcPr>
          <w:p w14:paraId="4C95199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206 125</w:t>
            </w:r>
          </w:p>
        </w:tc>
        <w:tc>
          <w:tcPr>
            <w:tcW w:w="850" w:type="dxa"/>
            <w:tcBorders>
              <w:top w:val="single" w:sz="6" w:space="0" w:color="auto"/>
              <w:bottom w:val="single" w:sz="12" w:space="0" w:color="auto"/>
            </w:tcBorders>
          </w:tcPr>
          <w:p w14:paraId="0F04230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216 300</w:t>
            </w:r>
          </w:p>
        </w:tc>
      </w:tr>
      <w:tr w:rsidR="00964B88" w14:paraId="164F7D53" w14:textId="77777777" w:rsidTr="00F53820">
        <w:trPr>
          <w:trHeight w:hRule="exact" w:val="113"/>
        </w:trPr>
        <w:tc>
          <w:tcPr>
            <w:cnfStyle w:val="001000000000" w:firstRow="0" w:lastRow="0" w:firstColumn="1" w:lastColumn="0" w:oddVBand="0" w:evenVBand="0" w:oddHBand="0" w:evenHBand="0" w:firstRowFirstColumn="0" w:firstRowLastColumn="0" w:lastRowFirstColumn="0" w:lastRowLastColumn="0"/>
            <w:tcW w:w="2781" w:type="dxa"/>
            <w:tcBorders>
              <w:top w:val="single" w:sz="0" w:space="0" w:color="auto"/>
            </w:tcBorders>
          </w:tcPr>
          <w:p w14:paraId="5145FEAD" w14:textId="77777777" w:rsidR="00964B88" w:rsidRDefault="00964B88"/>
        </w:tc>
        <w:tc>
          <w:tcPr>
            <w:tcW w:w="737" w:type="dxa"/>
            <w:tcBorders>
              <w:top w:val="single" w:sz="0" w:space="0" w:color="auto"/>
            </w:tcBorders>
          </w:tcPr>
          <w:p w14:paraId="054808B8"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3783347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3F8086D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40C2604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7BF4E3D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7CD519E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5790349" w14:textId="77777777">
        <w:tc>
          <w:tcPr>
            <w:cnfStyle w:val="001000000000" w:firstRow="0" w:lastRow="0" w:firstColumn="1" w:lastColumn="0" w:oddVBand="0" w:evenVBand="0" w:oddHBand="0" w:evenHBand="0" w:firstRowFirstColumn="0" w:firstRowLastColumn="0" w:lastRowFirstColumn="0" w:lastRowLastColumn="0"/>
            <w:tcW w:w="2781" w:type="dxa"/>
          </w:tcPr>
          <w:p w14:paraId="02879ADE" w14:textId="77777777" w:rsidR="00964B88" w:rsidRDefault="00964B88">
            <w:r>
              <w:rPr>
                <w:b/>
              </w:rPr>
              <w:t>FISCAL AGGREGATES</w:t>
            </w:r>
            <w:r>
              <w:rPr>
                <w:b/>
                <w:vertAlign w:val="superscript"/>
              </w:rPr>
              <w:t xml:space="preserve"> (b)</w:t>
            </w:r>
          </w:p>
        </w:tc>
        <w:tc>
          <w:tcPr>
            <w:tcW w:w="737" w:type="dxa"/>
          </w:tcPr>
          <w:p w14:paraId="274CF597"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4E766B8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007604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2605358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0E406B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6E25F9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F353FC4" w14:textId="77777777">
        <w:tc>
          <w:tcPr>
            <w:cnfStyle w:val="001000000000" w:firstRow="0" w:lastRow="0" w:firstColumn="1" w:lastColumn="0" w:oddVBand="0" w:evenVBand="0" w:oddHBand="0" w:evenHBand="0" w:firstRowFirstColumn="0" w:firstRowLastColumn="0" w:lastRowFirstColumn="0" w:lastRowLastColumn="0"/>
            <w:tcW w:w="2781" w:type="dxa"/>
          </w:tcPr>
          <w:p w14:paraId="2E7FD78B" w14:textId="77777777" w:rsidR="00964B88" w:rsidRDefault="00964B88">
            <w:r>
              <w:t>Net financial worth</w:t>
            </w:r>
          </w:p>
        </w:tc>
        <w:tc>
          <w:tcPr>
            <w:tcW w:w="737" w:type="dxa"/>
          </w:tcPr>
          <w:p w14:paraId="797CC908"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43393A6E" w14:textId="77777777" w:rsidR="00964B88" w:rsidRDefault="00964B88">
            <w:pPr>
              <w:cnfStyle w:val="000000000000" w:firstRow="0" w:lastRow="0" w:firstColumn="0" w:lastColumn="0" w:oddVBand="0" w:evenVBand="0" w:oddHBand="0" w:evenHBand="0" w:firstRowFirstColumn="0" w:firstRowLastColumn="0" w:lastRowFirstColumn="0" w:lastRowLastColumn="0"/>
            </w:pPr>
            <w:r>
              <w:t>23 858</w:t>
            </w:r>
          </w:p>
        </w:tc>
        <w:tc>
          <w:tcPr>
            <w:tcW w:w="850" w:type="dxa"/>
          </w:tcPr>
          <w:p w14:paraId="058377FD" w14:textId="77777777" w:rsidR="00964B88" w:rsidRDefault="00964B88">
            <w:pPr>
              <w:cnfStyle w:val="000000000000" w:firstRow="0" w:lastRow="0" w:firstColumn="0" w:lastColumn="0" w:oddVBand="0" w:evenVBand="0" w:oddHBand="0" w:evenHBand="0" w:firstRowFirstColumn="0" w:firstRowLastColumn="0" w:lastRowFirstColumn="0" w:lastRowLastColumn="0"/>
            </w:pPr>
            <w:r>
              <w:t>19 041</w:t>
            </w:r>
          </w:p>
        </w:tc>
        <w:tc>
          <w:tcPr>
            <w:tcW w:w="850" w:type="dxa"/>
          </w:tcPr>
          <w:p w14:paraId="1F9ED936" w14:textId="77777777" w:rsidR="00964B88" w:rsidRDefault="00964B88">
            <w:pPr>
              <w:cnfStyle w:val="000000000000" w:firstRow="0" w:lastRow="0" w:firstColumn="0" w:lastColumn="0" w:oddVBand="0" w:evenVBand="0" w:oddHBand="0" w:evenHBand="0" w:firstRowFirstColumn="0" w:firstRowLastColumn="0" w:lastRowFirstColumn="0" w:lastRowLastColumn="0"/>
            </w:pPr>
            <w:r>
              <w:t>15 907</w:t>
            </w:r>
          </w:p>
        </w:tc>
        <w:tc>
          <w:tcPr>
            <w:tcW w:w="850" w:type="dxa"/>
          </w:tcPr>
          <w:p w14:paraId="2BFFBE37" w14:textId="77777777" w:rsidR="00964B88" w:rsidRDefault="00964B88">
            <w:pPr>
              <w:cnfStyle w:val="000000000000" w:firstRow="0" w:lastRow="0" w:firstColumn="0" w:lastColumn="0" w:oddVBand="0" w:evenVBand="0" w:oddHBand="0" w:evenHBand="0" w:firstRowFirstColumn="0" w:firstRowLastColumn="0" w:lastRowFirstColumn="0" w:lastRowLastColumn="0"/>
            </w:pPr>
            <w:r>
              <w:t>16 278</w:t>
            </w:r>
          </w:p>
        </w:tc>
        <w:tc>
          <w:tcPr>
            <w:tcW w:w="850" w:type="dxa"/>
          </w:tcPr>
          <w:p w14:paraId="0D311668" w14:textId="77777777" w:rsidR="00964B88" w:rsidRDefault="00964B88">
            <w:pPr>
              <w:cnfStyle w:val="000000000000" w:firstRow="0" w:lastRow="0" w:firstColumn="0" w:lastColumn="0" w:oddVBand="0" w:evenVBand="0" w:oddHBand="0" w:evenHBand="0" w:firstRowFirstColumn="0" w:firstRowLastColumn="0" w:lastRowFirstColumn="0" w:lastRowLastColumn="0"/>
            </w:pPr>
            <w:r>
              <w:t>18 343</w:t>
            </w:r>
          </w:p>
        </w:tc>
      </w:tr>
      <w:tr w:rsidR="00964B88" w14:paraId="55A0D15A" w14:textId="77777777">
        <w:tc>
          <w:tcPr>
            <w:cnfStyle w:val="001000000000" w:firstRow="0" w:lastRow="0" w:firstColumn="1" w:lastColumn="0" w:oddVBand="0" w:evenVBand="0" w:oddHBand="0" w:evenHBand="0" w:firstRowFirstColumn="0" w:firstRowLastColumn="0" w:lastRowFirstColumn="0" w:lastRowLastColumn="0"/>
            <w:tcW w:w="2781" w:type="dxa"/>
          </w:tcPr>
          <w:p w14:paraId="28DC0D95" w14:textId="77777777" w:rsidR="00964B88" w:rsidRDefault="00964B88">
            <w:r>
              <w:t>Net financial liabilities</w:t>
            </w:r>
          </w:p>
        </w:tc>
        <w:tc>
          <w:tcPr>
            <w:tcW w:w="737" w:type="dxa"/>
          </w:tcPr>
          <w:p w14:paraId="1D01DCA1"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B79DB9C" w14:textId="77777777" w:rsidR="00964B88" w:rsidRDefault="00964B88">
            <w:pPr>
              <w:cnfStyle w:val="000000000000" w:firstRow="0" w:lastRow="0" w:firstColumn="0" w:lastColumn="0" w:oddVBand="0" w:evenVBand="0" w:oddHBand="0" w:evenHBand="0" w:firstRowFirstColumn="0" w:firstRowLastColumn="0" w:lastRowFirstColumn="0" w:lastRowLastColumn="0"/>
            </w:pPr>
            <w:r>
              <w:t>83 865</w:t>
            </w:r>
          </w:p>
        </w:tc>
        <w:tc>
          <w:tcPr>
            <w:tcW w:w="850" w:type="dxa"/>
          </w:tcPr>
          <w:p w14:paraId="3CEAE8AE" w14:textId="77777777" w:rsidR="00964B88" w:rsidRDefault="00964B88">
            <w:pPr>
              <w:cnfStyle w:val="000000000000" w:firstRow="0" w:lastRow="0" w:firstColumn="0" w:lastColumn="0" w:oddVBand="0" w:evenVBand="0" w:oddHBand="0" w:evenHBand="0" w:firstRowFirstColumn="0" w:firstRowLastColumn="0" w:lastRowFirstColumn="0" w:lastRowLastColumn="0"/>
            </w:pPr>
            <w:r>
              <w:t>87 268</w:t>
            </w:r>
          </w:p>
        </w:tc>
        <w:tc>
          <w:tcPr>
            <w:tcW w:w="850" w:type="dxa"/>
          </w:tcPr>
          <w:p w14:paraId="1AED428A" w14:textId="77777777" w:rsidR="00964B88" w:rsidRDefault="00964B88">
            <w:pPr>
              <w:cnfStyle w:val="000000000000" w:firstRow="0" w:lastRow="0" w:firstColumn="0" w:lastColumn="0" w:oddVBand="0" w:evenVBand="0" w:oddHBand="0" w:evenHBand="0" w:firstRowFirstColumn="0" w:firstRowLastColumn="0" w:lastRowFirstColumn="0" w:lastRowLastColumn="0"/>
            </w:pPr>
            <w:r>
              <w:t>95 122</w:t>
            </w:r>
          </w:p>
        </w:tc>
        <w:tc>
          <w:tcPr>
            <w:tcW w:w="850" w:type="dxa"/>
          </w:tcPr>
          <w:p w14:paraId="1B1E6E1E" w14:textId="77777777" w:rsidR="00964B88" w:rsidRDefault="00964B88">
            <w:pPr>
              <w:cnfStyle w:val="000000000000" w:firstRow="0" w:lastRow="0" w:firstColumn="0" w:lastColumn="0" w:oddVBand="0" w:evenVBand="0" w:oddHBand="0" w:evenHBand="0" w:firstRowFirstColumn="0" w:firstRowLastColumn="0" w:lastRowFirstColumn="0" w:lastRowLastColumn="0"/>
            </w:pPr>
            <w:r>
              <w:t>98 367</w:t>
            </w:r>
          </w:p>
        </w:tc>
        <w:tc>
          <w:tcPr>
            <w:tcW w:w="850" w:type="dxa"/>
          </w:tcPr>
          <w:p w14:paraId="79734166" w14:textId="77777777" w:rsidR="00964B88" w:rsidRDefault="00964B88">
            <w:pPr>
              <w:cnfStyle w:val="000000000000" w:firstRow="0" w:lastRow="0" w:firstColumn="0" w:lastColumn="0" w:oddVBand="0" w:evenVBand="0" w:oddHBand="0" w:evenHBand="0" w:firstRowFirstColumn="0" w:firstRowLastColumn="0" w:lastRowFirstColumn="0" w:lastRowLastColumn="0"/>
            </w:pPr>
            <w:r>
              <w:t>99 981</w:t>
            </w:r>
          </w:p>
        </w:tc>
      </w:tr>
      <w:tr w:rsidR="00964B88" w14:paraId="0836D257" w14:textId="77777777">
        <w:tc>
          <w:tcPr>
            <w:cnfStyle w:val="001000000000" w:firstRow="0" w:lastRow="0" w:firstColumn="1" w:lastColumn="0" w:oddVBand="0" w:evenVBand="0" w:oddHBand="0" w:evenHBand="0" w:firstRowFirstColumn="0" w:firstRowLastColumn="0" w:lastRowFirstColumn="0" w:lastRowLastColumn="0"/>
            <w:tcW w:w="2781" w:type="dxa"/>
          </w:tcPr>
          <w:p w14:paraId="158C47BC" w14:textId="77777777" w:rsidR="00964B88" w:rsidRDefault="00964B88">
            <w:r>
              <w:t>Net debt</w:t>
            </w:r>
          </w:p>
        </w:tc>
        <w:tc>
          <w:tcPr>
            <w:tcW w:w="737" w:type="dxa"/>
          </w:tcPr>
          <w:p w14:paraId="41A8A933" w14:textId="77777777" w:rsidR="00964B88" w:rsidRDefault="00964B88">
            <w:pPr>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7E6FE250" w14:textId="77777777" w:rsidR="00964B88" w:rsidRDefault="00964B88">
            <w:pPr>
              <w:cnfStyle w:val="000000000000" w:firstRow="0" w:lastRow="0" w:firstColumn="0" w:lastColumn="0" w:oddVBand="0" w:evenVBand="0" w:oddHBand="0" w:evenHBand="0" w:firstRowFirstColumn="0" w:firstRowLastColumn="0" w:lastRowFirstColumn="0" w:lastRowLastColumn="0"/>
            </w:pPr>
            <w:r>
              <w:t>37 506</w:t>
            </w:r>
          </w:p>
        </w:tc>
        <w:tc>
          <w:tcPr>
            <w:tcW w:w="850" w:type="dxa"/>
          </w:tcPr>
          <w:p w14:paraId="254A20A2" w14:textId="77777777" w:rsidR="00964B88" w:rsidRDefault="00964B88">
            <w:pPr>
              <w:cnfStyle w:val="000000000000" w:firstRow="0" w:lastRow="0" w:firstColumn="0" w:lastColumn="0" w:oddVBand="0" w:evenVBand="0" w:oddHBand="0" w:evenHBand="0" w:firstRowFirstColumn="0" w:firstRowLastColumn="0" w:lastRowFirstColumn="0" w:lastRowLastColumn="0"/>
            </w:pPr>
            <w:r>
              <w:t>40 348</w:t>
            </w:r>
          </w:p>
        </w:tc>
        <w:tc>
          <w:tcPr>
            <w:tcW w:w="850" w:type="dxa"/>
          </w:tcPr>
          <w:p w14:paraId="27D2AD36" w14:textId="77777777" w:rsidR="00964B88" w:rsidRDefault="00964B88">
            <w:pPr>
              <w:cnfStyle w:val="000000000000" w:firstRow="0" w:lastRow="0" w:firstColumn="0" w:lastColumn="0" w:oddVBand="0" w:evenVBand="0" w:oddHBand="0" w:evenHBand="0" w:firstRowFirstColumn="0" w:firstRowLastColumn="0" w:lastRowFirstColumn="0" w:lastRowLastColumn="0"/>
            </w:pPr>
            <w:r>
              <w:t>49 272</w:t>
            </w:r>
          </w:p>
        </w:tc>
        <w:tc>
          <w:tcPr>
            <w:tcW w:w="850" w:type="dxa"/>
          </w:tcPr>
          <w:p w14:paraId="584BB999" w14:textId="77777777" w:rsidR="00964B88" w:rsidRDefault="00964B88">
            <w:pPr>
              <w:cnfStyle w:val="000000000000" w:firstRow="0" w:lastRow="0" w:firstColumn="0" w:lastColumn="0" w:oddVBand="0" w:evenVBand="0" w:oddHBand="0" w:evenHBand="0" w:firstRowFirstColumn="0" w:firstRowLastColumn="0" w:lastRowFirstColumn="0" w:lastRowLastColumn="0"/>
            </w:pPr>
            <w:r>
              <w:t>53 872</w:t>
            </w:r>
          </w:p>
        </w:tc>
        <w:tc>
          <w:tcPr>
            <w:tcW w:w="850" w:type="dxa"/>
          </w:tcPr>
          <w:p w14:paraId="6C1BF946" w14:textId="77777777" w:rsidR="00964B88" w:rsidRDefault="00964B88">
            <w:pPr>
              <w:cnfStyle w:val="000000000000" w:firstRow="0" w:lastRow="0" w:firstColumn="0" w:lastColumn="0" w:oddVBand="0" w:evenVBand="0" w:oddHBand="0" w:evenHBand="0" w:firstRowFirstColumn="0" w:firstRowLastColumn="0" w:lastRowFirstColumn="0" w:lastRowLastColumn="0"/>
            </w:pPr>
            <w:r>
              <w:t>57 830</w:t>
            </w:r>
          </w:p>
        </w:tc>
      </w:tr>
    </w:tbl>
    <w:p w14:paraId="3A301A43" w14:textId="77777777" w:rsidR="00964B88" w:rsidRDefault="00964B88" w:rsidP="00F53820">
      <w:pPr>
        <w:pStyle w:val="Source"/>
      </w:pPr>
      <w:r>
        <w:t>The accompanying notes form part of these Estimated Financial Statements.</w:t>
      </w:r>
    </w:p>
    <w:p w14:paraId="626C6131" w14:textId="77777777" w:rsidR="00964B88" w:rsidRPr="00440992" w:rsidRDefault="00964B88" w:rsidP="00440992">
      <w:pPr>
        <w:pStyle w:val="Note"/>
      </w:pPr>
      <w:r w:rsidRPr="00440992">
        <w:t>Notes:</w:t>
      </w:r>
    </w:p>
    <w:p w14:paraId="72D9815E" w14:textId="77777777" w:rsidR="00964B88" w:rsidRPr="00926603" w:rsidRDefault="00964B88" w:rsidP="00F53820">
      <w:pPr>
        <w:pStyle w:val="Note"/>
      </w:pPr>
      <w:r w:rsidRPr="00926603">
        <w:t>(a)</w:t>
      </w:r>
      <w:r w:rsidRPr="00926603">
        <w:tab/>
        <w:t>Balances represent actual</w:t>
      </w:r>
      <w:r>
        <w:t xml:space="preserve"> opening balances at 1 July 2019 plus 2019-20</w:t>
      </w:r>
      <w:r w:rsidRPr="00926603">
        <w:t xml:space="preserve"> budgeted movements.</w:t>
      </w:r>
    </w:p>
    <w:p w14:paraId="1D44FAEC" w14:textId="77777777" w:rsidR="00964B88" w:rsidRPr="00926603" w:rsidRDefault="00964B88" w:rsidP="00F53820">
      <w:pPr>
        <w:pStyle w:val="Note"/>
      </w:pPr>
      <w:r>
        <w:t>(b</w:t>
      </w:r>
      <w:r w:rsidRPr="00926603">
        <w:t>)</w:t>
      </w:r>
      <w:r w:rsidRPr="00926603">
        <w:tab/>
      </w:r>
      <w:r>
        <w:t xml:space="preserve">The fiscal aggregates are defined in Note 9.9 of the </w:t>
      </w:r>
      <w:r w:rsidRPr="00EA7F4C">
        <w:rPr>
          <w:i w:val="0"/>
        </w:rPr>
        <w:t>201</w:t>
      </w:r>
      <w:r>
        <w:rPr>
          <w:i w:val="0"/>
        </w:rPr>
        <w:t>8</w:t>
      </w:r>
      <w:r w:rsidRPr="00EA7F4C">
        <w:rPr>
          <w:i w:val="0"/>
        </w:rPr>
        <w:t>-1</w:t>
      </w:r>
      <w:r>
        <w:rPr>
          <w:i w:val="0"/>
        </w:rPr>
        <w:t>9</w:t>
      </w:r>
      <w:r w:rsidRPr="00EA7F4C">
        <w:rPr>
          <w:i w:val="0"/>
        </w:rPr>
        <w:t xml:space="preserve"> Financial Report.</w:t>
      </w:r>
    </w:p>
    <w:p w14:paraId="7A5AE84D" w14:textId="77777777" w:rsidR="00964B88" w:rsidRPr="008F6DA7" w:rsidRDefault="00964B88" w:rsidP="00F53820"/>
    <w:p w14:paraId="0C8ED780" w14:textId="77777777" w:rsidR="00964B88" w:rsidRDefault="00964B88" w:rsidP="00F53820">
      <w:pPr>
        <w:pStyle w:val="Heading10"/>
      </w:pPr>
      <w:bookmarkStart w:id="68" w:name="_Toc517171544"/>
      <w:bookmarkStart w:id="69" w:name="_Toc26788544"/>
      <w:r>
        <w:lastRenderedPageBreak/>
        <w:t>Estimated general government sector</w:t>
      </w:r>
      <w:r>
        <w:br/>
        <w:t>cash flow statement</w:t>
      </w:r>
      <w:bookmarkEnd w:id="68"/>
      <w:bookmarkEnd w:id="69"/>
    </w:p>
    <w:p w14:paraId="5EEDF0FC" w14:textId="77777777" w:rsidR="00964B88" w:rsidRDefault="00964B88" w:rsidP="00F53820">
      <w:pPr>
        <w:pStyle w:val="TableHeading"/>
      </w:pPr>
      <w:r>
        <w:t>For the financial year ended 30 June</w:t>
      </w:r>
      <w:r>
        <w:tab/>
        <w:t>($ million)</w:t>
      </w:r>
    </w:p>
    <w:tbl>
      <w:tblPr>
        <w:tblStyle w:val="DTFTable"/>
        <w:tblW w:w="7768" w:type="dxa"/>
        <w:tblLayout w:type="fixed"/>
        <w:tblLook w:val="06E0" w:firstRow="1" w:lastRow="1" w:firstColumn="1" w:lastColumn="0" w:noHBand="1" w:noVBand="1"/>
      </w:tblPr>
      <w:tblGrid>
        <w:gridCol w:w="3006"/>
        <w:gridCol w:w="567"/>
        <w:gridCol w:w="839"/>
        <w:gridCol w:w="839"/>
        <w:gridCol w:w="839"/>
        <w:gridCol w:w="839"/>
        <w:gridCol w:w="839"/>
      </w:tblGrid>
      <w:tr w:rsidR="00964B88" w14:paraId="6E042DFF"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6" w:type="dxa"/>
          </w:tcPr>
          <w:p w14:paraId="6942E92F" w14:textId="77777777" w:rsidR="00964B88" w:rsidRDefault="00964B88">
            <w:pPr>
              <w:spacing w:after="0"/>
            </w:pPr>
          </w:p>
        </w:tc>
        <w:tc>
          <w:tcPr>
            <w:tcW w:w="567" w:type="dxa"/>
          </w:tcPr>
          <w:p w14:paraId="46F890A8" w14:textId="77777777" w:rsidR="00964B88" w:rsidRDefault="00964B88">
            <w:pPr>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839" w:type="dxa"/>
          </w:tcPr>
          <w:p w14:paraId="48D25C0A"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39" w:type="dxa"/>
          </w:tcPr>
          <w:p w14:paraId="4921D1C3"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39" w:type="dxa"/>
          </w:tcPr>
          <w:p w14:paraId="3178EF6C"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39" w:type="dxa"/>
          </w:tcPr>
          <w:p w14:paraId="0785C3F3"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39" w:type="dxa"/>
          </w:tcPr>
          <w:p w14:paraId="31BB0038"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6D987429"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31657EAF" w14:textId="77777777" w:rsidR="00964B88" w:rsidRDefault="00964B88">
            <w:pPr>
              <w:spacing w:after="0"/>
            </w:pPr>
            <w:r>
              <w:rPr>
                <w:b/>
              </w:rPr>
              <w:t>Cash flows from operating activities</w:t>
            </w:r>
          </w:p>
        </w:tc>
        <w:tc>
          <w:tcPr>
            <w:tcW w:w="567" w:type="dxa"/>
          </w:tcPr>
          <w:p w14:paraId="1DB9BA8C"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79363E7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3107182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7836373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52F0B81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77D2D09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0C2DEB0E"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0CAD444E" w14:textId="77777777" w:rsidR="00964B88" w:rsidRDefault="00964B88">
            <w:pPr>
              <w:spacing w:after="0"/>
            </w:pPr>
            <w:r>
              <w:rPr>
                <w:b/>
              </w:rPr>
              <w:t>Receipts</w:t>
            </w:r>
          </w:p>
        </w:tc>
        <w:tc>
          <w:tcPr>
            <w:tcW w:w="567" w:type="dxa"/>
          </w:tcPr>
          <w:p w14:paraId="6E221E1A"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2DE9CD5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7D788E2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14F2437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2D11EE7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23F514D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75980209"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589F353A" w14:textId="77777777" w:rsidR="00964B88" w:rsidRDefault="00964B88">
            <w:pPr>
              <w:spacing w:after="0"/>
            </w:pPr>
            <w:r>
              <w:t>Taxes received</w:t>
            </w:r>
          </w:p>
        </w:tc>
        <w:tc>
          <w:tcPr>
            <w:tcW w:w="567" w:type="dxa"/>
          </w:tcPr>
          <w:p w14:paraId="6EC9D44C"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4FE26CD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24 098</w:t>
            </w:r>
          </w:p>
        </w:tc>
        <w:tc>
          <w:tcPr>
            <w:tcW w:w="839" w:type="dxa"/>
          </w:tcPr>
          <w:p w14:paraId="3C75FFB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24 183</w:t>
            </w:r>
          </w:p>
        </w:tc>
        <w:tc>
          <w:tcPr>
            <w:tcW w:w="839" w:type="dxa"/>
          </w:tcPr>
          <w:p w14:paraId="15E0159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25 066</w:t>
            </w:r>
          </w:p>
        </w:tc>
        <w:tc>
          <w:tcPr>
            <w:tcW w:w="839" w:type="dxa"/>
          </w:tcPr>
          <w:p w14:paraId="50A9940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26 397</w:t>
            </w:r>
          </w:p>
        </w:tc>
        <w:tc>
          <w:tcPr>
            <w:tcW w:w="839" w:type="dxa"/>
          </w:tcPr>
          <w:p w14:paraId="14A0BDA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27 977</w:t>
            </w:r>
          </w:p>
        </w:tc>
      </w:tr>
      <w:tr w:rsidR="00964B88" w14:paraId="0C8FCD39"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6392FBB8" w14:textId="77777777" w:rsidR="00964B88" w:rsidRDefault="00964B88">
            <w:pPr>
              <w:spacing w:after="0"/>
            </w:pPr>
            <w:r>
              <w:t>Grants</w:t>
            </w:r>
          </w:p>
        </w:tc>
        <w:tc>
          <w:tcPr>
            <w:tcW w:w="567" w:type="dxa"/>
          </w:tcPr>
          <w:p w14:paraId="18CFA3C7"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70CACC4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34 118</w:t>
            </w:r>
          </w:p>
        </w:tc>
        <w:tc>
          <w:tcPr>
            <w:tcW w:w="839" w:type="dxa"/>
          </w:tcPr>
          <w:p w14:paraId="2F0BA87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33 904</w:t>
            </w:r>
          </w:p>
        </w:tc>
        <w:tc>
          <w:tcPr>
            <w:tcW w:w="839" w:type="dxa"/>
          </w:tcPr>
          <w:p w14:paraId="6D4AD3F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35 931</w:t>
            </w:r>
          </w:p>
        </w:tc>
        <w:tc>
          <w:tcPr>
            <w:tcW w:w="839" w:type="dxa"/>
          </w:tcPr>
          <w:p w14:paraId="6AB38D4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37 904</w:t>
            </w:r>
          </w:p>
        </w:tc>
        <w:tc>
          <w:tcPr>
            <w:tcW w:w="839" w:type="dxa"/>
          </w:tcPr>
          <w:p w14:paraId="05403DC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40 345</w:t>
            </w:r>
          </w:p>
        </w:tc>
      </w:tr>
      <w:tr w:rsidR="00964B88" w14:paraId="164C0550"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03C0BED4" w14:textId="77777777" w:rsidR="00964B88" w:rsidRDefault="00964B88">
            <w:pPr>
              <w:spacing w:after="0"/>
            </w:pPr>
            <w:r>
              <w:t>Sales of goods and services</w:t>
            </w:r>
            <w:r>
              <w:rPr>
                <w:vertAlign w:val="superscript"/>
              </w:rPr>
              <w:t xml:space="preserve"> (a)</w:t>
            </w:r>
          </w:p>
        </w:tc>
        <w:tc>
          <w:tcPr>
            <w:tcW w:w="567" w:type="dxa"/>
          </w:tcPr>
          <w:p w14:paraId="14658A8F"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168144A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8 774</w:t>
            </w:r>
          </w:p>
        </w:tc>
        <w:tc>
          <w:tcPr>
            <w:tcW w:w="839" w:type="dxa"/>
          </w:tcPr>
          <w:p w14:paraId="78327C3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8 881</w:t>
            </w:r>
          </w:p>
        </w:tc>
        <w:tc>
          <w:tcPr>
            <w:tcW w:w="839" w:type="dxa"/>
          </w:tcPr>
          <w:p w14:paraId="43D394B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9 610</w:t>
            </w:r>
          </w:p>
        </w:tc>
        <w:tc>
          <w:tcPr>
            <w:tcW w:w="839" w:type="dxa"/>
          </w:tcPr>
          <w:p w14:paraId="26FCB80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9 936</w:t>
            </w:r>
          </w:p>
        </w:tc>
        <w:tc>
          <w:tcPr>
            <w:tcW w:w="839" w:type="dxa"/>
          </w:tcPr>
          <w:p w14:paraId="482D8B7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10 132</w:t>
            </w:r>
          </w:p>
        </w:tc>
      </w:tr>
      <w:tr w:rsidR="00964B88" w14:paraId="76B695F2"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7D748090" w14:textId="77777777" w:rsidR="00964B88" w:rsidRDefault="00964B88">
            <w:pPr>
              <w:spacing w:after="0"/>
            </w:pPr>
            <w:r>
              <w:t>Interest received</w:t>
            </w:r>
          </w:p>
        </w:tc>
        <w:tc>
          <w:tcPr>
            <w:tcW w:w="567" w:type="dxa"/>
          </w:tcPr>
          <w:p w14:paraId="7974FE7C"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1853C3B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719</w:t>
            </w:r>
          </w:p>
        </w:tc>
        <w:tc>
          <w:tcPr>
            <w:tcW w:w="839" w:type="dxa"/>
          </w:tcPr>
          <w:p w14:paraId="6088609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704</w:t>
            </w:r>
          </w:p>
        </w:tc>
        <w:tc>
          <w:tcPr>
            <w:tcW w:w="839" w:type="dxa"/>
          </w:tcPr>
          <w:p w14:paraId="6AEEF05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682</w:t>
            </w:r>
          </w:p>
        </w:tc>
        <w:tc>
          <w:tcPr>
            <w:tcW w:w="839" w:type="dxa"/>
          </w:tcPr>
          <w:p w14:paraId="6B868E1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670</w:t>
            </w:r>
          </w:p>
        </w:tc>
        <w:tc>
          <w:tcPr>
            <w:tcW w:w="839" w:type="dxa"/>
          </w:tcPr>
          <w:p w14:paraId="2405345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658</w:t>
            </w:r>
          </w:p>
        </w:tc>
      </w:tr>
      <w:tr w:rsidR="00964B88" w14:paraId="66CC7CFB"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55A34DAA" w14:textId="77777777" w:rsidR="00964B88" w:rsidRDefault="00964B88">
            <w:pPr>
              <w:spacing w:after="0"/>
            </w:pPr>
            <w:r>
              <w:t>Dividends, income tax equivalent and rate equivalent receipts</w:t>
            </w:r>
          </w:p>
        </w:tc>
        <w:tc>
          <w:tcPr>
            <w:tcW w:w="567" w:type="dxa"/>
          </w:tcPr>
          <w:p w14:paraId="74E74A32"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68165F6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857</w:t>
            </w:r>
          </w:p>
        </w:tc>
        <w:tc>
          <w:tcPr>
            <w:tcW w:w="839" w:type="dxa"/>
          </w:tcPr>
          <w:p w14:paraId="3D5669A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820</w:t>
            </w:r>
          </w:p>
        </w:tc>
        <w:tc>
          <w:tcPr>
            <w:tcW w:w="839" w:type="dxa"/>
          </w:tcPr>
          <w:p w14:paraId="371FFBD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510</w:t>
            </w:r>
          </w:p>
        </w:tc>
        <w:tc>
          <w:tcPr>
            <w:tcW w:w="839" w:type="dxa"/>
          </w:tcPr>
          <w:p w14:paraId="610D4E9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520</w:t>
            </w:r>
          </w:p>
        </w:tc>
        <w:tc>
          <w:tcPr>
            <w:tcW w:w="839" w:type="dxa"/>
          </w:tcPr>
          <w:p w14:paraId="568C7E0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565</w:t>
            </w:r>
          </w:p>
        </w:tc>
      </w:tr>
      <w:tr w:rsidR="00964B88" w14:paraId="47B16111"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bottom w:val="single" w:sz="6" w:space="0" w:color="auto"/>
            </w:tcBorders>
          </w:tcPr>
          <w:p w14:paraId="4DE3953B" w14:textId="77777777" w:rsidR="00964B88" w:rsidRDefault="00964B88">
            <w:pPr>
              <w:spacing w:after="0"/>
            </w:pPr>
            <w:r>
              <w:t>Other receipts</w:t>
            </w:r>
          </w:p>
        </w:tc>
        <w:tc>
          <w:tcPr>
            <w:tcW w:w="567" w:type="dxa"/>
            <w:tcBorders>
              <w:bottom w:val="single" w:sz="6" w:space="0" w:color="auto"/>
            </w:tcBorders>
          </w:tcPr>
          <w:p w14:paraId="2EE0CF6D"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bottom w:val="single" w:sz="6" w:space="0" w:color="auto"/>
            </w:tcBorders>
          </w:tcPr>
          <w:p w14:paraId="01825E0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2 134</w:t>
            </w:r>
          </w:p>
        </w:tc>
        <w:tc>
          <w:tcPr>
            <w:tcW w:w="839" w:type="dxa"/>
            <w:tcBorders>
              <w:bottom w:val="single" w:sz="6" w:space="0" w:color="auto"/>
            </w:tcBorders>
          </w:tcPr>
          <w:p w14:paraId="015D9BF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2 183</w:t>
            </w:r>
          </w:p>
        </w:tc>
        <w:tc>
          <w:tcPr>
            <w:tcW w:w="839" w:type="dxa"/>
            <w:tcBorders>
              <w:bottom w:val="single" w:sz="6" w:space="0" w:color="auto"/>
            </w:tcBorders>
          </w:tcPr>
          <w:p w14:paraId="7F361F4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2 346</w:t>
            </w:r>
          </w:p>
        </w:tc>
        <w:tc>
          <w:tcPr>
            <w:tcW w:w="839" w:type="dxa"/>
            <w:tcBorders>
              <w:bottom w:val="single" w:sz="6" w:space="0" w:color="auto"/>
            </w:tcBorders>
          </w:tcPr>
          <w:p w14:paraId="5A5A375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2 410</w:t>
            </w:r>
          </w:p>
        </w:tc>
        <w:tc>
          <w:tcPr>
            <w:tcW w:w="839" w:type="dxa"/>
            <w:tcBorders>
              <w:bottom w:val="single" w:sz="6" w:space="0" w:color="auto"/>
            </w:tcBorders>
          </w:tcPr>
          <w:p w14:paraId="52093E8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2 398</w:t>
            </w:r>
          </w:p>
        </w:tc>
      </w:tr>
      <w:tr w:rsidR="00964B88" w14:paraId="05FBA9B5"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top w:val="single" w:sz="6" w:space="0" w:color="auto"/>
            </w:tcBorders>
          </w:tcPr>
          <w:p w14:paraId="7AE5ABB4" w14:textId="77777777" w:rsidR="00964B88" w:rsidRDefault="00964B88">
            <w:pPr>
              <w:spacing w:after="0"/>
            </w:pPr>
            <w:r>
              <w:rPr>
                <w:b/>
              </w:rPr>
              <w:t>Total receipts</w:t>
            </w:r>
          </w:p>
        </w:tc>
        <w:tc>
          <w:tcPr>
            <w:tcW w:w="567" w:type="dxa"/>
            <w:tcBorders>
              <w:top w:val="single" w:sz="6" w:space="0" w:color="auto"/>
            </w:tcBorders>
          </w:tcPr>
          <w:p w14:paraId="57F9131F"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top w:val="single" w:sz="6" w:space="0" w:color="auto"/>
            </w:tcBorders>
          </w:tcPr>
          <w:p w14:paraId="095F7A7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70 701</w:t>
            </w:r>
          </w:p>
        </w:tc>
        <w:tc>
          <w:tcPr>
            <w:tcW w:w="839" w:type="dxa"/>
            <w:tcBorders>
              <w:top w:val="single" w:sz="6" w:space="0" w:color="auto"/>
            </w:tcBorders>
          </w:tcPr>
          <w:p w14:paraId="2EEAA1F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70 675</w:t>
            </w:r>
          </w:p>
        </w:tc>
        <w:tc>
          <w:tcPr>
            <w:tcW w:w="839" w:type="dxa"/>
            <w:tcBorders>
              <w:top w:val="single" w:sz="6" w:space="0" w:color="auto"/>
            </w:tcBorders>
          </w:tcPr>
          <w:p w14:paraId="7A536B8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74 145</w:t>
            </w:r>
          </w:p>
        </w:tc>
        <w:tc>
          <w:tcPr>
            <w:tcW w:w="839" w:type="dxa"/>
            <w:tcBorders>
              <w:top w:val="single" w:sz="6" w:space="0" w:color="auto"/>
            </w:tcBorders>
          </w:tcPr>
          <w:p w14:paraId="6D51C14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77 837</w:t>
            </w:r>
          </w:p>
        </w:tc>
        <w:tc>
          <w:tcPr>
            <w:tcW w:w="839" w:type="dxa"/>
            <w:tcBorders>
              <w:top w:val="single" w:sz="6" w:space="0" w:color="auto"/>
            </w:tcBorders>
          </w:tcPr>
          <w:p w14:paraId="746FF44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82 075</w:t>
            </w:r>
          </w:p>
        </w:tc>
      </w:tr>
      <w:tr w:rsidR="00964B88" w14:paraId="095F2055"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22AA2ABF" w14:textId="77777777" w:rsidR="00964B88" w:rsidRDefault="00964B88">
            <w:pPr>
              <w:spacing w:after="0"/>
            </w:pPr>
            <w:r>
              <w:rPr>
                <w:b/>
              </w:rPr>
              <w:t>Payments</w:t>
            </w:r>
          </w:p>
        </w:tc>
        <w:tc>
          <w:tcPr>
            <w:tcW w:w="567" w:type="dxa"/>
          </w:tcPr>
          <w:p w14:paraId="75369862"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4A80CDE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4A67085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6DB7655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2FB6B65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0F7EAA7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1E794A59"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216802B8" w14:textId="77777777" w:rsidR="00964B88" w:rsidRDefault="00964B88">
            <w:pPr>
              <w:spacing w:after="0"/>
            </w:pPr>
            <w:r>
              <w:t>Payments for employees</w:t>
            </w:r>
          </w:p>
        </w:tc>
        <w:tc>
          <w:tcPr>
            <w:tcW w:w="567" w:type="dxa"/>
          </w:tcPr>
          <w:p w14:paraId="2E3D1C45"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79724B3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(25 898)</w:t>
            </w:r>
          </w:p>
        </w:tc>
        <w:tc>
          <w:tcPr>
            <w:tcW w:w="839" w:type="dxa"/>
          </w:tcPr>
          <w:p w14:paraId="30BCA07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(25 782)</w:t>
            </w:r>
          </w:p>
        </w:tc>
        <w:tc>
          <w:tcPr>
            <w:tcW w:w="839" w:type="dxa"/>
          </w:tcPr>
          <w:p w14:paraId="4F6528F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(27 252)</w:t>
            </w:r>
          </w:p>
        </w:tc>
        <w:tc>
          <w:tcPr>
            <w:tcW w:w="839" w:type="dxa"/>
          </w:tcPr>
          <w:p w14:paraId="76E21C0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(28 123)</w:t>
            </w:r>
          </w:p>
        </w:tc>
        <w:tc>
          <w:tcPr>
            <w:tcW w:w="839" w:type="dxa"/>
          </w:tcPr>
          <w:p w14:paraId="5B59C8C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(29 473)</w:t>
            </w:r>
          </w:p>
        </w:tc>
      </w:tr>
      <w:tr w:rsidR="00964B88" w14:paraId="34F40979"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2E26050F" w14:textId="77777777" w:rsidR="00964B88" w:rsidRDefault="00964B88">
            <w:pPr>
              <w:spacing w:after="0"/>
            </w:pPr>
            <w:r>
              <w:t>Superannuation</w:t>
            </w:r>
          </w:p>
        </w:tc>
        <w:tc>
          <w:tcPr>
            <w:tcW w:w="567" w:type="dxa"/>
          </w:tcPr>
          <w:p w14:paraId="039CEA4B"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35D4EA8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(3 497)</w:t>
            </w:r>
          </w:p>
        </w:tc>
        <w:tc>
          <w:tcPr>
            <w:tcW w:w="839" w:type="dxa"/>
          </w:tcPr>
          <w:p w14:paraId="443722F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(3 504)</w:t>
            </w:r>
          </w:p>
        </w:tc>
        <w:tc>
          <w:tcPr>
            <w:tcW w:w="839" w:type="dxa"/>
          </w:tcPr>
          <w:p w14:paraId="12459F0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(3 545)</w:t>
            </w:r>
          </w:p>
        </w:tc>
        <w:tc>
          <w:tcPr>
            <w:tcW w:w="839" w:type="dxa"/>
          </w:tcPr>
          <w:p w14:paraId="13F35B1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(3 520)</w:t>
            </w:r>
          </w:p>
        </w:tc>
        <w:tc>
          <w:tcPr>
            <w:tcW w:w="839" w:type="dxa"/>
          </w:tcPr>
          <w:p w14:paraId="79FB338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(3 572)</w:t>
            </w:r>
          </w:p>
        </w:tc>
      </w:tr>
      <w:tr w:rsidR="00964B88" w14:paraId="797B57C5"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111C3B8E" w14:textId="77777777" w:rsidR="00964B88" w:rsidRDefault="00964B88">
            <w:pPr>
              <w:spacing w:after="0"/>
            </w:pPr>
            <w:r>
              <w:t>Interest paid</w:t>
            </w:r>
          </w:p>
        </w:tc>
        <w:tc>
          <w:tcPr>
            <w:tcW w:w="567" w:type="dxa"/>
          </w:tcPr>
          <w:p w14:paraId="03256CD7"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4DCD14B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(2 081)</w:t>
            </w:r>
          </w:p>
        </w:tc>
        <w:tc>
          <w:tcPr>
            <w:tcW w:w="839" w:type="dxa"/>
          </w:tcPr>
          <w:p w14:paraId="4F9FF16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(2 273)</w:t>
            </w:r>
          </w:p>
        </w:tc>
        <w:tc>
          <w:tcPr>
            <w:tcW w:w="839" w:type="dxa"/>
          </w:tcPr>
          <w:p w14:paraId="45FC7C6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(2 281)</w:t>
            </w:r>
          </w:p>
        </w:tc>
        <w:tc>
          <w:tcPr>
            <w:tcW w:w="839" w:type="dxa"/>
          </w:tcPr>
          <w:p w14:paraId="023DEEB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(2 349)</w:t>
            </w:r>
          </w:p>
        </w:tc>
        <w:tc>
          <w:tcPr>
            <w:tcW w:w="839" w:type="dxa"/>
          </w:tcPr>
          <w:p w14:paraId="1CFB8DC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(2 333)</w:t>
            </w:r>
          </w:p>
        </w:tc>
      </w:tr>
      <w:tr w:rsidR="00964B88" w14:paraId="6692152E"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0BE32C29" w14:textId="77777777" w:rsidR="00964B88" w:rsidRDefault="00964B88">
            <w:pPr>
              <w:spacing w:after="0"/>
            </w:pPr>
            <w:r>
              <w:t>Grants and subsidies</w:t>
            </w:r>
          </w:p>
        </w:tc>
        <w:tc>
          <w:tcPr>
            <w:tcW w:w="567" w:type="dxa"/>
          </w:tcPr>
          <w:p w14:paraId="2521E3A8"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202777C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(12 927)</w:t>
            </w:r>
          </w:p>
        </w:tc>
        <w:tc>
          <w:tcPr>
            <w:tcW w:w="839" w:type="dxa"/>
          </w:tcPr>
          <w:p w14:paraId="252BD02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(13 007)</w:t>
            </w:r>
          </w:p>
        </w:tc>
        <w:tc>
          <w:tcPr>
            <w:tcW w:w="839" w:type="dxa"/>
          </w:tcPr>
          <w:p w14:paraId="1CDD82D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(14 867)</w:t>
            </w:r>
          </w:p>
        </w:tc>
        <w:tc>
          <w:tcPr>
            <w:tcW w:w="839" w:type="dxa"/>
          </w:tcPr>
          <w:p w14:paraId="78F0888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(15 304)</w:t>
            </w:r>
          </w:p>
        </w:tc>
        <w:tc>
          <w:tcPr>
            <w:tcW w:w="839" w:type="dxa"/>
          </w:tcPr>
          <w:p w14:paraId="3EB2A5D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(15 913)</w:t>
            </w:r>
          </w:p>
        </w:tc>
      </w:tr>
      <w:tr w:rsidR="00964B88" w14:paraId="4A8E0674"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0D437642" w14:textId="77777777" w:rsidR="00964B88" w:rsidRDefault="00964B88">
            <w:pPr>
              <w:spacing w:after="0"/>
            </w:pPr>
            <w:r>
              <w:t>Goods and services</w:t>
            </w:r>
            <w:r>
              <w:rPr>
                <w:vertAlign w:val="superscript"/>
              </w:rPr>
              <w:t xml:space="preserve"> (a)</w:t>
            </w:r>
          </w:p>
        </w:tc>
        <w:tc>
          <w:tcPr>
            <w:tcW w:w="567" w:type="dxa"/>
          </w:tcPr>
          <w:p w14:paraId="701C6EB5"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0DD0007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(20 895)</w:t>
            </w:r>
          </w:p>
        </w:tc>
        <w:tc>
          <w:tcPr>
            <w:tcW w:w="839" w:type="dxa"/>
          </w:tcPr>
          <w:p w14:paraId="7FAE2EC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(21 945)</w:t>
            </w:r>
          </w:p>
        </w:tc>
        <w:tc>
          <w:tcPr>
            <w:tcW w:w="839" w:type="dxa"/>
          </w:tcPr>
          <w:p w14:paraId="5845F49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(20 760)</w:t>
            </w:r>
          </w:p>
        </w:tc>
        <w:tc>
          <w:tcPr>
            <w:tcW w:w="839" w:type="dxa"/>
          </w:tcPr>
          <w:p w14:paraId="0EC6275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(20 244)</w:t>
            </w:r>
          </w:p>
        </w:tc>
        <w:tc>
          <w:tcPr>
            <w:tcW w:w="839" w:type="dxa"/>
          </w:tcPr>
          <w:p w14:paraId="62E01B8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(21 030)</w:t>
            </w:r>
          </w:p>
        </w:tc>
      </w:tr>
      <w:tr w:rsidR="00964B88" w14:paraId="57BFD989"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bottom w:val="single" w:sz="6" w:space="0" w:color="auto"/>
            </w:tcBorders>
          </w:tcPr>
          <w:p w14:paraId="459A713F" w14:textId="77777777" w:rsidR="00964B88" w:rsidRDefault="00964B88">
            <w:pPr>
              <w:spacing w:after="0"/>
            </w:pPr>
            <w:r>
              <w:t>Other payments</w:t>
            </w:r>
          </w:p>
        </w:tc>
        <w:tc>
          <w:tcPr>
            <w:tcW w:w="567" w:type="dxa"/>
            <w:tcBorders>
              <w:bottom w:val="single" w:sz="6" w:space="0" w:color="auto"/>
            </w:tcBorders>
          </w:tcPr>
          <w:p w14:paraId="50F7674F"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bottom w:val="single" w:sz="6" w:space="0" w:color="auto"/>
            </w:tcBorders>
          </w:tcPr>
          <w:p w14:paraId="3E43315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(801)</w:t>
            </w:r>
          </w:p>
        </w:tc>
        <w:tc>
          <w:tcPr>
            <w:tcW w:w="839" w:type="dxa"/>
            <w:tcBorders>
              <w:bottom w:val="single" w:sz="6" w:space="0" w:color="auto"/>
            </w:tcBorders>
          </w:tcPr>
          <w:p w14:paraId="32C8C92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(805)</w:t>
            </w:r>
          </w:p>
        </w:tc>
        <w:tc>
          <w:tcPr>
            <w:tcW w:w="839" w:type="dxa"/>
            <w:tcBorders>
              <w:bottom w:val="single" w:sz="6" w:space="0" w:color="auto"/>
            </w:tcBorders>
          </w:tcPr>
          <w:p w14:paraId="5BDA6C6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(814)</w:t>
            </w:r>
          </w:p>
        </w:tc>
        <w:tc>
          <w:tcPr>
            <w:tcW w:w="839" w:type="dxa"/>
            <w:tcBorders>
              <w:bottom w:val="single" w:sz="6" w:space="0" w:color="auto"/>
            </w:tcBorders>
          </w:tcPr>
          <w:p w14:paraId="657DC04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(760)</w:t>
            </w:r>
          </w:p>
        </w:tc>
        <w:tc>
          <w:tcPr>
            <w:tcW w:w="839" w:type="dxa"/>
            <w:tcBorders>
              <w:bottom w:val="single" w:sz="6" w:space="0" w:color="auto"/>
            </w:tcBorders>
          </w:tcPr>
          <w:p w14:paraId="244720B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(778)</w:t>
            </w:r>
          </w:p>
        </w:tc>
      </w:tr>
      <w:tr w:rsidR="00964B88" w14:paraId="6240D4BA"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top w:val="single" w:sz="6" w:space="0" w:color="auto"/>
              <w:bottom w:val="single" w:sz="6" w:space="0" w:color="auto"/>
            </w:tcBorders>
          </w:tcPr>
          <w:p w14:paraId="760945AB" w14:textId="77777777" w:rsidR="00964B88" w:rsidRDefault="00964B88">
            <w:pPr>
              <w:spacing w:after="0"/>
            </w:pPr>
            <w:r>
              <w:rPr>
                <w:b/>
              </w:rPr>
              <w:t>Total payments</w:t>
            </w:r>
          </w:p>
        </w:tc>
        <w:tc>
          <w:tcPr>
            <w:tcW w:w="567" w:type="dxa"/>
            <w:tcBorders>
              <w:top w:val="single" w:sz="6" w:space="0" w:color="auto"/>
              <w:bottom w:val="single" w:sz="6" w:space="0" w:color="auto"/>
            </w:tcBorders>
          </w:tcPr>
          <w:p w14:paraId="5CC29659"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top w:val="single" w:sz="6" w:space="0" w:color="auto"/>
              <w:bottom w:val="single" w:sz="6" w:space="0" w:color="auto"/>
            </w:tcBorders>
          </w:tcPr>
          <w:p w14:paraId="300EBD7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(66 099)</w:t>
            </w:r>
          </w:p>
        </w:tc>
        <w:tc>
          <w:tcPr>
            <w:tcW w:w="839" w:type="dxa"/>
            <w:tcBorders>
              <w:top w:val="single" w:sz="6" w:space="0" w:color="auto"/>
              <w:bottom w:val="single" w:sz="6" w:space="0" w:color="auto"/>
            </w:tcBorders>
          </w:tcPr>
          <w:p w14:paraId="4087054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(67 317)</w:t>
            </w:r>
          </w:p>
        </w:tc>
        <w:tc>
          <w:tcPr>
            <w:tcW w:w="839" w:type="dxa"/>
            <w:tcBorders>
              <w:top w:val="single" w:sz="6" w:space="0" w:color="auto"/>
              <w:bottom w:val="single" w:sz="6" w:space="0" w:color="auto"/>
            </w:tcBorders>
          </w:tcPr>
          <w:p w14:paraId="16E22B1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(69 519)</w:t>
            </w:r>
          </w:p>
        </w:tc>
        <w:tc>
          <w:tcPr>
            <w:tcW w:w="839" w:type="dxa"/>
            <w:tcBorders>
              <w:top w:val="single" w:sz="6" w:space="0" w:color="auto"/>
              <w:bottom w:val="single" w:sz="6" w:space="0" w:color="auto"/>
            </w:tcBorders>
          </w:tcPr>
          <w:p w14:paraId="7D9CEBD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(70 301)</w:t>
            </w:r>
          </w:p>
        </w:tc>
        <w:tc>
          <w:tcPr>
            <w:tcW w:w="839" w:type="dxa"/>
            <w:tcBorders>
              <w:top w:val="single" w:sz="6" w:space="0" w:color="auto"/>
              <w:bottom w:val="single" w:sz="6" w:space="0" w:color="auto"/>
            </w:tcBorders>
          </w:tcPr>
          <w:p w14:paraId="080FD3E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(73 099)</w:t>
            </w:r>
          </w:p>
        </w:tc>
      </w:tr>
      <w:tr w:rsidR="00964B88" w14:paraId="1C442F16"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top w:val="single" w:sz="6" w:space="0" w:color="auto"/>
            </w:tcBorders>
          </w:tcPr>
          <w:p w14:paraId="6C2DC9EC" w14:textId="77777777" w:rsidR="00964B88" w:rsidRDefault="00964B88">
            <w:pPr>
              <w:spacing w:after="0"/>
            </w:pPr>
            <w:r>
              <w:rPr>
                <w:b/>
              </w:rPr>
              <w:t>Net cash flows from operating activities</w:t>
            </w:r>
          </w:p>
        </w:tc>
        <w:tc>
          <w:tcPr>
            <w:tcW w:w="567" w:type="dxa"/>
            <w:tcBorders>
              <w:top w:val="single" w:sz="6" w:space="0" w:color="auto"/>
            </w:tcBorders>
          </w:tcPr>
          <w:p w14:paraId="33A84138"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top w:val="single" w:sz="6" w:space="0" w:color="auto"/>
            </w:tcBorders>
          </w:tcPr>
          <w:p w14:paraId="58DADD2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4 602</w:t>
            </w:r>
          </w:p>
        </w:tc>
        <w:tc>
          <w:tcPr>
            <w:tcW w:w="839" w:type="dxa"/>
            <w:tcBorders>
              <w:top w:val="single" w:sz="6" w:space="0" w:color="auto"/>
            </w:tcBorders>
          </w:tcPr>
          <w:p w14:paraId="5F62286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3 358</w:t>
            </w:r>
          </w:p>
        </w:tc>
        <w:tc>
          <w:tcPr>
            <w:tcW w:w="839" w:type="dxa"/>
            <w:tcBorders>
              <w:top w:val="single" w:sz="6" w:space="0" w:color="auto"/>
            </w:tcBorders>
          </w:tcPr>
          <w:p w14:paraId="53B418E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4 626</w:t>
            </w:r>
          </w:p>
        </w:tc>
        <w:tc>
          <w:tcPr>
            <w:tcW w:w="839" w:type="dxa"/>
            <w:tcBorders>
              <w:top w:val="single" w:sz="6" w:space="0" w:color="auto"/>
            </w:tcBorders>
          </w:tcPr>
          <w:p w14:paraId="3F2D60C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7 536</w:t>
            </w:r>
          </w:p>
        </w:tc>
        <w:tc>
          <w:tcPr>
            <w:tcW w:w="839" w:type="dxa"/>
            <w:tcBorders>
              <w:top w:val="single" w:sz="6" w:space="0" w:color="auto"/>
            </w:tcBorders>
          </w:tcPr>
          <w:p w14:paraId="4AE708A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8 976</w:t>
            </w:r>
          </w:p>
        </w:tc>
      </w:tr>
      <w:tr w:rsidR="00964B88" w14:paraId="15CEA087"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7ECF23D9" w14:textId="77777777" w:rsidR="00964B88" w:rsidRDefault="00964B88">
            <w:pPr>
              <w:spacing w:after="0"/>
            </w:pPr>
            <w:r>
              <w:rPr>
                <w:b/>
              </w:rPr>
              <w:t>Cash flows from investing activities</w:t>
            </w:r>
          </w:p>
        </w:tc>
        <w:tc>
          <w:tcPr>
            <w:tcW w:w="567" w:type="dxa"/>
          </w:tcPr>
          <w:p w14:paraId="6B9F3942"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56649BE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6CBCC6C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21238BE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6BBBDAD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20C7387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61947C59"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32F1065A" w14:textId="77777777" w:rsidR="00964B88" w:rsidRDefault="00964B88">
            <w:pPr>
              <w:spacing w:after="0"/>
            </w:pPr>
            <w:r>
              <w:rPr>
                <w:b/>
              </w:rPr>
              <w:t>Cash flows from investments in non</w:t>
            </w:r>
            <w:r>
              <w:rPr>
                <w:b/>
              </w:rPr>
              <w:noBreakHyphen/>
              <w:t>financial assets</w:t>
            </w:r>
          </w:p>
        </w:tc>
        <w:tc>
          <w:tcPr>
            <w:tcW w:w="567" w:type="dxa"/>
          </w:tcPr>
          <w:p w14:paraId="638D8415"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47110E3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745B461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6C9CF90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5D0B957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2072723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25C47C25"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18735068" w14:textId="77777777" w:rsidR="00964B88" w:rsidRDefault="00964B88">
            <w:pPr>
              <w:spacing w:after="0"/>
            </w:pPr>
            <w:r>
              <w:t>Purchases of non</w:t>
            </w:r>
            <w:r>
              <w:noBreakHyphen/>
              <w:t>financial assets</w:t>
            </w:r>
          </w:p>
        </w:tc>
        <w:tc>
          <w:tcPr>
            <w:tcW w:w="567" w:type="dxa"/>
          </w:tcPr>
          <w:p w14:paraId="1AE052BE"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r>
              <w:t>4.3.6</w:t>
            </w:r>
          </w:p>
        </w:tc>
        <w:tc>
          <w:tcPr>
            <w:tcW w:w="839" w:type="dxa"/>
          </w:tcPr>
          <w:p w14:paraId="2AD2F5E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(13 102)</w:t>
            </w:r>
          </w:p>
        </w:tc>
        <w:tc>
          <w:tcPr>
            <w:tcW w:w="839" w:type="dxa"/>
          </w:tcPr>
          <w:p w14:paraId="7A305F3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(13 290)</w:t>
            </w:r>
          </w:p>
        </w:tc>
        <w:tc>
          <w:tcPr>
            <w:tcW w:w="839" w:type="dxa"/>
          </w:tcPr>
          <w:p w14:paraId="2CC1484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(12 196)</w:t>
            </w:r>
          </w:p>
        </w:tc>
        <w:tc>
          <w:tcPr>
            <w:tcW w:w="839" w:type="dxa"/>
          </w:tcPr>
          <w:p w14:paraId="0DFD8A8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(9 096)</w:t>
            </w:r>
          </w:p>
        </w:tc>
        <w:tc>
          <w:tcPr>
            <w:tcW w:w="839" w:type="dxa"/>
          </w:tcPr>
          <w:p w14:paraId="52B9321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(10 937)</w:t>
            </w:r>
          </w:p>
        </w:tc>
      </w:tr>
      <w:tr w:rsidR="00964B88" w14:paraId="3C1CB9FC"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bottom w:val="single" w:sz="6" w:space="0" w:color="auto"/>
            </w:tcBorders>
          </w:tcPr>
          <w:p w14:paraId="7DDB69B6" w14:textId="77777777" w:rsidR="00964B88" w:rsidRDefault="00964B88">
            <w:pPr>
              <w:spacing w:after="0"/>
            </w:pPr>
            <w:r>
              <w:t>Sales of non</w:t>
            </w:r>
            <w:r>
              <w:noBreakHyphen/>
              <w:t>financial assets</w:t>
            </w:r>
          </w:p>
        </w:tc>
        <w:tc>
          <w:tcPr>
            <w:tcW w:w="567" w:type="dxa"/>
            <w:tcBorders>
              <w:bottom w:val="single" w:sz="6" w:space="0" w:color="auto"/>
            </w:tcBorders>
          </w:tcPr>
          <w:p w14:paraId="657355E3"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bottom w:val="single" w:sz="6" w:space="0" w:color="auto"/>
            </w:tcBorders>
          </w:tcPr>
          <w:p w14:paraId="14B2DF8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825</w:t>
            </w:r>
          </w:p>
        </w:tc>
        <w:tc>
          <w:tcPr>
            <w:tcW w:w="839" w:type="dxa"/>
            <w:tcBorders>
              <w:bottom w:val="single" w:sz="6" w:space="0" w:color="auto"/>
            </w:tcBorders>
          </w:tcPr>
          <w:p w14:paraId="2D35ED6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349</w:t>
            </w:r>
          </w:p>
        </w:tc>
        <w:tc>
          <w:tcPr>
            <w:tcW w:w="839" w:type="dxa"/>
            <w:tcBorders>
              <w:bottom w:val="single" w:sz="6" w:space="0" w:color="auto"/>
            </w:tcBorders>
          </w:tcPr>
          <w:p w14:paraId="08E1341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313</w:t>
            </w:r>
          </w:p>
        </w:tc>
        <w:tc>
          <w:tcPr>
            <w:tcW w:w="839" w:type="dxa"/>
            <w:tcBorders>
              <w:bottom w:val="single" w:sz="6" w:space="0" w:color="auto"/>
            </w:tcBorders>
          </w:tcPr>
          <w:p w14:paraId="42989F5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492</w:t>
            </w:r>
          </w:p>
        </w:tc>
        <w:tc>
          <w:tcPr>
            <w:tcW w:w="839" w:type="dxa"/>
            <w:tcBorders>
              <w:bottom w:val="single" w:sz="6" w:space="0" w:color="auto"/>
            </w:tcBorders>
          </w:tcPr>
          <w:p w14:paraId="7424A00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534</w:t>
            </w:r>
          </w:p>
        </w:tc>
      </w:tr>
      <w:tr w:rsidR="00964B88" w14:paraId="1B93F8D3"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top w:val="single" w:sz="6" w:space="0" w:color="auto"/>
            </w:tcBorders>
          </w:tcPr>
          <w:p w14:paraId="3517D948" w14:textId="77777777" w:rsidR="00964B88" w:rsidRDefault="00964B88">
            <w:pPr>
              <w:spacing w:after="0"/>
            </w:pPr>
            <w:r>
              <w:rPr>
                <w:b/>
              </w:rPr>
              <w:t>Net cash flows from investments in non</w:t>
            </w:r>
            <w:r>
              <w:rPr>
                <w:b/>
              </w:rPr>
              <w:noBreakHyphen/>
              <w:t>financial assets</w:t>
            </w:r>
          </w:p>
        </w:tc>
        <w:tc>
          <w:tcPr>
            <w:tcW w:w="567" w:type="dxa"/>
            <w:tcBorders>
              <w:top w:val="single" w:sz="6" w:space="0" w:color="auto"/>
            </w:tcBorders>
          </w:tcPr>
          <w:p w14:paraId="6EF765BC"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top w:val="single" w:sz="6" w:space="0" w:color="auto"/>
            </w:tcBorders>
          </w:tcPr>
          <w:p w14:paraId="2406E18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(12 277)</w:t>
            </w:r>
          </w:p>
        </w:tc>
        <w:tc>
          <w:tcPr>
            <w:tcW w:w="839" w:type="dxa"/>
            <w:tcBorders>
              <w:top w:val="single" w:sz="6" w:space="0" w:color="auto"/>
            </w:tcBorders>
          </w:tcPr>
          <w:p w14:paraId="3707824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(12 941)</w:t>
            </w:r>
          </w:p>
        </w:tc>
        <w:tc>
          <w:tcPr>
            <w:tcW w:w="839" w:type="dxa"/>
            <w:tcBorders>
              <w:top w:val="single" w:sz="6" w:space="0" w:color="auto"/>
            </w:tcBorders>
          </w:tcPr>
          <w:p w14:paraId="361D2C5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(11 883)</w:t>
            </w:r>
          </w:p>
        </w:tc>
        <w:tc>
          <w:tcPr>
            <w:tcW w:w="839" w:type="dxa"/>
            <w:tcBorders>
              <w:top w:val="single" w:sz="6" w:space="0" w:color="auto"/>
            </w:tcBorders>
          </w:tcPr>
          <w:p w14:paraId="183AE3F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(8 605)</w:t>
            </w:r>
          </w:p>
        </w:tc>
        <w:tc>
          <w:tcPr>
            <w:tcW w:w="839" w:type="dxa"/>
            <w:tcBorders>
              <w:top w:val="single" w:sz="6" w:space="0" w:color="auto"/>
            </w:tcBorders>
          </w:tcPr>
          <w:p w14:paraId="2647625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(10 404)</w:t>
            </w:r>
          </w:p>
        </w:tc>
      </w:tr>
      <w:tr w:rsidR="00964B88" w14:paraId="15DCB1B4"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bottom w:val="single" w:sz="6" w:space="0" w:color="auto"/>
            </w:tcBorders>
          </w:tcPr>
          <w:p w14:paraId="16BD74FF" w14:textId="77777777" w:rsidR="00964B88" w:rsidRDefault="00964B88">
            <w:pPr>
              <w:spacing w:after="0"/>
            </w:pPr>
            <w:r>
              <w:t>Net cash flows from investments in financial assets for policy purposes</w:t>
            </w:r>
          </w:p>
        </w:tc>
        <w:tc>
          <w:tcPr>
            <w:tcW w:w="567" w:type="dxa"/>
            <w:tcBorders>
              <w:bottom w:val="single" w:sz="6" w:space="0" w:color="auto"/>
            </w:tcBorders>
          </w:tcPr>
          <w:p w14:paraId="7D3E12E8"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bottom w:val="single" w:sz="6" w:space="0" w:color="auto"/>
            </w:tcBorders>
          </w:tcPr>
          <w:p w14:paraId="516837E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3 106</w:t>
            </w:r>
          </w:p>
        </w:tc>
        <w:tc>
          <w:tcPr>
            <w:tcW w:w="839" w:type="dxa"/>
            <w:tcBorders>
              <w:bottom w:val="single" w:sz="6" w:space="0" w:color="auto"/>
            </w:tcBorders>
          </w:tcPr>
          <w:p w14:paraId="263683C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3 351</w:t>
            </w:r>
          </w:p>
        </w:tc>
        <w:tc>
          <w:tcPr>
            <w:tcW w:w="839" w:type="dxa"/>
            <w:tcBorders>
              <w:bottom w:val="single" w:sz="6" w:space="0" w:color="auto"/>
            </w:tcBorders>
          </w:tcPr>
          <w:p w14:paraId="146AF6E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2 498</w:t>
            </w:r>
          </w:p>
        </w:tc>
        <w:tc>
          <w:tcPr>
            <w:tcW w:w="839" w:type="dxa"/>
            <w:tcBorders>
              <w:bottom w:val="single" w:sz="6" w:space="0" w:color="auto"/>
            </w:tcBorders>
          </w:tcPr>
          <w:p w14:paraId="668E2AC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953</w:t>
            </w:r>
          </w:p>
        </w:tc>
        <w:tc>
          <w:tcPr>
            <w:tcW w:w="839" w:type="dxa"/>
            <w:tcBorders>
              <w:bottom w:val="single" w:sz="6" w:space="0" w:color="auto"/>
            </w:tcBorders>
          </w:tcPr>
          <w:p w14:paraId="770BAC4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145</w:t>
            </w:r>
          </w:p>
        </w:tc>
      </w:tr>
      <w:tr w:rsidR="00964B88" w14:paraId="76A86250"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top w:val="single" w:sz="6" w:space="0" w:color="auto"/>
            </w:tcBorders>
          </w:tcPr>
          <w:p w14:paraId="4E9A09C0" w14:textId="77777777" w:rsidR="00964B88" w:rsidRDefault="00964B88">
            <w:pPr>
              <w:spacing w:after="0"/>
            </w:pPr>
            <w:r>
              <w:rPr>
                <w:b/>
              </w:rPr>
              <w:t>Subtotal</w:t>
            </w:r>
          </w:p>
        </w:tc>
        <w:tc>
          <w:tcPr>
            <w:tcW w:w="567" w:type="dxa"/>
            <w:tcBorders>
              <w:top w:val="single" w:sz="6" w:space="0" w:color="auto"/>
            </w:tcBorders>
          </w:tcPr>
          <w:p w14:paraId="0674EFE8"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top w:val="single" w:sz="6" w:space="0" w:color="auto"/>
            </w:tcBorders>
          </w:tcPr>
          <w:p w14:paraId="4F24530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(9 171)</w:t>
            </w:r>
          </w:p>
        </w:tc>
        <w:tc>
          <w:tcPr>
            <w:tcW w:w="839" w:type="dxa"/>
            <w:tcBorders>
              <w:top w:val="single" w:sz="6" w:space="0" w:color="auto"/>
            </w:tcBorders>
          </w:tcPr>
          <w:p w14:paraId="3F90F7E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(9 589)</w:t>
            </w:r>
          </w:p>
        </w:tc>
        <w:tc>
          <w:tcPr>
            <w:tcW w:w="839" w:type="dxa"/>
            <w:tcBorders>
              <w:top w:val="single" w:sz="6" w:space="0" w:color="auto"/>
            </w:tcBorders>
          </w:tcPr>
          <w:p w14:paraId="3783F92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(9 385)</w:t>
            </w:r>
          </w:p>
        </w:tc>
        <w:tc>
          <w:tcPr>
            <w:tcW w:w="839" w:type="dxa"/>
            <w:tcBorders>
              <w:top w:val="single" w:sz="6" w:space="0" w:color="auto"/>
            </w:tcBorders>
          </w:tcPr>
          <w:p w14:paraId="5CFAB7B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(7 652)</w:t>
            </w:r>
          </w:p>
        </w:tc>
        <w:tc>
          <w:tcPr>
            <w:tcW w:w="839" w:type="dxa"/>
            <w:tcBorders>
              <w:top w:val="single" w:sz="6" w:space="0" w:color="auto"/>
            </w:tcBorders>
          </w:tcPr>
          <w:p w14:paraId="1965EFA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(10 258)</w:t>
            </w:r>
          </w:p>
        </w:tc>
      </w:tr>
      <w:tr w:rsidR="00964B88" w14:paraId="34D94FAC"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bottom w:val="single" w:sz="6" w:space="0" w:color="auto"/>
            </w:tcBorders>
          </w:tcPr>
          <w:p w14:paraId="34D0862F" w14:textId="77777777" w:rsidR="00964B88" w:rsidRDefault="00964B88">
            <w:pPr>
              <w:spacing w:after="0"/>
            </w:pPr>
            <w:r>
              <w:t>Net cash flows from investment in financial assets for liquidity management purposes</w:t>
            </w:r>
          </w:p>
        </w:tc>
        <w:tc>
          <w:tcPr>
            <w:tcW w:w="567" w:type="dxa"/>
            <w:tcBorders>
              <w:bottom w:val="single" w:sz="6" w:space="0" w:color="auto"/>
            </w:tcBorders>
          </w:tcPr>
          <w:p w14:paraId="3EB87AF0"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bottom w:val="single" w:sz="6" w:space="0" w:color="auto"/>
            </w:tcBorders>
          </w:tcPr>
          <w:p w14:paraId="4651161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(361)</w:t>
            </w:r>
          </w:p>
        </w:tc>
        <w:tc>
          <w:tcPr>
            <w:tcW w:w="839" w:type="dxa"/>
            <w:tcBorders>
              <w:bottom w:val="single" w:sz="6" w:space="0" w:color="auto"/>
            </w:tcBorders>
          </w:tcPr>
          <w:p w14:paraId="2FC84B9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(278)</w:t>
            </w:r>
          </w:p>
        </w:tc>
        <w:tc>
          <w:tcPr>
            <w:tcW w:w="839" w:type="dxa"/>
            <w:tcBorders>
              <w:bottom w:val="single" w:sz="6" w:space="0" w:color="auto"/>
            </w:tcBorders>
          </w:tcPr>
          <w:p w14:paraId="3208A94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(29)</w:t>
            </w:r>
          </w:p>
        </w:tc>
        <w:tc>
          <w:tcPr>
            <w:tcW w:w="839" w:type="dxa"/>
            <w:tcBorders>
              <w:bottom w:val="single" w:sz="6" w:space="0" w:color="auto"/>
            </w:tcBorders>
          </w:tcPr>
          <w:p w14:paraId="11532FA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44</w:t>
            </w:r>
          </w:p>
        </w:tc>
        <w:tc>
          <w:tcPr>
            <w:tcW w:w="839" w:type="dxa"/>
            <w:tcBorders>
              <w:bottom w:val="single" w:sz="6" w:space="0" w:color="auto"/>
            </w:tcBorders>
          </w:tcPr>
          <w:p w14:paraId="3F582D9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(34)</w:t>
            </w:r>
          </w:p>
        </w:tc>
      </w:tr>
      <w:tr w:rsidR="00964B88" w14:paraId="6D236FBE"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top w:val="single" w:sz="6" w:space="0" w:color="auto"/>
            </w:tcBorders>
          </w:tcPr>
          <w:p w14:paraId="0FD24936" w14:textId="77777777" w:rsidR="00964B88" w:rsidRDefault="00964B88">
            <w:pPr>
              <w:spacing w:after="0"/>
            </w:pPr>
            <w:r>
              <w:rPr>
                <w:b/>
              </w:rPr>
              <w:t>Net cash flows from investing activities</w:t>
            </w:r>
          </w:p>
        </w:tc>
        <w:tc>
          <w:tcPr>
            <w:tcW w:w="567" w:type="dxa"/>
            <w:tcBorders>
              <w:top w:val="single" w:sz="6" w:space="0" w:color="auto"/>
            </w:tcBorders>
          </w:tcPr>
          <w:p w14:paraId="114F5A49"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top w:val="single" w:sz="6" w:space="0" w:color="auto"/>
            </w:tcBorders>
          </w:tcPr>
          <w:p w14:paraId="2C4768C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(9 532)</w:t>
            </w:r>
          </w:p>
        </w:tc>
        <w:tc>
          <w:tcPr>
            <w:tcW w:w="839" w:type="dxa"/>
            <w:tcBorders>
              <w:top w:val="single" w:sz="6" w:space="0" w:color="auto"/>
            </w:tcBorders>
          </w:tcPr>
          <w:p w14:paraId="4A8C68D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(9 868)</w:t>
            </w:r>
          </w:p>
        </w:tc>
        <w:tc>
          <w:tcPr>
            <w:tcW w:w="839" w:type="dxa"/>
            <w:tcBorders>
              <w:top w:val="single" w:sz="6" w:space="0" w:color="auto"/>
            </w:tcBorders>
          </w:tcPr>
          <w:p w14:paraId="079F27A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(9 414)</w:t>
            </w:r>
          </w:p>
        </w:tc>
        <w:tc>
          <w:tcPr>
            <w:tcW w:w="839" w:type="dxa"/>
            <w:tcBorders>
              <w:top w:val="single" w:sz="6" w:space="0" w:color="auto"/>
            </w:tcBorders>
          </w:tcPr>
          <w:p w14:paraId="7FC0C47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(7 608)</w:t>
            </w:r>
          </w:p>
        </w:tc>
        <w:tc>
          <w:tcPr>
            <w:tcW w:w="839" w:type="dxa"/>
            <w:tcBorders>
              <w:top w:val="single" w:sz="6" w:space="0" w:color="auto"/>
            </w:tcBorders>
          </w:tcPr>
          <w:p w14:paraId="213E468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(10 293)</w:t>
            </w:r>
          </w:p>
        </w:tc>
      </w:tr>
      <w:tr w:rsidR="00964B88" w14:paraId="40AB1B3D"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0382C4A9" w14:textId="77777777" w:rsidR="00964B88" w:rsidRDefault="00964B88">
            <w:pPr>
              <w:spacing w:after="0"/>
            </w:pPr>
            <w:r>
              <w:rPr>
                <w:b/>
              </w:rPr>
              <w:t>Cash flows from financing activities</w:t>
            </w:r>
          </w:p>
        </w:tc>
        <w:tc>
          <w:tcPr>
            <w:tcW w:w="567" w:type="dxa"/>
          </w:tcPr>
          <w:p w14:paraId="4ABF4BF4"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27D1B13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3287B80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1BAC083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31C2E7E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1D46D02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1189C93F"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7F40D52A" w14:textId="77777777" w:rsidR="00964B88" w:rsidRDefault="00964B88">
            <w:pPr>
              <w:spacing w:after="0"/>
            </w:pPr>
            <w:r>
              <w:t>Advances received (net)</w:t>
            </w:r>
          </w:p>
        </w:tc>
        <w:tc>
          <w:tcPr>
            <w:tcW w:w="567" w:type="dxa"/>
          </w:tcPr>
          <w:p w14:paraId="753E9C93"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7E09980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(1 930)</w:t>
            </w:r>
          </w:p>
        </w:tc>
        <w:tc>
          <w:tcPr>
            <w:tcW w:w="839" w:type="dxa"/>
          </w:tcPr>
          <w:p w14:paraId="511A42A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(1 941)</w:t>
            </w:r>
          </w:p>
        </w:tc>
        <w:tc>
          <w:tcPr>
            <w:tcW w:w="839" w:type="dxa"/>
          </w:tcPr>
          <w:p w14:paraId="777BA8C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(1 203)</w:t>
            </w:r>
          </w:p>
        </w:tc>
        <w:tc>
          <w:tcPr>
            <w:tcW w:w="839" w:type="dxa"/>
          </w:tcPr>
          <w:p w14:paraId="5E05D4C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(652)</w:t>
            </w:r>
          </w:p>
        </w:tc>
        <w:tc>
          <w:tcPr>
            <w:tcW w:w="839" w:type="dxa"/>
          </w:tcPr>
          <w:p w14:paraId="20C06FB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(156)</w:t>
            </w:r>
          </w:p>
        </w:tc>
      </w:tr>
      <w:tr w:rsidR="00964B88" w14:paraId="5B5B9C6C"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6DFA3799" w14:textId="77777777" w:rsidR="00964B88" w:rsidRDefault="00964B88">
            <w:pPr>
              <w:spacing w:after="0"/>
            </w:pPr>
            <w:r>
              <w:t>Net borrowings</w:t>
            </w:r>
          </w:p>
        </w:tc>
        <w:tc>
          <w:tcPr>
            <w:tcW w:w="567" w:type="dxa"/>
          </w:tcPr>
          <w:p w14:paraId="3333CDE3"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656E471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4 821</w:t>
            </w:r>
          </w:p>
        </w:tc>
        <w:tc>
          <w:tcPr>
            <w:tcW w:w="839" w:type="dxa"/>
          </w:tcPr>
          <w:p w14:paraId="52AB38F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4 942</w:t>
            </w:r>
          </w:p>
        </w:tc>
        <w:tc>
          <w:tcPr>
            <w:tcW w:w="839" w:type="dxa"/>
          </w:tcPr>
          <w:p w14:paraId="0DB456B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6 026</w:t>
            </w:r>
          </w:p>
        </w:tc>
        <w:tc>
          <w:tcPr>
            <w:tcW w:w="839" w:type="dxa"/>
          </w:tcPr>
          <w:p w14:paraId="5A70345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913</w:t>
            </w:r>
          </w:p>
        </w:tc>
        <w:tc>
          <w:tcPr>
            <w:tcW w:w="839" w:type="dxa"/>
          </w:tcPr>
          <w:p w14:paraId="1D943FA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1 655</w:t>
            </w:r>
          </w:p>
        </w:tc>
      </w:tr>
      <w:tr w:rsidR="00964B88" w14:paraId="2FD219E6"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top w:val="single" w:sz="6" w:space="0" w:color="auto"/>
              <w:bottom w:val="single" w:sz="6" w:space="0" w:color="auto"/>
            </w:tcBorders>
          </w:tcPr>
          <w:p w14:paraId="648CCD80" w14:textId="77777777" w:rsidR="00964B88" w:rsidRDefault="00964B88">
            <w:pPr>
              <w:spacing w:after="0"/>
            </w:pPr>
            <w:r>
              <w:rPr>
                <w:b/>
              </w:rPr>
              <w:t>Net cash flows from financing activities</w:t>
            </w:r>
          </w:p>
        </w:tc>
        <w:tc>
          <w:tcPr>
            <w:tcW w:w="567" w:type="dxa"/>
            <w:tcBorders>
              <w:top w:val="single" w:sz="6" w:space="0" w:color="auto"/>
              <w:bottom w:val="single" w:sz="6" w:space="0" w:color="auto"/>
            </w:tcBorders>
          </w:tcPr>
          <w:p w14:paraId="08B4816B"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top w:val="single" w:sz="6" w:space="0" w:color="auto"/>
              <w:bottom w:val="single" w:sz="6" w:space="0" w:color="auto"/>
            </w:tcBorders>
          </w:tcPr>
          <w:p w14:paraId="0FD5982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2 891</w:t>
            </w:r>
          </w:p>
        </w:tc>
        <w:tc>
          <w:tcPr>
            <w:tcW w:w="839" w:type="dxa"/>
            <w:tcBorders>
              <w:top w:val="single" w:sz="6" w:space="0" w:color="auto"/>
              <w:bottom w:val="single" w:sz="6" w:space="0" w:color="auto"/>
            </w:tcBorders>
          </w:tcPr>
          <w:p w14:paraId="103ABF1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3 001</w:t>
            </w:r>
          </w:p>
        </w:tc>
        <w:tc>
          <w:tcPr>
            <w:tcW w:w="839" w:type="dxa"/>
            <w:tcBorders>
              <w:top w:val="single" w:sz="6" w:space="0" w:color="auto"/>
              <w:bottom w:val="single" w:sz="6" w:space="0" w:color="auto"/>
            </w:tcBorders>
          </w:tcPr>
          <w:p w14:paraId="38C10A8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4 823</w:t>
            </w:r>
          </w:p>
        </w:tc>
        <w:tc>
          <w:tcPr>
            <w:tcW w:w="839" w:type="dxa"/>
            <w:tcBorders>
              <w:top w:val="single" w:sz="6" w:space="0" w:color="auto"/>
              <w:bottom w:val="single" w:sz="6" w:space="0" w:color="auto"/>
            </w:tcBorders>
          </w:tcPr>
          <w:p w14:paraId="60BCBF1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261</w:t>
            </w:r>
          </w:p>
        </w:tc>
        <w:tc>
          <w:tcPr>
            <w:tcW w:w="839" w:type="dxa"/>
            <w:tcBorders>
              <w:top w:val="single" w:sz="6" w:space="0" w:color="auto"/>
              <w:bottom w:val="single" w:sz="6" w:space="0" w:color="auto"/>
            </w:tcBorders>
          </w:tcPr>
          <w:p w14:paraId="43FBD97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1 499</w:t>
            </w:r>
          </w:p>
        </w:tc>
      </w:tr>
      <w:tr w:rsidR="00964B88" w14:paraId="5EED0C38"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top w:val="single" w:sz="6" w:space="0" w:color="auto"/>
            </w:tcBorders>
          </w:tcPr>
          <w:p w14:paraId="2A384F78" w14:textId="77777777" w:rsidR="00964B88" w:rsidRDefault="00964B88">
            <w:pPr>
              <w:spacing w:after="0"/>
            </w:pPr>
            <w:r>
              <w:t>Net increase/(decrease) in cash and cash equivalents</w:t>
            </w:r>
          </w:p>
        </w:tc>
        <w:tc>
          <w:tcPr>
            <w:tcW w:w="567" w:type="dxa"/>
            <w:tcBorders>
              <w:top w:val="single" w:sz="6" w:space="0" w:color="auto"/>
            </w:tcBorders>
          </w:tcPr>
          <w:p w14:paraId="4D4D69F0"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top w:val="single" w:sz="6" w:space="0" w:color="auto"/>
            </w:tcBorders>
          </w:tcPr>
          <w:p w14:paraId="2DE5F0A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(2 039)</w:t>
            </w:r>
          </w:p>
        </w:tc>
        <w:tc>
          <w:tcPr>
            <w:tcW w:w="839" w:type="dxa"/>
            <w:tcBorders>
              <w:top w:val="single" w:sz="6" w:space="0" w:color="auto"/>
            </w:tcBorders>
          </w:tcPr>
          <w:p w14:paraId="694D458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(3 509)</w:t>
            </w:r>
          </w:p>
        </w:tc>
        <w:tc>
          <w:tcPr>
            <w:tcW w:w="839" w:type="dxa"/>
            <w:tcBorders>
              <w:top w:val="single" w:sz="6" w:space="0" w:color="auto"/>
            </w:tcBorders>
          </w:tcPr>
          <w:p w14:paraId="54711B3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35</w:t>
            </w:r>
          </w:p>
        </w:tc>
        <w:tc>
          <w:tcPr>
            <w:tcW w:w="839" w:type="dxa"/>
            <w:tcBorders>
              <w:top w:val="single" w:sz="6" w:space="0" w:color="auto"/>
            </w:tcBorders>
          </w:tcPr>
          <w:p w14:paraId="122EF32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190</w:t>
            </w:r>
          </w:p>
        </w:tc>
        <w:tc>
          <w:tcPr>
            <w:tcW w:w="839" w:type="dxa"/>
            <w:tcBorders>
              <w:top w:val="single" w:sz="6" w:space="0" w:color="auto"/>
            </w:tcBorders>
          </w:tcPr>
          <w:p w14:paraId="2E3268D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182</w:t>
            </w:r>
          </w:p>
        </w:tc>
      </w:tr>
      <w:tr w:rsidR="00964B88" w14:paraId="678457F6"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bottom w:val="single" w:sz="6" w:space="0" w:color="auto"/>
            </w:tcBorders>
          </w:tcPr>
          <w:p w14:paraId="46FAB3CF" w14:textId="77777777" w:rsidR="00964B88" w:rsidRDefault="00964B88">
            <w:pPr>
              <w:spacing w:after="0"/>
            </w:pPr>
            <w:r>
              <w:t xml:space="preserve">Cash and cash equivalents at beginning of reporting period </w:t>
            </w:r>
            <w:r>
              <w:rPr>
                <w:vertAlign w:val="superscript"/>
              </w:rPr>
              <w:t>(b)</w:t>
            </w:r>
          </w:p>
        </w:tc>
        <w:tc>
          <w:tcPr>
            <w:tcW w:w="567" w:type="dxa"/>
            <w:tcBorders>
              <w:bottom w:val="single" w:sz="6" w:space="0" w:color="auto"/>
            </w:tcBorders>
          </w:tcPr>
          <w:p w14:paraId="1AD0E285"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bottom w:val="single" w:sz="6" w:space="0" w:color="auto"/>
            </w:tcBorders>
          </w:tcPr>
          <w:p w14:paraId="5A8EC56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9 775</w:t>
            </w:r>
          </w:p>
        </w:tc>
        <w:tc>
          <w:tcPr>
            <w:tcW w:w="839" w:type="dxa"/>
            <w:tcBorders>
              <w:bottom w:val="single" w:sz="6" w:space="0" w:color="auto"/>
            </w:tcBorders>
          </w:tcPr>
          <w:p w14:paraId="32371BD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9 775</w:t>
            </w:r>
          </w:p>
        </w:tc>
        <w:tc>
          <w:tcPr>
            <w:tcW w:w="839" w:type="dxa"/>
            <w:tcBorders>
              <w:bottom w:val="single" w:sz="6" w:space="0" w:color="auto"/>
            </w:tcBorders>
          </w:tcPr>
          <w:p w14:paraId="0734D04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6 266</w:t>
            </w:r>
          </w:p>
        </w:tc>
        <w:tc>
          <w:tcPr>
            <w:tcW w:w="839" w:type="dxa"/>
            <w:tcBorders>
              <w:bottom w:val="single" w:sz="6" w:space="0" w:color="auto"/>
            </w:tcBorders>
          </w:tcPr>
          <w:p w14:paraId="1026988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6 301</w:t>
            </w:r>
          </w:p>
        </w:tc>
        <w:tc>
          <w:tcPr>
            <w:tcW w:w="839" w:type="dxa"/>
            <w:tcBorders>
              <w:bottom w:val="single" w:sz="6" w:space="0" w:color="auto"/>
            </w:tcBorders>
          </w:tcPr>
          <w:p w14:paraId="33B5FBA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6 491</w:t>
            </w:r>
          </w:p>
        </w:tc>
      </w:tr>
      <w:tr w:rsidR="00964B88" w:rsidRPr="009C1504" w14:paraId="1E483BAF"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Borders>
              <w:top w:val="single" w:sz="6" w:space="0" w:color="auto"/>
              <w:bottom w:val="single" w:sz="6" w:space="0" w:color="auto"/>
            </w:tcBorders>
          </w:tcPr>
          <w:p w14:paraId="5B2F62D7" w14:textId="77777777" w:rsidR="00964B88" w:rsidRPr="009C1504" w:rsidRDefault="00964B88">
            <w:pPr>
              <w:spacing w:after="0"/>
            </w:pPr>
            <w:r w:rsidRPr="009C1504">
              <w:t xml:space="preserve">Cash and cash equivalents at end of reporting period </w:t>
            </w:r>
            <w:r w:rsidRPr="009C1504">
              <w:rPr>
                <w:vertAlign w:val="superscript"/>
              </w:rPr>
              <w:t>(b)</w:t>
            </w:r>
          </w:p>
        </w:tc>
        <w:tc>
          <w:tcPr>
            <w:tcW w:w="567" w:type="dxa"/>
            <w:tcBorders>
              <w:top w:val="single" w:sz="6" w:space="0" w:color="auto"/>
              <w:bottom w:val="single" w:sz="6" w:space="0" w:color="auto"/>
            </w:tcBorders>
          </w:tcPr>
          <w:p w14:paraId="43EFB037" w14:textId="77777777" w:rsidR="00964B88" w:rsidRPr="009C1504" w:rsidRDefault="00964B88">
            <w:pPr>
              <w:spacing w:after="0"/>
              <w:jc w:val="center"/>
              <w:cnfStyle w:val="010000000000" w:firstRow="0" w:lastRow="1" w:firstColumn="0" w:lastColumn="0" w:oddVBand="0" w:evenVBand="0" w:oddHBand="0" w:evenHBand="0" w:firstRowFirstColumn="0" w:firstRowLastColumn="0" w:lastRowFirstColumn="0" w:lastRowLastColumn="0"/>
            </w:pPr>
          </w:p>
        </w:tc>
        <w:tc>
          <w:tcPr>
            <w:tcW w:w="839" w:type="dxa"/>
            <w:tcBorders>
              <w:top w:val="single" w:sz="6" w:space="0" w:color="auto"/>
              <w:bottom w:val="single" w:sz="6" w:space="0" w:color="auto"/>
            </w:tcBorders>
          </w:tcPr>
          <w:p w14:paraId="5D480D36" w14:textId="77777777" w:rsidR="00964B88" w:rsidRPr="009C1504" w:rsidRDefault="00964B88">
            <w:pPr>
              <w:spacing w:after="0"/>
              <w:cnfStyle w:val="010000000000" w:firstRow="0" w:lastRow="1" w:firstColumn="0" w:lastColumn="0" w:oddVBand="0" w:evenVBand="0" w:oddHBand="0" w:evenHBand="0" w:firstRowFirstColumn="0" w:firstRowLastColumn="0" w:lastRowFirstColumn="0" w:lastRowLastColumn="0"/>
            </w:pPr>
            <w:r w:rsidRPr="009C1504">
              <w:t>7 736</w:t>
            </w:r>
          </w:p>
        </w:tc>
        <w:tc>
          <w:tcPr>
            <w:tcW w:w="839" w:type="dxa"/>
            <w:tcBorders>
              <w:top w:val="single" w:sz="6" w:space="0" w:color="auto"/>
              <w:bottom w:val="single" w:sz="6" w:space="0" w:color="auto"/>
            </w:tcBorders>
          </w:tcPr>
          <w:p w14:paraId="302FCBA7" w14:textId="77777777" w:rsidR="00964B88" w:rsidRPr="009C1504" w:rsidRDefault="00964B88">
            <w:pPr>
              <w:spacing w:after="0"/>
              <w:cnfStyle w:val="010000000000" w:firstRow="0" w:lastRow="1" w:firstColumn="0" w:lastColumn="0" w:oddVBand="0" w:evenVBand="0" w:oddHBand="0" w:evenHBand="0" w:firstRowFirstColumn="0" w:firstRowLastColumn="0" w:lastRowFirstColumn="0" w:lastRowLastColumn="0"/>
            </w:pPr>
            <w:r w:rsidRPr="009C1504">
              <w:t>6 266</w:t>
            </w:r>
          </w:p>
        </w:tc>
        <w:tc>
          <w:tcPr>
            <w:tcW w:w="839" w:type="dxa"/>
            <w:tcBorders>
              <w:top w:val="single" w:sz="6" w:space="0" w:color="auto"/>
              <w:bottom w:val="single" w:sz="6" w:space="0" w:color="auto"/>
            </w:tcBorders>
          </w:tcPr>
          <w:p w14:paraId="34A482E3" w14:textId="77777777" w:rsidR="00964B88" w:rsidRPr="009C1504" w:rsidRDefault="00964B88">
            <w:pPr>
              <w:spacing w:after="0"/>
              <w:cnfStyle w:val="010000000000" w:firstRow="0" w:lastRow="1" w:firstColumn="0" w:lastColumn="0" w:oddVBand="0" w:evenVBand="0" w:oddHBand="0" w:evenHBand="0" w:firstRowFirstColumn="0" w:firstRowLastColumn="0" w:lastRowFirstColumn="0" w:lastRowLastColumn="0"/>
            </w:pPr>
            <w:r w:rsidRPr="009C1504">
              <w:t>6 301</w:t>
            </w:r>
          </w:p>
        </w:tc>
        <w:tc>
          <w:tcPr>
            <w:tcW w:w="839" w:type="dxa"/>
            <w:tcBorders>
              <w:top w:val="single" w:sz="6" w:space="0" w:color="auto"/>
              <w:bottom w:val="single" w:sz="6" w:space="0" w:color="auto"/>
            </w:tcBorders>
          </w:tcPr>
          <w:p w14:paraId="263E014E" w14:textId="77777777" w:rsidR="00964B88" w:rsidRPr="009C1504" w:rsidRDefault="00964B88">
            <w:pPr>
              <w:spacing w:after="0"/>
              <w:cnfStyle w:val="010000000000" w:firstRow="0" w:lastRow="1" w:firstColumn="0" w:lastColumn="0" w:oddVBand="0" w:evenVBand="0" w:oddHBand="0" w:evenHBand="0" w:firstRowFirstColumn="0" w:firstRowLastColumn="0" w:lastRowFirstColumn="0" w:lastRowLastColumn="0"/>
            </w:pPr>
            <w:r w:rsidRPr="009C1504">
              <w:t>6 491</w:t>
            </w:r>
          </w:p>
        </w:tc>
        <w:tc>
          <w:tcPr>
            <w:tcW w:w="839" w:type="dxa"/>
            <w:tcBorders>
              <w:top w:val="single" w:sz="6" w:space="0" w:color="auto"/>
              <w:bottom w:val="single" w:sz="6" w:space="0" w:color="auto"/>
            </w:tcBorders>
          </w:tcPr>
          <w:p w14:paraId="33C4C1B6" w14:textId="77777777" w:rsidR="00964B88" w:rsidRPr="009C1504" w:rsidRDefault="00964B88">
            <w:pPr>
              <w:spacing w:after="0"/>
              <w:cnfStyle w:val="010000000000" w:firstRow="0" w:lastRow="1" w:firstColumn="0" w:lastColumn="0" w:oddVBand="0" w:evenVBand="0" w:oddHBand="0" w:evenHBand="0" w:firstRowFirstColumn="0" w:firstRowLastColumn="0" w:lastRowFirstColumn="0" w:lastRowLastColumn="0"/>
            </w:pPr>
            <w:r w:rsidRPr="009C1504">
              <w:t>6 673</w:t>
            </w:r>
          </w:p>
        </w:tc>
      </w:tr>
    </w:tbl>
    <w:p w14:paraId="542676E0" w14:textId="77777777" w:rsidR="0090119F" w:rsidRDefault="0090119F"/>
    <w:p w14:paraId="62AB4218" w14:textId="77777777" w:rsidR="0090119F" w:rsidRDefault="0090119F" w:rsidP="0090119F">
      <w:pPr>
        <w:pStyle w:val="Heading10"/>
      </w:pPr>
      <w:bookmarkStart w:id="70" w:name="_Toc26788489"/>
      <w:bookmarkStart w:id="71" w:name="_Toc26788545"/>
      <w:r>
        <w:lastRenderedPageBreak/>
        <w:t>Estimated general government sector</w:t>
      </w:r>
      <w:r>
        <w:br/>
        <w:t xml:space="preserve">cash flow statement </w:t>
      </w:r>
      <w:r w:rsidRPr="0090119F">
        <w:rPr>
          <w:i/>
          <w:caps w:val="0"/>
          <w:sz w:val="22"/>
        </w:rPr>
        <w:t>(continued)</w:t>
      </w:r>
      <w:bookmarkEnd w:id="70"/>
      <w:bookmarkEnd w:id="71"/>
    </w:p>
    <w:p w14:paraId="5F1380F0" w14:textId="77777777" w:rsidR="0090119F" w:rsidRDefault="0090119F" w:rsidP="0090119F">
      <w:pPr>
        <w:pStyle w:val="TableHeading"/>
      </w:pPr>
      <w:r>
        <w:t>For the financial year ended 30 June</w:t>
      </w:r>
      <w:r>
        <w:tab/>
        <w:t>($ million)</w:t>
      </w:r>
    </w:p>
    <w:tbl>
      <w:tblPr>
        <w:tblStyle w:val="DTFTable"/>
        <w:tblW w:w="7768" w:type="dxa"/>
        <w:tblLayout w:type="fixed"/>
        <w:tblLook w:val="06E0" w:firstRow="1" w:lastRow="1" w:firstColumn="1" w:lastColumn="0" w:noHBand="1" w:noVBand="1"/>
      </w:tblPr>
      <w:tblGrid>
        <w:gridCol w:w="3006"/>
        <w:gridCol w:w="567"/>
        <w:gridCol w:w="839"/>
        <w:gridCol w:w="839"/>
        <w:gridCol w:w="839"/>
        <w:gridCol w:w="839"/>
        <w:gridCol w:w="839"/>
      </w:tblGrid>
      <w:tr w:rsidR="0090119F" w14:paraId="0E45DB5F" w14:textId="77777777" w:rsidTr="002A32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6" w:type="dxa"/>
          </w:tcPr>
          <w:p w14:paraId="0A465873" w14:textId="77777777" w:rsidR="0090119F" w:rsidRDefault="0090119F" w:rsidP="002A3255">
            <w:pPr>
              <w:spacing w:after="0"/>
            </w:pPr>
          </w:p>
        </w:tc>
        <w:tc>
          <w:tcPr>
            <w:tcW w:w="567" w:type="dxa"/>
          </w:tcPr>
          <w:p w14:paraId="47BBDE69" w14:textId="77777777" w:rsidR="0090119F" w:rsidRDefault="0090119F" w:rsidP="002A3255">
            <w:pPr>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839" w:type="dxa"/>
          </w:tcPr>
          <w:p w14:paraId="0D50498D" w14:textId="77777777" w:rsidR="0090119F" w:rsidRDefault="0090119F" w:rsidP="002A3255">
            <w:pPr>
              <w:spacing w:after="0"/>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39" w:type="dxa"/>
          </w:tcPr>
          <w:p w14:paraId="5C224CCF" w14:textId="77777777" w:rsidR="0090119F" w:rsidRDefault="0090119F" w:rsidP="002A3255">
            <w:pPr>
              <w:spacing w:after="0"/>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39" w:type="dxa"/>
          </w:tcPr>
          <w:p w14:paraId="2AE98FF2" w14:textId="77777777" w:rsidR="0090119F" w:rsidRDefault="0090119F" w:rsidP="002A3255">
            <w:pPr>
              <w:spacing w:after="0"/>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39" w:type="dxa"/>
          </w:tcPr>
          <w:p w14:paraId="5D43FC39" w14:textId="77777777" w:rsidR="0090119F" w:rsidRDefault="0090119F" w:rsidP="002A3255">
            <w:pPr>
              <w:spacing w:after="0"/>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39" w:type="dxa"/>
          </w:tcPr>
          <w:p w14:paraId="142FF139" w14:textId="77777777" w:rsidR="0090119F" w:rsidRDefault="0090119F" w:rsidP="002A3255">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2E1AF930"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28FD7FD0" w14:textId="77777777" w:rsidR="00964B88" w:rsidRDefault="00964B88" w:rsidP="0090119F">
            <w:pPr>
              <w:spacing w:after="0"/>
            </w:pPr>
            <w:r>
              <w:rPr>
                <w:b/>
              </w:rPr>
              <w:t>FISCAL AGGREGATES</w:t>
            </w:r>
          </w:p>
        </w:tc>
        <w:tc>
          <w:tcPr>
            <w:tcW w:w="567" w:type="dxa"/>
          </w:tcPr>
          <w:p w14:paraId="201D2029"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1867975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5924D0C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746A074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22A7313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39" w:type="dxa"/>
          </w:tcPr>
          <w:p w14:paraId="031740B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70316DC7" w14:textId="77777777" w:rsidTr="00F53820">
        <w:tc>
          <w:tcPr>
            <w:cnfStyle w:val="001000000000" w:firstRow="0" w:lastRow="0" w:firstColumn="1" w:lastColumn="0" w:oddVBand="0" w:evenVBand="0" w:oddHBand="0" w:evenHBand="0" w:firstRowFirstColumn="0" w:firstRowLastColumn="0" w:lastRowFirstColumn="0" w:lastRowLastColumn="0"/>
            <w:tcW w:w="3006" w:type="dxa"/>
          </w:tcPr>
          <w:p w14:paraId="5BD66335" w14:textId="77777777" w:rsidR="00964B88" w:rsidRDefault="00964B88">
            <w:pPr>
              <w:spacing w:after="0"/>
            </w:pPr>
            <w:r>
              <w:t>Net cash flows from operating activities</w:t>
            </w:r>
          </w:p>
        </w:tc>
        <w:tc>
          <w:tcPr>
            <w:tcW w:w="567" w:type="dxa"/>
          </w:tcPr>
          <w:p w14:paraId="4AA8BEA5"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Pr>
          <w:p w14:paraId="46A6AA5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4 602</w:t>
            </w:r>
          </w:p>
        </w:tc>
        <w:tc>
          <w:tcPr>
            <w:tcW w:w="839" w:type="dxa"/>
          </w:tcPr>
          <w:p w14:paraId="02E1A2C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3 358</w:t>
            </w:r>
          </w:p>
        </w:tc>
        <w:tc>
          <w:tcPr>
            <w:tcW w:w="839" w:type="dxa"/>
          </w:tcPr>
          <w:p w14:paraId="252D5CB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4 626</w:t>
            </w:r>
          </w:p>
        </w:tc>
        <w:tc>
          <w:tcPr>
            <w:tcW w:w="839" w:type="dxa"/>
          </w:tcPr>
          <w:p w14:paraId="584BB95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7 536</w:t>
            </w:r>
          </w:p>
        </w:tc>
        <w:tc>
          <w:tcPr>
            <w:tcW w:w="839" w:type="dxa"/>
          </w:tcPr>
          <w:p w14:paraId="6C11568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8 976</w:t>
            </w:r>
          </w:p>
        </w:tc>
      </w:tr>
      <w:tr w:rsidR="00964B88" w14:paraId="0857402F" w14:textId="77777777" w:rsidTr="00F53820">
        <w:tc>
          <w:tcPr>
            <w:cnfStyle w:val="001000000000" w:firstRow="0" w:lastRow="0" w:firstColumn="1" w:lastColumn="0" w:oddVBand="0" w:evenVBand="0" w:oddHBand="0" w:evenHBand="0" w:firstRowFirstColumn="0" w:firstRowLastColumn="0" w:lastRowFirstColumn="0" w:lastRowLastColumn="0"/>
            <w:tcW w:w="3006" w:type="dxa"/>
            <w:tcBorders>
              <w:bottom w:val="single" w:sz="6" w:space="0" w:color="auto"/>
            </w:tcBorders>
          </w:tcPr>
          <w:p w14:paraId="334D6B7F" w14:textId="77777777" w:rsidR="00964B88" w:rsidRDefault="00964B88">
            <w:pPr>
              <w:spacing w:after="0"/>
            </w:pPr>
            <w:r>
              <w:t>Net cash flows from investments in non</w:t>
            </w:r>
            <w:r>
              <w:noBreakHyphen/>
              <w:t>financial assets</w:t>
            </w:r>
          </w:p>
        </w:tc>
        <w:tc>
          <w:tcPr>
            <w:tcW w:w="567" w:type="dxa"/>
            <w:tcBorders>
              <w:bottom w:val="single" w:sz="6" w:space="0" w:color="auto"/>
            </w:tcBorders>
          </w:tcPr>
          <w:p w14:paraId="3C21B8E2" w14:textId="77777777" w:rsidR="00964B88" w:rsidRDefault="00964B88">
            <w:pPr>
              <w:spacing w:after="0"/>
              <w:jc w:val="center"/>
              <w:cnfStyle w:val="000000000000" w:firstRow="0" w:lastRow="0" w:firstColumn="0" w:lastColumn="0" w:oddVBand="0" w:evenVBand="0" w:oddHBand="0" w:evenHBand="0" w:firstRowFirstColumn="0" w:firstRowLastColumn="0" w:lastRowFirstColumn="0" w:lastRowLastColumn="0"/>
            </w:pPr>
          </w:p>
        </w:tc>
        <w:tc>
          <w:tcPr>
            <w:tcW w:w="839" w:type="dxa"/>
            <w:tcBorders>
              <w:bottom w:val="single" w:sz="6" w:space="0" w:color="auto"/>
            </w:tcBorders>
          </w:tcPr>
          <w:p w14:paraId="74BE967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(12 277)</w:t>
            </w:r>
          </w:p>
        </w:tc>
        <w:tc>
          <w:tcPr>
            <w:tcW w:w="839" w:type="dxa"/>
            <w:tcBorders>
              <w:bottom w:val="single" w:sz="6" w:space="0" w:color="auto"/>
            </w:tcBorders>
          </w:tcPr>
          <w:p w14:paraId="4E9EF6F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(12 941)</w:t>
            </w:r>
          </w:p>
        </w:tc>
        <w:tc>
          <w:tcPr>
            <w:tcW w:w="839" w:type="dxa"/>
            <w:tcBorders>
              <w:bottom w:val="single" w:sz="6" w:space="0" w:color="auto"/>
            </w:tcBorders>
          </w:tcPr>
          <w:p w14:paraId="43757AA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(11 883)</w:t>
            </w:r>
          </w:p>
        </w:tc>
        <w:tc>
          <w:tcPr>
            <w:tcW w:w="839" w:type="dxa"/>
            <w:tcBorders>
              <w:bottom w:val="single" w:sz="6" w:space="0" w:color="auto"/>
            </w:tcBorders>
          </w:tcPr>
          <w:p w14:paraId="0CEF74D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(8 605)</w:t>
            </w:r>
          </w:p>
        </w:tc>
        <w:tc>
          <w:tcPr>
            <w:tcW w:w="839" w:type="dxa"/>
            <w:tcBorders>
              <w:bottom w:val="single" w:sz="6" w:space="0" w:color="auto"/>
            </w:tcBorders>
          </w:tcPr>
          <w:p w14:paraId="5961647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(10 404)</w:t>
            </w:r>
          </w:p>
        </w:tc>
      </w:tr>
      <w:tr w:rsidR="00964B88" w14:paraId="27631A98"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16460B97" w14:textId="77777777" w:rsidR="00964B88" w:rsidRDefault="00964B88">
            <w:pPr>
              <w:spacing w:after="0"/>
            </w:pPr>
            <w:r>
              <w:t>Cash surplus/(deficit)</w:t>
            </w:r>
          </w:p>
        </w:tc>
        <w:tc>
          <w:tcPr>
            <w:tcW w:w="567" w:type="dxa"/>
          </w:tcPr>
          <w:p w14:paraId="18376265" w14:textId="77777777" w:rsidR="00964B88" w:rsidRDefault="00964B88">
            <w:pPr>
              <w:spacing w:after="0"/>
              <w:jc w:val="center"/>
              <w:cnfStyle w:val="010000000000" w:firstRow="0" w:lastRow="1" w:firstColumn="0" w:lastColumn="0" w:oddVBand="0" w:evenVBand="0" w:oddHBand="0" w:evenHBand="0" w:firstRowFirstColumn="0" w:firstRowLastColumn="0" w:lastRowFirstColumn="0" w:lastRowLastColumn="0"/>
            </w:pPr>
          </w:p>
        </w:tc>
        <w:tc>
          <w:tcPr>
            <w:tcW w:w="839" w:type="dxa"/>
          </w:tcPr>
          <w:p w14:paraId="1FC67B8F"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(7 675)</w:t>
            </w:r>
          </w:p>
        </w:tc>
        <w:tc>
          <w:tcPr>
            <w:tcW w:w="839" w:type="dxa"/>
          </w:tcPr>
          <w:p w14:paraId="1C7EDFA3"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(9 583)</w:t>
            </w:r>
          </w:p>
        </w:tc>
        <w:tc>
          <w:tcPr>
            <w:tcW w:w="839" w:type="dxa"/>
          </w:tcPr>
          <w:p w14:paraId="4A563D04"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(7 257)</w:t>
            </w:r>
          </w:p>
        </w:tc>
        <w:tc>
          <w:tcPr>
            <w:tcW w:w="839" w:type="dxa"/>
          </w:tcPr>
          <w:p w14:paraId="696FA342"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(1 068)</w:t>
            </w:r>
          </w:p>
        </w:tc>
        <w:tc>
          <w:tcPr>
            <w:tcW w:w="839" w:type="dxa"/>
          </w:tcPr>
          <w:p w14:paraId="7AD70EE3"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(1 428)</w:t>
            </w:r>
          </w:p>
        </w:tc>
      </w:tr>
    </w:tbl>
    <w:p w14:paraId="20000413" w14:textId="77777777" w:rsidR="00964B88" w:rsidRDefault="00964B88" w:rsidP="00F53820">
      <w:pPr>
        <w:pStyle w:val="Source"/>
      </w:pPr>
      <w:r w:rsidRPr="00CE2F3F">
        <w:t>The</w:t>
      </w:r>
      <w:r>
        <w:t xml:space="preserve"> accompanying notes form part of these Estimated Financial Statements.</w:t>
      </w:r>
    </w:p>
    <w:p w14:paraId="3BA911FD" w14:textId="77777777" w:rsidR="00964B88" w:rsidRDefault="00964B88" w:rsidP="00F53820">
      <w:pPr>
        <w:pStyle w:val="Note"/>
      </w:pPr>
      <w:r>
        <w:t>Notes:</w:t>
      </w:r>
    </w:p>
    <w:p w14:paraId="6023DC84" w14:textId="77777777" w:rsidR="00964B88" w:rsidRDefault="00964B88" w:rsidP="00F53820">
      <w:pPr>
        <w:pStyle w:val="Note"/>
      </w:pPr>
      <w:r>
        <w:t>(a)</w:t>
      </w:r>
      <w:r>
        <w:tab/>
        <w:t>Inclusive of goods and services tax.</w:t>
      </w:r>
    </w:p>
    <w:p w14:paraId="5ACFAA57" w14:textId="77777777" w:rsidR="00964B88" w:rsidRDefault="00964B88" w:rsidP="00F53820">
      <w:pPr>
        <w:pStyle w:val="Note"/>
      </w:pPr>
      <w:r>
        <w:t>(b)</w:t>
      </w:r>
      <w:r>
        <w:tab/>
      </w:r>
      <w:r w:rsidRPr="0001568B">
        <w:rPr>
          <w:i w:val="0"/>
        </w:rPr>
        <w:t>201</w:t>
      </w:r>
      <w:r>
        <w:rPr>
          <w:i w:val="0"/>
        </w:rPr>
        <w:t>9</w:t>
      </w:r>
      <w:r w:rsidRPr="0001568B">
        <w:rPr>
          <w:i w:val="0"/>
        </w:rPr>
        <w:t>-</w:t>
      </w:r>
      <w:r>
        <w:rPr>
          <w:i w:val="0"/>
        </w:rPr>
        <w:t>20</w:t>
      </w:r>
      <w:r w:rsidRPr="0001568B">
        <w:rPr>
          <w:i w:val="0"/>
        </w:rPr>
        <w:t xml:space="preserve"> Budget</w:t>
      </w:r>
      <w:r w:rsidRPr="00F46CFC">
        <w:t xml:space="preserve"> figures</w:t>
      </w:r>
      <w:r>
        <w:t xml:space="preserve"> have been restated to represent actual opening balances at 1 July 2019.</w:t>
      </w:r>
    </w:p>
    <w:p w14:paraId="6BC6A524" w14:textId="77777777" w:rsidR="00964B88" w:rsidRDefault="00964B88" w:rsidP="00F53820">
      <w:pPr>
        <w:keepLines w:val="0"/>
      </w:pPr>
      <w:r>
        <w:br w:type="page"/>
      </w:r>
    </w:p>
    <w:p w14:paraId="3EBA589B" w14:textId="77777777" w:rsidR="00964B88" w:rsidRDefault="00964B88" w:rsidP="00F53820">
      <w:pPr>
        <w:pStyle w:val="Heading10"/>
      </w:pPr>
      <w:bookmarkStart w:id="72" w:name="_Toc517171546"/>
      <w:bookmarkStart w:id="73" w:name="_Toc26788546"/>
      <w:r>
        <w:lastRenderedPageBreak/>
        <w:t>Estimated general government sector</w:t>
      </w:r>
      <w:r>
        <w:br/>
        <w:t>statement of changes in equity</w:t>
      </w:r>
      <w:bookmarkEnd w:id="72"/>
      <w:bookmarkEnd w:id="73"/>
    </w:p>
    <w:p w14:paraId="0DE5F5F9" w14:textId="77777777" w:rsidR="00964B88" w:rsidRDefault="00964B88" w:rsidP="00F53820">
      <w:pPr>
        <w:pStyle w:val="TableHeading"/>
      </w:pPr>
      <w:r>
        <w:t>For the financial year ended 30 June</w:t>
      </w:r>
      <w:r>
        <w:tab/>
        <w:t xml:space="preserve">($ million) </w:t>
      </w:r>
    </w:p>
    <w:tbl>
      <w:tblPr>
        <w:tblStyle w:val="DTFTable"/>
        <w:tblW w:w="7768" w:type="dxa"/>
        <w:tblLayout w:type="fixed"/>
        <w:tblLook w:val="06E0" w:firstRow="1" w:lastRow="1" w:firstColumn="1" w:lastColumn="0" w:noHBand="1" w:noVBand="1"/>
      </w:tblPr>
      <w:tblGrid>
        <w:gridCol w:w="4565"/>
        <w:gridCol w:w="1560"/>
        <w:gridCol w:w="1643"/>
      </w:tblGrid>
      <w:tr w:rsidR="00964B88" w14:paraId="05CE7E81"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65" w:type="dxa"/>
          </w:tcPr>
          <w:p w14:paraId="4A1A05C2" w14:textId="77777777" w:rsidR="00964B88" w:rsidRDefault="00964B88"/>
        </w:tc>
        <w:tc>
          <w:tcPr>
            <w:tcW w:w="1560" w:type="dxa"/>
          </w:tcPr>
          <w:p w14:paraId="635BB512" w14:textId="77777777" w:rsidR="00964B88" w:rsidRDefault="00964B88">
            <w:pPr>
              <w:cnfStyle w:val="100000000000" w:firstRow="1" w:lastRow="0" w:firstColumn="0" w:lastColumn="0" w:oddVBand="0" w:evenVBand="0" w:oddHBand="0" w:evenHBand="0" w:firstRowFirstColumn="0" w:firstRowLastColumn="0" w:lastRowFirstColumn="0" w:lastRowLastColumn="0"/>
            </w:pPr>
            <w:r>
              <w:t>Accumulated surplus/(deficit)</w:t>
            </w:r>
          </w:p>
        </w:tc>
        <w:tc>
          <w:tcPr>
            <w:tcW w:w="1643" w:type="dxa"/>
          </w:tcPr>
          <w:p w14:paraId="503E6C53" w14:textId="77777777" w:rsidR="00964B88" w:rsidRDefault="00964B88">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r>
      <w:tr w:rsidR="00964B88" w14:paraId="6DC4C42A" w14:textId="77777777">
        <w:tc>
          <w:tcPr>
            <w:cnfStyle w:val="001000000000" w:firstRow="0" w:lastRow="0" w:firstColumn="1" w:lastColumn="0" w:oddVBand="0" w:evenVBand="0" w:oddHBand="0" w:evenHBand="0" w:firstRowFirstColumn="0" w:firstRowLastColumn="0" w:lastRowFirstColumn="0" w:lastRowLastColumn="0"/>
            <w:tcW w:w="4565" w:type="dxa"/>
          </w:tcPr>
          <w:p w14:paraId="5DD7BFE0" w14:textId="77777777" w:rsidR="00964B88" w:rsidRDefault="00964B88">
            <w:r>
              <w:rPr>
                <w:b/>
              </w:rPr>
              <w:t>2019</w:t>
            </w:r>
            <w:r>
              <w:rPr>
                <w:b/>
              </w:rPr>
              <w:noBreakHyphen/>
              <w:t>20 budget</w:t>
            </w:r>
            <w:r>
              <w:rPr>
                <w:b/>
                <w:vertAlign w:val="superscript"/>
              </w:rPr>
              <w:t xml:space="preserve"> (a)</w:t>
            </w:r>
          </w:p>
        </w:tc>
        <w:tc>
          <w:tcPr>
            <w:tcW w:w="1560" w:type="dxa"/>
          </w:tcPr>
          <w:p w14:paraId="38E8EA3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643" w:type="dxa"/>
          </w:tcPr>
          <w:p w14:paraId="5A6EF54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58C6952" w14:textId="77777777">
        <w:tc>
          <w:tcPr>
            <w:cnfStyle w:val="001000000000" w:firstRow="0" w:lastRow="0" w:firstColumn="1" w:lastColumn="0" w:oddVBand="0" w:evenVBand="0" w:oddHBand="0" w:evenHBand="0" w:firstRowFirstColumn="0" w:firstRowLastColumn="0" w:lastRowFirstColumn="0" w:lastRowLastColumn="0"/>
            <w:tcW w:w="4565" w:type="dxa"/>
          </w:tcPr>
          <w:p w14:paraId="30A66683" w14:textId="77777777" w:rsidR="00964B88" w:rsidRDefault="00964B88">
            <w:r>
              <w:t>Balance at 1 July 2019</w:t>
            </w:r>
            <w:r>
              <w:rPr>
                <w:vertAlign w:val="superscript"/>
              </w:rPr>
              <w:t xml:space="preserve"> (b)</w:t>
            </w:r>
          </w:p>
        </w:tc>
        <w:tc>
          <w:tcPr>
            <w:tcW w:w="1560" w:type="dxa"/>
          </w:tcPr>
          <w:p w14:paraId="7AB76EC0" w14:textId="77777777" w:rsidR="00964B88" w:rsidRDefault="00964B88">
            <w:pPr>
              <w:cnfStyle w:val="000000000000" w:firstRow="0" w:lastRow="0" w:firstColumn="0" w:lastColumn="0" w:oddVBand="0" w:evenVBand="0" w:oddHBand="0" w:evenHBand="0" w:firstRowFirstColumn="0" w:firstRowLastColumn="0" w:lastRowFirstColumn="0" w:lastRowLastColumn="0"/>
            </w:pPr>
            <w:r>
              <w:t>55 565</w:t>
            </w:r>
          </w:p>
        </w:tc>
        <w:tc>
          <w:tcPr>
            <w:tcW w:w="1643" w:type="dxa"/>
          </w:tcPr>
          <w:p w14:paraId="6A20C0AC" w14:textId="77777777" w:rsidR="00964B88" w:rsidRDefault="00964B88">
            <w:pPr>
              <w:cnfStyle w:val="000000000000" w:firstRow="0" w:lastRow="0" w:firstColumn="0" w:lastColumn="0" w:oddVBand="0" w:evenVBand="0" w:oddHBand="0" w:evenHBand="0" w:firstRowFirstColumn="0" w:firstRowLastColumn="0" w:lastRowFirstColumn="0" w:lastRowLastColumn="0"/>
            </w:pPr>
            <w:r>
              <w:t>65 569</w:t>
            </w:r>
          </w:p>
        </w:tc>
      </w:tr>
      <w:tr w:rsidR="00964B88" w14:paraId="39F82B9D" w14:textId="77777777">
        <w:tc>
          <w:tcPr>
            <w:cnfStyle w:val="001000000000" w:firstRow="0" w:lastRow="0" w:firstColumn="1" w:lastColumn="0" w:oddVBand="0" w:evenVBand="0" w:oddHBand="0" w:evenHBand="0" w:firstRowFirstColumn="0" w:firstRowLastColumn="0" w:lastRowFirstColumn="0" w:lastRowLastColumn="0"/>
            <w:tcW w:w="4565" w:type="dxa"/>
          </w:tcPr>
          <w:p w14:paraId="76B1124D" w14:textId="77777777" w:rsidR="00964B88" w:rsidRDefault="00964B88">
            <w:r>
              <w:t>Net result for the year</w:t>
            </w:r>
          </w:p>
        </w:tc>
        <w:tc>
          <w:tcPr>
            <w:tcW w:w="1560" w:type="dxa"/>
          </w:tcPr>
          <w:p w14:paraId="021817ED" w14:textId="77777777" w:rsidR="00964B88" w:rsidRDefault="00964B88">
            <w:pPr>
              <w:cnfStyle w:val="000000000000" w:firstRow="0" w:lastRow="0" w:firstColumn="0" w:lastColumn="0" w:oddVBand="0" w:evenVBand="0" w:oddHBand="0" w:evenHBand="0" w:firstRowFirstColumn="0" w:firstRowLastColumn="0" w:lastRowFirstColumn="0" w:lastRowLastColumn="0"/>
            </w:pPr>
            <w:r>
              <w:t>726</w:t>
            </w:r>
          </w:p>
        </w:tc>
        <w:tc>
          <w:tcPr>
            <w:tcW w:w="1643" w:type="dxa"/>
          </w:tcPr>
          <w:p w14:paraId="715A8DA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1236E53A" w14:textId="77777777">
        <w:tc>
          <w:tcPr>
            <w:cnfStyle w:val="001000000000" w:firstRow="0" w:lastRow="0" w:firstColumn="1" w:lastColumn="0" w:oddVBand="0" w:evenVBand="0" w:oddHBand="0" w:evenHBand="0" w:firstRowFirstColumn="0" w:firstRowLastColumn="0" w:lastRowFirstColumn="0" w:lastRowLastColumn="0"/>
            <w:tcW w:w="4565" w:type="dxa"/>
          </w:tcPr>
          <w:p w14:paraId="00ADF397" w14:textId="77777777" w:rsidR="00964B88" w:rsidRDefault="00964B88">
            <w:r>
              <w:t>Other comprehensive income for the year</w:t>
            </w:r>
          </w:p>
        </w:tc>
        <w:tc>
          <w:tcPr>
            <w:tcW w:w="1560" w:type="dxa"/>
          </w:tcPr>
          <w:p w14:paraId="2C669B42" w14:textId="77777777" w:rsidR="00964B88" w:rsidRDefault="00964B88">
            <w:pPr>
              <w:cnfStyle w:val="000000000000" w:firstRow="0" w:lastRow="0" w:firstColumn="0" w:lastColumn="0" w:oddVBand="0" w:evenVBand="0" w:oddHBand="0" w:evenHBand="0" w:firstRowFirstColumn="0" w:firstRowLastColumn="0" w:lastRowFirstColumn="0" w:lastRowLastColumn="0"/>
            </w:pPr>
            <w:r>
              <w:t>1 158</w:t>
            </w:r>
          </w:p>
        </w:tc>
        <w:tc>
          <w:tcPr>
            <w:tcW w:w="1643" w:type="dxa"/>
          </w:tcPr>
          <w:p w14:paraId="775EFDAE" w14:textId="77777777" w:rsidR="00964B88" w:rsidRDefault="00964B88">
            <w:pPr>
              <w:cnfStyle w:val="000000000000" w:firstRow="0" w:lastRow="0" w:firstColumn="0" w:lastColumn="0" w:oddVBand="0" w:evenVBand="0" w:oddHBand="0" w:evenHBand="0" w:firstRowFirstColumn="0" w:firstRowLastColumn="0" w:lastRowFirstColumn="0" w:lastRowLastColumn="0"/>
            </w:pPr>
            <w:r>
              <w:t>3 204</w:t>
            </w:r>
          </w:p>
        </w:tc>
      </w:tr>
      <w:tr w:rsidR="00964B88" w14:paraId="0F38CEA3" w14:textId="77777777">
        <w:tc>
          <w:tcPr>
            <w:cnfStyle w:val="001000000000" w:firstRow="0" w:lastRow="0" w:firstColumn="1" w:lastColumn="0" w:oddVBand="0" w:evenVBand="0" w:oddHBand="0" w:evenHBand="0" w:firstRowFirstColumn="0" w:firstRowLastColumn="0" w:lastRowFirstColumn="0" w:lastRowLastColumn="0"/>
            <w:tcW w:w="4565" w:type="dxa"/>
          </w:tcPr>
          <w:p w14:paraId="5F04983E" w14:textId="77777777" w:rsidR="00964B88" w:rsidRDefault="00964B88">
            <w:r>
              <w:t>Transfer to/(from) accumulated surplus</w:t>
            </w:r>
          </w:p>
        </w:tc>
        <w:tc>
          <w:tcPr>
            <w:tcW w:w="1560" w:type="dxa"/>
          </w:tcPr>
          <w:p w14:paraId="4E5168E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643" w:type="dxa"/>
          </w:tcPr>
          <w:p w14:paraId="243137D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4FAAF71F"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bottom w:val="single" w:sz="6" w:space="0" w:color="auto"/>
            </w:tcBorders>
          </w:tcPr>
          <w:p w14:paraId="115C0348" w14:textId="77777777" w:rsidR="00964B88" w:rsidRDefault="00964B88">
            <w:r>
              <w:rPr>
                <w:b/>
              </w:rPr>
              <w:t>Total equity as at 30 June 2020</w:t>
            </w:r>
          </w:p>
        </w:tc>
        <w:tc>
          <w:tcPr>
            <w:tcW w:w="1560" w:type="dxa"/>
            <w:tcBorders>
              <w:top w:val="single" w:sz="6" w:space="0" w:color="auto"/>
              <w:bottom w:val="single" w:sz="6" w:space="0" w:color="auto"/>
            </w:tcBorders>
          </w:tcPr>
          <w:p w14:paraId="11F6A04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57 449</w:t>
            </w:r>
          </w:p>
        </w:tc>
        <w:tc>
          <w:tcPr>
            <w:tcW w:w="1643" w:type="dxa"/>
            <w:tcBorders>
              <w:top w:val="single" w:sz="6" w:space="0" w:color="auto"/>
              <w:bottom w:val="single" w:sz="6" w:space="0" w:color="auto"/>
            </w:tcBorders>
          </w:tcPr>
          <w:p w14:paraId="3D6E687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68 773</w:t>
            </w:r>
          </w:p>
        </w:tc>
      </w:tr>
      <w:tr w:rsidR="00964B88" w14:paraId="1B6B43C0"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tcBorders>
          </w:tcPr>
          <w:p w14:paraId="6CD74231" w14:textId="77777777" w:rsidR="00964B88" w:rsidRDefault="00964B88">
            <w:r>
              <w:rPr>
                <w:b/>
              </w:rPr>
              <w:t>2019</w:t>
            </w:r>
            <w:r>
              <w:rPr>
                <w:b/>
              </w:rPr>
              <w:noBreakHyphen/>
              <w:t>20 revised</w:t>
            </w:r>
          </w:p>
        </w:tc>
        <w:tc>
          <w:tcPr>
            <w:tcW w:w="1560" w:type="dxa"/>
            <w:tcBorders>
              <w:top w:val="single" w:sz="6" w:space="0" w:color="auto"/>
            </w:tcBorders>
          </w:tcPr>
          <w:p w14:paraId="19133B2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643" w:type="dxa"/>
            <w:tcBorders>
              <w:top w:val="single" w:sz="6" w:space="0" w:color="auto"/>
            </w:tcBorders>
          </w:tcPr>
          <w:p w14:paraId="11D109A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4EF710C" w14:textId="77777777">
        <w:tc>
          <w:tcPr>
            <w:cnfStyle w:val="001000000000" w:firstRow="0" w:lastRow="0" w:firstColumn="1" w:lastColumn="0" w:oddVBand="0" w:evenVBand="0" w:oddHBand="0" w:evenHBand="0" w:firstRowFirstColumn="0" w:firstRowLastColumn="0" w:lastRowFirstColumn="0" w:lastRowLastColumn="0"/>
            <w:tcW w:w="4565" w:type="dxa"/>
          </w:tcPr>
          <w:p w14:paraId="7D12E38E" w14:textId="77777777" w:rsidR="00964B88" w:rsidRDefault="00964B88">
            <w:r>
              <w:t>Balance at 1 July 2019</w:t>
            </w:r>
            <w:r>
              <w:rPr>
                <w:vertAlign w:val="superscript"/>
              </w:rPr>
              <w:t xml:space="preserve"> (b)</w:t>
            </w:r>
          </w:p>
        </w:tc>
        <w:tc>
          <w:tcPr>
            <w:tcW w:w="1560" w:type="dxa"/>
          </w:tcPr>
          <w:p w14:paraId="58B0B160" w14:textId="77777777" w:rsidR="00964B88" w:rsidRDefault="00964B88">
            <w:pPr>
              <w:cnfStyle w:val="000000000000" w:firstRow="0" w:lastRow="0" w:firstColumn="0" w:lastColumn="0" w:oddVBand="0" w:evenVBand="0" w:oddHBand="0" w:evenHBand="0" w:firstRowFirstColumn="0" w:firstRowLastColumn="0" w:lastRowFirstColumn="0" w:lastRowLastColumn="0"/>
            </w:pPr>
            <w:r>
              <w:t>55 565</w:t>
            </w:r>
          </w:p>
        </w:tc>
        <w:tc>
          <w:tcPr>
            <w:tcW w:w="1643" w:type="dxa"/>
          </w:tcPr>
          <w:p w14:paraId="0D919435" w14:textId="77777777" w:rsidR="00964B88" w:rsidRDefault="00964B88">
            <w:pPr>
              <w:cnfStyle w:val="000000000000" w:firstRow="0" w:lastRow="0" w:firstColumn="0" w:lastColumn="0" w:oddVBand="0" w:evenVBand="0" w:oddHBand="0" w:evenHBand="0" w:firstRowFirstColumn="0" w:firstRowLastColumn="0" w:lastRowFirstColumn="0" w:lastRowLastColumn="0"/>
            </w:pPr>
            <w:r>
              <w:t>65 569</w:t>
            </w:r>
          </w:p>
        </w:tc>
      </w:tr>
      <w:tr w:rsidR="00964B88" w14:paraId="77896E52" w14:textId="77777777">
        <w:tc>
          <w:tcPr>
            <w:cnfStyle w:val="001000000000" w:firstRow="0" w:lastRow="0" w:firstColumn="1" w:lastColumn="0" w:oddVBand="0" w:evenVBand="0" w:oddHBand="0" w:evenHBand="0" w:firstRowFirstColumn="0" w:firstRowLastColumn="0" w:lastRowFirstColumn="0" w:lastRowLastColumn="0"/>
            <w:tcW w:w="4565" w:type="dxa"/>
          </w:tcPr>
          <w:p w14:paraId="10D0B141" w14:textId="77777777" w:rsidR="00964B88" w:rsidRDefault="00964B88">
            <w:r>
              <w:t>Net result for the year</w:t>
            </w:r>
          </w:p>
        </w:tc>
        <w:tc>
          <w:tcPr>
            <w:tcW w:w="1560" w:type="dxa"/>
          </w:tcPr>
          <w:p w14:paraId="312CC090" w14:textId="77777777" w:rsidR="00964B88" w:rsidRDefault="00964B88">
            <w:pPr>
              <w:cnfStyle w:val="000000000000" w:firstRow="0" w:lastRow="0" w:firstColumn="0" w:lastColumn="0" w:oddVBand="0" w:evenVBand="0" w:oddHBand="0" w:evenHBand="0" w:firstRowFirstColumn="0" w:firstRowLastColumn="0" w:lastRowFirstColumn="0" w:lastRowLastColumn="0"/>
            </w:pPr>
            <w:r>
              <w:t>279</w:t>
            </w:r>
          </w:p>
        </w:tc>
        <w:tc>
          <w:tcPr>
            <w:tcW w:w="1643" w:type="dxa"/>
          </w:tcPr>
          <w:p w14:paraId="1CE425C3"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358D575A" w14:textId="77777777">
        <w:tc>
          <w:tcPr>
            <w:cnfStyle w:val="001000000000" w:firstRow="0" w:lastRow="0" w:firstColumn="1" w:lastColumn="0" w:oddVBand="0" w:evenVBand="0" w:oddHBand="0" w:evenHBand="0" w:firstRowFirstColumn="0" w:firstRowLastColumn="0" w:lastRowFirstColumn="0" w:lastRowLastColumn="0"/>
            <w:tcW w:w="4565" w:type="dxa"/>
          </w:tcPr>
          <w:p w14:paraId="6E5A40BD" w14:textId="77777777" w:rsidR="00964B88" w:rsidRDefault="00964B88">
            <w:r>
              <w:t>Other comprehensive income for the year</w:t>
            </w:r>
          </w:p>
        </w:tc>
        <w:tc>
          <w:tcPr>
            <w:tcW w:w="1560" w:type="dxa"/>
          </w:tcPr>
          <w:p w14:paraId="177283BB" w14:textId="77777777" w:rsidR="00964B88" w:rsidRDefault="00964B88">
            <w:pPr>
              <w:cnfStyle w:val="000000000000" w:firstRow="0" w:lastRow="0" w:firstColumn="0" w:lastColumn="0" w:oddVBand="0" w:evenVBand="0" w:oddHBand="0" w:evenHBand="0" w:firstRowFirstColumn="0" w:firstRowLastColumn="0" w:lastRowFirstColumn="0" w:lastRowLastColumn="0"/>
            </w:pPr>
            <w:r>
              <w:t>65</w:t>
            </w:r>
          </w:p>
        </w:tc>
        <w:tc>
          <w:tcPr>
            <w:tcW w:w="1643" w:type="dxa"/>
          </w:tcPr>
          <w:p w14:paraId="1F345428" w14:textId="77777777" w:rsidR="00964B88" w:rsidRDefault="00964B88">
            <w:pPr>
              <w:cnfStyle w:val="000000000000" w:firstRow="0" w:lastRow="0" w:firstColumn="0" w:lastColumn="0" w:oddVBand="0" w:evenVBand="0" w:oddHBand="0" w:evenHBand="0" w:firstRowFirstColumn="0" w:firstRowLastColumn="0" w:lastRowFirstColumn="0" w:lastRowLastColumn="0"/>
            </w:pPr>
            <w:r>
              <w:t>3 114</w:t>
            </w:r>
          </w:p>
        </w:tc>
      </w:tr>
      <w:tr w:rsidR="00964B88" w14:paraId="202E9389" w14:textId="77777777">
        <w:tc>
          <w:tcPr>
            <w:cnfStyle w:val="001000000000" w:firstRow="0" w:lastRow="0" w:firstColumn="1" w:lastColumn="0" w:oddVBand="0" w:evenVBand="0" w:oddHBand="0" w:evenHBand="0" w:firstRowFirstColumn="0" w:firstRowLastColumn="0" w:lastRowFirstColumn="0" w:lastRowLastColumn="0"/>
            <w:tcW w:w="4565" w:type="dxa"/>
          </w:tcPr>
          <w:p w14:paraId="0A5CE2DA" w14:textId="77777777" w:rsidR="00964B88" w:rsidRDefault="00964B88">
            <w:r>
              <w:t>Transfer to/(from) accumulated surplus</w:t>
            </w:r>
          </w:p>
        </w:tc>
        <w:tc>
          <w:tcPr>
            <w:tcW w:w="1560" w:type="dxa"/>
          </w:tcPr>
          <w:p w14:paraId="28777FCA" w14:textId="77777777" w:rsidR="00964B88" w:rsidRDefault="00964B88">
            <w:pPr>
              <w:cnfStyle w:val="000000000000" w:firstRow="0" w:lastRow="0" w:firstColumn="0" w:lastColumn="0" w:oddVBand="0" w:evenVBand="0" w:oddHBand="0" w:evenHBand="0" w:firstRowFirstColumn="0" w:firstRowLastColumn="0" w:lastRowFirstColumn="0" w:lastRowLastColumn="0"/>
            </w:pPr>
            <w:r>
              <w:t>23 675</w:t>
            </w:r>
          </w:p>
        </w:tc>
        <w:tc>
          <w:tcPr>
            <w:tcW w:w="1643" w:type="dxa"/>
          </w:tcPr>
          <w:p w14:paraId="0B6E43E0" w14:textId="77777777" w:rsidR="00964B88" w:rsidRDefault="00964B88">
            <w:pPr>
              <w:cnfStyle w:val="000000000000" w:firstRow="0" w:lastRow="0" w:firstColumn="0" w:lastColumn="0" w:oddVBand="0" w:evenVBand="0" w:oddHBand="0" w:evenHBand="0" w:firstRowFirstColumn="0" w:firstRowLastColumn="0" w:lastRowFirstColumn="0" w:lastRowLastColumn="0"/>
            </w:pPr>
            <w:r>
              <w:t>(23 675)</w:t>
            </w:r>
          </w:p>
        </w:tc>
      </w:tr>
      <w:tr w:rsidR="00964B88" w14:paraId="1F98DFB8"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bottom w:val="single" w:sz="6" w:space="0" w:color="auto"/>
            </w:tcBorders>
          </w:tcPr>
          <w:p w14:paraId="35DEBA39" w14:textId="77777777" w:rsidR="00964B88" w:rsidRDefault="00964B88">
            <w:r>
              <w:rPr>
                <w:b/>
              </w:rPr>
              <w:t>Total equity as at 30 June 2020</w:t>
            </w:r>
          </w:p>
        </w:tc>
        <w:tc>
          <w:tcPr>
            <w:tcW w:w="1560" w:type="dxa"/>
            <w:tcBorders>
              <w:top w:val="single" w:sz="6" w:space="0" w:color="auto"/>
              <w:bottom w:val="single" w:sz="6" w:space="0" w:color="auto"/>
            </w:tcBorders>
          </w:tcPr>
          <w:p w14:paraId="3C9AF32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79 584</w:t>
            </w:r>
          </w:p>
        </w:tc>
        <w:tc>
          <w:tcPr>
            <w:tcW w:w="1643" w:type="dxa"/>
            <w:tcBorders>
              <w:top w:val="single" w:sz="6" w:space="0" w:color="auto"/>
              <w:bottom w:val="single" w:sz="6" w:space="0" w:color="auto"/>
            </w:tcBorders>
          </w:tcPr>
          <w:p w14:paraId="1F6FD05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45 008</w:t>
            </w:r>
          </w:p>
        </w:tc>
      </w:tr>
      <w:tr w:rsidR="00964B88" w14:paraId="035D14F9"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tcBorders>
          </w:tcPr>
          <w:p w14:paraId="46CB5336" w14:textId="77777777" w:rsidR="00964B88" w:rsidRDefault="00964B88">
            <w:r>
              <w:rPr>
                <w:b/>
              </w:rPr>
              <w:t>2020</w:t>
            </w:r>
            <w:r>
              <w:rPr>
                <w:b/>
              </w:rPr>
              <w:noBreakHyphen/>
              <w:t>21 estimate</w:t>
            </w:r>
          </w:p>
        </w:tc>
        <w:tc>
          <w:tcPr>
            <w:tcW w:w="1560" w:type="dxa"/>
            <w:tcBorders>
              <w:top w:val="single" w:sz="6" w:space="0" w:color="auto"/>
            </w:tcBorders>
          </w:tcPr>
          <w:p w14:paraId="01440F6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643" w:type="dxa"/>
            <w:tcBorders>
              <w:top w:val="single" w:sz="6" w:space="0" w:color="auto"/>
            </w:tcBorders>
          </w:tcPr>
          <w:p w14:paraId="2B0F41D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D94C01C" w14:textId="77777777">
        <w:tc>
          <w:tcPr>
            <w:cnfStyle w:val="001000000000" w:firstRow="0" w:lastRow="0" w:firstColumn="1" w:lastColumn="0" w:oddVBand="0" w:evenVBand="0" w:oddHBand="0" w:evenHBand="0" w:firstRowFirstColumn="0" w:firstRowLastColumn="0" w:lastRowFirstColumn="0" w:lastRowLastColumn="0"/>
            <w:tcW w:w="4565" w:type="dxa"/>
          </w:tcPr>
          <w:p w14:paraId="24FA40DB" w14:textId="77777777" w:rsidR="00964B88" w:rsidRDefault="00964B88">
            <w:r>
              <w:t>Balance at 1 July 2020</w:t>
            </w:r>
          </w:p>
        </w:tc>
        <w:tc>
          <w:tcPr>
            <w:tcW w:w="1560" w:type="dxa"/>
          </w:tcPr>
          <w:p w14:paraId="2F96C9B8" w14:textId="77777777" w:rsidR="00964B88" w:rsidRDefault="00964B88">
            <w:pPr>
              <w:cnfStyle w:val="000000000000" w:firstRow="0" w:lastRow="0" w:firstColumn="0" w:lastColumn="0" w:oddVBand="0" w:evenVBand="0" w:oddHBand="0" w:evenHBand="0" w:firstRowFirstColumn="0" w:firstRowLastColumn="0" w:lastRowFirstColumn="0" w:lastRowLastColumn="0"/>
            </w:pPr>
            <w:r>
              <w:t>79 584</w:t>
            </w:r>
          </w:p>
        </w:tc>
        <w:tc>
          <w:tcPr>
            <w:tcW w:w="1643" w:type="dxa"/>
          </w:tcPr>
          <w:p w14:paraId="46C563DC" w14:textId="77777777" w:rsidR="00964B88" w:rsidRDefault="00964B88">
            <w:pPr>
              <w:cnfStyle w:val="000000000000" w:firstRow="0" w:lastRow="0" w:firstColumn="0" w:lastColumn="0" w:oddVBand="0" w:evenVBand="0" w:oddHBand="0" w:evenHBand="0" w:firstRowFirstColumn="0" w:firstRowLastColumn="0" w:lastRowFirstColumn="0" w:lastRowLastColumn="0"/>
            </w:pPr>
            <w:r>
              <w:t>45 008</w:t>
            </w:r>
          </w:p>
        </w:tc>
      </w:tr>
      <w:tr w:rsidR="00964B88" w14:paraId="263E378D" w14:textId="77777777">
        <w:tc>
          <w:tcPr>
            <w:cnfStyle w:val="001000000000" w:firstRow="0" w:lastRow="0" w:firstColumn="1" w:lastColumn="0" w:oddVBand="0" w:evenVBand="0" w:oddHBand="0" w:evenHBand="0" w:firstRowFirstColumn="0" w:firstRowLastColumn="0" w:lastRowFirstColumn="0" w:lastRowLastColumn="0"/>
            <w:tcW w:w="4565" w:type="dxa"/>
          </w:tcPr>
          <w:p w14:paraId="6E9AB169" w14:textId="77777777" w:rsidR="00964B88" w:rsidRDefault="00964B88">
            <w:r>
              <w:t>Net result for the year</w:t>
            </w:r>
          </w:p>
        </w:tc>
        <w:tc>
          <w:tcPr>
            <w:tcW w:w="1560" w:type="dxa"/>
          </w:tcPr>
          <w:p w14:paraId="3F94EEAC" w14:textId="77777777" w:rsidR="00964B88" w:rsidRDefault="00964B88">
            <w:pPr>
              <w:cnfStyle w:val="000000000000" w:firstRow="0" w:lastRow="0" w:firstColumn="0" w:lastColumn="0" w:oddVBand="0" w:evenVBand="0" w:oddHBand="0" w:evenHBand="0" w:firstRowFirstColumn="0" w:firstRowLastColumn="0" w:lastRowFirstColumn="0" w:lastRowLastColumn="0"/>
            </w:pPr>
            <w:r>
              <w:t>852</w:t>
            </w:r>
          </w:p>
        </w:tc>
        <w:tc>
          <w:tcPr>
            <w:tcW w:w="1643" w:type="dxa"/>
          </w:tcPr>
          <w:p w14:paraId="4F951B1E"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5FC14DEE" w14:textId="77777777">
        <w:tc>
          <w:tcPr>
            <w:cnfStyle w:val="001000000000" w:firstRow="0" w:lastRow="0" w:firstColumn="1" w:lastColumn="0" w:oddVBand="0" w:evenVBand="0" w:oddHBand="0" w:evenHBand="0" w:firstRowFirstColumn="0" w:firstRowLastColumn="0" w:lastRowFirstColumn="0" w:lastRowLastColumn="0"/>
            <w:tcW w:w="4565" w:type="dxa"/>
          </w:tcPr>
          <w:p w14:paraId="3BE5D40B" w14:textId="77777777" w:rsidR="00964B88" w:rsidRDefault="00964B88">
            <w:r>
              <w:t>Other comprehensive income for the year</w:t>
            </w:r>
          </w:p>
        </w:tc>
        <w:tc>
          <w:tcPr>
            <w:tcW w:w="1560" w:type="dxa"/>
          </w:tcPr>
          <w:p w14:paraId="7B049032" w14:textId="77777777" w:rsidR="00964B88" w:rsidRDefault="00964B88">
            <w:pPr>
              <w:cnfStyle w:val="000000000000" w:firstRow="0" w:lastRow="0" w:firstColumn="0" w:lastColumn="0" w:oddVBand="0" w:evenVBand="0" w:oddHBand="0" w:evenHBand="0" w:firstRowFirstColumn="0" w:firstRowLastColumn="0" w:lastRowFirstColumn="0" w:lastRowLastColumn="0"/>
            </w:pPr>
            <w:r>
              <w:t>1 426</w:t>
            </w:r>
          </w:p>
        </w:tc>
        <w:tc>
          <w:tcPr>
            <w:tcW w:w="1643" w:type="dxa"/>
          </w:tcPr>
          <w:p w14:paraId="791CC512" w14:textId="77777777" w:rsidR="00964B88" w:rsidRDefault="00964B88">
            <w:pPr>
              <w:cnfStyle w:val="000000000000" w:firstRow="0" w:lastRow="0" w:firstColumn="0" w:lastColumn="0" w:oddVBand="0" w:evenVBand="0" w:oddHBand="0" w:evenHBand="0" w:firstRowFirstColumn="0" w:firstRowLastColumn="0" w:lastRowFirstColumn="0" w:lastRowLastColumn="0"/>
            </w:pPr>
            <w:r>
              <w:t>5 387</w:t>
            </w:r>
          </w:p>
        </w:tc>
      </w:tr>
      <w:tr w:rsidR="00964B88" w14:paraId="3EDCC934" w14:textId="77777777">
        <w:tc>
          <w:tcPr>
            <w:cnfStyle w:val="001000000000" w:firstRow="0" w:lastRow="0" w:firstColumn="1" w:lastColumn="0" w:oddVBand="0" w:evenVBand="0" w:oddHBand="0" w:evenHBand="0" w:firstRowFirstColumn="0" w:firstRowLastColumn="0" w:lastRowFirstColumn="0" w:lastRowLastColumn="0"/>
            <w:tcW w:w="4565" w:type="dxa"/>
          </w:tcPr>
          <w:p w14:paraId="15D7902F" w14:textId="77777777" w:rsidR="00964B88" w:rsidRDefault="00964B88">
            <w:r>
              <w:t>Transfer to/(from) accumulated surplus</w:t>
            </w:r>
          </w:p>
        </w:tc>
        <w:tc>
          <w:tcPr>
            <w:tcW w:w="1560" w:type="dxa"/>
          </w:tcPr>
          <w:p w14:paraId="09C3240F"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643" w:type="dxa"/>
          </w:tcPr>
          <w:p w14:paraId="1E4B03C8"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03367059"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bottom w:val="single" w:sz="6" w:space="0" w:color="auto"/>
            </w:tcBorders>
          </w:tcPr>
          <w:p w14:paraId="371F968D" w14:textId="77777777" w:rsidR="00964B88" w:rsidRDefault="00964B88">
            <w:r>
              <w:rPr>
                <w:b/>
              </w:rPr>
              <w:t>Total equity as at 30 June 2021</w:t>
            </w:r>
          </w:p>
        </w:tc>
        <w:tc>
          <w:tcPr>
            <w:tcW w:w="1560" w:type="dxa"/>
            <w:tcBorders>
              <w:top w:val="single" w:sz="6" w:space="0" w:color="auto"/>
              <w:bottom w:val="single" w:sz="6" w:space="0" w:color="auto"/>
            </w:tcBorders>
          </w:tcPr>
          <w:p w14:paraId="51DF5DB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81 862</w:t>
            </w:r>
          </w:p>
        </w:tc>
        <w:tc>
          <w:tcPr>
            <w:tcW w:w="1643" w:type="dxa"/>
            <w:tcBorders>
              <w:top w:val="single" w:sz="6" w:space="0" w:color="auto"/>
              <w:bottom w:val="single" w:sz="6" w:space="0" w:color="auto"/>
            </w:tcBorders>
          </w:tcPr>
          <w:p w14:paraId="011AFBB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50 395</w:t>
            </w:r>
          </w:p>
        </w:tc>
      </w:tr>
      <w:tr w:rsidR="00964B88" w14:paraId="0184584A"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tcBorders>
          </w:tcPr>
          <w:p w14:paraId="5A80BEE7" w14:textId="77777777" w:rsidR="00964B88" w:rsidRDefault="00964B88">
            <w:r>
              <w:rPr>
                <w:b/>
              </w:rPr>
              <w:t>2021</w:t>
            </w:r>
            <w:r>
              <w:rPr>
                <w:b/>
              </w:rPr>
              <w:noBreakHyphen/>
              <w:t>22 estimate</w:t>
            </w:r>
          </w:p>
        </w:tc>
        <w:tc>
          <w:tcPr>
            <w:tcW w:w="1560" w:type="dxa"/>
            <w:tcBorders>
              <w:top w:val="single" w:sz="6" w:space="0" w:color="auto"/>
            </w:tcBorders>
          </w:tcPr>
          <w:p w14:paraId="18288E9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643" w:type="dxa"/>
            <w:tcBorders>
              <w:top w:val="single" w:sz="6" w:space="0" w:color="auto"/>
            </w:tcBorders>
          </w:tcPr>
          <w:p w14:paraId="66F2892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EBA2442" w14:textId="77777777">
        <w:tc>
          <w:tcPr>
            <w:cnfStyle w:val="001000000000" w:firstRow="0" w:lastRow="0" w:firstColumn="1" w:lastColumn="0" w:oddVBand="0" w:evenVBand="0" w:oddHBand="0" w:evenHBand="0" w:firstRowFirstColumn="0" w:firstRowLastColumn="0" w:lastRowFirstColumn="0" w:lastRowLastColumn="0"/>
            <w:tcW w:w="4565" w:type="dxa"/>
          </w:tcPr>
          <w:p w14:paraId="4D3BCE6C" w14:textId="77777777" w:rsidR="00964B88" w:rsidRDefault="00964B88">
            <w:r>
              <w:t>Balance at 1 July 2021</w:t>
            </w:r>
          </w:p>
        </w:tc>
        <w:tc>
          <w:tcPr>
            <w:tcW w:w="1560" w:type="dxa"/>
          </w:tcPr>
          <w:p w14:paraId="0A6AE047" w14:textId="77777777" w:rsidR="00964B88" w:rsidRDefault="00964B88">
            <w:pPr>
              <w:cnfStyle w:val="000000000000" w:firstRow="0" w:lastRow="0" w:firstColumn="0" w:lastColumn="0" w:oddVBand="0" w:evenVBand="0" w:oddHBand="0" w:evenHBand="0" w:firstRowFirstColumn="0" w:firstRowLastColumn="0" w:lastRowFirstColumn="0" w:lastRowLastColumn="0"/>
            </w:pPr>
            <w:r>
              <w:t>81 862</w:t>
            </w:r>
          </w:p>
        </w:tc>
        <w:tc>
          <w:tcPr>
            <w:tcW w:w="1643" w:type="dxa"/>
          </w:tcPr>
          <w:p w14:paraId="412AB6F8" w14:textId="77777777" w:rsidR="00964B88" w:rsidRDefault="00964B88">
            <w:pPr>
              <w:cnfStyle w:val="000000000000" w:firstRow="0" w:lastRow="0" w:firstColumn="0" w:lastColumn="0" w:oddVBand="0" w:evenVBand="0" w:oddHBand="0" w:evenHBand="0" w:firstRowFirstColumn="0" w:firstRowLastColumn="0" w:lastRowFirstColumn="0" w:lastRowLastColumn="0"/>
            </w:pPr>
            <w:r>
              <w:t>50 395</w:t>
            </w:r>
          </w:p>
        </w:tc>
      </w:tr>
      <w:tr w:rsidR="00964B88" w14:paraId="04CB4043" w14:textId="77777777">
        <w:tc>
          <w:tcPr>
            <w:cnfStyle w:val="001000000000" w:firstRow="0" w:lastRow="0" w:firstColumn="1" w:lastColumn="0" w:oddVBand="0" w:evenVBand="0" w:oddHBand="0" w:evenHBand="0" w:firstRowFirstColumn="0" w:firstRowLastColumn="0" w:lastRowFirstColumn="0" w:lastRowLastColumn="0"/>
            <w:tcW w:w="4565" w:type="dxa"/>
          </w:tcPr>
          <w:p w14:paraId="660DBB7C" w14:textId="77777777" w:rsidR="00964B88" w:rsidRDefault="00964B88">
            <w:r>
              <w:t>Net result for the year</w:t>
            </w:r>
          </w:p>
        </w:tc>
        <w:tc>
          <w:tcPr>
            <w:tcW w:w="1560" w:type="dxa"/>
          </w:tcPr>
          <w:p w14:paraId="37DE7723" w14:textId="77777777" w:rsidR="00964B88" w:rsidRDefault="00964B88">
            <w:pPr>
              <w:cnfStyle w:val="000000000000" w:firstRow="0" w:lastRow="0" w:firstColumn="0" w:lastColumn="0" w:oddVBand="0" w:evenVBand="0" w:oddHBand="0" w:evenHBand="0" w:firstRowFirstColumn="0" w:firstRowLastColumn="0" w:lastRowFirstColumn="0" w:lastRowLastColumn="0"/>
            </w:pPr>
            <w:r>
              <w:t>3 486</w:t>
            </w:r>
          </w:p>
        </w:tc>
        <w:tc>
          <w:tcPr>
            <w:tcW w:w="1643" w:type="dxa"/>
          </w:tcPr>
          <w:p w14:paraId="6C8D538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04AB37E0" w14:textId="77777777">
        <w:tc>
          <w:tcPr>
            <w:cnfStyle w:val="001000000000" w:firstRow="0" w:lastRow="0" w:firstColumn="1" w:lastColumn="0" w:oddVBand="0" w:evenVBand="0" w:oddHBand="0" w:evenHBand="0" w:firstRowFirstColumn="0" w:firstRowLastColumn="0" w:lastRowFirstColumn="0" w:lastRowLastColumn="0"/>
            <w:tcW w:w="4565" w:type="dxa"/>
          </w:tcPr>
          <w:p w14:paraId="046CFD85" w14:textId="77777777" w:rsidR="00964B88" w:rsidRDefault="00964B88">
            <w:r>
              <w:t>Other comprehensive income for the year</w:t>
            </w:r>
          </w:p>
        </w:tc>
        <w:tc>
          <w:tcPr>
            <w:tcW w:w="1560" w:type="dxa"/>
          </w:tcPr>
          <w:p w14:paraId="64468D1D" w14:textId="77777777" w:rsidR="00964B88" w:rsidRDefault="00964B88">
            <w:pPr>
              <w:cnfStyle w:val="000000000000" w:firstRow="0" w:lastRow="0" w:firstColumn="0" w:lastColumn="0" w:oddVBand="0" w:evenVBand="0" w:oddHBand="0" w:evenHBand="0" w:firstRowFirstColumn="0" w:firstRowLastColumn="0" w:lastRowFirstColumn="0" w:lastRowLastColumn="0"/>
            </w:pPr>
            <w:r>
              <w:t>1 479</w:t>
            </w:r>
          </w:p>
        </w:tc>
        <w:tc>
          <w:tcPr>
            <w:tcW w:w="1643" w:type="dxa"/>
          </w:tcPr>
          <w:p w14:paraId="01A07B6A" w14:textId="77777777" w:rsidR="00964B88" w:rsidRDefault="00964B88">
            <w:pPr>
              <w:cnfStyle w:val="000000000000" w:firstRow="0" w:lastRow="0" w:firstColumn="0" w:lastColumn="0" w:oddVBand="0" w:evenVBand="0" w:oddHBand="0" w:evenHBand="0" w:firstRowFirstColumn="0" w:firstRowLastColumn="0" w:lastRowFirstColumn="0" w:lastRowLastColumn="0"/>
            </w:pPr>
            <w:r>
              <w:t>3 727</w:t>
            </w:r>
          </w:p>
        </w:tc>
      </w:tr>
      <w:tr w:rsidR="00964B88" w14:paraId="26CAC87E" w14:textId="77777777">
        <w:tc>
          <w:tcPr>
            <w:cnfStyle w:val="001000000000" w:firstRow="0" w:lastRow="0" w:firstColumn="1" w:lastColumn="0" w:oddVBand="0" w:evenVBand="0" w:oddHBand="0" w:evenHBand="0" w:firstRowFirstColumn="0" w:firstRowLastColumn="0" w:lastRowFirstColumn="0" w:lastRowLastColumn="0"/>
            <w:tcW w:w="4565" w:type="dxa"/>
          </w:tcPr>
          <w:p w14:paraId="378B3FDA" w14:textId="77777777" w:rsidR="00964B88" w:rsidRDefault="00964B88">
            <w:r>
              <w:t>Transfer to/(from) accumulated surplus</w:t>
            </w:r>
          </w:p>
        </w:tc>
        <w:tc>
          <w:tcPr>
            <w:tcW w:w="1560" w:type="dxa"/>
          </w:tcPr>
          <w:p w14:paraId="741D6B5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643" w:type="dxa"/>
          </w:tcPr>
          <w:p w14:paraId="27ACAF38"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0A916845"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bottom w:val="single" w:sz="6" w:space="0" w:color="auto"/>
            </w:tcBorders>
          </w:tcPr>
          <w:p w14:paraId="4C7A58BF" w14:textId="77777777" w:rsidR="00964B88" w:rsidRDefault="00964B88">
            <w:r>
              <w:rPr>
                <w:b/>
              </w:rPr>
              <w:t>Total equity as at 30 June 2022</w:t>
            </w:r>
          </w:p>
        </w:tc>
        <w:tc>
          <w:tcPr>
            <w:tcW w:w="1560" w:type="dxa"/>
            <w:tcBorders>
              <w:top w:val="single" w:sz="6" w:space="0" w:color="auto"/>
              <w:bottom w:val="single" w:sz="6" w:space="0" w:color="auto"/>
            </w:tcBorders>
          </w:tcPr>
          <w:p w14:paraId="0CAB827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86 827</w:t>
            </w:r>
          </w:p>
        </w:tc>
        <w:tc>
          <w:tcPr>
            <w:tcW w:w="1643" w:type="dxa"/>
            <w:tcBorders>
              <w:top w:val="single" w:sz="6" w:space="0" w:color="auto"/>
              <w:bottom w:val="single" w:sz="6" w:space="0" w:color="auto"/>
            </w:tcBorders>
          </w:tcPr>
          <w:p w14:paraId="2AB8B20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54 122</w:t>
            </w:r>
          </w:p>
        </w:tc>
      </w:tr>
      <w:tr w:rsidR="00964B88" w14:paraId="5456DA6F"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tcBorders>
          </w:tcPr>
          <w:p w14:paraId="0759D05F" w14:textId="77777777" w:rsidR="00964B88" w:rsidRDefault="00964B88">
            <w:r>
              <w:rPr>
                <w:b/>
              </w:rPr>
              <w:t>2022</w:t>
            </w:r>
            <w:r>
              <w:rPr>
                <w:b/>
              </w:rPr>
              <w:noBreakHyphen/>
              <w:t>23 estimate</w:t>
            </w:r>
          </w:p>
        </w:tc>
        <w:tc>
          <w:tcPr>
            <w:tcW w:w="1560" w:type="dxa"/>
            <w:tcBorders>
              <w:top w:val="single" w:sz="6" w:space="0" w:color="auto"/>
            </w:tcBorders>
          </w:tcPr>
          <w:p w14:paraId="1B9B93E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643" w:type="dxa"/>
            <w:tcBorders>
              <w:top w:val="single" w:sz="6" w:space="0" w:color="auto"/>
            </w:tcBorders>
          </w:tcPr>
          <w:p w14:paraId="3A867C2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400C10A" w14:textId="77777777">
        <w:tc>
          <w:tcPr>
            <w:cnfStyle w:val="001000000000" w:firstRow="0" w:lastRow="0" w:firstColumn="1" w:lastColumn="0" w:oddVBand="0" w:evenVBand="0" w:oddHBand="0" w:evenHBand="0" w:firstRowFirstColumn="0" w:firstRowLastColumn="0" w:lastRowFirstColumn="0" w:lastRowLastColumn="0"/>
            <w:tcW w:w="4565" w:type="dxa"/>
          </w:tcPr>
          <w:p w14:paraId="2306B97B" w14:textId="77777777" w:rsidR="00964B88" w:rsidRDefault="00964B88">
            <w:r>
              <w:t>Balance at 1 July 2022</w:t>
            </w:r>
          </w:p>
        </w:tc>
        <w:tc>
          <w:tcPr>
            <w:tcW w:w="1560" w:type="dxa"/>
          </w:tcPr>
          <w:p w14:paraId="54065F67" w14:textId="77777777" w:rsidR="00964B88" w:rsidRDefault="00964B88">
            <w:pPr>
              <w:cnfStyle w:val="000000000000" w:firstRow="0" w:lastRow="0" w:firstColumn="0" w:lastColumn="0" w:oddVBand="0" w:evenVBand="0" w:oddHBand="0" w:evenHBand="0" w:firstRowFirstColumn="0" w:firstRowLastColumn="0" w:lastRowFirstColumn="0" w:lastRowLastColumn="0"/>
            </w:pPr>
            <w:r>
              <w:t>86 827</w:t>
            </w:r>
          </w:p>
        </w:tc>
        <w:tc>
          <w:tcPr>
            <w:tcW w:w="1643" w:type="dxa"/>
          </w:tcPr>
          <w:p w14:paraId="1386C358" w14:textId="77777777" w:rsidR="00964B88" w:rsidRDefault="00964B88">
            <w:pPr>
              <w:cnfStyle w:val="000000000000" w:firstRow="0" w:lastRow="0" w:firstColumn="0" w:lastColumn="0" w:oddVBand="0" w:evenVBand="0" w:oddHBand="0" w:evenHBand="0" w:firstRowFirstColumn="0" w:firstRowLastColumn="0" w:lastRowFirstColumn="0" w:lastRowLastColumn="0"/>
            </w:pPr>
            <w:r>
              <w:t>54 122</w:t>
            </w:r>
          </w:p>
        </w:tc>
      </w:tr>
      <w:tr w:rsidR="00964B88" w14:paraId="5E7A6C3D" w14:textId="77777777">
        <w:tc>
          <w:tcPr>
            <w:cnfStyle w:val="001000000000" w:firstRow="0" w:lastRow="0" w:firstColumn="1" w:lastColumn="0" w:oddVBand="0" w:evenVBand="0" w:oddHBand="0" w:evenHBand="0" w:firstRowFirstColumn="0" w:firstRowLastColumn="0" w:lastRowFirstColumn="0" w:lastRowLastColumn="0"/>
            <w:tcW w:w="4565" w:type="dxa"/>
          </w:tcPr>
          <w:p w14:paraId="1BFA6DB5" w14:textId="77777777" w:rsidR="00964B88" w:rsidRDefault="00964B88">
            <w:r>
              <w:t>Net result for the year</w:t>
            </w:r>
          </w:p>
        </w:tc>
        <w:tc>
          <w:tcPr>
            <w:tcW w:w="1560" w:type="dxa"/>
          </w:tcPr>
          <w:p w14:paraId="714F80C2" w14:textId="77777777" w:rsidR="00964B88" w:rsidRDefault="00964B88">
            <w:pPr>
              <w:cnfStyle w:val="000000000000" w:firstRow="0" w:lastRow="0" w:firstColumn="0" w:lastColumn="0" w:oddVBand="0" w:evenVBand="0" w:oddHBand="0" w:evenHBand="0" w:firstRowFirstColumn="0" w:firstRowLastColumn="0" w:lastRowFirstColumn="0" w:lastRowLastColumn="0"/>
            </w:pPr>
            <w:r>
              <w:t>4 537</w:t>
            </w:r>
          </w:p>
        </w:tc>
        <w:tc>
          <w:tcPr>
            <w:tcW w:w="1643" w:type="dxa"/>
          </w:tcPr>
          <w:p w14:paraId="120B81A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3F613454" w14:textId="77777777">
        <w:tc>
          <w:tcPr>
            <w:cnfStyle w:val="001000000000" w:firstRow="0" w:lastRow="0" w:firstColumn="1" w:lastColumn="0" w:oddVBand="0" w:evenVBand="0" w:oddHBand="0" w:evenHBand="0" w:firstRowFirstColumn="0" w:firstRowLastColumn="0" w:lastRowFirstColumn="0" w:lastRowLastColumn="0"/>
            <w:tcW w:w="4565" w:type="dxa"/>
          </w:tcPr>
          <w:p w14:paraId="19974850" w14:textId="77777777" w:rsidR="00964B88" w:rsidRDefault="00964B88">
            <w:r>
              <w:t>Other comprehensive income for the year</w:t>
            </w:r>
          </w:p>
        </w:tc>
        <w:tc>
          <w:tcPr>
            <w:tcW w:w="1560" w:type="dxa"/>
          </w:tcPr>
          <w:p w14:paraId="5BBDEAF8" w14:textId="77777777" w:rsidR="00964B88" w:rsidRDefault="00964B88">
            <w:pPr>
              <w:cnfStyle w:val="000000000000" w:firstRow="0" w:lastRow="0" w:firstColumn="0" w:lastColumn="0" w:oddVBand="0" w:evenVBand="0" w:oddHBand="0" w:evenHBand="0" w:firstRowFirstColumn="0" w:firstRowLastColumn="0" w:lastRowFirstColumn="0" w:lastRowLastColumn="0"/>
            </w:pPr>
            <w:r>
              <w:t>1 504</w:t>
            </w:r>
          </w:p>
        </w:tc>
        <w:tc>
          <w:tcPr>
            <w:tcW w:w="1643" w:type="dxa"/>
          </w:tcPr>
          <w:p w14:paraId="1FEC17FE" w14:textId="77777777" w:rsidR="00964B88" w:rsidRDefault="00964B88">
            <w:pPr>
              <w:cnfStyle w:val="000000000000" w:firstRow="0" w:lastRow="0" w:firstColumn="0" w:lastColumn="0" w:oddVBand="0" w:evenVBand="0" w:oddHBand="0" w:evenHBand="0" w:firstRowFirstColumn="0" w:firstRowLastColumn="0" w:lastRowFirstColumn="0" w:lastRowLastColumn="0"/>
            </w:pPr>
            <w:r>
              <w:t>4 801</w:t>
            </w:r>
          </w:p>
        </w:tc>
      </w:tr>
      <w:tr w:rsidR="00964B88" w14:paraId="1EEFF3B9" w14:textId="77777777">
        <w:tc>
          <w:tcPr>
            <w:cnfStyle w:val="001000000000" w:firstRow="0" w:lastRow="0" w:firstColumn="1" w:lastColumn="0" w:oddVBand="0" w:evenVBand="0" w:oddHBand="0" w:evenHBand="0" w:firstRowFirstColumn="0" w:firstRowLastColumn="0" w:lastRowFirstColumn="0" w:lastRowLastColumn="0"/>
            <w:tcW w:w="4565" w:type="dxa"/>
          </w:tcPr>
          <w:p w14:paraId="0F21582E" w14:textId="77777777" w:rsidR="00964B88" w:rsidRDefault="00964B88">
            <w:r>
              <w:t>Transfer to/(from) accumulated surplus</w:t>
            </w:r>
          </w:p>
        </w:tc>
        <w:tc>
          <w:tcPr>
            <w:tcW w:w="1560" w:type="dxa"/>
          </w:tcPr>
          <w:p w14:paraId="0D409223"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643" w:type="dxa"/>
          </w:tcPr>
          <w:p w14:paraId="01330FC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34906EF9"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5" w:type="dxa"/>
          </w:tcPr>
          <w:p w14:paraId="7665B1CF" w14:textId="77777777" w:rsidR="00964B88" w:rsidRDefault="00964B88">
            <w:r>
              <w:t>Total equity as at 30 June 2023</w:t>
            </w:r>
          </w:p>
        </w:tc>
        <w:tc>
          <w:tcPr>
            <w:tcW w:w="1560" w:type="dxa"/>
          </w:tcPr>
          <w:p w14:paraId="366340FB" w14:textId="77777777" w:rsidR="00964B88" w:rsidRDefault="00964B88">
            <w:pPr>
              <w:cnfStyle w:val="010000000000" w:firstRow="0" w:lastRow="1" w:firstColumn="0" w:lastColumn="0" w:oddVBand="0" w:evenVBand="0" w:oddHBand="0" w:evenHBand="0" w:firstRowFirstColumn="0" w:firstRowLastColumn="0" w:lastRowFirstColumn="0" w:lastRowLastColumn="0"/>
            </w:pPr>
            <w:r>
              <w:t>92 868</w:t>
            </w:r>
          </w:p>
        </w:tc>
        <w:tc>
          <w:tcPr>
            <w:tcW w:w="1643" w:type="dxa"/>
          </w:tcPr>
          <w:p w14:paraId="18C0B946" w14:textId="77777777" w:rsidR="00964B88" w:rsidRDefault="00964B88">
            <w:pPr>
              <w:cnfStyle w:val="010000000000" w:firstRow="0" w:lastRow="1" w:firstColumn="0" w:lastColumn="0" w:oddVBand="0" w:evenVBand="0" w:oddHBand="0" w:evenHBand="0" w:firstRowFirstColumn="0" w:firstRowLastColumn="0" w:lastRowFirstColumn="0" w:lastRowLastColumn="0"/>
            </w:pPr>
            <w:r>
              <w:t>58 922</w:t>
            </w:r>
          </w:p>
        </w:tc>
      </w:tr>
    </w:tbl>
    <w:p w14:paraId="23FE174F" w14:textId="77777777" w:rsidR="00964B88" w:rsidRDefault="00964B88" w:rsidP="00F53820">
      <w:pPr>
        <w:pStyle w:val="Source"/>
      </w:pPr>
      <w:r>
        <w:t>The accompanying notes form part of these Estimated Financial Statements.</w:t>
      </w:r>
    </w:p>
    <w:p w14:paraId="65D0E4CC" w14:textId="77777777" w:rsidR="00964B88" w:rsidRDefault="00964B88" w:rsidP="00F53820">
      <w:pPr>
        <w:pStyle w:val="Note"/>
      </w:pPr>
      <w:r>
        <w:t>Notes:</w:t>
      </w:r>
    </w:p>
    <w:p w14:paraId="19E661AB" w14:textId="77777777" w:rsidR="00964B88" w:rsidRDefault="00964B88" w:rsidP="00F53820">
      <w:pPr>
        <w:pStyle w:val="Note"/>
      </w:pPr>
      <w:r w:rsidRPr="00926603">
        <w:t>(a)</w:t>
      </w:r>
      <w:r w:rsidRPr="00926603">
        <w:tab/>
        <w:t>Balances represent actual</w:t>
      </w:r>
      <w:r>
        <w:t xml:space="preserve"> opening balances at 1 July 2019 plus 2019-20</w:t>
      </w:r>
      <w:r w:rsidRPr="00926603">
        <w:t xml:space="preserve"> budgeted movements.</w:t>
      </w:r>
    </w:p>
    <w:p w14:paraId="363DA4C1" w14:textId="77777777" w:rsidR="00964B88" w:rsidRDefault="00964B88" w:rsidP="00F53820">
      <w:pPr>
        <w:pStyle w:val="Note"/>
      </w:pPr>
      <w:r w:rsidRPr="00FC5E8E">
        <w:t>(b)</w:t>
      </w:r>
      <w:r w:rsidRPr="00FC5E8E">
        <w:tab/>
        <w:t xml:space="preserve">The 1 July 2019 balance has been restated resulting from the application of </w:t>
      </w:r>
      <w:r w:rsidRPr="00101926">
        <w:t>AASB 15</w:t>
      </w:r>
      <w:r w:rsidRPr="00101926">
        <w:rPr>
          <w:i w:val="0"/>
        </w:rPr>
        <w:t xml:space="preserve"> Revenue from Contracts with Customers</w:t>
      </w:r>
      <w:r>
        <w:rPr>
          <w:i w:val="0"/>
        </w:rPr>
        <w:t>,</w:t>
      </w:r>
      <w:r w:rsidRPr="00FC5E8E">
        <w:t xml:space="preserve"> </w:t>
      </w:r>
      <w:r w:rsidRPr="00101926">
        <w:t>AASB 1058</w:t>
      </w:r>
      <w:r w:rsidRPr="00101926">
        <w:rPr>
          <w:i w:val="0"/>
        </w:rPr>
        <w:t xml:space="preserve"> Income of Not for Profit Entities, </w:t>
      </w:r>
      <w:r w:rsidRPr="00101926">
        <w:t>AASB 16</w:t>
      </w:r>
      <w:r w:rsidRPr="00101926">
        <w:rPr>
          <w:i w:val="0"/>
        </w:rPr>
        <w:t xml:space="preserve"> Leases</w:t>
      </w:r>
      <w:r w:rsidRPr="00FC5E8E">
        <w:t xml:space="preserve"> and </w:t>
      </w:r>
      <w:r w:rsidRPr="00101926">
        <w:t>AASB 1059</w:t>
      </w:r>
      <w:r w:rsidRPr="00101926">
        <w:rPr>
          <w:i w:val="0"/>
        </w:rPr>
        <w:t xml:space="preserve"> Service Concession Arrangements: Grantors</w:t>
      </w:r>
      <w:r w:rsidRPr="00FC5E8E">
        <w:t>.</w:t>
      </w:r>
    </w:p>
    <w:p w14:paraId="75E64C76" w14:textId="77777777" w:rsidR="00964B88" w:rsidRDefault="00964B88" w:rsidP="00F53820">
      <w:pPr>
        <w:keepLines w:val="0"/>
      </w:pPr>
      <w:r>
        <w:br w:type="page"/>
      </w:r>
    </w:p>
    <w:p w14:paraId="1F104E98" w14:textId="77777777" w:rsidR="00964B88" w:rsidRDefault="00964B88" w:rsidP="00F53820">
      <w:pPr>
        <w:pStyle w:val="Heading10"/>
      </w:pPr>
      <w:r>
        <w:lastRenderedPageBreak/>
        <w:br/>
      </w:r>
    </w:p>
    <w:p w14:paraId="4FA3DD48" w14:textId="77777777" w:rsidR="00964B88" w:rsidRPr="004B3878" w:rsidRDefault="00964B88" w:rsidP="00F53820">
      <w:pPr>
        <w:pStyle w:val="TableHeading"/>
      </w:pPr>
    </w:p>
    <w:tbl>
      <w:tblPr>
        <w:tblStyle w:val="DTFTable"/>
        <w:tblW w:w="7768" w:type="dxa"/>
        <w:tblLayout w:type="fixed"/>
        <w:tblLook w:val="0660" w:firstRow="1" w:lastRow="1" w:firstColumn="0" w:lastColumn="0" w:noHBand="1" w:noVBand="1"/>
      </w:tblPr>
      <w:tblGrid>
        <w:gridCol w:w="2590"/>
        <w:gridCol w:w="2589"/>
        <w:gridCol w:w="2589"/>
      </w:tblGrid>
      <w:tr w:rsidR="00964B88" w14:paraId="06D6A403" w14:textId="77777777" w:rsidTr="00F53820">
        <w:trPr>
          <w:cnfStyle w:val="100000000000" w:firstRow="1" w:lastRow="0" w:firstColumn="0" w:lastColumn="0" w:oddVBand="0" w:evenVBand="0" w:oddHBand="0" w:evenHBand="0" w:firstRowFirstColumn="0" w:firstRowLastColumn="0" w:lastRowFirstColumn="0" w:lastRowLastColumn="0"/>
          <w:tblHeader/>
        </w:trPr>
        <w:tc>
          <w:tcPr>
            <w:tcW w:w="2590" w:type="dxa"/>
          </w:tcPr>
          <w:p w14:paraId="5C6CF89C" w14:textId="77777777" w:rsidR="00964B88" w:rsidRDefault="00964B88">
            <w:r>
              <w:t>Investment in other sector</w:t>
            </w:r>
            <w:r>
              <w:br/>
              <w:t>entities revaluation surplus</w:t>
            </w:r>
          </w:p>
        </w:tc>
        <w:tc>
          <w:tcPr>
            <w:tcW w:w="2589" w:type="dxa"/>
          </w:tcPr>
          <w:p w14:paraId="5B8A5043" w14:textId="77777777" w:rsidR="00964B88" w:rsidRDefault="00964B88">
            <w:r>
              <w:t>Other</w:t>
            </w:r>
            <w:r>
              <w:br/>
              <w:t>reserves</w:t>
            </w:r>
          </w:p>
        </w:tc>
        <w:tc>
          <w:tcPr>
            <w:tcW w:w="2589" w:type="dxa"/>
          </w:tcPr>
          <w:p w14:paraId="64360124" w14:textId="77777777" w:rsidR="00964B88" w:rsidRDefault="00964B88">
            <w:r>
              <w:t>Total</w:t>
            </w:r>
          </w:p>
        </w:tc>
      </w:tr>
      <w:tr w:rsidR="00964B88" w14:paraId="5502E246" w14:textId="77777777">
        <w:tc>
          <w:tcPr>
            <w:tcW w:w="2590" w:type="dxa"/>
          </w:tcPr>
          <w:p w14:paraId="735ECA13" w14:textId="77777777" w:rsidR="00964B88" w:rsidRDefault="00964B88"/>
        </w:tc>
        <w:tc>
          <w:tcPr>
            <w:tcW w:w="2589" w:type="dxa"/>
          </w:tcPr>
          <w:p w14:paraId="167B2394" w14:textId="77777777" w:rsidR="00964B88" w:rsidRDefault="00964B88"/>
        </w:tc>
        <w:tc>
          <w:tcPr>
            <w:tcW w:w="2589" w:type="dxa"/>
          </w:tcPr>
          <w:p w14:paraId="0D10B52B" w14:textId="77777777" w:rsidR="00964B88" w:rsidRDefault="00964B88"/>
        </w:tc>
      </w:tr>
      <w:tr w:rsidR="00964B88" w14:paraId="07DB504B" w14:textId="77777777">
        <w:tc>
          <w:tcPr>
            <w:tcW w:w="2590" w:type="dxa"/>
          </w:tcPr>
          <w:p w14:paraId="6AAF8559" w14:textId="77777777" w:rsidR="00964B88" w:rsidRDefault="00964B88">
            <w:r>
              <w:t>63 697</w:t>
            </w:r>
          </w:p>
        </w:tc>
        <w:tc>
          <w:tcPr>
            <w:tcW w:w="2589" w:type="dxa"/>
          </w:tcPr>
          <w:p w14:paraId="6A9B9314" w14:textId="77777777" w:rsidR="00964B88" w:rsidRDefault="00964B88">
            <w:r>
              <w:t>1 020</w:t>
            </w:r>
          </w:p>
        </w:tc>
        <w:tc>
          <w:tcPr>
            <w:tcW w:w="2589" w:type="dxa"/>
          </w:tcPr>
          <w:p w14:paraId="6D6647BF" w14:textId="77777777" w:rsidR="00964B88" w:rsidRDefault="00964B88">
            <w:r>
              <w:t>185 851</w:t>
            </w:r>
          </w:p>
        </w:tc>
      </w:tr>
      <w:tr w:rsidR="00964B88" w14:paraId="0231CA76" w14:textId="77777777">
        <w:tc>
          <w:tcPr>
            <w:tcW w:w="2590" w:type="dxa"/>
          </w:tcPr>
          <w:p w14:paraId="03A401ED" w14:textId="77777777" w:rsidR="00964B88" w:rsidRDefault="00964B88">
            <w:r>
              <w:t>..</w:t>
            </w:r>
          </w:p>
        </w:tc>
        <w:tc>
          <w:tcPr>
            <w:tcW w:w="2589" w:type="dxa"/>
          </w:tcPr>
          <w:p w14:paraId="45EA88CF" w14:textId="77777777" w:rsidR="00964B88" w:rsidRDefault="00964B88">
            <w:r>
              <w:t>..</w:t>
            </w:r>
          </w:p>
        </w:tc>
        <w:tc>
          <w:tcPr>
            <w:tcW w:w="2589" w:type="dxa"/>
          </w:tcPr>
          <w:p w14:paraId="518F5161" w14:textId="77777777" w:rsidR="00964B88" w:rsidRDefault="00964B88">
            <w:r>
              <w:t>726</w:t>
            </w:r>
          </w:p>
        </w:tc>
      </w:tr>
      <w:tr w:rsidR="00964B88" w14:paraId="748A9AA5" w14:textId="77777777">
        <w:tc>
          <w:tcPr>
            <w:tcW w:w="2590" w:type="dxa"/>
          </w:tcPr>
          <w:p w14:paraId="4B30CAA3" w14:textId="77777777" w:rsidR="00964B88" w:rsidRDefault="00964B88">
            <w:r>
              <w:t>692</w:t>
            </w:r>
          </w:p>
        </w:tc>
        <w:tc>
          <w:tcPr>
            <w:tcW w:w="2589" w:type="dxa"/>
          </w:tcPr>
          <w:p w14:paraId="29DAAAC8" w14:textId="77777777" w:rsidR="00964B88" w:rsidRDefault="00964B88">
            <w:r>
              <w:t>1</w:t>
            </w:r>
          </w:p>
        </w:tc>
        <w:tc>
          <w:tcPr>
            <w:tcW w:w="2589" w:type="dxa"/>
          </w:tcPr>
          <w:p w14:paraId="44D683C9" w14:textId="77777777" w:rsidR="00964B88" w:rsidRDefault="00964B88">
            <w:r>
              <w:t>5 055</w:t>
            </w:r>
          </w:p>
        </w:tc>
      </w:tr>
      <w:tr w:rsidR="00964B88" w14:paraId="25DB3E3A" w14:textId="77777777">
        <w:tc>
          <w:tcPr>
            <w:tcW w:w="2590" w:type="dxa"/>
          </w:tcPr>
          <w:p w14:paraId="045BA9FA" w14:textId="77777777" w:rsidR="00964B88" w:rsidRDefault="00964B88">
            <w:r>
              <w:t>..</w:t>
            </w:r>
          </w:p>
        </w:tc>
        <w:tc>
          <w:tcPr>
            <w:tcW w:w="2589" w:type="dxa"/>
          </w:tcPr>
          <w:p w14:paraId="4B947D03" w14:textId="77777777" w:rsidR="00964B88" w:rsidRDefault="00964B88">
            <w:r>
              <w:t>..</w:t>
            </w:r>
          </w:p>
        </w:tc>
        <w:tc>
          <w:tcPr>
            <w:tcW w:w="2589" w:type="dxa"/>
          </w:tcPr>
          <w:p w14:paraId="1A8CC7D7" w14:textId="77777777" w:rsidR="00964B88" w:rsidRDefault="00964B88">
            <w:r>
              <w:t>..</w:t>
            </w:r>
          </w:p>
        </w:tc>
      </w:tr>
      <w:tr w:rsidR="00964B88" w14:paraId="7477A120" w14:textId="77777777" w:rsidTr="00F53820">
        <w:tc>
          <w:tcPr>
            <w:tcW w:w="2590" w:type="dxa"/>
            <w:tcBorders>
              <w:top w:val="single" w:sz="6" w:space="0" w:color="auto"/>
              <w:bottom w:val="single" w:sz="6" w:space="0" w:color="auto"/>
            </w:tcBorders>
          </w:tcPr>
          <w:p w14:paraId="66EEF69C" w14:textId="77777777" w:rsidR="00964B88" w:rsidRDefault="00964B88">
            <w:r>
              <w:rPr>
                <w:b/>
              </w:rPr>
              <w:t>64 390</w:t>
            </w:r>
          </w:p>
        </w:tc>
        <w:tc>
          <w:tcPr>
            <w:tcW w:w="2589" w:type="dxa"/>
            <w:tcBorders>
              <w:top w:val="single" w:sz="6" w:space="0" w:color="auto"/>
              <w:bottom w:val="single" w:sz="6" w:space="0" w:color="auto"/>
            </w:tcBorders>
          </w:tcPr>
          <w:p w14:paraId="787799B5" w14:textId="77777777" w:rsidR="00964B88" w:rsidRDefault="00964B88">
            <w:r>
              <w:rPr>
                <w:b/>
              </w:rPr>
              <w:t>1 021</w:t>
            </w:r>
          </w:p>
        </w:tc>
        <w:tc>
          <w:tcPr>
            <w:tcW w:w="2589" w:type="dxa"/>
            <w:tcBorders>
              <w:top w:val="single" w:sz="6" w:space="0" w:color="auto"/>
              <w:bottom w:val="single" w:sz="6" w:space="0" w:color="auto"/>
            </w:tcBorders>
          </w:tcPr>
          <w:p w14:paraId="1F50A932" w14:textId="77777777" w:rsidR="00964B88" w:rsidRDefault="00964B88">
            <w:r>
              <w:rPr>
                <w:b/>
              </w:rPr>
              <w:t>191 633</w:t>
            </w:r>
          </w:p>
        </w:tc>
      </w:tr>
      <w:tr w:rsidR="00964B88" w14:paraId="5694E22E" w14:textId="77777777" w:rsidTr="00F53820">
        <w:tc>
          <w:tcPr>
            <w:tcW w:w="2590" w:type="dxa"/>
            <w:tcBorders>
              <w:top w:val="single" w:sz="6" w:space="0" w:color="auto"/>
            </w:tcBorders>
          </w:tcPr>
          <w:p w14:paraId="2C6D5125" w14:textId="77777777" w:rsidR="00964B88" w:rsidRDefault="00964B88"/>
        </w:tc>
        <w:tc>
          <w:tcPr>
            <w:tcW w:w="2589" w:type="dxa"/>
            <w:tcBorders>
              <w:top w:val="single" w:sz="6" w:space="0" w:color="auto"/>
            </w:tcBorders>
          </w:tcPr>
          <w:p w14:paraId="78CED07B" w14:textId="77777777" w:rsidR="00964B88" w:rsidRDefault="00964B88"/>
        </w:tc>
        <w:tc>
          <w:tcPr>
            <w:tcW w:w="2589" w:type="dxa"/>
            <w:tcBorders>
              <w:top w:val="single" w:sz="6" w:space="0" w:color="auto"/>
            </w:tcBorders>
          </w:tcPr>
          <w:p w14:paraId="3120E8EF" w14:textId="77777777" w:rsidR="00964B88" w:rsidRDefault="00964B88"/>
        </w:tc>
      </w:tr>
      <w:tr w:rsidR="00964B88" w14:paraId="2597BC4F" w14:textId="77777777">
        <w:tc>
          <w:tcPr>
            <w:tcW w:w="2590" w:type="dxa"/>
          </w:tcPr>
          <w:p w14:paraId="28B5D1E2" w14:textId="77777777" w:rsidR="00964B88" w:rsidRDefault="00964B88">
            <w:r>
              <w:t>63 697</w:t>
            </w:r>
          </w:p>
        </w:tc>
        <w:tc>
          <w:tcPr>
            <w:tcW w:w="2589" w:type="dxa"/>
          </w:tcPr>
          <w:p w14:paraId="62419667" w14:textId="77777777" w:rsidR="00964B88" w:rsidRDefault="00964B88">
            <w:r>
              <w:t>1 020</w:t>
            </w:r>
          </w:p>
        </w:tc>
        <w:tc>
          <w:tcPr>
            <w:tcW w:w="2589" w:type="dxa"/>
          </w:tcPr>
          <w:p w14:paraId="0933DC51" w14:textId="77777777" w:rsidR="00964B88" w:rsidRDefault="00964B88">
            <w:r>
              <w:t>185 851</w:t>
            </w:r>
          </w:p>
        </w:tc>
      </w:tr>
      <w:tr w:rsidR="00964B88" w14:paraId="11BB55D2" w14:textId="77777777">
        <w:tc>
          <w:tcPr>
            <w:tcW w:w="2590" w:type="dxa"/>
          </w:tcPr>
          <w:p w14:paraId="491FF4F8" w14:textId="77777777" w:rsidR="00964B88" w:rsidRDefault="00964B88">
            <w:r>
              <w:t>..</w:t>
            </w:r>
          </w:p>
        </w:tc>
        <w:tc>
          <w:tcPr>
            <w:tcW w:w="2589" w:type="dxa"/>
          </w:tcPr>
          <w:p w14:paraId="6A05B8DD" w14:textId="77777777" w:rsidR="00964B88" w:rsidRDefault="00964B88">
            <w:r>
              <w:t>..</w:t>
            </w:r>
          </w:p>
        </w:tc>
        <w:tc>
          <w:tcPr>
            <w:tcW w:w="2589" w:type="dxa"/>
          </w:tcPr>
          <w:p w14:paraId="7891F044" w14:textId="77777777" w:rsidR="00964B88" w:rsidRDefault="00964B88">
            <w:r>
              <w:t>279</w:t>
            </w:r>
          </w:p>
        </w:tc>
      </w:tr>
      <w:tr w:rsidR="00964B88" w14:paraId="7D9B91B1" w14:textId="77777777">
        <w:tc>
          <w:tcPr>
            <w:tcW w:w="2590" w:type="dxa"/>
          </w:tcPr>
          <w:p w14:paraId="5AD8092B" w14:textId="77777777" w:rsidR="00964B88" w:rsidRDefault="00964B88">
            <w:r>
              <w:t>383</w:t>
            </w:r>
          </w:p>
        </w:tc>
        <w:tc>
          <w:tcPr>
            <w:tcW w:w="2589" w:type="dxa"/>
          </w:tcPr>
          <w:p w14:paraId="2CE49316" w14:textId="77777777" w:rsidR="00964B88" w:rsidRDefault="00964B88">
            <w:r>
              <w:t>1</w:t>
            </w:r>
          </w:p>
        </w:tc>
        <w:tc>
          <w:tcPr>
            <w:tcW w:w="2589" w:type="dxa"/>
          </w:tcPr>
          <w:p w14:paraId="57EB6C03" w14:textId="77777777" w:rsidR="00964B88" w:rsidRDefault="00964B88">
            <w:r>
              <w:t>3 563</w:t>
            </w:r>
          </w:p>
        </w:tc>
      </w:tr>
      <w:tr w:rsidR="00964B88" w14:paraId="1AEFB338" w14:textId="77777777">
        <w:tc>
          <w:tcPr>
            <w:tcW w:w="2590" w:type="dxa"/>
          </w:tcPr>
          <w:p w14:paraId="54313500" w14:textId="77777777" w:rsidR="00964B88" w:rsidRDefault="00964B88">
            <w:r>
              <w:t>..</w:t>
            </w:r>
          </w:p>
        </w:tc>
        <w:tc>
          <w:tcPr>
            <w:tcW w:w="2589" w:type="dxa"/>
          </w:tcPr>
          <w:p w14:paraId="7ECB2B05" w14:textId="77777777" w:rsidR="00964B88" w:rsidRDefault="00964B88">
            <w:r>
              <w:t>..</w:t>
            </w:r>
          </w:p>
        </w:tc>
        <w:tc>
          <w:tcPr>
            <w:tcW w:w="2589" w:type="dxa"/>
          </w:tcPr>
          <w:p w14:paraId="533E5FD8" w14:textId="77777777" w:rsidR="00964B88" w:rsidRDefault="00964B88">
            <w:r>
              <w:t>..</w:t>
            </w:r>
          </w:p>
        </w:tc>
      </w:tr>
      <w:tr w:rsidR="00964B88" w14:paraId="3FF10737" w14:textId="77777777" w:rsidTr="00F53820">
        <w:tc>
          <w:tcPr>
            <w:tcW w:w="2590" w:type="dxa"/>
            <w:tcBorders>
              <w:top w:val="single" w:sz="6" w:space="0" w:color="auto"/>
              <w:bottom w:val="single" w:sz="6" w:space="0" w:color="auto"/>
            </w:tcBorders>
          </w:tcPr>
          <w:p w14:paraId="78BB2556" w14:textId="77777777" w:rsidR="00964B88" w:rsidRDefault="00964B88">
            <w:r>
              <w:rPr>
                <w:b/>
              </w:rPr>
              <w:t>64 081</w:t>
            </w:r>
          </w:p>
        </w:tc>
        <w:tc>
          <w:tcPr>
            <w:tcW w:w="2589" w:type="dxa"/>
            <w:tcBorders>
              <w:top w:val="single" w:sz="6" w:space="0" w:color="auto"/>
              <w:bottom w:val="single" w:sz="6" w:space="0" w:color="auto"/>
            </w:tcBorders>
          </w:tcPr>
          <w:p w14:paraId="3E9444B6" w14:textId="77777777" w:rsidR="00964B88" w:rsidRDefault="00964B88">
            <w:r>
              <w:rPr>
                <w:b/>
              </w:rPr>
              <w:t>1 021</w:t>
            </w:r>
          </w:p>
        </w:tc>
        <w:tc>
          <w:tcPr>
            <w:tcW w:w="2589" w:type="dxa"/>
            <w:tcBorders>
              <w:top w:val="single" w:sz="6" w:space="0" w:color="auto"/>
              <w:bottom w:val="single" w:sz="6" w:space="0" w:color="auto"/>
            </w:tcBorders>
          </w:tcPr>
          <w:p w14:paraId="591CC651" w14:textId="77777777" w:rsidR="00964B88" w:rsidRDefault="00964B88">
            <w:r>
              <w:rPr>
                <w:b/>
              </w:rPr>
              <w:t>189 693</w:t>
            </w:r>
          </w:p>
        </w:tc>
      </w:tr>
      <w:tr w:rsidR="00964B88" w14:paraId="558689EC" w14:textId="77777777" w:rsidTr="00F53820">
        <w:tc>
          <w:tcPr>
            <w:tcW w:w="2590" w:type="dxa"/>
            <w:tcBorders>
              <w:top w:val="single" w:sz="6" w:space="0" w:color="auto"/>
            </w:tcBorders>
          </w:tcPr>
          <w:p w14:paraId="1CAE9124" w14:textId="77777777" w:rsidR="00964B88" w:rsidRDefault="00964B88"/>
        </w:tc>
        <w:tc>
          <w:tcPr>
            <w:tcW w:w="2589" w:type="dxa"/>
            <w:tcBorders>
              <w:top w:val="single" w:sz="6" w:space="0" w:color="auto"/>
            </w:tcBorders>
          </w:tcPr>
          <w:p w14:paraId="7002C27B" w14:textId="77777777" w:rsidR="00964B88" w:rsidRDefault="00964B88"/>
        </w:tc>
        <w:tc>
          <w:tcPr>
            <w:tcW w:w="2589" w:type="dxa"/>
            <w:tcBorders>
              <w:top w:val="single" w:sz="6" w:space="0" w:color="auto"/>
            </w:tcBorders>
          </w:tcPr>
          <w:p w14:paraId="34EBCF90" w14:textId="77777777" w:rsidR="00964B88" w:rsidRDefault="00964B88"/>
        </w:tc>
      </w:tr>
      <w:tr w:rsidR="00964B88" w14:paraId="77AFC425" w14:textId="77777777">
        <w:tc>
          <w:tcPr>
            <w:tcW w:w="2590" w:type="dxa"/>
          </w:tcPr>
          <w:p w14:paraId="25660EEF" w14:textId="77777777" w:rsidR="00964B88" w:rsidRDefault="00964B88">
            <w:r>
              <w:t>64 081</w:t>
            </w:r>
          </w:p>
        </w:tc>
        <w:tc>
          <w:tcPr>
            <w:tcW w:w="2589" w:type="dxa"/>
          </w:tcPr>
          <w:p w14:paraId="5757A563" w14:textId="77777777" w:rsidR="00964B88" w:rsidRDefault="00964B88">
            <w:r>
              <w:t>1 021</w:t>
            </w:r>
          </w:p>
        </w:tc>
        <w:tc>
          <w:tcPr>
            <w:tcW w:w="2589" w:type="dxa"/>
          </w:tcPr>
          <w:p w14:paraId="5870BA81" w14:textId="77777777" w:rsidR="00964B88" w:rsidRDefault="00964B88">
            <w:r>
              <w:t>189 693</w:t>
            </w:r>
          </w:p>
        </w:tc>
      </w:tr>
      <w:tr w:rsidR="00964B88" w14:paraId="0EBFC0A1" w14:textId="77777777">
        <w:tc>
          <w:tcPr>
            <w:tcW w:w="2590" w:type="dxa"/>
          </w:tcPr>
          <w:p w14:paraId="2D04C51D" w14:textId="77777777" w:rsidR="00964B88" w:rsidRDefault="00964B88">
            <w:r>
              <w:t>..</w:t>
            </w:r>
          </w:p>
        </w:tc>
        <w:tc>
          <w:tcPr>
            <w:tcW w:w="2589" w:type="dxa"/>
          </w:tcPr>
          <w:p w14:paraId="2B0AC52D" w14:textId="77777777" w:rsidR="00964B88" w:rsidRDefault="00964B88">
            <w:r>
              <w:t>..</w:t>
            </w:r>
          </w:p>
        </w:tc>
        <w:tc>
          <w:tcPr>
            <w:tcW w:w="2589" w:type="dxa"/>
          </w:tcPr>
          <w:p w14:paraId="573B0871" w14:textId="77777777" w:rsidR="00964B88" w:rsidRDefault="00964B88">
            <w:r>
              <w:t>852</w:t>
            </w:r>
          </w:p>
        </w:tc>
      </w:tr>
      <w:tr w:rsidR="00964B88" w14:paraId="29730033" w14:textId="77777777">
        <w:tc>
          <w:tcPr>
            <w:tcW w:w="2590" w:type="dxa"/>
          </w:tcPr>
          <w:p w14:paraId="6D4D9157" w14:textId="77777777" w:rsidR="00964B88" w:rsidRDefault="00964B88">
            <w:r>
              <w:t>651</w:t>
            </w:r>
          </w:p>
        </w:tc>
        <w:tc>
          <w:tcPr>
            <w:tcW w:w="2589" w:type="dxa"/>
          </w:tcPr>
          <w:p w14:paraId="53CDA0EE" w14:textId="77777777" w:rsidR="00964B88" w:rsidRDefault="00964B88">
            <w:r>
              <w:t>1</w:t>
            </w:r>
          </w:p>
        </w:tc>
        <w:tc>
          <w:tcPr>
            <w:tcW w:w="2589" w:type="dxa"/>
          </w:tcPr>
          <w:p w14:paraId="12A39AB6" w14:textId="77777777" w:rsidR="00964B88" w:rsidRDefault="00964B88">
            <w:r>
              <w:t>7 465</w:t>
            </w:r>
          </w:p>
        </w:tc>
      </w:tr>
      <w:tr w:rsidR="00964B88" w14:paraId="51B82857" w14:textId="77777777">
        <w:tc>
          <w:tcPr>
            <w:tcW w:w="2590" w:type="dxa"/>
          </w:tcPr>
          <w:p w14:paraId="3BDB7454" w14:textId="77777777" w:rsidR="00964B88" w:rsidRDefault="00964B88">
            <w:r>
              <w:t>..</w:t>
            </w:r>
          </w:p>
        </w:tc>
        <w:tc>
          <w:tcPr>
            <w:tcW w:w="2589" w:type="dxa"/>
          </w:tcPr>
          <w:p w14:paraId="6D0A7F26" w14:textId="77777777" w:rsidR="00964B88" w:rsidRDefault="00964B88">
            <w:r>
              <w:t>..</w:t>
            </w:r>
          </w:p>
        </w:tc>
        <w:tc>
          <w:tcPr>
            <w:tcW w:w="2589" w:type="dxa"/>
          </w:tcPr>
          <w:p w14:paraId="46BCBD54" w14:textId="77777777" w:rsidR="00964B88" w:rsidRDefault="00964B88">
            <w:r>
              <w:t>..</w:t>
            </w:r>
          </w:p>
        </w:tc>
      </w:tr>
      <w:tr w:rsidR="00964B88" w14:paraId="785CE0C9" w14:textId="77777777" w:rsidTr="00F53820">
        <w:tc>
          <w:tcPr>
            <w:tcW w:w="2590" w:type="dxa"/>
            <w:tcBorders>
              <w:top w:val="single" w:sz="6" w:space="0" w:color="auto"/>
              <w:bottom w:val="single" w:sz="6" w:space="0" w:color="auto"/>
            </w:tcBorders>
          </w:tcPr>
          <w:p w14:paraId="20F06FDE" w14:textId="77777777" w:rsidR="00964B88" w:rsidRDefault="00964B88">
            <w:r>
              <w:rPr>
                <w:b/>
              </w:rPr>
              <w:t>64 732</w:t>
            </w:r>
          </w:p>
        </w:tc>
        <w:tc>
          <w:tcPr>
            <w:tcW w:w="2589" w:type="dxa"/>
            <w:tcBorders>
              <w:top w:val="single" w:sz="6" w:space="0" w:color="auto"/>
              <w:bottom w:val="single" w:sz="6" w:space="0" w:color="auto"/>
            </w:tcBorders>
          </w:tcPr>
          <w:p w14:paraId="43005E75" w14:textId="77777777" w:rsidR="00964B88" w:rsidRDefault="00964B88">
            <w:r>
              <w:rPr>
                <w:b/>
              </w:rPr>
              <w:t>1 022</w:t>
            </w:r>
          </w:p>
        </w:tc>
        <w:tc>
          <w:tcPr>
            <w:tcW w:w="2589" w:type="dxa"/>
            <w:tcBorders>
              <w:top w:val="single" w:sz="6" w:space="0" w:color="auto"/>
              <w:bottom w:val="single" w:sz="6" w:space="0" w:color="auto"/>
            </w:tcBorders>
          </w:tcPr>
          <w:p w14:paraId="00347AEF" w14:textId="77777777" w:rsidR="00964B88" w:rsidRDefault="00964B88">
            <w:r>
              <w:rPr>
                <w:b/>
              </w:rPr>
              <w:t>198 010</w:t>
            </w:r>
          </w:p>
        </w:tc>
      </w:tr>
      <w:tr w:rsidR="00964B88" w14:paraId="3B3D713A" w14:textId="77777777" w:rsidTr="00F53820">
        <w:tc>
          <w:tcPr>
            <w:tcW w:w="2590" w:type="dxa"/>
            <w:tcBorders>
              <w:top w:val="single" w:sz="6" w:space="0" w:color="auto"/>
            </w:tcBorders>
          </w:tcPr>
          <w:p w14:paraId="1E28878B" w14:textId="77777777" w:rsidR="00964B88" w:rsidRDefault="00964B88"/>
        </w:tc>
        <w:tc>
          <w:tcPr>
            <w:tcW w:w="2589" w:type="dxa"/>
            <w:tcBorders>
              <w:top w:val="single" w:sz="6" w:space="0" w:color="auto"/>
            </w:tcBorders>
          </w:tcPr>
          <w:p w14:paraId="13E49F6A" w14:textId="77777777" w:rsidR="00964B88" w:rsidRDefault="00964B88"/>
        </w:tc>
        <w:tc>
          <w:tcPr>
            <w:tcW w:w="2589" w:type="dxa"/>
            <w:tcBorders>
              <w:top w:val="single" w:sz="6" w:space="0" w:color="auto"/>
            </w:tcBorders>
          </w:tcPr>
          <w:p w14:paraId="44C456A9" w14:textId="77777777" w:rsidR="00964B88" w:rsidRDefault="00964B88"/>
        </w:tc>
      </w:tr>
      <w:tr w:rsidR="00964B88" w14:paraId="6B614C33" w14:textId="77777777">
        <w:tc>
          <w:tcPr>
            <w:tcW w:w="2590" w:type="dxa"/>
          </w:tcPr>
          <w:p w14:paraId="3F2DA41F" w14:textId="77777777" w:rsidR="00964B88" w:rsidRDefault="00964B88">
            <w:r>
              <w:t>64 732</w:t>
            </w:r>
          </w:p>
        </w:tc>
        <w:tc>
          <w:tcPr>
            <w:tcW w:w="2589" w:type="dxa"/>
          </w:tcPr>
          <w:p w14:paraId="54FE223C" w14:textId="77777777" w:rsidR="00964B88" w:rsidRDefault="00964B88">
            <w:r>
              <w:t>1 022</w:t>
            </w:r>
          </w:p>
        </w:tc>
        <w:tc>
          <w:tcPr>
            <w:tcW w:w="2589" w:type="dxa"/>
          </w:tcPr>
          <w:p w14:paraId="347443FF" w14:textId="77777777" w:rsidR="00964B88" w:rsidRDefault="00964B88">
            <w:r>
              <w:t>198 010</w:t>
            </w:r>
          </w:p>
        </w:tc>
      </w:tr>
      <w:tr w:rsidR="00964B88" w14:paraId="079678C5" w14:textId="77777777">
        <w:tc>
          <w:tcPr>
            <w:tcW w:w="2590" w:type="dxa"/>
          </w:tcPr>
          <w:p w14:paraId="0EB53412" w14:textId="77777777" w:rsidR="00964B88" w:rsidRDefault="00964B88">
            <w:r>
              <w:t>..</w:t>
            </w:r>
          </w:p>
        </w:tc>
        <w:tc>
          <w:tcPr>
            <w:tcW w:w="2589" w:type="dxa"/>
          </w:tcPr>
          <w:p w14:paraId="589B4D9C" w14:textId="77777777" w:rsidR="00964B88" w:rsidRDefault="00964B88">
            <w:r>
              <w:t>..</w:t>
            </w:r>
          </w:p>
        </w:tc>
        <w:tc>
          <w:tcPr>
            <w:tcW w:w="2589" w:type="dxa"/>
          </w:tcPr>
          <w:p w14:paraId="58FD46EB" w14:textId="77777777" w:rsidR="00964B88" w:rsidRDefault="00964B88">
            <w:r>
              <w:t>3 486</w:t>
            </w:r>
          </w:p>
        </w:tc>
      </w:tr>
      <w:tr w:rsidR="00964B88" w14:paraId="37188A0D" w14:textId="77777777">
        <w:tc>
          <w:tcPr>
            <w:tcW w:w="2590" w:type="dxa"/>
          </w:tcPr>
          <w:p w14:paraId="32A3D76A" w14:textId="77777777" w:rsidR="00964B88" w:rsidRDefault="00964B88">
            <w:r>
              <w:t>(579)</w:t>
            </w:r>
          </w:p>
        </w:tc>
        <w:tc>
          <w:tcPr>
            <w:tcW w:w="2589" w:type="dxa"/>
          </w:tcPr>
          <w:p w14:paraId="528BB9AD" w14:textId="77777777" w:rsidR="00964B88" w:rsidRDefault="00964B88">
            <w:r>
              <w:t>3</w:t>
            </w:r>
          </w:p>
        </w:tc>
        <w:tc>
          <w:tcPr>
            <w:tcW w:w="2589" w:type="dxa"/>
          </w:tcPr>
          <w:p w14:paraId="555EF637" w14:textId="77777777" w:rsidR="00964B88" w:rsidRDefault="00964B88">
            <w:r>
              <w:t>4 630</w:t>
            </w:r>
          </w:p>
        </w:tc>
      </w:tr>
      <w:tr w:rsidR="00964B88" w14:paraId="439722EC" w14:textId="77777777">
        <w:tc>
          <w:tcPr>
            <w:tcW w:w="2590" w:type="dxa"/>
          </w:tcPr>
          <w:p w14:paraId="4374E80B" w14:textId="77777777" w:rsidR="00964B88" w:rsidRDefault="00964B88">
            <w:r>
              <w:t>..</w:t>
            </w:r>
          </w:p>
        </w:tc>
        <w:tc>
          <w:tcPr>
            <w:tcW w:w="2589" w:type="dxa"/>
          </w:tcPr>
          <w:p w14:paraId="76F6C73C" w14:textId="77777777" w:rsidR="00964B88" w:rsidRDefault="00964B88">
            <w:r>
              <w:t>..</w:t>
            </w:r>
          </w:p>
        </w:tc>
        <w:tc>
          <w:tcPr>
            <w:tcW w:w="2589" w:type="dxa"/>
          </w:tcPr>
          <w:p w14:paraId="74462F72" w14:textId="77777777" w:rsidR="00964B88" w:rsidRDefault="00964B88">
            <w:r>
              <w:t>..</w:t>
            </w:r>
          </w:p>
        </w:tc>
      </w:tr>
      <w:tr w:rsidR="00964B88" w14:paraId="5E6069D9" w14:textId="77777777" w:rsidTr="00F53820">
        <w:tc>
          <w:tcPr>
            <w:tcW w:w="2590" w:type="dxa"/>
            <w:tcBorders>
              <w:top w:val="single" w:sz="6" w:space="0" w:color="auto"/>
              <w:bottom w:val="single" w:sz="6" w:space="0" w:color="auto"/>
            </w:tcBorders>
          </w:tcPr>
          <w:p w14:paraId="182390FA" w14:textId="77777777" w:rsidR="00964B88" w:rsidRDefault="00964B88">
            <w:r>
              <w:rPr>
                <w:b/>
              </w:rPr>
              <w:t>64 153</w:t>
            </w:r>
          </w:p>
        </w:tc>
        <w:tc>
          <w:tcPr>
            <w:tcW w:w="2589" w:type="dxa"/>
            <w:tcBorders>
              <w:top w:val="single" w:sz="6" w:space="0" w:color="auto"/>
              <w:bottom w:val="single" w:sz="6" w:space="0" w:color="auto"/>
            </w:tcBorders>
          </w:tcPr>
          <w:p w14:paraId="277D871C" w14:textId="77777777" w:rsidR="00964B88" w:rsidRDefault="00964B88">
            <w:r>
              <w:rPr>
                <w:b/>
              </w:rPr>
              <w:t>1 024</w:t>
            </w:r>
          </w:p>
        </w:tc>
        <w:tc>
          <w:tcPr>
            <w:tcW w:w="2589" w:type="dxa"/>
            <w:tcBorders>
              <w:top w:val="single" w:sz="6" w:space="0" w:color="auto"/>
              <w:bottom w:val="single" w:sz="6" w:space="0" w:color="auto"/>
            </w:tcBorders>
          </w:tcPr>
          <w:p w14:paraId="15B5112B" w14:textId="77777777" w:rsidR="00964B88" w:rsidRDefault="00964B88">
            <w:r>
              <w:rPr>
                <w:b/>
              </w:rPr>
              <w:t>206 125</w:t>
            </w:r>
          </w:p>
        </w:tc>
      </w:tr>
      <w:tr w:rsidR="00964B88" w14:paraId="4ACA1414" w14:textId="77777777" w:rsidTr="00F53820">
        <w:tc>
          <w:tcPr>
            <w:tcW w:w="2590" w:type="dxa"/>
            <w:tcBorders>
              <w:top w:val="single" w:sz="6" w:space="0" w:color="auto"/>
            </w:tcBorders>
          </w:tcPr>
          <w:p w14:paraId="33C991C2" w14:textId="77777777" w:rsidR="00964B88" w:rsidRDefault="00964B88"/>
        </w:tc>
        <w:tc>
          <w:tcPr>
            <w:tcW w:w="2589" w:type="dxa"/>
            <w:tcBorders>
              <w:top w:val="single" w:sz="6" w:space="0" w:color="auto"/>
            </w:tcBorders>
          </w:tcPr>
          <w:p w14:paraId="56E996D8" w14:textId="77777777" w:rsidR="00964B88" w:rsidRDefault="00964B88"/>
        </w:tc>
        <w:tc>
          <w:tcPr>
            <w:tcW w:w="2589" w:type="dxa"/>
            <w:tcBorders>
              <w:top w:val="single" w:sz="6" w:space="0" w:color="auto"/>
            </w:tcBorders>
          </w:tcPr>
          <w:p w14:paraId="5A4CAE5D" w14:textId="77777777" w:rsidR="00964B88" w:rsidRDefault="00964B88"/>
        </w:tc>
      </w:tr>
      <w:tr w:rsidR="00964B88" w14:paraId="4A9D0C0F" w14:textId="77777777">
        <w:tc>
          <w:tcPr>
            <w:tcW w:w="2590" w:type="dxa"/>
          </w:tcPr>
          <w:p w14:paraId="45712B7E" w14:textId="77777777" w:rsidR="00964B88" w:rsidRDefault="00964B88">
            <w:r>
              <w:t>64 153</w:t>
            </w:r>
          </w:p>
        </w:tc>
        <w:tc>
          <w:tcPr>
            <w:tcW w:w="2589" w:type="dxa"/>
          </w:tcPr>
          <w:p w14:paraId="219E4DA7" w14:textId="77777777" w:rsidR="00964B88" w:rsidRDefault="00964B88">
            <w:r>
              <w:t>1 024</w:t>
            </w:r>
          </w:p>
        </w:tc>
        <w:tc>
          <w:tcPr>
            <w:tcW w:w="2589" w:type="dxa"/>
          </w:tcPr>
          <w:p w14:paraId="5115C114" w14:textId="77777777" w:rsidR="00964B88" w:rsidRDefault="00964B88">
            <w:r>
              <w:t>206 125</w:t>
            </w:r>
          </w:p>
        </w:tc>
      </w:tr>
      <w:tr w:rsidR="00964B88" w14:paraId="207496DC" w14:textId="77777777">
        <w:tc>
          <w:tcPr>
            <w:tcW w:w="2590" w:type="dxa"/>
          </w:tcPr>
          <w:p w14:paraId="05E47598" w14:textId="77777777" w:rsidR="00964B88" w:rsidRDefault="00964B88">
            <w:r>
              <w:t>..</w:t>
            </w:r>
          </w:p>
        </w:tc>
        <w:tc>
          <w:tcPr>
            <w:tcW w:w="2589" w:type="dxa"/>
          </w:tcPr>
          <w:p w14:paraId="287FE90A" w14:textId="77777777" w:rsidR="00964B88" w:rsidRDefault="00964B88">
            <w:r>
              <w:t>..</w:t>
            </w:r>
          </w:p>
        </w:tc>
        <w:tc>
          <w:tcPr>
            <w:tcW w:w="2589" w:type="dxa"/>
          </w:tcPr>
          <w:p w14:paraId="4E1BED8A" w14:textId="77777777" w:rsidR="00964B88" w:rsidRDefault="00964B88">
            <w:r>
              <w:t>4 537</w:t>
            </w:r>
          </w:p>
        </w:tc>
      </w:tr>
      <w:tr w:rsidR="00964B88" w14:paraId="011E562C" w14:textId="77777777">
        <w:tc>
          <w:tcPr>
            <w:tcW w:w="2590" w:type="dxa"/>
          </w:tcPr>
          <w:p w14:paraId="33CC3397" w14:textId="77777777" w:rsidR="00964B88" w:rsidRDefault="00964B88">
            <w:r>
              <w:t>(670)</w:t>
            </w:r>
          </w:p>
        </w:tc>
        <w:tc>
          <w:tcPr>
            <w:tcW w:w="2589" w:type="dxa"/>
          </w:tcPr>
          <w:p w14:paraId="3BE3EE24" w14:textId="77777777" w:rsidR="00964B88" w:rsidRDefault="00964B88">
            <w:r>
              <w:t>3</w:t>
            </w:r>
          </w:p>
        </w:tc>
        <w:tc>
          <w:tcPr>
            <w:tcW w:w="2589" w:type="dxa"/>
          </w:tcPr>
          <w:p w14:paraId="32339D17" w14:textId="77777777" w:rsidR="00964B88" w:rsidRDefault="00964B88">
            <w:r>
              <w:t>5 638</w:t>
            </w:r>
          </w:p>
        </w:tc>
      </w:tr>
      <w:tr w:rsidR="00964B88" w14:paraId="0582F880" w14:textId="77777777">
        <w:tc>
          <w:tcPr>
            <w:tcW w:w="2590" w:type="dxa"/>
          </w:tcPr>
          <w:p w14:paraId="03DC8F29" w14:textId="77777777" w:rsidR="00964B88" w:rsidRDefault="00964B88">
            <w:r>
              <w:t>..</w:t>
            </w:r>
          </w:p>
        </w:tc>
        <w:tc>
          <w:tcPr>
            <w:tcW w:w="2589" w:type="dxa"/>
          </w:tcPr>
          <w:p w14:paraId="3F6CBBB6" w14:textId="77777777" w:rsidR="00964B88" w:rsidRDefault="00964B88">
            <w:r>
              <w:t>..</w:t>
            </w:r>
          </w:p>
        </w:tc>
        <w:tc>
          <w:tcPr>
            <w:tcW w:w="2589" w:type="dxa"/>
          </w:tcPr>
          <w:p w14:paraId="496A13B6" w14:textId="77777777" w:rsidR="00964B88" w:rsidRDefault="00964B88">
            <w:r>
              <w:t>..</w:t>
            </w:r>
          </w:p>
        </w:tc>
      </w:tr>
      <w:tr w:rsidR="00964B88" w14:paraId="29F73181" w14:textId="77777777">
        <w:trPr>
          <w:cnfStyle w:val="010000000000" w:firstRow="0" w:lastRow="1" w:firstColumn="0" w:lastColumn="0" w:oddVBand="0" w:evenVBand="0" w:oddHBand="0" w:evenHBand="0" w:firstRowFirstColumn="0" w:firstRowLastColumn="0" w:lastRowFirstColumn="0" w:lastRowLastColumn="0"/>
        </w:trPr>
        <w:tc>
          <w:tcPr>
            <w:tcW w:w="2590" w:type="dxa"/>
          </w:tcPr>
          <w:p w14:paraId="0C83EFA4" w14:textId="77777777" w:rsidR="00964B88" w:rsidRDefault="00964B88">
            <w:r>
              <w:t>63 483</w:t>
            </w:r>
          </w:p>
        </w:tc>
        <w:tc>
          <w:tcPr>
            <w:tcW w:w="2589" w:type="dxa"/>
          </w:tcPr>
          <w:p w14:paraId="3C8D0F57" w14:textId="77777777" w:rsidR="00964B88" w:rsidRDefault="00964B88">
            <w:r>
              <w:t>1 027</w:t>
            </w:r>
          </w:p>
        </w:tc>
        <w:tc>
          <w:tcPr>
            <w:tcW w:w="2589" w:type="dxa"/>
          </w:tcPr>
          <w:p w14:paraId="0A924F41" w14:textId="77777777" w:rsidR="00964B88" w:rsidRDefault="00964B88">
            <w:r>
              <w:t>216 300</w:t>
            </w:r>
          </w:p>
        </w:tc>
      </w:tr>
    </w:tbl>
    <w:p w14:paraId="0B32E0E2" w14:textId="77777777" w:rsidR="00964B88" w:rsidRPr="00177EBC" w:rsidRDefault="00964B88" w:rsidP="00F53820"/>
    <w:p w14:paraId="39E9E85D" w14:textId="77777777" w:rsidR="00964B88" w:rsidRDefault="00964B88" w:rsidP="00F53820">
      <w:r>
        <w:br w:type="page"/>
      </w:r>
    </w:p>
    <w:p w14:paraId="5D83FC58" w14:textId="77777777" w:rsidR="00964B88" w:rsidRPr="000324EE" w:rsidRDefault="00964B88" w:rsidP="00964B88">
      <w:pPr>
        <w:pStyle w:val="Heading2"/>
        <w:numPr>
          <w:ilvl w:val="1"/>
          <w:numId w:val="22"/>
        </w:numPr>
      </w:pPr>
      <w:r w:rsidRPr="000324EE">
        <w:lastRenderedPageBreak/>
        <w:t>ABOUT THIS REPORT</w:t>
      </w:r>
    </w:p>
    <w:p w14:paraId="2B749D87" w14:textId="77777777" w:rsidR="00964B88" w:rsidRPr="000324EE" w:rsidRDefault="00964B88" w:rsidP="00F53820">
      <w:pPr>
        <w:pStyle w:val="Heading20"/>
      </w:pPr>
      <w:r w:rsidRPr="000324EE">
        <w:t>Basis of preparation</w:t>
      </w:r>
    </w:p>
    <w:p w14:paraId="33CC0A8D" w14:textId="77777777" w:rsidR="00964B88" w:rsidRDefault="00964B88" w:rsidP="00F53820">
      <w:r>
        <w:t>This note summarises the basis applied in preparing and presenting these Estimated Financial Statements, which includes the budget year and the estimates for the three subsequent years</w:t>
      </w:r>
      <w:r w:rsidRPr="0060066D">
        <w:t>.</w:t>
      </w:r>
      <w:r>
        <w:t xml:space="preserve"> </w:t>
      </w:r>
    </w:p>
    <w:p w14:paraId="35BD9A24" w14:textId="77777777" w:rsidR="00964B88" w:rsidRDefault="00964B88" w:rsidP="00F53820">
      <w:pPr>
        <w:rPr>
          <w:i/>
        </w:rPr>
      </w:pPr>
      <w:r>
        <w:t xml:space="preserve">Except as indicated below, the detailed accounting policies applied in preparing the Estimated Financial Statements are consistent with those in the audited 2018-19 annual financial report published in the </w:t>
      </w:r>
      <w:r>
        <w:rPr>
          <w:i/>
        </w:rPr>
        <w:t>2018-19</w:t>
      </w:r>
      <w:r w:rsidRPr="005D4F59">
        <w:rPr>
          <w:i/>
        </w:rPr>
        <w:t xml:space="preserve"> Financial Report</w:t>
      </w:r>
      <w:r>
        <w:t xml:space="preserve"> for the State of Victoria as presented to Parliament. </w:t>
      </w:r>
    </w:p>
    <w:p w14:paraId="45CF2587" w14:textId="77777777" w:rsidR="00964B88" w:rsidRDefault="00964B88" w:rsidP="00F53820">
      <w:r>
        <w:t xml:space="preserve">The audited 30 June 2019 asset and liability balances, as reported in the </w:t>
      </w:r>
      <w:r>
        <w:rPr>
          <w:i/>
        </w:rPr>
        <w:t>2018-19</w:t>
      </w:r>
      <w:r w:rsidRPr="005D4F59">
        <w:rPr>
          <w:i/>
        </w:rPr>
        <w:t xml:space="preserve"> Financial Report</w:t>
      </w:r>
      <w:r>
        <w:t>, adjusted for the impact of the new accounting standards (as indicated below) form the basis on which asset and liability balances are projected over the next four years.</w:t>
      </w:r>
    </w:p>
    <w:p w14:paraId="36DF8CB4" w14:textId="77777777" w:rsidR="00964B88" w:rsidRPr="00FC5E8E" w:rsidRDefault="00964B88" w:rsidP="00F53820">
      <w:r w:rsidRPr="00FC5E8E">
        <w:t>Several new accounting standards issued by the Australian Accounting Standards Board (AASB) have been applied in this financial report. These are:</w:t>
      </w:r>
    </w:p>
    <w:p w14:paraId="39259501" w14:textId="77777777" w:rsidR="00964B88" w:rsidRPr="00FC5E8E" w:rsidRDefault="00964B88" w:rsidP="00F53820">
      <w:pPr>
        <w:pStyle w:val="ListBullet"/>
      </w:pPr>
      <w:r w:rsidRPr="00FC5E8E">
        <w:t xml:space="preserve">AASB 15 </w:t>
      </w:r>
      <w:r w:rsidRPr="00FC5E8E">
        <w:rPr>
          <w:i/>
        </w:rPr>
        <w:t>Revenue from Contracts with Customers</w:t>
      </w:r>
      <w:r w:rsidRPr="00FC5E8E">
        <w:t>;</w:t>
      </w:r>
    </w:p>
    <w:p w14:paraId="71D2295E" w14:textId="77777777" w:rsidR="00964B88" w:rsidRPr="00FC5E8E" w:rsidRDefault="00964B88" w:rsidP="00F53820">
      <w:pPr>
        <w:pStyle w:val="ListBullet"/>
      </w:pPr>
      <w:r w:rsidRPr="00FC5E8E">
        <w:t xml:space="preserve">AASB 1058 </w:t>
      </w:r>
      <w:r w:rsidRPr="00FC5E8E">
        <w:rPr>
          <w:i/>
        </w:rPr>
        <w:t>Income of Not-for-profits Entities</w:t>
      </w:r>
      <w:r w:rsidRPr="00FC5E8E">
        <w:t>;</w:t>
      </w:r>
    </w:p>
    <w:p w14:paraId="2689EB78" w14:textId="77777777" w:rsidR="00964B88" w:rsidRPr="00FC5E8E" w:rsidRDefault="00964B88" w:rsidP="00F53820">
      <w:pPr>
        <w:pStyle w:val="ListBullet"/>
      </w:pPr>
      <w:r w:rsidRPr="00FC5E8E">
        <w:t xml:space="preserve">AASB 16 </w:t>
      </w:r>
      <w:r w:rsidRPr="00FC5E8E">
        <w:rPr>
          <w:i/>
        </w:rPr>
        <w:t>Leases</w:t>
      </w:r>
      <w:r w:rsidRPr="00FC5E8E">
        <w:t>; and</w:t>
      </w:r>
    </w:p>
    <w:p w14:paraId="141B18DD" w14:textId="77777777" w:rsidR="00964B88" w:rsidRPr="00FC5E8E" w:rsidRDefault="00964B88" w:rsidP="00F53820">
      <w:pPr>
        <w:pStyle w:val="ListBullet"/>
      </w:pPr>
      <w:r w:rsidRPr="00FC5E8E">
        <w:t xml:space="preserve">AASB 1059 </w:t>
      </w:r>
      <w:r w:rsidRPr="00FC5E8E">
        <w:rPr>
          <w:i/>
        </w:rPr>
        <w:t>Service Concession Arrangements: Grantors</w:t>
      </w:r>
      <w:r w:rsidRPr="00FC5E8E">
        <w:t xml:space="preserve">.  </w:t>
      </w:r>
    </w:p>
    <w:p w14:paraId="6E958796" w14:textId="77777777" w:rsidR="00964B88" w:rsidRDefault="00964B88" w:rsidP="00F53820">
      <w:r w:rsidRPr="00FC5E8E">
        <w:t xml:space="preserve">The scope, high level requirements and estimated impacts of these new standards are outlined in Note 1.7.2 of the Estimated Financial Statements for 2019-20, presented in Chapter 1 of 2019-20 Budget Paper No. 5 </w:t>
      </w:r>
      <w:r w:rsidRPr="00FC5E8E">
        <w:rPr>
          <w:i/>
        </w:rPr>
        <w:t>Statement of Finances</w:t>
      </w:r>
      <w:r w:rsidRPr="00FC5E8E">
        <w:t>.</w:t>
      </w:r>
    </w:p>
    <w:p w14:paraId="797F7342" w14:textId="77777777" w:rsidR="00964B88" w:rsidRDefault="00964B88" w:rsidP="00F53820">
      <w:r>
        <w:t>The Estimated Financial Statements for the 2019-20 budget year have been prepared in accordance with accounting policies expected to be used in preparing historically oriented general purpose financial statements for that year, and the same accounting policies have been used for the subsequent three years.</w:t>
      </w:r>
    </w:p>
    <w:p w14:paraId="2975AF3A" w14:textId="77777777" w:rsidR="00964B88" w:rsidRDefault="00964B88" w:rsidP="00F53820">
      <w:r>
        <w:t>The accrual basis of accounting has been applied in preparing the Estimated Financial Statements whereby assets, liabilities, equity, income and expenses are recognised in the reporting period to which they relate, regardless of when cash is received or paid.</w:t>
      </w:r>
    </w:p>
    <w:p w14:paraId="22D00E7A" w14:textId="77777777" w:rsidR="00964B88" w:rsidRDefault="00964B88" w:rsidP="00F53820">
      <w:r>
        <w:t xml:space="preserve">The Estimated Financial Statements are presented in Australian dollars, which is also the functional currency of the Victorian general government sector. </w:t>
      </w:r>
    </w:p>
    <w:p w14:paraId="22C81FF6" w14:textId="77777777" w:rsidR="00964B88" w:rsidRDefault="00964B88" w:rsidP="00F53820">
      <w:r>
        <w:t>The Estimated Financial Statements have been prepared in accordance with the historical cost convention. Historical cost is based on the fair value of the consideration given in exchange for assets. Exceptions to the historical cost convention include:</w:t>
      </w:r>
    </w:p>
    <w:p w14:paraId="727ED856" w14:textId="77777777" w:rsidR="00964B88" w:rsidRPr="000324EE" w:rsidRDefault="00964B88" w:rsidP="00F53820">
      <w:pPr>
        <w:pStyle w:val="ListBullet"/>
      </w:pPr>
      <w:r w:rsidRPr="000324EE">
        <w:t>general government sector investments in other sector entities, which are measured at net asset value;</w:t>
      </w:r>
    </w:p>
    <w:p w14:paraId="073E4F63" w14:textId="77777777" w:rsidR="00964B88" w:rsidRPr="000324EE" w:rsidRDefault="00964B88" w:rsidP="00F53820">
      <w:pPr>
        <w:pStyle w:val="ListBullet"/>
      </w:pPr>
      <w:r w:rsidRPr="000324EE">
        <w:t xml:space="preserve">non-financial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value; </w:t>
      </w:r>
    </w:p>
    <w:p w14:paraId="7C782B0E" w14:textId="77777777" w:rsidR="00964B88" w:rsidRPr="000324EE" w:rsidRDefault="00964B88" w:rsidP="00F53820">
      <w:pPr>
        <w:pStyle w:val="ListBullet"/>
      </w:pPr>
      <w:r w:rsidRPr="000324EE">
        <w:lastRenderedPageBreak/>
        <w:t>productive trees in commercial native forests, which are measured at their fair value less costs to sell;</w:t>
      </w:r>
    </w:p>
    <w:p w14:paraId="2918AABA" w14:textId="77777777" w:rsidR="00964B88" w:rsidRPr="000324EE" w:rsidRDefault="00964B88" w:rsidP="00F53820">
      <w:pPr>
        <w:pStyle w:val="ListBullet"/>
      </w:pPr>
      <w:r w:rsidRPr="000324EE">
        <w:t>financial assets and liabilities measured at fair value through the profit or loss;</w:t>
      </w:r>
    </w:p>
    <w:p w14:paraId="325A781D" w14:textId="77777777" w:rsidR="00964B88" w:rsidRPr="000324EE" w:rsidRDefault="00964B88" w:rsidP="00F53820">
      <w:pPr>
        <w:pStyle w:val="ListBullet"/>
      </w:pPr>
      <w:r w:rsidRPr="000324EE">
        <w:t xml:space="preserve">derivative financial instruments, managed investment schemes, certain debt securities and investment properties after initial recognition, which are measured at fair value with changes reflected in the estimated comprehensive operating statement (fair value through profit or loss); </w:t>
      </w:r>
    </w:p>
    <w:p w14:paraId="53BEC281" w14:textId="77777777" w:rsidR="00964B88" w:rsidRPr="000324EE" w:rsidRDefault="00964B88" w:rsidP="00F53820">
      <w:pPr>
        <w:pStyle w:val="ListBullet"/>
      </w:pPr>
      <w:r w:rsidRPr="000324EE">
        <w:t>certain liabilities, most notably unfunded superannuation and insurance claim provisions, which are subject to an actuarial assessment; and</w:t>
      </w:r>
    </w:p>
    <w:p w14:paraId="5838C420" w14:textId="77777777" w:rsidR="00964B88" w:rsidRPr="000324EE" w:rsidRDefault="00964B88" w:rsidP="00F53820">
      <w:pPr>
        <w:pStyle w:val="ListBullet"/>
      </w:pPr>
      <w:r w:rsidRPr="000324EE">
        <w:t xml:space="preserve">financial assets measured at fair value through other comprehensive income, which are measured at fair value with movements reflected in </w:t>
      </w:r>
      <w:r>
        <w:t>o</w:t>
      </w:r>
      <w:r w:rsidRPr="000324EE">
        <w:t>ther economic flows – other comprehensive income.</w:t>
      </w:r>
    </w:p>
    <w:p w14:paraId="14C8E3BB" w14:textId="77777777" w:rsidR="00964B88" w:rsidRDefault="00964B88" w:rsidP="00F53820">
      <w:pPr>
        <w:ind w:right="198"/>
      </w:pPr>
      <w:r>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Given the prospective nature of the Estimated Financial Statements, actual results are likely to differ from these estimates. Revisions to accounting estimates are recognised in the period in which the estimate is revised and also in future periods that are affected. </w:t>
      </w:r>
    </w:p>
    <w:p w14:paraId="79D54A2E" w14:textId="77777777" w:rsidR="00964B88" w:rsidRDefault="00964B88" w:rsidP="00F53820">
      <w:r>
        <w:t xml:space="preserve">For assets and liabilities measured at fair value in the estimated balance sheet, the principles under AASB 13 </w:t>
      </w:r>
      <w:r w:rsidRPr="00CD5C7E">
        <w:rPr>
          <w:i/>
        </w:rPr>
        <w:t>Fair Value Measurement</w:t>
      </w:r>
      <w:r>
        <w:t xml:space="preserve"> have been applied. </w:t>
      </w:r>
    </w:p>
    <w:p w14:paraId="068BD155" w14:textId="77777777" w:rsidR="00964B88" w:rsidRDefault="00964B88" w:rsidP="00440992">
      <w:pPr>
        <w:ind w:right="198"/>
      </w:pPr>
      <w:r>
        <w:t xml:space="preserve">As required by AASB 1049 </w:t>
      </w:r>
      <w:r>
        <w:rPr>
          <w:i/>
        </w:rPr>
        <w:t>Whole of Government and General Government Sector Financial Reporting</w:t>
      </w:r>
      <w:r>
        <w:t xml:space="preserve">, the estimated comprehensive operating statement distinguishes between transactions and other economic flows based on the principles in the Government Finance Statistics (GFS) Manual. Transactions are those economic flows that are considered to arise as a result of policy decisions, usually interactions between two entities by mutual agreement, and also flows within an entity, such as depreciation where the owner is simultaneously acting as the owner of the depreciating asset and as the consumer of the service provided by the asset. Taxation is regarded as mutually agreed interactions between the government and the taxpayer. Transactions may be cash or settled in kind (e.g. assets provided/given free of charge or for nominal consideration). </w:t>
      </w:r>
    </w:p>
    <w:p w14:paraId="3CEA5EDB" w14:textId="77777777" w:rsidR="00964B88" w:rsidRDefault="00964B88" w:rsidP="00F53820">
      <w:r>
        <w:t>Other economic flows are changes arising from market remeasurements. They include:</w:t>
      </w:r>
    </w:p>
    <w:p w14:paraId="0645BB26" w14:textId="77777777" w:rsidR="00964B88" w:rsidRPr="000324EE" w:rsidRDefault="00964B88" w:rsidP="00F53820">
      <w:pPr>
        <w:pStyle w:val="ListBullet"/>
      </w:pPr>
      <w:r w:rsidRPr="000324EE">
        <w:t>gains and losses from disposals;</w:t>
      </w:r>
    </w:p>
    <w:p w14:paraId="3C294E23" w14:textId="77777777" w:rsidR="00964B88" w:rsidRPr="000324EE" w:rsidRDefault="00964B88" w:rsidP="00F53820">
      <w:pPr>
        <w:pStyle w:val="ListBullet"/>
      </w:pPr>
      <w:r w:rsidRPr="000324EE">
        <w:t>revaluations and impairments of non-financial physical and intangible assets;</w:t>
      </w:r>
    </w:p>
    <w:p w14:paraId="17A76A70" w14:textId="77777777" w:rsidR="00964B88" w:rsidRPr="000324EE" w:rsidRDefault="00964B88" w:rsidP="00F53820">
      <w:pPr>
        <w:pStyle w:val="ListBullet"/>
      </w:pPr>
      <w:r w:rsidRPr="000324EE">
        <w:t>remeasurement arising from defined benefit superannuation plans;</w:t>
      </w:r>
    </w:p>
    <w:p w14:paraId="0CAAF660" w14:textId="77777777" w:rsidR="00964B88" w:rsidRPr="000324EE" w:rsidRDefault="00964B88" w:rsidP="00F53820">
      <w:pPr>
        <w:pStyle w:val="ListBullet"/>
      </w:pPr>
      <w:r w:rsidRPr="000324EE">
        <w:t>fair value changes of financial instruments and agricultural assets; and</w:t>
      </w:r>
    </w:p>
    <w:p w14:paraId="15BA7062" w14:textId="77777777" w:rsidR="00964B88" w:rsidRPr="000324EE" w:rsidRDefault="00964B88" w:rsidP="00F53820">
      <w:pPr>
        <w:pStyle w:val="ListBullet"/>
      </w:pPr>
      <w:r w:rsidRPr="000324EE">
        <w:t>depletion of natural assets (non-produced) from their use or removal.</w:t>
      </w:r>
    </w:p>
    <w:p w14:paraId="2C761939" w14:textId="77777777" w:rsidR="00964B88" w:rsidRDefault="00964B88" w:rsidP="00F53820">
      <w:r>
        <w:t>All amounts in the Estimated Financial Statements have been rounded to the nearest $1 million unless otherwise stated. The Estimated Financial Statements may not add due to rounding.</w:t>
      </w:r>
    </w:p>
    <w:p w14:paraId="49B26D55" w14:textId="77777777" w:rsidR="00964B88" w:rsidRDefault="00964B88" w:rsidP="00F53820">
      <w:pPr>
        <w:pStyle w:val="Heading20"/>
      </w:pPr>
      <w:r>
        <w:lastRenderedPageBreak/>
        <w:t>Reporting entity</w:t>
      </w:r>
    </w:p>
    <w:p w14:paraId="5D19369C" w14:textId="77777777" w:rsidR="00964B88" w:rsidRDefault="00964B88" w:rsidP="00440992">
      <w:r>
        <w:t>The Estimated Financial Statements are prepared for the general government sector, which includes all government departments, offices and other bodies engaged in providing services free of charge or at prices significantly below their cost. The primary function of entities within the general government sector is to provide public services (outputs), which are mainly non-market in nature, for the collective consumption of the community. These services are primarily funded through transferring or redistributing revenue that is collected mainly through taxes and other compulsory levies.</w:t>
      </w:r>
    </w:p>
    <w:p w14:paraId="2B50EB9F" w14:textId="77777777" w:rsidR="00964B88" w:rsidRDefault="00964B88" w:rsidP="00F53820">
      <w:r>
        <w:t>The general government sector is not a separate entity but represents a sector within the State of Victoria reporting entity. Unless otherwise noted, accounting policies applied by the State apply equally to the general government sector.</w:t>
      </w:r>
    </w:p>
    <w:p w14:paraId="5A6BEA48" w14:textId="77777777" w:rsidR="00964B88" w:rsidRDefault="00964B88" w:rsidP="00F53820">
      <w:pPr>
        <w:pStyle w:val="Heading20"/>
      </w:pPr>
      <w:r>
        <w:t>Basis for consolidation</w:t>
      </w:r>
    </w:p>
    <w:p w14:paraId="7907BCD8" w14:textId="77777777" w:rsidR="00964B88" w:rsidRDefault="00964B88" w:rsidP="00F53820">
      <w:r>
        <w:t xml:space="preserve">The Estimated Financial Statements present the estimated consolidated results and position of all reporting entities in the general government sector that are controlled by the State, consistent with the principles of AASB 1049 and AASB 10 </w:t>
      </w:r>
      <w:r w:rsidRPr="00CD5C7E">
        <w:rPr>
          <w:i/>
        </w:rPr>
        <w:t>Consolidated Financial Statements</w:t>
      </w:r>
      <w:r>
        <w:t>.</w:t>
      </w:r>
    </w:p>
    <w:p w14:paraId="38E4B1DD" w14:textId="77777777" w:rsidR="00964B88" w:rsidRDefault="00964B88" w:rsidP="00440992">
      <w:r>
        <w:t xml:space="preserve">Entities in the public non-financial corporations (PNFC) and public financial corporations (PFC) sectors are not consolidated into the financial statements of the general government sector, but are accounted for as equity investments measured at the Government’s proportional share of the carrying amount of net assets of PNFC and PFC sector entities before consolidation eliminations. </w:t>
      </w:r>
    </w:p>
    <w:p w14:paraId="38884DD1" w14:textId="77777777" w:rsidR="00964B88" w:rsidRDefault="00964B88" w:rsidP="00440992">
      <w:r>
        <w:t xml:space="preserve">Where the carrying amount of a PNFC or PFC entity’s net assets before consolidation eliminations is less than zero, the carrying amount is not included in the general government sector. Any change in the carrying amount of the investment from period to period is accounted for as if the change in carrying amount is a change in fair value and accounted for consistent with AASB 9 </w:t>
      </w:r>
      <w:r>
        <w:rPr>
          <w:i/>
        </w:rPr>
        <w:t xml:space="preserve">Financial Instruments </w:t>
      </w:r>
      <w:r>
        <w:t>and AASB 1049.</w:t>
      </w:r>
    </w:p>
    <w:p w14:paraId="601E1F4B" w14:textId="77777777" w:rsidR="00964B88" w:rsidRDefault="00964B88" w:rsidP="00F53820">
      <w:r>
        <w:t>Where control of an entity is expected to be obtained during the reporting period, its results are included in the estimated comprehensive operating statement from the date on which control will commence. Where control is expected to cease during a reporting period, the entity’s results are included for that part of the period for which control would exist. Where entities adopt dissimilar accounting policies and their effect is considered material, adjustments are made to ensure consistent policies are adopted in the Estimated Financial Statements.</w:t>
      </w:r>
    </w:p>
    <w:p w14:paraId="7EA36E50" w14:textId="77777777" w:rsidR="00964B88" w:rsidRDefault="00964B88" w:rsidP="00F53820">
      <w:r>
        <w:t>All material transactions and balances between entities within the general government sector are eliminated.</w:t>
      </w:r>
    </w:p>
    <w:p w14:paraId="5ECBECBF" w14:textId="77777777" w:rsidR="00964B88" w:rsidRDefault="00964B88" w:rsidP="00F53820">
      <w:r>
        <w:t xml:space="preserve">Except as stated in Note 4.7.4, the significant entities consolidated within the sector comprise those general government sector entities listed in Note 9.8 of Chapter 4 of the </w:t>
      </w:r>
      <w:r>
        <w:rPr>
          <w:i/>
        </w:rPr>
        <w:t>2018</w:t>
      </w:r>
      <w:r>
        <w:rPr>
          <w:i/>
        </w:rPr>
        <w:noBreakHyphen/>
        <w:t>19 </w:t>
      </w:r>
      <w:r w:rsidRPr="00CD5C7E">
        <w:rPr>
          <w:i/>
        </w:rPr>
        <w:t>Financial Report</w:t>
      </w:r>
      <w:r>
        <w:t xml:space="preserve"> for the State of Victoria. </w:t>
      </w:r>
    </w:p>
    <w:p w14:paraId="504634A0" w14:textId="77777777" w:rsidR="00964B88" w:rsidRPr="000F2B74" w:rsidRDefault="00964B88">
      <w:pPr>
        <w:keepLines w:val="0"/>
      </w:pPr>
      <w:r w:rsidRPr="000F2B74">
        <w:br w:type="page"/>
      </w:r>
    </w:p>
    <w:p w14:paraId="305DC4C7" w14:textId="77777777" w:rsidR="00964B88" w:rsidRDefault="00964B88" w:rsidP="00F53820">
      <w:pPr>
        <w:pStyle w:val="Heading20"/>
      </w:pPr>
      <w:r>
        <w:lastRenderedPageBreak/>
        <w:t>Compliance</w:t>
      </w:r>
    </w:p>
    <w:p w14:paraId="1852DA4A" w14:textId="77777777" w:rsidR="00964B88" w:rsidRDefault="00964B88" w:rsidP="00F53820">
      <w:r>
        <w:t xml:space="preserve">These Estimated Financial Statements have been prepared in accordance with Sections 23L-23N of the </w:t>
      </w:r>
      <w:r w:rsidRPr="00510379">
        <w:rPr>
          <w:i/>
        </w:rPr>
        <w:t>Financial Management Act 1994</w:t>
      </w:r>
      <w:r>
        <w:t xml:space="preserve">, having regard to Australian Accounting Standards (AAS). AAS include Interpretations issued by the Australian Accounting Standards Board (AASB). </w:t>
      </w:r>
    </w:p>
    <w:p w14:paraId="3D8D141C" w14:textId="77777777" w:rsidR="00964B88" w:rsidRDefault="00964B88" w:rsidP="00F53820">
      <w:r>
        <w:t xml:space="preserve">The Estimated Financial Statements are presented in a manner consistent with the principles of AASB 1049. However, the prospective nature of these Estimated Financial Statements means that some AAS disclosures are neither relevant nor practical and have been omitted. Where applicable, those AAS paragraphs relevant to not-for-profit entities have been applied. Because AAS do not prescribe requirements for preparing and presenting prospective financial statements, the Estimated Financial Statements have been prepared having regard to the principles set out in New Zealand Public Benefit Entity Financial Reporting Standard 42 </w:t>
      </w:r>
      <w:r w:rsidRPr="00CD5C7E">
        <w:rPr>
          <w:i/>
        </w:rPr>
        <w:t>Prospective Financial Statements</w:t>
      </w:r>
      <w:r>
        <w:t>.</w:t>
      </w:r>
    </w:p>
    <w:p w14:paraId="68495E18" w14:textId="77777777" w:rsidR="00964B88" w:rsidRDefault="00964B88" w:rsidP="00F53820">
      <w:r>
        <w:t xml:space="preserve">The GFS information included in this report is based on the </w:t>
      </w:r>
      <w:r w:rsidRPr="00CD5C7E">
        <w:rPr>
          <w:i/>
        </w:rPr>
        <w:t>Australian System of Government Finance Statistics: C</w:t>
      </w:r>
      <w:r>
        <w:rPr>
          <w:i/>
        </w:rPr>
        <w:t>oncepts, Sources and Methods 201</w:t>
      </w:r>
      <w:r w:rsidRPr="00CD5C7E">
        <w:rPr>
          <w:i/>
        </w:rPr>
        <w:t>5 Cat. No. 5514.0</w:t>
      </w:r>
      <w:r>
        <w:rPr>
          <w:i/>
        </w:rPr>
        <w:t xml:space="preserve"> </w:t>
      </w:r>
      <w:r w:rsidRPr="0007131F">
        <w:t>(ABS GFS)</w:t>
      </w:r>
      <w:r>
        <w:t xml:space="preserve">. </w:t>
      </w:r>
    </w:p>
    <w:p w14:paraId="61ABBC72" w14:textId="77777777" w:rsidR="00964B88" w:rsidRDefault="00964B88" w:rsidP="00F53820">
      <w:r>
        <w:t xml:space="preserve">The information presented in the Estimated Financial Statements takes into account all policy decisions made by the Victorian Government, as well as known Commonwealth Government funding revisions and circumstances that may have a material effect on the Estimated Financial Statements as </w:t>
      </w:r>
      <w:r w:rsidRPr="000379ED">
        <w:t xml:space="preserve">at </w:t>
      </w:r>
      <w:r>
        <w:t>29 November</w:t>
      </w:r>
      <w:r w:rsidRPr="009118BB">
        <w:t xml:space="preserve"> 201</w:t>
      </w:r>
      <w:r>
        <w:t>9</w:t>
      </w:r>
      <w:r w:rsidRPr="009118BB">
        <w:t>.</w:t>
      </w:r>
      <w:r>
        <w:t xml:space="preserve"> </w:t>
      </w:r>
    </w:p>
    <w:p w14:paraId="146959AD" w14:textId="77777777" w:rsidR="00964B88" w:rsidRDefault="00964B88" w:rsidP="00F53820">
      <w:pPr>
        <w:pStyle w:val="ListBullet"/>
        <w:numPr>
          <w:ilvl w:val="0"/>
          <w:numId w:val="0"/>
        </w:numPr>
        <w:ind w:left="284" w:hanging="284"/>
      </w:pPr>
    </w:p>
    <w:p w14:paraId="28A209C8" w14:textId="77777777" w:rsidR="00964B88" w:rsidRDefault="00964B88" w:rsidP="00F53820"/>
    <w:p w14:paraId="6B5DFF84" w14:textId="77777777" w:rsidR="00964B88" w:rsidRDefault="00964B88" w:rsidP="00F53820">
      <w:pPr>
        <w:pStyle w:val="Heading10"/>
      </w:pPr>
      <w:r>
        <w:br w:type="page"/>
      </w:r>
    </w:p>
    <w:p w14:paraId="10205E32" w14:textId="77777777" w:rsidR="00964B88" w:rsidRPr="008B15F2" w:rsidRDefault="00964B88" w:rsidP="00F53820">
      <w:pPr>
        <w:pStyle w:val="Heading20"/>
      </w:pPr>
      <w:r w:rsidRPr="008B15F2">
        <w:lastRenderedPageBreak/>
        <w:t xml:space="preserve">Material economic assumptions </w:t>
      </w:r>
    </w:p>
    <w:p w14:paraId="44CA65BA" w14:textId="77777777" w:rsidR="00964B88" w:rsidRPr="008B15F2" w:rsidRDefault="00964B88" w:rsidP="00F53820">
      <w:r w:rsidRPr="008B15F2">
        <w:t xml:space="preserve">The Estimated Financial Statements have been prepared using the material economic assumptions listed below. </w:t>
      </w:r>
    </w:p>
    <w:p w14:paraId="23AD67F0" w14:textId="77777777" w:rsidR="00964B88" w:rsidRPr="00515ABD" w:rsidRDefault="00964B88" w:rsidP="00F53820">
      <w:pPr>
        <w:pStyle w:val="TableHeading"/>
        <w:ind w:left="0" w:firstLine="0"/>
        <w:rPr>
          <w:vertAlign w:val="superscript"/>
        </w:rPr>
      </w:pPr>
      <w:r w:rsidRPr="00515ABD">
        <w:t xml:space="preserve">Key economic assumptions </w:t>
      </w:r>
      <w:r w:rsidRPr="00515ABD">
        <w:rPr>
          <w:vertAlign w:val="superscript"/>
        </w:rPr>
        <w:t xml:space="preserve">(a) </w:t>
      </w:r>
    </w:p>
    <w:tbl>
      <w:tblPr>
        <w:tblStyle w:val="DTFTable"/>
        <w:tblW w:w="7760" w:type="dxa"/>
        <w:tblLayout w:type="fixed"/>
        <w:tblLook w:val="06A0" w:firstRow="1" w:lastRow="0" w:firstColumn="1" w:lastColumn="0" w:noHBand="1" w:noVBand="1"/>
      </w:tblPr>
      <w:tblGrid>
        <w:gridCol w:w="2788"/>
        <w:gridCol w:w="1069"/>
        <w:gridCol w:w="8"/>
        <w:gridCol w:w="126"/>
        <w:gridCol w:w="784"/>
        <w:gridCol w:w="994"/>
        <w:gridCol w:w="994"/>
        <w:gridCol w:w="997"/>
      </w:tblGrid>
      <w:tr w:rsidR="00964B88" w:rsidRPr="00515ABD" w14:paraId="237B048F" w14:textId="77777777" w:rsidTr="00F53820">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788" w:type="dxa"/>
          </w:tcPr>
          <w:p w14:paraId="4E793415" w14:textId="77777777" w:rsidR="00964B88" w:rsidRPr="00515ABD" w:rsidRDefault="00964B88" w:rsidP="00F53820">
            <w:pPr>
              <w:ind w:left="0" w:firstLine="0"/>
            </w:pPr>
          </w:p>
        </w:tc>
        <w:tc>
          <w:tcPr>
            <w:tcW w:w="1069" w:type="dxa"/>
          </w:tcPr>
          <w:p w14:paraId="1ACFF7ED" w14:textId="77777777" w:rsidR="00964B88" w:rsidRPr="00515ABD" w:rsidRDefault="00964B88" w:rsidP="00F53820">
            <w:pPr>
              <w:cnfStyle w:val="100000000000" w:firstRow="1" w:lastRow="0" w:firstColumn="0" w:lastColumn="0" w:oddVBand="0" w:evenVBand="0" w:oddHBand="0" w:evenHBand="0" w:firstRowFirstColumn="0" w:firstRowLastColumn="0" w:lastRowFirstColumn="0" w:lastRowLastColumn="0"/>
            </w:pPr>
            <w:r w:rsidRPr="00515ABD">
              <w:t>2018-19 actual</w:t>
            </w:r>
          </w:p>
        </w:tc>
        <w:tc>
          <w:tcPr>
            <w:tcW w:w="918" w:type="dxa"/>
            <w:gridSpan w:val="3"/>
          </w:tcPr>
          <w:p w14:paraId="376700F6" w14:textId="77777777" w:rsidR="00964B88" w:rsidRPr="00515ABD" w:rsidRDefault="00964B88" w:rsidP="00F53820">
            <w:pPr>
              <w:cnfStyle w:val="100000000000" w:firstRow="1" w:lastRow="0" w:firstColumn="0" w:lastColumn="0" w:oddVBand="0" w:evenVBand="0" w:oddHBand="0" w:evenHBand="0" w:firstRowFirstColumn="0" w:firstRowLastColumn="0" w:lastRowFirstColumn="0" w:lastRowLastColumn="0"/>
            </w:pPr>
            <w:r w:rsidRPr="00515ABD">
              <w:t>2019-20 forecast</w:t>
            </w:r>
          </w:p>
        </w:tc>
        <w:tc>
          <w:tcPr>
            <w:tcW w:w="994" w:type="dxa"/>
          </w:tcPr>
          <w:p w14:paraId="059CAA3F" w14:textId="77777777" w:rsidR="00964B88" w:rsidRPr="00515ABD" w:rsidRDefault="00964B88" w:rsidP="00F53820">
            <w:pPr>
              <w:cnfStyle w:val="100000000000" w:firstRow="1" w:lastRow="0" w:firstColumn="0" w:lastColumn="0" w:oddVBand="0" w:evenVBand="0" w:oddHBand="0" w:evenHBand="0" w:firstRowFirstColumn="0" w:firstRowLastColumn="0" w:lastRowFirstColumn="0" w:lastRowLastColumn="0"/>
            </w:pPr>
            <w:r w:rsidRPr="00515ABD">
              <w:t>2020-21 forecast</w:t>
            </w:r>
          </w:p>
        </w:tc>
        <w:tc>
          <w:tcPr>
            <w:tcW w:w="994" w:type="dxa"/>
          </w:tcPr>
          <w:p w14:paraId="663BF44C" w14:textId="77777777" w:rsidR="00964B88" w:rsidRPr="00515ABD" w:rsidRDefault="00964B88" w:rsidP="00F53820">
            <w:pPr>
              <w:cnfStyle w:val="100000000000" w:firstRow="1" w:lastRow="0" w:firstColumn="0" w:lastColumn="0" w:oddVBand="0" w:evenVBand="0" w:oddHBand="0" w:evenHBand="0" w:firstRowFirstColumn="0" w:firstRowLastColumn="0" w:lastRowFirstColumn="0" w:lastRowLastColumn="0"/>
            </w:pPr>
            <w:r w:rsidRPr="00515ABD">
              <w:t>2021-22 projection</w:t>
            </w:r>
          </w:p>
        </w:tc>
        <w:tc>
          <w:tcPr>
            <w:tcW w:w="997" w:type="dxa"/>
          </w:tcPr>
          <w:p w14:paraId="2517F768" w14:textId="77777777" w:rsidR="00964B88" w:rsidRPr="00515ABD" w:rsidRDefault="00964B88" w:rsidP="00F53820">
            <w:pPr>
              <w:cnfStyle w:val="100000000000" w:firstRow="1" w:lastRow="0" w:firstColumn="0" w:lastColumn="0" w:oddVBand="0" w:evenVBand="0" w:oddHBand="0" w:evenHBand="0" w:firstRowFirstColumn="0" w:firstRowLastColumn="0" w:lastRowFirstColumn="0" w:lastRowLastColumn="0"/>
            </w:pPr>
            <w:r w:rsidRPr="00515ABD">
              <w:t>2022-23 projection</w:t>
            </w:r>
          </w:p>
        </w:tc>
      </w:tr>
      <w:tr w:rsidR="00964B88" w:rsidRPr="00515ABD" w14:paraId="4A7F21B3" w14:textId="77777777" w:rsidTr="00F53820">
        <w:tc>
          <w:tcPr>
            <w:cnfStyle w:val="001000000000" w:firstRow="0" w:lastRow="0" w:firstColumn="1" w:lastColumn="0" w:oddVBand="0" w:evenVBand="0" w:oddHBand="0" w:evenHBand="0" w:firstRowFirstColumn="0" w:firstRowLastColumn="0" w:lastRowFirstColumn="0" w:lastRowLastColumn="0"/>
            <w:tcW w:w="2788" w:type="dxa"/>
          </w:tcPr>
          <w:p w14:paraId="416AA922" w14:textId="77777777" w:rsidR="00964B88" w:rsidRPr="00515ABD" w:rsidRDefault="00964B88" w:rsidP="00F53820">
            <w:pPr>
              <w:ind w:left="0" w:firstLine="0"/>
            </w:pPr>
          </w:p>
        </w:tc>
        <w:tc>
          <w:tcPr>
            <w:tcW w:w="4972" w:type="dxa"/>
            <w:gridSpan w:val="7"/>
          </w:tcPr>
          <w:p w14:paraId="33E74642" w14:textId="77777777" w:rsidR="00964B88" w:rsidRPr="00515ABD" w:rsidRDefault="00964B88" w:rsidP="00F53820">
            <w:pPr>
              <w:pStyle w:val="TableUnits"/>
              <w:cnfStyle w:val="000000000000" w:firstRow="0" w:lastRow="0" w:firstColumn="0" w:lastColumn="0" w:oddVBand="0" w:evenVBand="0" w:oddHBand="0" w:evenHBand="0" w:firstRowFirstColumn="0" w:firstRowLastColumn="0" w:lastRowFirstColumn="0" w:lastRowLastColumn="0"/>
            </w:pPr>
            <w:r w:rsidRPr="00515ABD">
              <w:t xml:space="preserve">($ </w:t>
            </w:r>
            <w:r w:rsidRPr="000F2B74">
              <w:t>billion</w:t>
            </w:r>
            <w:r w:rsidRPr="00515ABD">
              <w:t>)</w:t>
            </w:r>
          </w:p>
        </w:tc>
      </w:tr>
      <w:tr w:rsidR="00964B88" w:rsidRPr="00515ABD" w14:paraId="012013F0" w14:textId="77777777" w:rsidTr="00F53820">
        <w:tc>
          <w:tcPr>
            <w:cnfStyle w:val="001000000000" w:firstRow="0" w:lastRow="0" w:firstColumn="1" w:lastColumn="0" w:oddVBand="0" w:evenVBand="0" w:oddHBand="0" w:evenHBand="0" w:firstRowFirstColumn="0" w:firstRowLastColumn="0" w:lastRowFirstColumn="0" w:lastRowLastColumn="0"/>
            <w:tcW w:w="2788" w:type="dxa"/>
          </w:tcPr>
          <w:p w14:paraId="0A3CB40F" w14:textId="77777777" w:rsidR="00964B88" w:rsidRPr="00515ABD" w:rsidRDefault="00964B88" w:rsidP="00F53820">
            <w:pPr>
              <w:ind w:left="0" w:firstLine="0"/>
            </w:pPr>
            <w:r w:rsidRPr="00515ABD">
              <w:t>Nominal gross state product</w:t>
            </w:r>
          </w:p>
        </w:tc>
        <w:tc>
          <w:tcPr>
            <w:tcW w:w="1077" w:type="dxa"/>
            <w:gridSpan w:val="2"/>
          </w:tcPr>
          <w:p w14:paraId="55D469BB"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45</w:t>
            </w:r>
            <w:r>
              <w:t>4</w:t>
            </w:r>
            <w:r w:rsidRPr="006E08CE">
              <w:t>.</w:t>
            </w:r>
            <w:r>
              <w:t>6</w:t>
            </w:r>
          </w:p>
        </w:tc>
        <w:tc>
          <w:tcPr>
            <w:tcW w:w="910" w:type="dxa"/>
            <w:gridSpan w:val="2"/>
          </w:tcPr>
          <w:p w14:paraId="50E9134F"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47</w:t>
            </w:r>
            <w:r>
              <w:t>3</w:t>
            </w:r>
            <w:r w:rsidRPr="006E08CE">
              <w:t>.</w:t>
            </w:r>
            <w:r>
              <w:t>8</w:t>
            </w:r>
          </w:p>
        </w:tc>
        <w:tc>
          <w:tcPr>
            <w:tcW w:w="994" w:type="dxa"/>
          </w:tcPr>
          <w:p w14:paraId="18969884" w14:textId="77777777" w:rsidR="00964B88" w:rsidRPr="00974ECD" w:rsidRDefault="00964B88" w:rsidP="00F53820">
            <w:pPr>
              <w:cnfStyle w:val="000000000000" w:firstRow="0" w:lastRow="0" w:firstColumn="0" w:lastColumn="0" w:oddVBand="0" w:evenVBand="0" w:oddHBand="0" w:evenHBand="0" w:firstRowFirstColumn="0" w:firstRowLastColumn="0" w:lastRowFirstColumn="0" w:lastRowLastColumn="0"/>
            </w:pPr>
            <w:r>
              <w:t>497.4</w:t>
            </w:r>
          </w:p>
        </w:tc>
        <w:tc>
          <w:tcPr>
            <w:tcW w:w="994" w:type="dxa"/>
          </w:tcPr>
          <w:p w14:paraId="6465B91F" w14:textId="77777777" w:rsidR="00964B88" w:rsidRPr="00974ECD" w:rsidRDefault="00964B88" w:rsidP="00F53820">
            <w:pPr>
              <w:cnfStyle w:val="000000000000" w:firstRow="0" w:lastRow="0" w:firstColumn="0" w:lastColumn="0" w:oddVBand="0" w:evenVBand="0" w:oddHBand="0" w:evenHBand="0" w:firstRowFirstColumn="0" w:firstRowLastColumn="0" w:lastRowFirstColumn="0" w:lastRowLastColumn="0"/>
            </w:pPr>
            <w:r w:rsidRPr="00FB785B">
              <w:t>52</w:t>
            </w:r>
            <w:r>
              <w:t>2.7</w:t>
            </w:r>
          </w:p>
        </w:tc>
        <w:tc>
          <w:tcPr>
            <w:tcW w:w="997" w:type="dxa"/>
          </w:tcPr>
          <w:p w14:paraId="2D7BCACE" w14:textId="77777777" w:rsidR="00964B88" w:rsidRDefault="00964B88" w:rsidP="00F53820">
            <w:pPr>
              <w:cnfStyle w:val="000000000000" w:firstRow="0" w:lastRow="0" w:firstColumn="0" w:lastColumn="0" w:oddVBand="0" w:evenVBand="0" w:oddHBand="0" w:evenHBand="0" w:firstRowFirstColumn="0" w:firstRowLastColumn="0" w:lastRowFirstColumn="0" w:lastRowLastColumn="0"/>
            </w:pPr>
            <w:r w:rsidRPr="00FB785B">
              <w:t>5</w:t>
            </w:r>
            <w:r>
              <w:t>50.5</w:t>
            </w:r>
          </w:p>
        </w:tc>
      </w:tr>
      <w:tr w:rsidR="00964B88" w:rsidRPr="00515ABD" w14:paraId="6067C231" w14:textId="77777777" w:rsidTr="00F53820">
        <w:tc>
          <w:tcPr>
            <w:cnfStyle w:val="001000000000" w:firstRow="0" w:lastRow="0" w:firstColumn="1" w:lastColumn="0" w:oddVBand="0" w:evenVBand="0" w:oddHBand="0" w:evenHBand="0" w:firstRowFirstColumn="0" w:firstRowLastColumn="0" w:lastRowFirstColumn="0" w:lastRowLastColumn="0"/>
            <w:tcW w:w="2788" w:type="dxa"/>
          </w:tcPr>
          <w:p w14:paraId="46A97C29" w14:textId="77777777" w:rsidR="00964B88" w:rsidRPr="00515ABD" w:rsidRDefault="00964B88" w:rsidP="00F53820">
            <w:pPr>
              <w:ind w:left="0" w:firstLine="0"/>
            </w:pPr>
          </w:p>
        </w:tc>
        <w:tc>
          <w:tcPr>
            <w:tcW w:w="4972" w:type="dxa"/>
            <w:gridSpan w:val="7"/>
          </w:tcPr>
          <w:p w14:paraId="6F0CFD8B" w14:textId="77777777" w:rsidR="00964B88" w:rsidRPr="006E08CE" w:rsidRDefault="00964B88" w:rsidP="00F53820">
            <w:pPr>
              <w:pStyle w:val="TableUnits"/>
              <w:cnfStyle w:val="000000000000" w:firstRow="0" w:lastRow="0" w:firstColumn="0" w:lastColumn="0" w:oddVBand="0" w:evenVBand="0" w:oddHBand="0" w:evenHBand="0" w:firstRowFirstColumn="0" w:firstRowLastColumn="0" w:lastRowFirstColumn="0" w:lastRowLastColumn="0"/>
            </w:pPr>
            <w:r w:rsidRPr="006E08CE">
              <w:t>(percentage change)</w:t>
            </w:r>
          </w:p>
        </w:tc>
      </w:tr>
      <w:tr w:rsidR="00964B88" w:rsidRPr="00515ABD" w14:paraId="608A91D5" w14:textId="77777777" w:rsidTr="00F53820">
        <w:tc>
          <w:tcPr>
            <w:cnfStyle w:val="001000000000" w:firstRow="0" w:lastRow="0" w:firstColumn="1" w:lastColumn="0" w:oddVBand="0" w:evenVBand="0" w:oddHBand="0" w:evenHBand="0" w:firstRowFirstColumn="0" w:firstRowLastColumn="0" w:lastRowFirstColumn="0" w:lastRowLastColumn="0"/>
            <w:tcW w:w="2788" w:type="dxa"/>
          </w:tcPr>
          <w:p w14:paraId="0791C605" w14:textId="77777777" w:rsidR="00964B88" w:rsidRPr="00515ABD" w:rsidRDefault="00964B88" w:rsidP="00F53820">
            <w:pPr>
              <w:ind w:left="0" w:firstLine="0"/>
            </w:pPr>
            <w:r w:rsidRPr="00515ABD">
              <w:t>Real gross state product</w:t>
            </w:r>
          </w:p>
        </w:tc>
        <w:tc>
          <w:tcPr>
            <w:tcW w:w="1069" w:type="dxa"/>
          </w:tcPr>
          <w:p w14:paraId="7E6656B9"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3.</w:t>
            </w:r>
            <w:r>
              <w:t>00</w:t>
            </w:r>
          </w:p>
        </w:tc>
        <w:tc>
          <w:tcPr>
            <w:tcW w:w="918" w:type="dxa"/>
            <w:gridSpan w:val="3"/>
          </w:tcPr>
          <w:p w14:paraId="3719FE27"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2.50</w:t>
            </w:r>
          </w:p>
        </w:tc>
        <w:tc>
          <w:tcPr>
            <w:tcW w:w="994" w:type="dxa"/>
          </w:tcPr>
          <w:p w14:paraId="7B37FD40"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2.75</w:t>
            </w:r>
          </w:p>
        </w:tc>
        <w:tc>
          <w:tcPr>
            <w:tcW w:w="994" w:type="dxa"/>
          </w:tcPr>
          <w:p w14:paraId="2DFB6D59"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2.75</w:t>
            </w:r>
          </w:p>
        </w:tc>
        <w:tc>
          <w:tcPr>
            <w:tcW w:w="997" w:type="dxa"/>
          </w:tcPr>
          <w:p w14:paraId="219EB4CB"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2.75</w:t>
            </w:r>
          </w:p>
        </w:tc>
      </w:tr>
      <w:tr w:rsidR="00964B88" w:rsidRPr="00515ABD" w14:paraId="6E3C4016" w14:textId="77777777" w:rsidTr="00F53820">
        <w:tc>
          <w:tcPr>
            <w:cnfStyle w:val="001000000000" w:firstRow="0" w:lastRow="0" w:firstColumn="1" w:lastColumn="0" w:oddVBand="0" w:evenVBand="0" w:oddHBand="0" w:evenHBand="0" w:firstRowFirstColumn="0" w:firstRowLastColumn="0" w:lastRowFirstColumn="0" w:lastRowLastColumn="0"/>
            <w:tcW w:w="2788" w:type="dxa"/>
          </w:tcPr>
          <w:p w14:paraId="3F097A29" w14:textId="77777777" w:rsidR="00964B88" w:rsidRPr="00515ABD" w:rsidRDefault="00964B88" w:rsidP="00F53820">
            <w:pPr>
              <w:ind w:left="0" w:firstLine="0"/>
            </w:pPr>
            <w:r w:rsidRPr="00515ABD">
              <w:t>Employment</w:t>
            </w:r>
          </w:p>
        </w:tc>
        <w:tc>
          <w:tcPr>
            <w:tcW w:w="1069" w:type="dxa"/>
          </w:tcPr>
          <w:p w14:paraId="69A0524E"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3.4</w:t>
            </w:r>
          </w:p>
        </w:tc>
        <w:tc>
          <w:tcPr>
            <w:tcW w:w="918" w:type="dxa"/>
            <w:gridSpan w:val="3"/>
          </w:tcPr>
          <w:p w14:paraId="46826B41"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2.00</w:t>
            </w:r>
          </w:p>
        </w:tc>
        <w:tc>
          <w:tcPr>
            <w:tcW w:w="994" w:type="dxa"/>
          </w:tcPr>
          <w:p w14:paraId="14596C31"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1.75</w:t>
            </w:r>
          </w:p>
        </w:tc>
        <w:tc>
          <w:tcPr>
            <w:tcW w:w="994" w:type="dxa"/>
          </w:tcPr>
          <w:p w14:paraId="45984388"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1.75</w:t>
            </w:r>
          </w:p>
        </w:tc>
        <w:tc>
          <w:tcPr>
            <w:tcW w:w="997" w:type="dxa"/>
          </w:tcPr>
          <w:p w14:paraId="7D6386ED"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1.75</w:t>
            </w:r>
          </w:p>
        </w:tc>
      </w:tr>
      <w:tr w:rsidR="00964B88" w:rsidRPr="00515ABD" w14:paraId="2AA55DB6" w14:textId="77777777" w:rsidTr="00F53820">
        <w:tc>
          <w:tcPr>
            <w:cnfStyle w:val="001000000000" w:firstRow="0" w:lastRow="0" w:firstColumn="1" w:lastColumn="0" w:oddVBand="0" w:evenVBand="0" w:oddHBand="0" w:evenHBand="0" w:firstRowFirstColumn="0" w:firstRowLastColumn="0" w:lastRowFirstColumn="0" w:lastRowLastColumn="0"/>
            <w:tcW w:w="2788" w:type="dxa"/>
          </w:tcPr>
          <w:p w14:paraId="18736DED" w14:textId="77777777" w:rsidR="00964B88" w:rsidRPr="00515ABD" w:rsidRDefault="00964B88" w:rsidP="00F53820">
            <w:pPr>
              <w:ind w:left="0" w:firstLine="0"/>
            </w:pPr>
            <w:r w:rsidRPr="00515ABD">
              <w:t xml:space="preserve">Unemployment rate </w:t>
            </w:r>
            <w:r w:rsidRPr="00515ABD">
              <w:rPr>
                <w:vertAlign w:val="superscript"/>
              </w:rPr>
              <w:t>(b)</w:t>
            </w:r>
          </w:p>
        </w:tc>
        <w:tc>
          <w:tcPr>
            <w:tcW w:w="1069" w:type="dxa"/>
          </w:tcPr>
          <w:p w14:paraId="1F4CE029"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4.6</w:t>
            </w:r>
          </w:p>
        </w:tc>
        <w:tc>
          <w:tcPr>
            <w:tcW w:w="918" w:type="dxa"/>
            <w:gridSpan w:val="3"/>
          </w:tcPr>
          <w:p w14:paraId="63404E2C"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5.00</w:t>
            </w:r>
          </w:p>
        </w:tc>
        <w:tc>
          <w:tcPr>
            <w:tcW w:w="994" w:type="dxa"/>
          </w:tcPr>
          <w:p w14:paraId="3503E08D"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5.00</w:t>
            </w:r>
          </w:p>
        </w:tc>
        <w:tc>
          <w:tcPr>
            <w:tcW w:w="994" w:type="dxa"/>
          </w:tcPr>
          <w:p w14:paraId="70CA50A5"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5.25</w:t>
            </w:r>
          </w:p>
        </w:tc>
        <w:tc>
          <w:tcPr>
            <w:tcW w:w="997" w:type="dxa"/>
          </w:tcPr>
          <w:p w14:paraId="1C84B877"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5.50</w:t>
            </w:r>
          </w:p>
        </w:tc>
      </w:tr>
      <w:tr w:rsidR="00964B88" w:rsidRPr="00515ABD" w14:paraId="7F65F253" w14:textId="77777777" w:rsidTr="00F53820">
        <w:tc>
          <w:tcPr>
            <w:cnfStyle w:val="001000000000" w:firstRow="0" w:lastRow="0" w:firstColumn="1" w:lastColumn="0" w:oddVBand="0" w:evenVBand="0" w:oddHBand="0" w:evenHBand="0" w:firstRowFirstColumn="0" w:firstRowLastColumn="0" w:lastRowFirstColumn="0" w:lastRowLastColumn="0"/>
            <w:tcW w:w="2788" w:type="dxa"/>
          </w:tcPr>
          <w:p w14:paraId="2508D69A" w14:textId="77777777" w:rsidR="00964B88" w:rsidRPr="00515ABD" w:rsidRDefault="00964B88" w:rsidP="00F53820">
            <w:pPr>
              <w:ind w:left="0" w:firstLine="0"/>
            </w:pPr>
            <w:r w:rsidRPr="00515ABD">
              <w:t xml:space="preserve">Consumer price index </w:t>
            </w:r>
            <w:r w:rsidRPr="00515ABD">
              <w:rPr>
                <w:vertAlign w:val="superscript"/>
              </w:rPr>
              <w:t>(c)</w:t>
            </w:r>
          </w:p>
        </w:tc>
        <w:tc>
          <w:tcPr>
            <w:tcW w:w="1069" w:type="dxa"/>
          </w:tcPr>
          <w:p w14:paraId="5F1D905C"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1.7</w:t>
            </w:r>
          </w:p>
        </w:tc>
        <w:tc>
          <w:tcPr>
            <w:tcW w:w="918" w:type="dxa"/>
            <w:gridSpan w:val="3"/>
          </w:tcPr>
          <w:p w14:paraId="0C37FF07"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1.75</w:t>
            </w:r>
          </w:p>
        </w:tc>
        <w:tc>
          <w:tcPr>
            <w:tcW w:w="994" w:type="dxa"/>
          </w:tcPr>
          <w:p w14:paraId="5B3F6EB5"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t>2.00</w:t>
            </w:r>
          </w:p>
        </w:tc>
        <w:tc>
          <w:tcPr>
            <w:tcW w:w="994" w:type="dxa"/>
          </w:tcPr>
          <w:p w14:paraId="2B86F451"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2.</w:t>
            </w:r>
            <w:r>
              <w:t>25</w:t>
            </w:r>
          </w:p>
        </w:tc>
        <w:tc>
          <w:tcPr>
            <w:tcW w:w="997" w:type="dxa"/>
          </w:tcPr>
          <w:p w14:paraId="735783BE"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2.50</w:t>
            </w:r>
          </w:p>
        </w:tc>
      </w:tr>
      <w:tr w:rsidR="00964B88" w:rsidRPr="00515ABD" w14:paraId="7E4926C0" w14:textId="77777777" w:rsidTr="00F53820">
        <w:tc>
          <w:tcPr>
            <w:cnfStyle w:val="001000000000" w:firstRow="0" w:lastRow="0" w:firstColumn="1" w:lastColumn="0" w:oddVBand="0" w:evenVBand="0" w:oddHBand="0" w:evenHBand="0" w:firstRowFirstColumn="0" w:firstRowLastColumn="0" w:lastRowFirstColumn="0" w:lastRowLastColumn="0"/>
            <w:tcW w:w="2788" w:type="dxa"/>
          </w:tcPr>
          <w:p w14:paraId="050E6659" w14:textId="77777777" w:rsidR="00964B88" w:rsidRPr="00515ABD" w:rsidRDefault="00964B88" w:rsidP="00F53820">
            <w:pPr>
              <w:ind w:left="0" w:firstLine="0"/>
            </w:pPr>
            <w:r w:rsidRPr="00515ABD">
              <w:t xml:space="preserve">Wage price index </w:t>
            </w:r>
            <w:r w:rsidRPr="00515ABD">
              <w:rPr>
                <w:vertAlign w:val="superscript"/>
              </w:rPr>
              <w:t>(d)</w:t>
            </w:r>
          </w:p>
        </w:tc>
        <w:tc>
          <w:tcPr>
            <w:tcW w:w="1069" w:type="dxa"/>
          </w:tcPr>
          <w:p w14:paraId="1479121E"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2.7</w:t>
            </w:r>
          </w:p>
        </w:tc>
        <w:tc>
          <w:tcPr>
            <w:tcW w:w="918" w:type="dxa"/>
            <w:gridSpan w:val="3"/>
          </w:tcPr>
          <w:p w14:paraId="03B8BBB4"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3.00</w:t>
            </w:r>
          </w:p>
        </w:tc>
        <w:tc>
          <w:tcPr>
            <w:tcW w:w="994" w:type="dxa"/>
          </w:tcPr>
          <w:p w14:paraId="6105A1B6"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3.25</w:t>
            </w:r>
          </w:p>
        </w:tc>
        <w:tc>
          <w:tcPr>
            <w:tcW w:w="994" w:type="dxa"/>
          </w:tcPr>
          <w:p w14:paraId="30199B3C"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3.</w:t>
            </w:r>
            <w:r>
              <w:t>25</w:t>
            </w:r>
          </w:p>
        </w:tc>
        <w:tc>
          <w:tcPr>
            <w:tcW w:w="997" w:type="dxa"/>
          </w:tcPr>
          <w:p w14:paraId="616517A6"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3.50</w:t>
            </w:r>
          </w:p>
        </w:tc>
      </w:tr>
      <w:tr w:rsidR="00964B88" w:rsidRPr="00515ABD" w14:paraId="72BF5446" w14:textId="77777777" w:rsidTr="00F53820">
        <w:tc>
          <w:tcPr>
            <w:cnfStyle w:val="001000000000" w:firstRow="0" w:lastRow="0" w:firstColumn="1" w:lastColumn="0" w:oddVBand="0" w:evenVBand="0" w:oddHBand="0" w:evenHBand="0" w:firstRowFirstColumn="0" w:firstRowLastColumn="0" w:lastRowFirstColumn="0" w:lastRowLastColumn="0"/>
            <w:tcW w:w="2788" w:type="dxa"/>
          </w:tcPr>
          <w:p w14:paraId="57607FB8" w14:textId="77777777" w:rsidR="00964B88" w:rsidRPr="00515ABD" w:rsidRDefault="00964B88" w:rsidP="00F53820">
            <w:pPr>
              <w:ind w:left="0" w:firstLine="0"/>
            </w:pPr>
            <w:r w:rsidRPr="00515ABD">
              <w:t xml:space="preserve">Population </w:t>
            </w:r>
            <w:r w:rsidRPr="00515ABD">
              <w:rPr>
                <w:vertAlign w:val="superscript"/>
              </w:rPr>
              <w:t>(e)</w:t>
            </w:r>
          </w:p>
        </w:tc>
        <w:tc>
          <w:tcPr>
            <w:tcW w:w="1203" w:type="dxa"/>
            <w:gridSpan w:val="3"/>
          </w:tcPr>
          <w:p w14:paraId="2C10AC4F" w14:textId="77777777" w:rsidR="00964B88" w:rsidRPr="006E08CE" w:rsidRDefault="00964B88" w:rsidP="00F53820">
            <w:pPr>
              <w:cnfStyle w:val="000000000000" w:firstRow="0" w:lastRow="0" w:firstColumn="0" w:lastColumn="0" w:oddVBand="0" w:evenVBand="0" w:oddHBand="0" w:evenHBand="0" w:firstRowFirstColumn="0" w:firstRowLastColumn="0" w:lastRowFirstColumn="0" w:lastRowLastColumn="0"/>
            </w:pPr>
            <w:r w:rsidRPr="006E08CE">
              <w:t xml:space="preserve">2.10 </w:t>
            </w:r>
            <w:r w:rsidRPr="006E08CE">
              <w:rPr>
                <w:vertAlign w:val="superscript"/>
              </w:rPr>
              <w:t>(f)</w:t>
            </w:r>
          </w:p>
        </w:tc>
        <w:tc>
          <w:tcPr>
            <w:tcW w:w="784" w:type="dxa"/>
          </w:tcPr>
          <w:p w14:paraId="16AF0CD9"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2.00</w:t>
            </w:r>
          </w:p>
        </w:tc>
        <w:tc>
          <w:tcPr>
            <w:tcW w:w="994" w:type="dxa"/>
          </w:tcPr>
          <w:p w14:paraId="548C9282"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1.90</w:t>
            </w:r>
          </w:p>
        </w:tc>
        <w:tc>
          <w:tcPr>
            <w:tcW w:w="994" w:type="dxa"/>
          </w:tcPr>
          <w:p w14:paraId="2FDD6F7A" w14:textId="77777777" w:rsidR="00964B88" w:rsidRPr="00C95F03" w:rsidRDefault="00964B88" w:rsidP="00F53820">
            <w:pPr>
              <w:cnfStyle w:val="000000000000" w:firstRow="0" w:lastRow="0" w:firstColumn="0" w:lastColumn="0" w:oddVBand="0" w:evenVBand="0" w:oddHBand="0" w:evenHBand="0" w:firstRowFirstColumn="0" w:firstRowLastColumn="0" w:lastRowFirstColumn="0" w:lastRowLastColumn="0"/>
            </w:pPr>
            <w:r w:rsidRPr="006A757B">
              <w:t>1.90</w:t>
            </w:r>
          </w:p>
        </w:tc>
        <w:tc>
          <w:tcPr>
            <w:tcW w:w="997" w:type="dxa"/>
          </w:tcPr>
          <w:p w14:paraId="5D0A6486" w14:textId="77777777" w:rsidR="00964B88" w:rsidRDefault="00964B88" w:rsidP="00F53820">
            <w:pPr>
              <w:cnfStyle w:val="000000000000" w:firstRow="0" w:lastRow="0" w:firstColumn="0" w:lastColumn="0" w:oddVBand="0" w:evenVBand="0" w:oddHBand="0" w:evenHBand="0" w:firstRowFirstColumn="0" w:firstRowLastColumn="0" w:lastRowFirstColumn="0" w:lastRowLastColumn="0"/>
            </w:pPr>
            <w:r w:rsidRPr="006A757B">
              <w:t>1.80</w:t>
            </w:r>
          </w:p>
        </w:tc>
      </w:tr>
    </w:tbl>
    <w:p w14:paraId="3110FB57" w14:textId="77777777" w:rsidR="00964B88" w:rsidRDefault="00964B88" w:rsidP="00F53820">
      <w:pPr>
        <w:pStyle w:val="Note"/>
      </w:pPr>
      <w:r>
        <w:t xml:space="preserve">Notes: </w:t>
      </w:r>
    </w:p>
    <w:p w14:paraId="73870075" w14:textId="77777777" w:rsidR="00964B88" w:rsidRDefault="00964B88" w:rsidP="00F53820">
      <w:pPr>
        <w:pStyle w:val="Note"/>
      </w:pPr>
      <w:r>
        <w:t>(a)</w:t>
      </w:r>
      <w:r>
        <w:tab/>
        <w:t>Percentage change in year average terms compared with previous year, except for the unemployment rate (see note (b)) and population (see note (e)). Forecasts are rounded to the nearest 0.25 percentage points, except for population (see note (e)).</w:t>
      </w:r>
    </w:p>
    <w:p w14:paraId="1D299020" w14:textId="77777777" w:rsidR="00964B88" w:rsidRDefault="00964B88" w:rsidP="00F53820">
      <w:pPr>
        <w:pStyle w:val="Note"/>
      </w:pPr>
      <w:r>
        <w:tab/>
        <w:t>Projections for 2021-22 and 2022-23 represent long-run average growth rates, except for the wage price index, which remains below trend in 2021-22, and population growth, which remains above trend by 2021-22.</w:t>
      </w:r>
    </w:p>
    <w:p w14:paraId="5E8AECC5" w14:textId="77777777" w:rsidR="00964B88" w:rsidRDefault="00964B88" w:rsidP="00F53820">
      <w:pPr>
        <w:pStyle w:val="Note"/>
      </w:pPr>
      <w:r>
        <w:tab/>
        <w:t xml:space="preserve">The key assumptions underlying the economic forecasts include: interest rates are reflective of movements in market expectations; an Australian dollar trade-weighted index of 60.2; and oil prices that follow the path suggested by the futures market. </w:t>
      </w:r>
    </w:p>
    <w:p w14:paraId="12AA36E8" w14:textId="77777777" w:rsidR="00964B88" w:rsidRDefault="00964B88" w:rsidP="00F53820">
      <w:pPr>
        <w:pStyle w:val="Note"/>
      </w:pPr>
      <w:r>
        <w:t>(b)</w:t>
      </w:r>
      <w:r>
        <w:tab/>
        <w:t>Year average, per cent.</w:t>
      </w:r>
    </w:p>
    <w:p w14:paraId="270926FE" w14:textId="77777777" w:rsidR="00964B88" w:rsidRDefault="00964B88" w:rsidP="00F53820">
      <w:pPr>
        <w:pStyle w:val="Note"/>
      </w:pPr>
      <w:r>
        <w:t>(c)</w:t>
      </w:r>
      <w:r>
        <w:tab/>
        <w:t>Melbourne consumer price index.</w:t>
      </w:r>
    </w:p>
    <w:p w14:paraId="2529A768" w14:textId="77777777" w:rsidR="00964B88" w:rsidRDefault="00964B88" w:rsidP="00F53820">
      <w:pPr>
        <w:pStyle w:val="Note"/>
      </w:pPr>
      <w:r>
        <w:t>(d)</w:t>
      </w:r>
      <w:r>
        <w:tab/>
        <w:t>Wage price index, Victoria (based on total hourly rates of pay, excluding bonuses).</w:t>
      </w:r>
    </w:p>
    <w:p w14:paraId="4A07FF0C" w14:textId="77777777" w:rsidR="00964B88" w:rsidRDefault="00964B88" w:rsidP="00F53820">
      <w:pPr>
        <w:pStyle w:val="Note"/>
      </w:pPr>
      <w:r>
        <w:t>(e)</w:t>
      </w:r>
      <w:r>
        <w:tab/>
        <w:t>Percentage change over the year to 30 June. Forecasts are rounded to the nearest 0.1 percentage point.</w:t>
      </w:r>
    </w:p>
    <w:p w14:paraId="2FD04707" w14:textId="77777777" w:rsidR="00964B88" w:rsidRDefault="00964B88" w:rsidP="00F53820">
      <w:pPr>
        <w:pStyle w:val="Note"/>
      </w:pPr>
      <w:r>
        <w:t>(f)</w:t>
      </w:r>
      <w:r>
        <w:tab/>
        <w:t xml:space="preserve">Estimate, actual not yet available. </w:t>
      </w:r>
    </w:p>
    <w:p w14:paraId="64419EF3" w14:textId="77777777" w:rsidR="00964B88" w:rsidRDefault="00964B88" w:rsidP="00F53820">
      <w:pPr>
        <w:pStyle w:val="Source"/>
      </w:pPr>
    </w:p>
    <w:p w14:paraId="447BAE16" w14:textId="77777777" w:rsidR="00964B88" w:rsidRPr="009D1DC2" w:rsidRDefault="00964B88" w:rsidP="00F53820">
      <w:pPr>
        <w:rPr>
          <w:b/>
          <w:bCs/>
          <w:lang w:val="en-US"/>
        </w:rPr>
      </w:pPr>
    </w:p>
    <w:p w14:paraId="57D26BB7" w14:textId="77777777" w:rsidR="00964B88" w:rsidRDefault="00964B88" w:rsidP="00A171DC"/>
    <w:p w14:paraId="3E7B30A2" w14:textId="77777777" w:rsidR="00964B88" w:rsidRDefault="00964B88" w:rsidP="00A171DC"/>
    <w:p w14:paraId="170598EF" w14:textId="77777777" w:rsidR="00964B88" w:rsidRDefault="00964B88" w:rsidP="00A171DC">
      <w:r>
        <w:br w:type="page"/>
      </w:r>
    </w:p>
    <w:p w14:paraId="4CC8D9BF" w14:textId="77777777" w:rsidR="00964B88" w:rsidRDefault="00964B88" w:rsidP="00964B88">
      <w:pPr>
        <w:pStyle w:val="Heading2"/>
        <w:numPr>
          <w:ilvl w:val="1"/>
          <w:numId w:val="23"/>
        </w:numPr>
      </w:pPr>
      <w:r w:rsidRPr="004E4D8E">
        <w:lastRenderedPageBreak/>
        <w:t>HOW FUNDS ARE RAISED</w:t>
      </w:r>
    </w:p>
    <w:p w14:paraId="505654D2" w14:textId="77777777" w:rsidR="00964B88" w:rsidRDefault="00964B88" w:rsidP="00F53820">
      <w:pPr>
        <w:pStyle w:val="Heading30"/>
        <w:pBdr>
          <w:bottom w:val="single" w:sz="4" w:space="1" w:color="auto"/>
        </w:pBdr>
        <w:sectPr w:rsidR="00964B88" w:rsidSect="00F53820">
          <w:headerReference w:type="even" r:id="rId44"/>
          <w:headerReference w:type="default" r:id="rId45"/>
          <w:footerReference w:type="even" r:id="rId46"/>
          <w:footerReference w:type="default" r:id="rId47"/>
          <w:headerReference w:type="first" r:id="rId48"/>
          <w:footerReference w:type="first" r:id="rId49"/>
          <w:type w:val="continuous"/>
          <w:pgSz w:w="9979" w:h="14175" w:code="9"/>
          <w:pgMar w:top="850" w:right="1134" w:bottom="850" w:left="1134" w:header="624" w:footer="567" w:gutter="0"/>
          <w:cols w:sep="1" w:space="567"/>
          <w:docGrid w:linePitch="360"/>
        </w:sectPr>
      </w:pPr>
    </w:p>
    <w:p w14:paraId="1B00CD5D" w14:textId="77777777" w:rsidR="00964B88" w:rsidRDefault="00964B88" w:rsidP="00F53820">
      <w:pPr>
        <w:pStyle w:val="Heading30"/>
        <w:pBdr>
          <w:bottom w:val="single" w:sz="4" w:space="1" w:color="auto"/>
        </w:pBdr>
      </w:pPr>
      <w:r>
        <w:t>Introduction</w:t>
      </w:r>
    </w:p>
    <w:p w14:paraId="08D330CC" w14:textId="77777777" w:rsidR="00964B88" w:rsidRDefault="00964B88" w:rsidP="00F53820">
      <w:r>
        <w:t>This section presents the sources and amounts of revenue forecast for the general government sector.</w:t>
      </w:r>
    </w:p>
    <w:p w14:paraId="2903A494" w14:textId="77777777" w:rsidR="00964B88" w:rsidRDefault="00964B88" w:rsidP="00F53820">
      <w:r>
        <w:t>Revenue from transactions is recognised to the extent that it is probable that the economic benefits will flow to the entity and the revenue can be reliably estimated at fair value.</w:t>
      </w:r>
    </w:p>
    <w:p w14:paraId="0BCD8A86" w14:textId="77777777" w:rsidR="00964B88" w:rsidRDefault="00964B88" w:rsidP="00F53820">
      <w:pPr>
        <w:pStyle w:val="Heading30"/>
        <w:spacing w:before="120"/>
      </w:pPr>
      <w:r>
        <w:br w:type="column"/>
      </w:r>
      <w:r>
        <w:t>Structure</w:t>
      </w:r>
    </w:p>
    <w:p w14:paraId="6747F877" w14:textId="5869D917" w:rsidR="00964B88" w:rsidRDefault="00964B88">
      <w:pPr>
        <w:pStyle w:val="TOC9"/>
        <w:rPr>
          <w:rFonts w:eastAsiaTheme="minorEastAsia"/>
          <w:noProof/>
          <w:spacing w:val="0"/>
          <w:lang w:eastAsia="en-AU"/>
        </w:rPr>
      </w:pPr>
      <w:r w:rsidRPr="00F033D6">
        <w:rPr>
          <w:noProof/>
          <w:lang w:val="en-US"/>
        </w:rPr>
        <w:t>4.2.1</w:t>
      </w:r>
      <w:r>
        <w:rPr>
          <w:rFonts w:eastAsiaTheme="minorEastAsia"/>
          <w:noProof/>
          <w:spacing w:val="0"/>
          <w:lang w:eastAsia="en-AU"/>
        </w:rPr>
        <w:tab/>
      </w:r>
      <w:r w:rsidRPr="00F033D6">
        <w:rPr>
          <w:noProof/>
        </w:rPr>
        <w:t>Taxation revenue</w:t>
      </w:r>
      <w:r>
        <w:rPr>
          <w:noProof/>
          <w:webHidden/>
        </w:rPr>
        <w:tab/>
      </w:r>
      <w:r w:rsidR="00F033D6">
        <w:rPr>
          <w:noProof/>
          <w:webHidden/>
        </w:rPr>
        <w:t>51</w:t>
      </w:r>
    </w:p>
    <w:p w14:paraId="4F13D980" w14:textId="4C112712" w:rsidR="00964B88" w:rsidRDefault="00964B88">
      <w:pPr>
        <w:pStyle w:val="TOC9"/>
        <w:rPr>
          <w:rFonts w:eastAsiaTheme="minorEastAsia"/>
          <w:noProof/>
          <w:spacing w:val="0"/>
          <w:lang w:eastAsia="en-AU"/>
        </w:rPr>
      </w:pPr>
      <w:r w:rsidRPr="00F033D6">
        <w:rPr>
          <w:noProof/>
          <w:lang w:val="en-US"/>
        </w:rPr>
        <w:t>4.2.2</w:t>
      </w:r>
      <w:r>
        <w:rPr>
          <w:rFonts w:eastAsiaTheme="minorEastAsia"/>
          <w:noProof/>
          <w:spacing w:val="0"/>
          <w:lang w:eastAsia="en-AU"/>
        </w:rPr>
        <w:tab/>
      </w:r>
      <w:r w:rsidRPr="00F033D6">
        <w:rPr>
          <w:noProof/>
        </w:rPr>
        <w:t>Dividends, income tax equivalent and rate equivalent revenue</w:t>
      </w:r>
      <w:r>
        <w:rPr>
          <w:noProof/>
          <w:webHidden/>
        </w:rPr>
        <w:tab/>
      </w:r>
      <w:r w:rsidR="00F033D6">
        <w:rPr>
          <w:noProof/>
          <w:webHidden/>
        </w:rPr>
        <w:t>52</w:t>
      </w:r>
    </w:p>
    <w:p w14:paraId="478BEF66" w14:textId="01EB9BB7" w:rsidR="00964B88" w:rsidRDefault="00964B88">
      <w:pPr>
        <w:pStyle w:val="TOC9"/>
        <w:rPr>
          <w:rFonts w:eastAsiaTheme="minorEastAsia"/>
          <w:noProof/>
          <w:spacing w:val="0"/>
          <w:lang w:eastAsia="en-AU"/>
        </w:rPr>
      </w:pPr>
      <w:r w:rsidRPr="00F033D6">
        <w:rPr>
          <w:noProof/>
          <w:lang w:val="en-US"/>
        </w:rPr>
        <w:t>4.2.3</w:t>
      </w:r>
      <w:r>
        <w:rPr>
          <w:rFonts w:eastAsiaTheme="minorEastAsia"/>
          <w:noProof/>
          <w:spacing w:val="0"/>
          <w:lang w:eastAsia="en-AU"/>
        </w:rPr>
        <w:tab/>
      </w:r>
      <w:r w:rsidRPr="00F033D6">
        <w:rPr>
          <w:noProof/>
        </w:rPr>
        <w:t>Sales of goods and services</w:t>
      </w:r>
      <w:r>
        <w:rPr>
          <w:noProof/>
          <w:webHidden/>
        </w:rPr>
        <w:tab/>
      </w:r>
      <w:r w:rsidR="00F033D6">
        <w:rPr>
          <w:noProof/>
          <w:webHidden/>
        </w:rPr>
        <w:t>53</w:t>
      </w:r>
    </w:p>
    <w:p w14:paraId="5E6BE51C" w14:textId="3D9363B3" w:rsidR="00964B88" w:rsidRDefault="00964B88">
      <w:pPr>
        <w:pStyle w:val="TOC9"/>
        <w:rPr>
          <w:rFonts w:eastAsiaTheme="minorEastAsia"/>
          <w:noProof/>
          <w:spacing w:val="0"/>
          <w:lang w:eastAsia="en-AU"/>
        </w:rPr>
      </w:pPr>
      <w:r w:rsidRPr="00F033D6">
        <w:rPr>
          <w:noProof/>
          <w:lang w:val="en-US"/>
        </w:rPr>
        <w:t>4.2.4</w:t>
      </w:r>
      <w:r>
        <w:rPr>
          <w:rFonts w:eastAsiaTheme="minorEastAsia"/>
          <w:noProof/>
          <w:spacing w:val="0"/>
          <w:lang w:eastAsia="en-AU"/>
        </w:rPr>
        <w:tab/>
      </w:r>
      <w:r w:rsidRPr="00F033D6">
        <w:rPr>
          <w:noProof/>
        </w:rPr>
        <w:t>Grant revenue</w:t>
      </w:r>
      <w:r>
        <w:rPr>
          <w:noProof/>
          <w:webHidden/>
        </w:rPr>
        <w:tab/>
      </w:r>
      <w:r w:rsidR="00F033D6">
        <w:rPr>
          <w:noProof/>
          <w:webHidden/>
        </w:rPr>
        <w:t>53</w:t>
      </w:r>
    </w:p>
    <w:p w14:paraId="6C4140D4" w14:textId="276E957E" w:rsidR="00964B88" w:rsidRDefault="00964B88" w:rsidP="00F53820">
      <w:pPr>
        <w:pStyle w:val="TOC9"/>
      </w:pPr>
      <w:r w:rsidRPr="00F033D6">
        <w:rPr>
          <w:noProof/>
          <w:lang w:val="en-US"/>
        </w:rPr>
        <w:t>4.2.5</w:t>
      </w:r>
      <w:r>
        <w:rPr>
          <w:rFonts w:eastAsiaTheme="minorEastAsia"/>
          <w:noProof/>
          <w:spacing w:val="0"/>
          <w:lang w:eastAsia="en-AU"/>
        </w:rPr>
        <w:tab/>
      </w:r>
      <w:r w:rsidRPr="00F033D6">
        <w:rPr>
          <w:noProof/>
        </w:rPr>
        <w:t>Other revenue</w:t>
      </w:r>
      <w:r>
        <w:rPr>
          <w:noProof/>
          <w:webHidden/>
        </w:rPr>
        <w:tab/>
      </w:r>
      <w:r w:rsidR="00F033D6">
        <w:rPr>
          <w:noProof/>
          <w:webHidden/>
        </w:rPr>
        <w:t>53</w:t>
      </w:r>
    </w:p>
    <w:p w14:paraId="1E61072B" w14:textId="77777777" w:rsidR="00964B88" w:rsidRDefault="00964B88">
      <w:pPr>
        <w:keepLines w:val="0"/>
      </w:pPr>
    </w:p>
    <w:p w14:paraId="0B5CC3BB" w14:textId="77777777" w:rsidR="00D95F31" w:rsidRDefault="00D95F31">
      <w:pPr>
        <w:keepLines w:val="0"/>
        <w:sectPr w:rsidR="00D95F31" w:rsidSect="00F53820">
          <w:headerReference w:type="even" r:id="rId50"/>
          <w:headerReference w:type="default" r:id="rId51"/>
          <w:footerReference w:type="even" r:id="rId52"/>
          <w:footerReference w:type="default" r:id="rId53"/>
          <w:headerReference w:type="first" r:id="rId54"/>
          <w:footerReference w:type="first" r:id="rId55"/>
          <w:type w:val="continuous"/>
          <w:pgSz w:w="9979" w:h="14175" w:code="9"/>
          <w:pgMar w:top="850" w:right="1134" w:bottom="850" w:left="1134" w:header="624" w:footer="567" w:gutter="0"/>
          <w:cols w:num="2" w:space="567"/>
          <w:titlePg/>
          <w:docGrid w:linePitch="360"/>
        </w:sectPr>
      </w:pPr>
    </w:p>
    <w:p w14:paraId="00CD9EE0" w14:textId="77777777" w:rsidR="00964B88" w:rsidRPr="00177EBC" w:rsidRDefault="00964B88" w:rsidP="00964B88">
      <w:pPr>
        <w:pStyle w:val="Heading3"/>
        <w:numPr>
          <w:ilvl w:val="2"/>
          <w:numId w:val="22"/>
        </w:numPr>
        <w:tabs>
          <w:tab w:val="clear" w:pos="7711"/>
          <w:tab w:val="left" w:pos="850"/>
          <w:tab w:val="right" w:pos="7710"/>
        </w:tabs>
        <w:spacing w:before="120" w:after="60"/>
        <w:rPr>
          <w:lang w:val="en-US"/>
        </w:rPr>
      </w:pPr>
      <w:bookmarkStart w:id="75" w:name="_Toc530147729"/>
      <w:bookmarkStart w:id="76" w:name="Section_2"/>
      <w:r w:rsidRPr="007C6C55">
        <w:t>Taxation</w:t>
      </w:r>
      <w:r w:rsidRPr="008C4F9A">
        <w:t xml:space="preserve"> revenue</w:t>
      </w:r>
      <w:r>
        <w:tab/>
      </w:r>
      <w:r w:rsidRPr="008C4F9A">
        <w:t>($ million)</w:t>
      </w:r>
      <w:bookmarkEnd w:id="75"/>
    </w:p>
    <w:tbl>
      <w:tblPr>
        <w:tblStyle w:val="DTFTable"/>
        <w:tblW w:w="7768" w:type="dxa"/>
        <w:tblLayout w:type="fixed"/>
        <w:tblLook w:val="06E0" w:firstRow="1" w:lastRow="1" w:firstColumn="1" w:lastColumn="0" w:noHBand="1" w:noVBand="1"/>
      </w:tblPr>
      <w:tblGrid>
        <w:gridCol w:w="3641"/>
        <w:gridCol w:w="727"/>
        <w:gridCol w:w="850"/>
        <w:gridCol w:w="850"/>
        <w:gridCol w:w="850"/>
        <w:gridCol w:w="850"/>
      </w:tblGrid>
      <w:tr w:rsidR="00964B88" w14:paraId="73705A00"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41" w:type="dxa"/>
          </w:tcPr>
          <w:p w14:paraId="6B54A4DB" w14:textId="77777777" w:rsidR="00964B88" w:rsidRDefault="00964B88">
            <w:pPr>
              <w:spacing w:after="0"/>
            </w:pPr>
          </w:p>
        </w:tc>
        <w:tc>
          <w:tcPr>
            <w:tcW w:w="727" w:type="dxa"/>
          </w:tcPr>
          <w:p w14:paraId="29454937"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62169852"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17DE7DB9"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4D89E651"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3E558F89"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73786A7A" w14:textId="77777777" w:rsidTr="00F53820">
        <w:tc>
          <w:tcPr>
            <w:cnfStyle w:val="001000000000" w:firstRow="0" w:lastRow="0" w:firstColumn="1" w:lastColumn="0" w:oddVBand="0" w:evenVBand="0" w:oddHBand="0" w:evenHBand="0" w:firstRowFirstColumn="0" w:firstRowLastColumn="0" w:lastRowFirstColumn="0" w:lastRowLastColumn="0"/>
            <w:tcW w:w="3641" w:type="dxa"/>
            <w:tcBorders>
              <w:bottom w:val="single" w:sz="6" w:space="0" w:color="auto"/>
            </w:tcBorders>
          </w:tcPr>
          <w:p w14:paraId="3839AD08" w14:textId="77777777" w:rsidR="00964B88" w:rsidRDefault="00964B88">
            <w:pPr>
              <w:spacing w:after="0"/>
            </w:pPr>
            <w:r>
              <w:rPr>
                <w:b/>
              </w:rPr>
              <w:t>Taxes on employers’ payroll and labour force</w:t>
            </w:r>
          </w:p>
        </w:tc>
        <w:tc>
          <w:tcPr>
            <w:tcW w:w="727" w:type="dxa"/>
            <w:tcBorders>
              <w:bottom w:val="single" w:sz="6" w:space="0" w:color="auto"/>
            </w:tcBorders>
          </w:tcPr>
          <w:p w14:paraId="17AFEFA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6 537</w:t>
            </w:r>
          </w:p>
        </w:tc>
        <w:tc>
          <w:tcPr>
            <w:tcW w:w="850" w:type="dxa"/>
            <w:tcBorders>
              <w:bottom w:val="single" w:sz="6" w:space="0" w:color="auto"/>
            </w:tcBorders>
          </w:tcPr>
          <w:p w14:paraId="538910F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6 590</w:t>
            </w:r>
          </w:p>
        </w:tc>
        <w:tc>
          <w:tcPr>
            <w:tcW w:w="850" w:type="dxa"/>
            <w:tcBorders>
              <w:bottom w:val="single" w:sz="6" w:space="0" w:color="auto"/>
            </w:tcBorders>
          </w:tcPr>
          <w:p w14:paraId="4C5D8C6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6 871</w:t>
            </w:r>
          </w:p>
        </w:tc>
        <w:tc>
          <w:tcPr>
            <w:tcW w:w="850" w:type="dxa"/>
            <w:tcBorders>
              <w:bottom w:val="single" w:sz="6" w:space="0" w:color="auto"/>
            </w:tcBorders>
          </w:tcPr>
          <w:p w14:paraId="3BE04B1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7 152</w:t>
            </w:r>
          </w:p>
        </w:tc>
        <w:tc>
          <w:tcPr>
            <w:tcW w:w="850" w:type="dxa"/>
            <w:tcBorders>
              <w:bottom w:val="single" w:sz="6" w:space="0" w:color="auto"/>
            </w:tcBorders>
          </w:tcPr>
          <w:p w14:paraId="26ADC55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7 447</w:t>
            </w:r>
          </w:p>
        </w:tc>
      </w:tr>
      <w:tr w:rsidR="00964B88" w14:paraId="49A32C43" w14:textId="77777777" w:rsidTr="00F53820">
        <w:tc>
          <w:tcPr>
            <w:cnfStyle w:val="001000000000" w:firstRow="0" w:lastRow="0" w:firstColumn="1" w:lastColumn="0" w:oddVBand="0" w:evenVBand="0" w:oddHBand="0" w:evenHBand="0" w:firstRowFirstColumn="0" w:firstRowLastColumn="0" w:lastRowFirstColumn="0" w:lastRowLastColumn="0"/>
            <w:tcW w:w="3641" w:type="dxa"/>
            <w:tcBorders>
              <w:top w:val="single" w:sz="6" w:space="0" w:color="auto"/>
            </w:tcBorders>
          </w:tcPr>
          <w:p w14:paraId="6D99BC49" w14:textId="77777777" w:rsidR="00964B88" w:rsidRDefault="00964B88">
            <w:pPr>
              <w:spacing w:after="0"/>
            </w:pPr>
            <w:r>
              <w:rPr>
                <w:b/>
              </w:rPr>
              <w:t>Taxes on immovable property</w:t>
            </w:r>
          </w:p>
        </w:tc>
        <w:tc>
          <w:tcPr>
            <w:tcW w:w="727" w:type="dxa"/>
            <w:tcBorders>
              <w:top w:val="single" w:sz="6" w:space="0" w:color="auto"/>
            </w:tcBorders>
          </w:tcPr>
          <w:p w14:paraId="3DD9210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4DD3C6C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07EA37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2551721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40925A6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2B824BAE" w14:textId="77777777">
        <w:tc>
          <w:tcPr>
            <w:cnfStyle w:val="001000000000" w:firstRow="0" w:lastRow="0" w:firstColumn="1" w:lastColumn="0" w:oddVBand="0" w:evenVBand="0" w:oddHBand="0" w:evenHBand="0" w:firstRowFirstColumn="0" w:firstRowLastColumn="0" w:lastRowFirstColumn="0" w:lastRowLastColumn="0"/>
            <w:tcW w:w="3641" w:type="dxa"/>
          </w:tcPr>
          <w:p w14:paraId="13E5D013" w14:textId="77777777" w:rsidR="00964B88" w:rsidRDefault="00964B88">
            <w:pPr>
              <w:spacing w:after="0"/>
            </w:pPr>
            <w:r>
              <w:t>Land tax</w:t>
            </w:r>
          </w:p>
        </w:tc>
        <w:tc>
          <w:tcPr>
            <w:tcW w:w="727" w:type="dxa"/>
          </w:tcPr>
          <w:p w14:paraId="726C122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3 659</w:t>
            </w:r>
          </w:p>
        </w:tc>
        <w:tc>
          <w:tcPr>
            <w:tcW w:w="850" w:type="dxa"/>
          </w:tcPr>
          <w:p w14:paraId="3702988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3 545</w:t>
            </w:r>
          </w:p>
        </w:tc>
        <w:tc>
          <w:tcPr>
            <w:tcW w:w="850" w:type="dxa"/>
          </w:tcPr>
          <w:p w14:paraId="79A1310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3 714</w:t>
            </w:r>
          </w:p>
        </w:tc>
        <w:tc>
          <w:tcPr>
            <w:tcW w:w="850" w:type="dxa"/>
          </w:tcPr>
          <w:p w14:paraId="37E3B5A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4 062</w:t>
            </w:r>
          </w:p>
        </w:tc>
        <w:tc>
          <w:tcPr>
            <w:tcW w:w="850" w:type="dxa"/>
          </w:tcPr>
          <w:p w14:paraId="35BCEAA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4 517</w:t>
            </w:r>
          </w:p>
        </w:tc>
      </w:tr>
      <w:tr w:rsidR="00964B88" w14:paraId="285301CF" w14:textId="77777777">
        <w:tc>
          <w:tcPr>
            <w:cnfStyle w:val="001000000000" w:firstRow="0" w:lastRow="0" w:firstColumn="1" w:lastColumn="0" w:oddVBand="0" w:evenVBand="0" w:oddHBand="0" w:evenHBand="0" w:firstRowFirstColumn="0" w:firstRowLastColumn="0" w:lastRowFirstColumn="0" w:lastRowLastColumn="0"/>
            <w:tcW w:w="3641" w:type="dxa"/>
          </w:tcPr>
          <w:p w14:paraId="409E0B3B" w14:textId="77777777" w:rsidR="00964B88" w:rsidRDefault="00964B88">
            <w:pPr>
              <w:spacing w:after="0"/>
            </w:pPr>
            <w:r>
              <w:t>Fire Services Property Levy</w:t>
            </w:r>
          </w:p>
        </w:tc>
        <w:tc>
          <w:tcPr>
            <w:tcW w:w="727" w:type="dxa"/>
          </w:tcPr>
          <w:p w14:paraId="0A21B90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709</w:t>
            </w:r>
          </w:p>
        </w:tc>
        <w:tc>
          <w:tcPr>
            <w:tcW w:w="850" w:type="dxa"/>
          </w:tcPr>
          <w:p w14:paraId="4AC48FF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709</w:t>
            </w:r>
          </w:p>
        </w:tc>
        <w:tc>
          <w:tcPr>
            <w:tcW w:w="850" w:type="dxa"/>
          </w:tcPr>
          <w:p w14:paraId="71D4070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738</w:t>
            </w:r>
          </w:p>
        </w:tc>
        <w:tc>
          <w:tcPr>
            <w:tcW w:w="850" w:type="dxa"/>
          </w:tcPr>
          <w:p w14:paraId="6E1F04B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756</w:t>
            </w:r>
          </w:p>
        </w:tc>
        <w:tc>
          <w:tcPr>
            <w:tcW w:w="850" w:type="dxa"/>
          </w:tcPr>
          <w:p w14:paraId="3703D01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776</w:t>
            </w:r>
          </w:p>
        </w:tc>
      </w:tr>
      <w:tr w:rsidR="00964B88" w14:paraId="066CC2E9" w14:textId="77777777">
        <w:tc>
          <w:tcPr>
            <w:cnfStyle w:val="001000000000" w:firstRow="0" w:lastRow="0" w:firstColumn="1" w:lastColumn="0" w:oddVBand="0" w:evenVBand="0" w:oddHBand="0" w:evenHBand="0" w:firstRowFirstColumn="0" w:firstRowLastColumn="0" w:lastRowFirstColumn="0" w:lastRowLastColumn="0"/>
            <w:tcW w:w="3641" w:type="dxa"/>
          </w:tcPr>
          <w:p w14:paraId="13793AEB" w14:textId="77777777" w:rsidR="00964B88" w:rsidRDefault="00964B88">
            <w:pPr>
              <w:spacing w:after="0"/>
            </w:pPr>
            <w:r>
              <w:t>Congestion levy</w:t>
            </w:r>
          </w:p>
        </w:tc>
        <w:tc>
          <w:tcPr>
            <w:tcW w:w="727" w:type="dxa"/>
          </w:tcPr>
          <w:p w14:paraId="2CD5FF3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101</w:t>
            </w:r>
          </w:p>
        </w:tc>
        <w:tc>
          <w:tcPr>
            <w:tcW w:w="850" w:type="dxa"/>
          </w:tcPr>
          <w:p w14:paraId="28ADDE5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101</w:t>
            </w:r>
          </w:p>
        </w:tc>
        <w:tc>
          <w:tcPr>
            <w:tcW w:w="850" w:type="dxa"/>
          </w:tcPr>
          <w:p w14:paraId="313884C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101</w:t>
            </w:r>
          </w:p>
        </w:tc>
        <w:tc>
          <w:tcPr>
            <w:tcW w:w="850" w:type="dxa"/>
          </w:tcPr>
          <w:p w14:paraId="6049BA5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100</w:t>
            </w:r>
          </w:p>
        </w:tc>
        <w:tc>
          <w:tcPr>
            <w:tcW w:w="850" w:type="dxa"/>
          </w:tcPr>
          <w:p w14:paraId="077DF6A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100</w:t>
            </w:r>
          </w:p>
        </w:tc>
      </w:tr>
      <w:tr w:rsidR="00964B88" w14:paraId="7450DF10" w14:textId="77777777" w:rsidTr="00F53820">
        <w:tc>
          <w:tcPr>
            <w:cnfStyle w:val="001000000000" w:firstRow="0" w:lastRow="0" w:firstColumn="1" w:lastColumn="0" w:oddVBand="0" w:evenVBand="0" w:oddHBand="0" w:evenHBand="0" w:firstRowFirstColumn="0" w:firstRowLastColumn="0" w:lastRowFirstColumn="0" w:lastRowLastColumn="0"/>
            <w:tcW w:w="3641" w:type="dxa"/>
            <w:tcBorders>
              <w:bottom w:val="single" w:sz="6" w:space="0" w:color="auto"/>
            </w:tcBorders>
          </w:tcPr>
          <w:p w14:paraId="157E0E62" w14:textId="77777777" w:rsidR="00964B88" w:rsidRDefault="00964B88">
            <w:pPr>
              <w:spacing w:after="0"/>
            </w:pPr>
            <w:r>
              <w:t>Metropolitan improvement levy</w:t>
            </w:r>
          </w:p>
        </w:tc>
        <w:tc>
          <w:tcPr>
            <w:tcW w:w="727" w:type="dxa"/>
            <w:tcBorders>
              <w:bottom w:val="single" w:sz="6" w:space="0" w:color="auto"/>
            </w:tcBorders>
          </w:tcPr>
          <w:p w14:paraId="1FFA7FC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183</w:t>
            </w:r>
          </w:p>
        </w:tc>
        <w:tc>
          <w:tcPr>
            <w:tcW w:w="850" w:type="dxa"/>
            <w:tcBorders>
              <w:bottom w:val="single" w:sz="6" w:space="0" w:color="auto"/>
            </w:tcBorders>
          </w:tcPr>
          <w:p w14:paraId="68039A6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183</w:t>
            </w:r>
          </w:p>
        </w:tc>
        <w:tc>
          <w:tcPr>
            <w:tcW w:w="850" w:type="dxa"/>
            <w:tcBorders>
              <w:bottom w:val="single" w:sz="6" w:space="0" w:color="auto"/>
            </w:tcBorders>
          </w:tcPr>
          <w:p w14:paraId="6D4831D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187</w:t>
            </w:r>
          </w:p>
        </w:tc>
        <w:tc>
          <w:tcPr>
            <w:tcW w:w="850" w:type="dxa"/>
            <w:tcBorders>
              <w:bottom w:val="single" w:sz="6" w:space="0" w:color="auto"/>
            </w:tcBorders>
          </w:tcPr>
          <w:p w14:paraId="05AD1B0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191</w:t>
            </w:r>
          </w:p>
        </w:tc>
        <w:tc>
          <w:tcPr>
            <w:tcW w:w="850" w:type="dxa"/>
            <w:tcBorders>
              <w:bottom w:val="single" w:sz="6" w:space="0" w:color="auto"/>
            </w:tcBorders>
          </w:tcPr>
          <w:p w14:paraId="5CF313F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195</w:t>
            </w:r>
          </w:p>
        </w:tc>
      </w:tr>
      <w:tr w:rsidR="00964B88" w14:paraId="7B269ED2" w14:textId="77777777" w:rsidTr="00F53820">
        <w:tc>
          <w:tcPr>
            <w:cnfStyle w:val="001000000000" w:firstRow="0" w:lastRow="0" w:firstColumn="1" w:lastColumn="0" w:oddVBand="0" w:evenVBand="0" w:oddHBand="0" w:evenHBand="0" w:firstRowFirstColumn="0" w:firstRowLastColumn="0" w:lastRowFirstColumn="0" w:lastRowLastColumn="0"/>
            <w:tcW w:w="3641" w:type="dxa"/>
            <w:tcBorders>
              <w:top w:val="single" w:sz="6" w:space="0" w:color="auto"/>
              <w:bottom w:val="single" w:sz="6" w:space="0" w:color="auto"/>
            </w:tcBorders>
          </w:tcPr>
          <w:p w14:paraId="5D8A52D6" w14:textId="77777777" w:rsidR="00964B88" w:rsidRDefault="00964B88">
            <w:pPr>
              <w:spacing w:after="0"/>
            </w:pPr>
            <w:r>
              <w:rPr>
                <w:b/>
              </w:rPr>
              <w:t>Total taxes on property</w:t>
            </w:r>
          </w:p>
        </w:tc>
        <w:tc>
          <w:tcPr>
            <w:tcW w:w="727" w:type="dxa"/>
            <w:tcBorders>
              <w:top w:val="single" w:sz="6" w:space="0" w:color="auto"/>
              <w:bottom w:val="single" w:sz="6" w:space="0" w:color="auto"/>
            </w:tcBorders>
          </w:tcPr>
          <w:p w14:paraId="1E98B67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4 653</w:t>
            </w:r>
          </w:p>
        </w:tc>
        <w:tc>
          <w:tcPr>
            <w:tcW w:w="850" w:type="dxa"/>
            <w:tcBorders>
              <w:top w:val="single" w:sz="6" w:space="0" w:color="auto"/>
              <w:bottom w:val="single" w:sz="6" w:space="0" w:color="auto"/>
            </w:tcBorders>
          </w:tcPr>
          <w:p w14:paraId="639D653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4 538</w:t>
            </w:r>
          </w:p>
        </w:tc>
        <w:tc>
          <w:tcPr>
            <w:tcW w:w="850" w:type="dxa"/>
            <w:tcBorders>
              <w:top w:val="single" w:sz="6" w:space="0" w:color="auto"/>
              <w:bottom w:val="single" w:sz="6" w:space="0" w:color="auto"/>
            </w:tcBorders>
          </w:tcPr>
          <w:p w14:paraId="2842168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4 740</w:t>
            </w:r>
          </w:p>
        </w:tc>
        <w:tc>
          <w:tcPr>
            <w:tcW w:w="850" w:type="dxa"/>
            <w:tcBorders>
              <w:top w:val="single" w:sz="6" w:space="0" w:color="auto"/>
              <w:bottom w:val="single" w:sz="6" w:space="0" w:color="auto"/>
            </w:tcBorders>
          </w:tcPr>
          <w:p w14:paraId="0A67F1F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5 109</w:t>
            </w:r>
          </w:p>
        </w:tc>
        <w:tc>
          <w:tcPr>
            <w:tcW w:w="850" w:type="dxa"/>
            <w:tcBorders>
              <w:top w:val="single" w:sz="6" w:space="0" w:color="auto"/>
              <w:bottom w:val="single" w:sz="6" w:space="0" w:color="auto"/>
            </w:tcBorders>
          </w:tcPr>
          <w:p w14:paraId="50B998C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5 588</w:t>
            </w:r>
          </w:p>
        </w:tc>
      </w:tr>
      <w:tr w:rsidR="00964B88" w14:paraId="0849D33C" w14:textId="77777777" w:rsidTr="00F53820">
        <w:tc>
          <w:tcPr>
            <w:cnfStyle w:val="001000000000" w:firstRow="0" w:lastRow="0" w:firstColumn="1" w:lastColumn="0" w:oddVBand="0" w:evenVBand="0" w:oddHBand="0" w:evenHBand="0" w:firstRowFirstColumn="0" w:firstRowLastColumn="0" w:lastRowFirstColumn="0" w:lastRowLastColumn="0"/>
            <w:tcW w:w="3641" w:type="dxa"/>
            <w:tcBorders>
              <w:top w:val="single" w:sz="6" w:space="0" w:color="auto"/>
            </w:tcBorders>
          </w:tcPr>
          <w:p w14:paraId="13A7D5A7" w14:textId="77777777" w:rsidR="00964B88" w:rsidRDefault="00964B88">
            <w:pPr>
              <w:spacing w:after="0"/>
            </w:pPr>
            <w:r>
              <w:rPr>
                <w:b/>
              </w:rPr>
              <w:t>Gambling taxes</w:t>
            </w:r>
          </w:p>
        </w:tc>
        <w:tc>
          <w:tcPr>
            <w:tcW w:w="727" w:type="dxa"/>
            <w:tcBorders>
              <w:top w:val="single" w:sz="6" w:space="0" w:color="auto"/>
            </w:tcBorders>
          </w:tcPr>
          <w:p w14:paraId="28BC28C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575549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113A760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0ACEB03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64B781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1995E9D5" w14:textId="77777777">
        <w:tc>
          <w:tcPr>
            <w:cnfStyle w:val="001000000000" w:firstRow="0" w:lastRow="0" w:firstColumn="1" w:lastColumn="0" w:oddVBand="0" w:evenVBand="0" w:oddHBand="0" w:evenHBand="0" w:firstRowFirstColumn="0" w:firstRowLastColumn="0" w:lastRowFirstColumn="0" w:lastRowLastColumn="0"/>
            <w:tcW w:w="3641" w:type="dxa"/>
          </w:tcPr>
          <w:p w14:paraId="13395AF9" w14:textId="77777777" w:rsidR="00964B88" w:rsidRDefault="00964B88">
            <w:pPr>
              <w:spacing w:after="0"/>
            </w:pPr>
            <w:r>
              <w:t>Public lotteries</w:t>
            </w:r>
          </w:p>
        </w:tc>
        <w:tc>
          <w:tcPr>
            <w:tcW w:w="727" w:type="dxa"/>
          </w:tcPr>
          <w:p w14:paraId="1A63C27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444</w:t>
            </w:r>
          </w:p>
        </w:tc>
        <w:tc>
          <w:tcPr>
            <w:tcW w:w="850" w:type="dxa"/>
          </w:tcPr>
          <w:p w14:paraId="00276DE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502</w:t>
            </w:r>
          </w:p>
        </w:tc>
        <w:tc>
          <w:tcPr>
            <w:tcW w:w="850" w:type="dxa"/>
          </w:tcPr>
          <w:p w14:paraId="03AFEC4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515</w:t>
            </w:r>
          </w:p>
        </w:tc>
        <w:tc>
          <w:tcPr>
            <w:tcW w:w="850" w:type="dxa"/>
          </w:tcPr>
          <w:p w14:paraId="0F07D32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530</w:t>
            </w:r>
          </w:p>
        </w:tc>
        <w:tc>
          <w:tcPr>
            <w:tcW w:w="850" w:type="dxa"/>
          </w:tcPr>
          <w:p w14:paraId="3A3B8CD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546</w:t>
            </w:r>
          </w:p>
        </w:tc>
      </w:tr>
      <w:tr w:rsidR="00964B88" w14:paraId="6523A8A1" w14:textId="77777777">
        <w:tc>
          <w:tcPr>
            <w:cnfStyle w:val="001000000000" w:firstRow="0" w:lastRow="0" w:firstColumn="1" w:lastColumn="0" w:oddVBand="0" w:evenVBand="0" w:oddHBand="0" w:evenHBand="0" w:firstRowFirstColumn="0" w:firstRowLastColumn="0" w:lastRowFirstColumn="0" w:lastRowLastColumn="0"/>
            <w:tcW w:w="3641" w:type="dxa"/>
          </w:tcPr>
          <w:p w14:paraId="27385F81" w14:textId="77777777" w:rsidR="00964B88" w:rsidRDefault="00964B88">
            <w:pPr>
              <w:spacing w:after="0"/>
            </w:pPr>
            <w:r>
              <w:t>Electronic gaming machines</w:t>
            </w:r>
          </w:p>
        </w:tc>
        <w:tc>
          <w:tcPr>
            <w:tcW w:w="727" w:type="dxa"/>
          </w:tcPr>
          <w:p w14:paraId="38B4AA8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1 140</w:t>
            </w:r>
          </w:p>
        </w:tc>
        <w:tc>
          <w:tcPr>
            <w:tcW w:w="850" w:type="dxa"/>
          </w:tcPr>
          <w:p w14:paraId="05FE247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1 115</w:t>
            </w:r>
          </w:p>
        </w:tc>
        <w:tc>
          <w:tcPr>
            <w:tcW w:w="850" w:type="dxa"/>
          </w:tcPr>
          <w:p w14:paraId="01CA41B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1 133</w:t>
            </w:r>
          </w:p>
        </w:tc>
        <w:tc>
          <w:tcPr>
            <w:tcW w:w="850" w:type="dxa"/>
          </w:tcPr>
          <w:p w14:paraId="474740A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1 153</w:t>
            </w:r>
          </w:p>
        </w:tc>
        <w:tc>
          <w:tcPr>
            <w:tcW w:w="850" w:type="dxa"/>
          </w:tcPr>
          <w:p w14:paraId="13880B3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1 188</w:t>
            </w:r>
          </w:p>
        </w:tc>
      </w:tr>
      <w:tr w:rsidR="00964B88" w14:paraId="084AC0E3" w14:textId="77777777">
        <w:tc>
          <w:tcPr>
            <w:cnfStyle w:val="001000000000" w:firstRow="0" w:lastRow="0" w:firstColumn="1" w:lastColumn="0" w:oddVBand="0" w:evenVBand="0" w:oddHBand="0" w:evenHBand="0" w:firstRowFirstColumn="0" w:firstRowLastColumn="0" w:lastRowFirstColumn="0" w:lastRowLastColumn="0"/>
            <w:tcW w:w="3641" w:type="dxa"/>
          </w:tcPr>
          <w:p w14:paraId="24090C4B" w14:textId="77777777" w:rsidR="00964B88" w:rsidRDefault="00964B88">
            <w:pPr>
              <w:spacing w:after="0"/>
            </w:pPr>
            <w:r>
              <w:t>Casino</w:t>
            </w:r>
          </w:p>
        </w:tc>
        <w:tc>
          <w:tcPr>
            <w:tcW w:w="727" w:type="dxa"/>
          </w:tcPr>
          <w:p w14:paraId="0A2970F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238</w:t>
            </w:r>
          </w:p>
        </w:tc>
        <w:tc>
          <w:tcPr>
            <w:tcW w:w="850" w:type="dxa"/>
          </w:tcPr>
          <w:p w14:paraId="72E0684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233</w:t>
            </w:r>
          </w:p>
        </w:tc>
        <w:tc>
          <w:tcPr>
            <w:tcW w:w="850" w:type="dxa"/>
          </w:tcPr>
          <w:p w14:paraId="260D923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241</w:t>
            </w:r>
          </w:p>
        </w:tc>
        <w:tc>
          <w:tcPr>
            <w:tcW w:w="850" w:type="dxa"/>
          </w:tcPr>
          <w:p w14:paraId="71AEE56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247</w:t>
            </w:r>
          </w:p>
        </w:tc>
        <w:tc>
          <w:tcPr>
            <w:tcW w:w="850" w:type="dxa"/>
          </w:tcPr>
          <w:p w14:paraId="5DA46F3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254</w:t>
            </w:r>
          </w:p>
        </w:tc>
      </w:tr>
      <w:tr w:rsidR="00964B88" w14:paraId="5A3C80D9" w14:textId="77777777">
        <w:tc>
          <w:tcPr>
            <w:cnfStyle w:val="001000000000" w:firstRow="0" w:lastRow="0" w:firstColumn="1" w:lastColumn="0" w:oddVBand="0" w:evenVBand="0" w:oddHBand="0" w:evenHBand="0" w:firstRowFirstColumn="0" w:firstRowLastColumn="0" w:lastRowFirstColumn="0" w:lastRowLastColumn="0"/>
            <w:tcW w:w="3641" w:type="dxa"/>
          </w:tcPr>
          <w:p w14:paraId="36D67146" w14:textId="77777777" w:rsidR="00964B88" w:rsidRDefault="00964B88">
            <w:pPr>
              <w:spacing w:after="0"/>
            </w:pPr>
            <w:r>
              <w:t>Racing and other sports betting</w:t>
            </w:r>
          </w:p>
        </w:tc>
        <w:tc>
          <w:tcPr>
            <w:tcW w:w="727" w:type="dxa"/>
          </w:tcPr>
          <w:p w14:paraId="5BC455B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140</w:t>
            </w:r>
          </w:p>
        </w:tc>
        <w:tc>
          <w:tcPr>
            <w:tcW w:w="850" w:type="dxa"/>
          </w:tcPr>
          <w:p w14:paraId="1619D5D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156</w:t>
            </w:r>
          </w:p>
        </w:tc>
        <w:tc>
          <w:tcPr>
            <w:tcW w:w="850" w:type="dxa"/>
          </w:tcPr>
          <w:p w14:paraId="782CF94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159</w:t>
            </w:r>
          </w:p>
        </w:tc>
        <w:tc>
          <w:tcPr>
            <w:tcW w:w="850" w:type="dxa"/>
          </w:tcPr>
          <w:p w14:paraId="7063519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162</w:t>
            </w:r>
          </w:p>
        </w:tc>
        <w:tc>
          <w:tcPr>
            <w:tcW w:w="850" w:type="dxa"/>
          </w:tcPr>
          <w:p w14:paraId="2D3EB89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165</w:t>
            </w:r>
          </w:p>
        </w:tc>
      </w:tr>
      <w:tr w:rsidR="00964B88" w14:paraId="571FFCA3" w14:textId="77777777">
        <w:tc>
          <w:tcPr>
            <w:cnfStyle w:val="001000000000" w:firstRow="0" w:lastRow="0" w:firstColumn="1" w:lastColumn="0" w:oddVBand="0" w:evenVBand="0" w:oddHBand="0" w:evenHBand="0" w:firstRowFirstColumn="0" w:firstRowLastColumn="0" w:lastRowFirstColumn="0" w:lastRowLastColumn="0"/>
            <w:tcW w:w="3641" w:type="dxa"/>
          </w:tcPr>
          <w:p w14:paraId="5E27F8AB" w14:textId="77777777" w:rsidR="00964B88" w:rsidRDefault="00964B88">
            <w:pPr>
              <w:spacing w:after="0"/>
            </w:pPr>
            <w:r>
              <w:t>Other</w:t>
            </w:r>
          </w:p>
        </w:tc>
        <w:tc>
          <w:tcPr>
            <w:tcW w:w="727" w:type="dxa"/>
          </w:tcPr>
          <w:p w14:paraId="3E7BB14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13</w:t>
            </w:r>
          </w:p>
        </w:tc>
        <w:tc>
          <w:tcPr>
            <w:tcW w:w="850" w:type="dxa"/>
          </w:tcPr>
          <w:p w14:paraId="2A4CE5F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11</w:t>
            </w:r>
          </w:p>
        </w:tc>
        <w:tc>
          <w:tcPr>
            <w:tcW w:w="850" w:type="dxa"/>
          </w:tcPr>
          <w:p w14:paraId="631FAB5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11</w:t>
            </w:r>
          </w:p>
        </w:tc>
        <w:tc>
          <w:tcPr>
            <w:tcW w:w="850" w:type="dxa"/>
          </w:tcPr>
          <w:p w14:paraId="50FC3A2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11</w:t>
            </w:r>
          </w:p>
        </w:tc>
        <w:tc>
          <w:tcPr>
            <w:tcW w:w="850" w:type="dxa"/>
          </w:tcPr>
          <w:p w14:paraId="77501AC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11</w:t>
            </w:r>
          </w:p>
        </w:tc>
      </w:tr>
      <w:tr w:rsidR="00964B88" w14:paraId="5E9F15BF" w14:textId="77777777">
        <w:tc>
          <w:tcPr>
            <w:cnfStyle w:val="001000000000" w:firstRow="0" w:lastRow="0" w:firstColumn="1" w:lastColumn="0" w:oddVBand="0" w:evenVBand="0" w:oddHBand="0" w:evenHBand="0" w:firstRowFirstColumn="0" w:firstRowLastColumn="0" w:lastRowFirstColumn="0" w:lastRowLastColumn="0"/>
            <w:tcW w:w="3641" w:type="dxa"/>
          </w:tcPr>
          <w:p w14:paraId="012BE9D6" w14:textId="77777777" w:rsidR="00964B88" w:rsidRDefault="00964B88">
            <w:pPr>
              <w:spacing w:after="0"/>
            </w:pPr>
            <w:r>
              <w:rPr>
                <w:b/>
              </w:rPr>
              <w:t>Financial and capital transactions</w:t>
            </w:r>
          </w:p>
        </w:tc>
        <w:tc>
          <w:tcPr>
            <w:tcW w:w="727" w:type="dxa"/>
          </w:tcPr>
          <w:p w14:paraId="0CB66A7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Pr>
          <w:p w14:paraId="4D1E57A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Pr>
          <w:p w14:paraId="2014940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Pr>
          <w:p w14:paraId="507F3B6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Pr>
          <w:p w14:paraId="3C1722C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44C2CA98" w14:textId="77777777">
        <w:tc>
          <w:tcPr>
            <w:cnfStyle w:val="001000000000" w:firstRow="0" w:lastRow="0" w:firstColumn="1" w:lastColumn="0" w:oddVBand="0" w:evenVBand="0" w:oddHBand="0" w:evenHBand="0" w:firstRowFirstColumn="0" w:firstRowLastColumn="0" w:lastRowFirstColumn="0" w:lastRowLastColumn="0"/>
            <w:tcW w:w="3641" w:type="dxa"/>
          </w:tcPr>
          <w:p w14:paraId="18122338" w14:textId="77777777" w:rsidR="00964B88" w:rsidRDefault="00964B88">
            <w:pPr>
              <w:spacing w:after="0"/>
            </w:pPr>
            <w:r>
              <w:t>Land transfer duty</w:t>
            </w:r>
          </w:p>
        </w:tc>
        <w:tc>
          <w:tcPr>
            <w:tcW w:w="727" w:type="dxa"/>
          </w:tcPr>
          <w:p w14:paraId="0ADDE53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5 896</w:t>
            </w:r>
          </w:p>
        </w:tc>
        <w:tc>
          <w:tcPr>
            <w:tcW w:w="850" w:type="dxa"/>
          </w:tcPr>
          <w:p w14:paraId="7DAF994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6 025</w:t>
            </w:r>
          </w:p>
        </w:tc>
        <w:tc>
          <w:tcPr>
            <w:tcW w:w="850" w:type="dxa"/>
          </w:tcPr>
          <w:p w14:paraId="5498A71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6 434</w:t>
            </w:r>
          </w:p>
        </w:tc>
        <w:tc>
          <w:tcPr>
            <w:tcW w:w="850" w:type="dxa"/>
          </w:tcPr>
          <w:p w14:paraId="7F4E025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6 813</w:t>
            </w:r>
          </w:p>
        </w:tc>
        <w:tc>
          <w:tcPr>
            <w:tcW w:w="850" w:type="dxa"/>
          </w:tcPr>
          <w:p w14:paraId="6EBC317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7 241</w:t>
            </w:r>
          </w:p>
        </w:tc>
      </w:tr>
      <w:tr w:rsidR="00964B88" w14:paraId="3DB03F30" w14:textId="77777777">
        <w:tc>
          <w:tcPr>
            <w:cnfStyle w:val="001000000000" w:firstRow="0" w:lastRow="0" w:firstColumn="1" w:lastColumn="0" w:oddVBand="0" w:evenVBand="0" w:oddHBand="0" w:evenHBand="0" w:firstRowFirstColumn="0" w:firstRowLastColumn="0" w:lastRowFirstColumn="0" w:lastRowLastColumn="0"/>
            <w:tcW w:w="3641" w:type="dxa"/>
          </w:tcPr>
          <w:p w14:paraId="7FE308C0" w14:textId="77777777" w:rsidR="00964B88" w:rsidRDefault="00964B88">
            <w:pPr>
              <w:spacing w:after="0"/>
            </w:pPr>
            <w:r>
              <w:t>Metropolitan planning levy</w:t>
            </w:r>
          </w:p>
        </w:tc>
        <w:tc>
          <w:tcPr>
            <w:tcW w:w="727" w:type="dxa"/>
          </w:tcPr>
          <w:p w14:paraId="43D39E4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22</w:t>
            </w:r>
          </w:p>
        </w:tc>
        <w:tc>
          <w:tcPr>
            <w:tcW w:w="850" w:type="dxa"/>
          </w:tcPr>
          <w:p w14:paraId="286C767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20</w:t>
            </w:r>
          </w:p>
        </w:tc>
        <w:tc>
          <w:tcPr>
            <w:tcW w:w="850" w:type="dxa"/>
          </w:tcPr>
          <w:p w14:paraId="640A920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20</w:t>
            </w:r>
          </w:p>
        </w:tc>
        <w:tc>
          <w:tcPr>
            <w:tcW w:w="850" w:type="dxa"/>
          </w:tcPr>
          <w:p w14:paraId="04919AC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21</w:t>
            </w:r>
          </w:p>
        </w:tc>
        <w:tc>
          <w:tcPr>
            <w:tcW w:w="850" w:type="dxa"/>
          </w:tcPr>
          <w:p w14:paraId="60EB4B2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21</w:t>
            </w:r>
          </w:p>
        </w:tc>
      </w:tr>
      <w:tr w:rsidR="00964B88" w14:paraId="6DC2359C" w14:textId="77777777">
        <w:tc>
          <w:tcPr>
            <w:cnfStyle w:val="001000000000" w:firstRow="0" w:lastRow="0" w:firstColumn="1" w:lastColumn="0" w:oddVBand="0" w:evenVBand="0" w:oddHBand="0" w:evenHBand="0" w:firstRowFirstColumn="0" w:firstRowLastColumn="0" w:lastRowFirstColumn="0" w:lastRowLastColumn="0"/>
            <w:tcW w:w="3641" w:type="dxa"/>
          </w:tcPr>
          <w:p w14:paraId="2D74EA9B" w14:textId="77777777" w:rsidR="00964B88" w:rsidRDefault="00964B88">
            <w:pPr>
              <w:spacing w:after="0"/>
            </w:pPr>
            <w:r>
              <w:t>Financial accommodation levy</w:t>
            </w:r>
          </w:p>
        </w:tc>
        <w:tc>
          <w:tcPr>
            <w:tcW w:w="727" w:type="dxa"/>
          </w:tcPr>
          <w:p w14:paraId="795911C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178</w:t>
            </w:r>
          </w:p>
        </w:tc>
        <w:tc>
          <w:tcPr>
            <w:tcW w:w="850" w:type="dxa"/>
          </w:tcPr>
          <w:p w14:paraId="690CC8F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163</w:t>
            </w:r>
          </w:p>
        </w:tc>
        <w:tc>
          <w:tcPr>
            <w:tcW w:w="850" w:type="dxa"/>
          </w:tcPr>
          <w:p w14:paraId="2A87010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172</w:t>
            </w:r>
          </w:p>
        </w:tc>
        <w:tc>
          <w:tcPr>
            <w:tcW w:w="850" w:type="dxa"/>
          </w:tcPr>
          <w:p w14:paraId="18402E9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184</w:t>
            </w:r>
          </w:p>
        </w:tc>
        <w:tc>
          <w:tcPr>
            <w:tcW w:w="850" w:type="dxa"/>
          </w:tcPr>
          <w:p w14:paraId="7147E25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187</w:t>
            </w:r>
          </w:p>
        </w:tc>
      </w:tr>
      <w:tr w:rsidR="00964B88" w14:paraId="54D58727" w14:textId="77777777">
        <w:tc>
          <w:tcPr>
            <w:cnfStyle w:val="001000000000" w:firstRow="0" w:lastRow="0" w:firstColumn="1" w:lastColumn="0" w:oddVBand="0" w:evenVBand="0" w:oddHBand="0" w:evenHBand="0" w:firstRowFirstColumn="0" w:firstRowLastColumn="0" w:lastRowFirstColumn="0" w:lastRowLastColumn="0"/>
            <w:tcW w:w="3641" w:type="dxa"/>
          </w:tcPr>
          <w:p w14:paraId="4E8F88FF" w14:textId="77777777" w:rsidR="00964B88" w:rsidRDefault="00964B88">
            <w:pPr>
              <w:spacing w:after="0"/>
            </w:pPr>
            <w:r>
              <w:t>Growth areas infrastructure contributions</w:t>
            </w:r>
          </w:p>
        </w:tc>
        <w:tc>
          <w:tcPr>
            <w:tcW w:w="727" w:type="dxa"/>
          </w:tcPr>
          <w:p w14:paraId="73878B0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285</w:t>
            </w:r>
          </w:p>
        </w:tc>
        <w:tc>
          <w:tcPr>
            <w:tcW w:w="850" w:type="dxa"/>
          </w:tcPr>
          <w:p w14:paraId="31EE91E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293</w:t>
            </w:r>
          </w:p>
        </w:tc>
        <w:tc>
          <w:tcPr>
            <w:tcW w:w="850" w:type="dxa"/>
          </w:tcPr>
          <w:p w14:paraId="2860CBB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322</w:t>
            </w:r>
          </w:p>
        </w:tc>
        <w:tc>
          <w:tcPr>
            <w:tcW w:w="850" w:type="dxa"/>
          </w:tcPr>
          <w:p w14:paraId="2473580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369</w:t>
            </w:r>
          </w:p>
        </w:tc>
        <w:tc>
          <w:tcPr>
            <w:tcW w:w="850" w:type="dxa"/>
          </w:tcPr>
          <w:p w14:paraId="7804379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413</w:t>
            </w:r>
          </w:p>
        </w:tc>
      </w:tr>
      <w:tr w:rsidR="00964B88" w14:paraId="5B092617" w14:textId="77777777">
        <w:tc>
          <w:tcPr>
            <w:cnfStyle w:val="001000000000" w:firstRow="0" w:lastRow="0" w:firstColumn="1" w:lastColumn="0" w:oddVBand="0" w:evenVBand="0" w:oddHBand="0" w:evenHBand="0" w:firstRowFirstColumn="0" w:firstRowLastColumn="0" w:lastRowFirstColumn="0" w:lastRowLastColumn="0"/>
            <w:tcW w:w="3641" w:type="dxa"/>
          </w:tcPr>
          <w:p w14:paraId="1EAEC135" w14:textId="77777777" w:rsidR="00964B88" w:rsidRDefault="00964B88">
            <w:pPr>
              <w:spacing w:after="0"/>
            </w:pPr>
            <w:r>
              <w:rPr>
                <w:b/>
              </w:rPr>
              <w:t>Levies on statutory corporations</w:t>
            </w:r>
            <w:r>
              <w:rPr>
                <w:b/>
                <w:vertAlign w:val="superscript"/>
              </w:rPr>
              <w:t xml:space="preserve"> (a)</w:t>
            </w:r>
          </w:p>
        </w:tc>
        <w:tc>
          <w:tcPr>
            <w:tcW w:w="727" w:type="dxa"/>
          </w:tcPr>
          <w:p w14:paraId="3136C02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157</w:t>
            </w:r>
          </w:p>
        </w:tc>
        <w:tc>
          <w:tcPr>
            <w:tcW w:w="850" w:type="dxa"/>
          </w:tcPr>
          <w:p w14:paraId="1C76975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157</w:t>
            </w:r>
          </w:p>
        </w:tc>
        <w:tc>
          <w:tcPr>
            <w:tcW w:w="850" w:type="dxa"/>
          </w:tcPr>
          <w:p w14:paraId="0C9807F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w:t>
            </w:r>
          </w:p>
        </w:tc>
        <w:tc>
          <w:tcPr>
            <w:tcW w:w="850" w:type="dxa"/>
          </w:tcPr>
          <w:p w14:paraId="3F7787F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w:t>
            </w:r>
          </w:p>
        </w:tc>
        <w:tc>
          <w:tcPr>
            <w:tcW w:w="850" w:type="dxa"/>
          </w:tcPr>
          <w:p w14:paraId="67A90A9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w:t>
            </w:r>
          </w:p>
        </w:tc>
      </w:tr>
      <w:tr w:rsidR="00964B88" w14:paraId="3EF0A40C" w14:textId="77777777" w:rsidTr="00F53820">
        <w:tc>
          <w:tcPr>
            <w:cnfStyle w:val="001000000000" w:firstRow="0" w:lastRow="0" w:firstColumn="1" w:lastColumn="0" w:oddVBand="0" w:evenVBand="0" w:oddHBand="0" w:evenHBand="0" w:firstRowFirstColumn="0" w:firstRowLastColumn="0" w:lastRowFirstColumn="0" w:lastRowLastColumn="0"/>
            <w:tcW w:w="3641" w:type="dxa"/>
            <w:tcBorders>
              <w:bottom w:val="single" w:sz="6" w:space="0" w:color="auto"/>
            </w:tcBorders>
          </w:tcPr>
          <w:p w14:paraId="09072044" w14:textId="77777777" w:rsidR="00964B88" w:rsidRDefault="00964B88">
            <w:pPr>
              <w:spacing w:after="0"/>
            </w:pPr>
            <w:r>
              <w:rPr>
                <w:b/>
              </w:rPr>
              <w:t>Taxes on insurance</w:t>
            </w:r>
          </w:p>
        </w:tc>
        <w:tc>
          <w:tcPr>
            <w:tcW w:w="727" w:type="dxa"/>
            <w:tcBorders>
              <w:bottom w:val="single" w:sz="6" w:space="0" w:color="auto"/>
            </w:tcBorders>
          </w:tcPr>
          <w:p w14:paraId="716D975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1 479</w:t>
            </w:r>
          </w:p>
        </w:tc>
        <w:tc>
          <w:tcPr>
            <w:tcW w:w="850" w:type="dxa"/>
            <w:tcBorders>
              <w:bottom w:val="single" w:sz="6" w:space="0" w:color="auto"/>
            </w:tcBorders>
          </w:tcPr>
          <w:p w14:paraId="1454894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1 467</w:t>
            </w:r>
          </w:p>
        </w:tc>
        <w:tc>
          <w:tcPr>
            <w:tcW w:w="850" w:type="dxa"/>
            <w:tcBorders>
              <w:bottom w:val="single" w:sz="6" w:space="0" w:color="auto"/>
            </w:tcBorders>
          </w:tcPr>
          <w:p w14:paraId="0A232F2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1 562</w:t>
            </w:r>
          </w:p>
        </w:tc>
        <w:tc>
          <w:tcPr>
            <w:tcW w:w="850" w:type="dxa"/>
            <w:tcBorders>
              <w:bottom w:val="single" w:sz="6" w:space="0" w:color="auto"/>
            </w:tcBorders>
          </w:tcPr>
          <w:p w14:paraId="02D4B42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1 661</w:t>
            </w:r>
          </w:p>
        </w:tc>
        <w:tc>
          <w:tcPr>
            <w:tcW w:w="850" w:type="dxa"/>
            <w:tcBorders>
              <w:bottom w:val="single" w:sz="6" w:space="0" w:color="auto"/>
            </w:tcBorders>
          </w:tcPr>
          <w:p w14:paraId="350FEC7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1 767</w:t>
            </w:r>
          </w:p>
        </w:tc>
      </w:tr>
      <w:tr w:rsidR="00964B88" w14:paraId="25456F1B" w14:textId="77777777" w:rsidTr="00F53820">
        <w:tc>
          <w:tcPr>
            <w:cnfStyle w:val="001000000000" w:firstRow="0" w:lastRow="0" w:firstColumn="1" w:lastColumn="0" w:oddVBand="0" w:evenVBand="0" w:oddHBand="0" w:evenHBand="0" w:firstRowFirstColumn="0" w:firstRowLastColumn="0" w:lastRowFirstColumn="0" w:lastRowLastColumn="0"/>
            <w:tcW w:w="3641" w:type="dxa"/>
            <w:tcBorders>
              <w:top w:val="single" w:sz="6" w:space="0" w:color="auto"/>
              <w:bottom w:val="single" w:sz="6" w:space="0" w:color="auto"/>
            </w:tcBorders>
          </w:tcPr>
          <w:p w14:paraId="30D23E05" w14:textId="77777777" w:rsidR="00964B88" w:rsidRDefault="00964B88">
            <w:pPr>
              <w:spacing w:after="0"/>
            </w:pPr>
            <w:r>
              <w:rPr>
                <w:b/>
              </w:rPr>
              <w:t>Total taxes on the provision of goods and services</w:t>
            </w:r>
          </w:p>
        </w:tc>
        <w:tc>
          <w:tcPr>
            <w:tcW w:w="727" w:type="dxa"/>
            <w:tcBorders>
              <w:top w:val="single" w:sz="6" w:space="0" w:color="auto"/>
              <w:bottom w:val="single" w:sz="6" w:space="0" w:color="auto"/>
            </w:tcBorders>
          </w:tcPr>
          <w:p w14:paraId="0CA2219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9 992</w:t>
            </w:r>
          </w:p>
        </w:tc>
        <w:tc>
          <w:tcPr>
            <w:tcW w:w="850" w:type="dxa"/>
            <w:tcBorders>
              <w:top w:val="single" w:sz="6" w:space="0" w:color="auto"/>
              <w:bottom w:val="single" w:sz="6" w:space="0" w:color="auto"/>
            </w:tcBorders>
          </w:tcPr>
          <w:p w14:paraId="42EFFE5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10 143</w:t>
            </w:r>
          </w:p>
        </w:tc>
        <w:tc>
          <w:tcPr>
            <w:tcW w:w="850" w:type="dxa"/>
            <w:tcBorders>
              <w:top w:val="single" w:sz="6" w:space="0" w:color="auto"/>
              <w:bottom w:val="single" w:sz="6" w:space="0" w:color="auto"/>
            </w:tcBorders>
          </w:tcPr>
          <w:p w14:paraId="0BFD30F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10 568</w:t>
            </w:r>
          </w:p>
        </w:tc>
        <w:tc>
          <w:tcPr>
            <w:tcW w:w="850" w:type="dxa"/>
            <w:tcBorders>
              <w:top w:val="single" w:sz="6" w:space="0" w:color="auto"/>
              <w:bottom w:val="single" w:sz="6" w:space="0" w:color="auto"/>
            </w:tcBorders>
          </w:tcPr>
          <w:p w14:paraId="0B4B3F2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11 151</w:t>
            </w:r>
          </w:p>
        </w:tc>
        <w:tc>
          <w:tcPr>
            <w:tcW w:w="850" w:type="dxa"/>
            <w:tcBorders>
              <w:top w:val="single" w:sz="6" w:space="0" w:color="auto"/>
              <w:bottom w:val="single" w:sz="6" w:space="0" w:color="auto"/>
            </w:tcBorders>
          </w:tcPr>
          <w:p w14:paraId="60C29E7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11 794</w:t>
            </w:r>
          </w:p>
        </w:tc>
      </w:tr>
      <w:tr w:rsidR="00964B88" w14:paraId="695DC7BA" w14:textId="77777777" w:rsidTr="00F53820">
        <w:tc>
          <w:tcPr>
            <w:cnfStyle w:val="001000000000" w:firstRow="0" w:lastRow="0" w:firstColumn="1" w:lastColumn="0" w:oddVBand="0" w:evenVBand="0" w:oddHBand="0" w:evenHBand="0" w:firstRowFirstColumn="0" w:firstRowLastColumn="0" w:lastRowFirstColumn="0" w:lastRowLastColumn="0"/>
            <w:tcW w:w="3641" w:type="dxa"/>
            <w:tcBorders>
              <w:top w:val="single" w:sz="6" w:space="0" w:color="auto"/>
            </w:tcBorders>
          </w:tcPr>
          <w:p w14:paraId="73C423AA" w14:textId="77777777" w:rsidR="00964B88" w:rsidRDefault="00964B88">
            <w:pPr>
              <w:spacing w:after="0"/>
            </w:pPr>
            <w:r>
              <w:rPr>
                <w:b/>
              </w:rPr>
              <w:t>Motor vehicle taxes</w:t>
            </w:r>
          </w:p>
        </w:tc>
        <w:tc>
          <w:tcPr>
            <w:tcW w:w="727" w:type="dxa"/>
            <w:tcBorders>
              <w:top w:val="single" w:sz="6" w:space="0" w:color="auto"/>
            </w:tcBorders>
          </w:tcPr>
          <w:p w14:paraId="46992E3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7D8DC3F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42A40DC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2AB29CD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2137810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59124064" w14:textId="77777777">
        <w:tc>
          <w:tcPr>
            <w:cnfStyle w:val="001000000000" w:firstRow="0" w:lastRow="0" w:firstColumn="1" w:lastColumn="0" w:oddVBand="0" w:evenVBand="0" w:oddHBand="0" w:evenHBand="0" w:firstRowFirstColumn="0" w:firstRowLastColumn="0" w:lastRowFirstColumn="0" w:lastRowLastColumn="0"/>
            <w:tcW w:w="3641" w:type="dxa"/>
          </w:tcPr>
          <w:p w14:paraId="4DC410C6" w14:textId="77777777" w:rsidR="00964B88" w:rsidRDefault="00964B88">
            <w:pPr>
              <w:spacing w:after="0"/>
            </w:pPr>
            <w:r>
              <w:t>Vehicle registration fees</w:t>
            </w:r>
          </w:p>
        </w:tc>
        <w:tc>
          <w:tcPr>
            <w:tcW w:w="727" w:type="dxa"/>
          </w:tcPr>
          <w:p w14:paraId="75C44C7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1 784</w:t>
            </w:r>
          </w:p>
        </w:tc>
        <w:tc>
          <w:tcPr>
            <w:tcW w:w="850" w:type="dxa"/>
          </w:tcPr>
          <w:p w14:paraId="06B6C84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1 771</w:t>
            </w:r>
          </w:p>
        </w:tc>
        <w:tc>
          <w:tcPr>
            <w:tcW w:w="850" w:type="dxa"/>
          </w:tcPr>
          <w:p w14:paraId="2D2E0B4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1 844</w:t>
            </w:r>
          </w:p>
        </w:tc>
        <w:tc>
          <w:tcPr>
            <w:tcW w:w="850" w:type="dxa"/>
          </w:tcPr>
          <w:p w14:paraId="5A72B70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1 920</w:t>
            </w:r>
          </w:p>
        </w:tc>
        <w:tc>
          <w:tcPr>
            <w:tcW w:w="850" w:type="dxa"/>
          </w:tcPr>
          <w:p w14:paraId="7DE5198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2 006</w:t>
            </w:r>
          </w:p>
        </w:tc>
      </w:tr>
      <w:tr w:rsidR="00964B88" w14:paraId="71DF1E44" w14:textId="77777777">
        <w:tc>
          <w:tcPr>
            <w:cnfStyle w:val="001000000000" w:firstRow="0" w:lastRow="0" w:firstColumn="1" w:lastColumn="0" w:oddVBand="0" w:evenVBand="0" w:oddHBand="0" w:evenHBand="0" w:firstRowFirstColumn="0" w:firstRowLastColumn="0" w:lastRowFirstColumn="0" w:lastRowLastColumn="0"/>
            <w:tcW w:w="3641" w:type="dxa"/>
          </w:tcPr>
          <w:p w14:paraId="2C3D1412" w14:textId="77777777" w:rsidR="00964B88" w:rsidRDefault="00964B88">
            <w:pPr>
              <w:spacing w:after="0"/>
            </w:pPr>
            <w:r>
              <w:t>Duty on vehicle registrations and transfers</w:t>
            </w:r>
          </w:p>
        </w:tc>
        <w:tc>
          <w:tcPr>
            <w:tcW w:w="727" w:type="dxa"/>
          </w:tcPr>
          <w:p w14:paraId="3E37C4E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1 029</w:t>
            </w:r>
          </w:p>
        </w:tc>
        <w:tc>
          <w:tcPr>
            <w:tcW w:w="850" w:type="dxa"/>
          </w:tcPr>
          <w:p w14:paraId="7C8A1EB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1 008</w:t>
            </w:r>
          </w:p>
        </w:tc>
        <w:tc>
          <w:tcPr>
            <w:tcW w:w="850" w:type="dxa"/>
          </w:tcPr>
          <w:p w14:paraId="59C87CC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1 064</w:t>
            </w:r>
          </w:p>
        </w:tc>
        <w:tc>
          <w:tcPr>
            <w:tcW w:w="850" w:type="dxa"/>
          </w:tcPr>
          <w:p w14:paraId="7B67267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1 110</w:t>
            </w:r>
          </w:p>
        </w:tc>
        <w:tc>
          <w:tcPr>
            <w:tcW w:w="850" w:type="dxa"/>
          </w:tcPr>
          <w:p w14:paraId="3F3BBD6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1 156</w:t>
            </w:r>
          </w:p>
        </w:tc>
      </w:tr>
      <w:tr w:rsidR="00964B88" w14:paraId="73E090BC" w14:textId="77777777">
        <w:tc>
          <w:tcPr>
            <w:cnfStyle w:val="001000000000" w:firstRow="0" w:lastRow="0" w:firstColumn="1" w:lastColumn="0" w:oddVBand="0" w:evenVBand="0" w:oddHBand="0" w:evenHBand="0" w:firstRowFirstColumn="0" w:firstRowLastColumn="0" w:lastRowFirstColumn="0" w:lastRowLastColumn="0"/>
            <w:tcW w:w="3641" w:type="dxa"/>
          </w:tcPr>
          <w:p w14:paraId="179919D5" w14:textId="77777777" w:rsidR="00964B88" w:rsidRDefault="00964B88">
            <w:pPr>
              <w:spacing w:after="0"/>
            </w:pPr>
            <w:r>
              <w:rPr>
                <w:b/>
              </w:rPr>
              <w:t>Liquor licence fees</w:t>
            </w:r>
          </w:p>
        </w:tc>
        <w:tc>
          <w:tcPr>
            <w:tcW w:w="727" w:type="dxa"/>
          </w:tcPr>
          <w:p w14:paraId="6780AF0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26</w:t>
            </w:r>
          </w:p>
        </w:tc>
        <w:tc>
          <w:tcPr>
            <w:tcW w:w="850" w:type="dxa"/>
          </w:tcPr>
          <w:p w14:paraId="4EC8B28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25</w:t>
            </w:r>
          </w:p>
        </w:tc>
        <w:tc>
          <w:tcPr>
            <w:tcW w:w="850" w:type="dxa"/>
          </w:tcPr>
          <w:p w14:paraId="0474F9D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26</w:t>
            </w:r>
          </w:p>
        </w:tc>
        <w:tc>
          <w:tcPr>
            <w:tcW w:w="850" w:type="dxa"/>
          </w:tcPr>
          <w:p w14:paraId="16A0C9E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28</w:t>
            </w:r>
          </w:p>
        </w:tc>
        <w:tc>
          <w:tcPr>
            <w:tcW w:w="850" w:type="dxa"/>
          </w:tcPr>
          <w:p w14:paraId="316E69E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29</w:t>
            </w:r>
          </w:p>
        </w:tc>
      </w:tr>
      <w:tr w:rsidR="00964B88" w14:paraId="6836B806" w14:textId="77777777" w:rsidTr="00F53820">
        <w:tc>
          <w:tcPr>
            <w:cnfStyle w:val="001000000000" w:firstRow="0" w:lastRow="0" w:firstColumn="1" w:lastColumn="0" w:oddVBand="0" w:evenVBand="0" w:oddHBand="0" w:evenHBand="0" w:firstRowFirstColumn="0" w:firstRowLastColumn="0" w:lastRowFirstColumn="0" w:lastRowLastColumn="0"/>
            <w:tcW w:w="3641" w:type="dxa"/>
            <w:tcBorders>
              <w:bottom w:val="single" w:sz="6" w:space="0" w:color="auto"/>
            </w:tcBorders>
          </w:tcPr>
          <w:p w14:paraId="091D7EC0" w14:textId="77777777" w:rsidR="00964B88" w:rsidRDefault="00964B88">
            <w:pPr>
              <w:spacing w:after="0"/>
            </w:pPr>
            <w:r>
              <w:rPr>
                <w:b/>
              </w:rPr>
              <w:t>Other</w:t>
            </w:r>
          </w:p>
        </w:tc>
        <w:tc>
          <w:tcPr>
            <w:tcW w:w="727" w:type="dxa"/>
            <w:tcBorders>
              <w:bottom w:val="single" w:sz="6" w:space="0" w:color="auto"/>
            </w:tcBorders>
          </w:tcPr>
          <w:p w14:paraId="4B94485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307</w:t>
            </w:r>
          </w:p>
        </w:tc>
        <w:tc>
          <w:tcPr>
            <w:tcW w:w="850" w:type="dxa"/>
            <w:tcBorders>
              <w:bottom w:val="single" w:sz="6" w:space="0" w:color="auto"/>
            </w:tcBorders>
          </w:tcPr>
          <w:p w14:paraId="12A915F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307</w:t>
            </w:r>
          </w:p>
        </w:tc>
        <w:tc>
          <w:tcPr>
            <w:tcW w:w="850" w:type="dxa"/>
            <w:tcBorders>
              <w:bottom w:val="single" w:sz="6" w:space="0" w:color="auto"/>
            </w:tcBorders>
          </w:tcPr>
          <w:p w14:paraId="7BBC7A1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313</w:t>
            </w:r>
          </w:p>
        </w:tc>
        <w:tc>
          <w:tcPr>
            <w:tcW w:w="850" w:type="dxa"/>
            <w:tcBorders>
              <w:bottom w:val="single" w:sz="6" w:space="0" w:color="auto"/>
            </w:tcBorders>
          </w:tcPr>
          <w:p w14:paraId="08A4007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321</w:t>
            </w:r>
          </w:p>
        </w:tc>
        <w:tc>
          <w:tcPr>
            <w:tcW w:w="850" w:type="dxa"/>
            <w:tcBorders>
              <w:bottom w:val="single" w:sz="6" w:space="0" w:color="auto"/>
            </w:tcBorders>
          </w:tcPr>
          <w:p w14:paraId="16B2E63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337</w:t>
            </w:r>
          </w:p>
        </w:tc>
      </w:tr>
      <w:tr w:rsidR="00964B88" w14:paraId="11C50A27" w14:textId="77777777" w:rsidTr="00F53820">
        <w:tc>
          <w:tcPr>
            <w:cnfStyle w:val="001000000000" w:firstRow="0" w:lastRow="0" w:firstColumn="1" w:lastColumn="0" w:oddVBand="0" w:evenVBand="0" w:oddHBand="0" w:evenHBand="0" w:firstRowFirstColumn="0" w:firstRowLastColumn="0" w:lastRowFirstColumn="0" w:lastRowLastColumn="0"/>
            <w:tcW w:w="3641" w:type="dxa"/>
            <w:tcBorders>
              <w:top w:val="single" w:sz="6" w:space="0" w:color="auto"/>
              <w:bottom w:val="single" w:sz="6" w:space="0" w:color="auto"/>
            </w:tcBorders>
          </w:tcPr>
          <w:p w14:paraId="163EBB8A" w14:textId="77777777" w:rsidR="00964B88" w:rsidRDefault="00964B88">
            <w:pPr>
              <w:spacing w:after="0"/>
            </w:pPr>
            <w:r>
              <w:rPr>
                <w:b/>
              </w:rPr>
              <w:t>Total taxes on the use of goods and performance of activities</w:t>
            </w:r>
          </w:p>
        </w:tc>
        <w:tc>
          <w:tcPr>
            <w:tcW w:w="727" w:type="dxa"/>
            <w:tcBorders>
              <w:top w:val="single" w:sz="6" w:space="0" w:color="auto"/>
              <w:bottom w:val="single" w:sz="6" w:space="0" w:color="auto"/>
            </w:tcBorders>
          </w:tcPr>
          <w:p w14:paraId="7FAD4C2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3 146</w:t>
            </w:r>
          </w:p>
        </w:tc>
        <w:tc>
          <w:tcPr>
            <w:tcW w:w="850" w:type="dxa"/>
            <w:tcBorders>
              <w:top w:val="single" w:sz="6" w:space="0" w:color="auto"/>
              <w:bottom w:val="single" w:sz="6" w:space="0" w:color="auto"/>
            </w:tcBorders>
          </w:tcPr>
          <w:p w14:paraId="3650A9F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3 111</w:t>
            </w:r>
          </w:p>
        </w:tc>
        <w:tc>
          <w:tcPr>
            <w:tcW w:w="850" w:type="dxa"/>
            <w:tcBorders>
              <w:top w:val="single" w:sz="6" w:space="0" w:color="auto"/>
              <w:bottom w:val="single" w:sz="6" w:space="0" w:color="auto"/>
            </w:tcBorders>
          </w:tcPr>
          <w:p w14:paraId="4F959BE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3 247</w:t>
            </w:r>
          </w:p>
        </w:tc>
        <w:tc>
          <w:tcPr>
            <w:tcW w:w="850" w:type="dxa"/>
            <w:tcBorders>
              <w:top w:val="single" w:sz="6" w:space="0" w:color="auto"/>
              <w:bottom w:val="single" w:sz="6" w:space="0" w:color="auto"/>
            </w:tcBorders>
          </w:tcPr>
          <w:p w14:paraId="398A128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3 379</w:t>
            </w:r>
          </w:p>
        </w:tc>
        <w:tc>
          <w:tcPr>
            <w:tcW w:w="850" w:type="dxa"/>
            <w:tcBorders>
              <w:top w:val="single" w:sz="6" w:space="0" w:color="auto"/>
              <w:bottom w:val="single" w:sz="6" w:space="0" w:color="auto"/>
            </w:tcBorders>
          </w:tcPr>
          <w:p w14:paraId="00F6A92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3 527</w:t>
            </w:r>
          </w:p>
        </w:tc>
      </w:tr>
      <w:tr w:rsidR="00964B88" w14:paraId="00D35080"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1" w:type="dxa"/>
          </w:tcPr>
          <w:p w14:paraId="4F2335BD" w14:textId="77777777" w:rsidR="00964B88" w:rsidRDefault="00964B88">
            <w:pPr>
              <w:spacing w:after="0"/>
            </w:pPr>
            <w:r>
              <w:t>Total taxation revenue</w:t>
            </w:r>
          </w:p>
        </w:tc>
        <w:tc>
          <w:tcPr>
            <w:tcW w:w="727" w:type="dxa"/>
          </w:tcPr>
          <w:p w14:paraId="14D16227"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24 328</w:t>
            </w:r>
          </w:p>
        </w:tc>
        <w:tc>
          <w:tcPr>
            <w:tcW w:w="850" w:type="dxa"/>
          </w:tcPr>
          <w:p w14:paraId="3FAF1CBA"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24 382</w:t>
            </w:r>
          </w:p>
        </w:tc>
        <w:tc>
          <w:tcPr>
            <w:tcW w:w="850" w:type="dxa"/>
          </w:tcPr>
          <w:p w14:paraId="3BEDEC01"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25 427</w:t>
            </w:r>
          </w:p>
        </w:tc>
        <w:tc>
          <w:tcPr>
            <w:tcW w:w="850" w:type="dxa"/>
          </w:tcPr>
          <w:p w14:paraId="3183B370"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26 791</w:t>
            </w:r>
          </w:p>
        </w:tc>
        <w:tc>
          <w:tcPr>
            <w:tcW w:w="850" w:type="dxa"/>
          </w:tcPr>
          <w:p w14:paraId="248797B2"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28 356</w:t>
            </w:r>
          </w:p>
        </w:tc>
      </w:tr>
    </w:tbl>
    <w:p w14:paraId="45C3E0E4" w14:textId="77777777" w:rsidR="00964B88" w:rsidRDefault="00964B88" w:rsidP="00F53820">
      <w:pPr>
        <w:pStyle w:val="Note"/>
      </w:pPr>
      <w:r w:rsidRPr="00D87D22">
        <w:t>Note:</w:t>
      </w:r>
    </w:p>
    <w:p w14:paraId="069772FC" w14:textId="77777777" w:rsidR="00964B88" w:rsidRDefault="00964B88" w:rsidP="00F53820">
      <w:pPr>
        <w:pStyle w:val="Note"/>
      </w:pPr>
      <w:r>
        <w:t>(a</w:t>
      </w:r>
      <w:r w:rsidRPr="00DC10C3">
        <w:t xml:space="preserve">) </w:t>
      </w:r>
      <w:r>
        <w:tab/>
      </w:r>
      <w:r w:rsidRPr="00DC10C3">
        <w:t xml:space="preserve">The fourth tranche of </w:t>
      </w:r>
      <w:r>
        <w:t xml:space="preserve">the </w:t>
      </w:r>
      <w:r w:rsidRPr="00DC10C3">
        <w:t xml:space="preserve">environmental contribution levy commenced on 1 July 2016 for a period of four years concluding </w:t>
      </w:r>
      <w:r>
        <w:t>on 30 June </w:t>
      </w:r>
      <w:r w:rsidRPr="00DC10C3">
        <w:t>2020.</w:t>
      </w:r>
    </w:p>
    <w:p w14:paraId="7B22D88D" w14:textId="77777777" w:rsidR="00964B88" w:rsidRPr="00D164EC" w:rsidRDefault="00964B88" w:rsidP="00964B88">
      <w:pPr>
        <w:pStyle w:val="Heading3"/>
        <w:numPr>
          <w:ilvl w:val="2"/>
          <w:numId w:val="22"/>
        </w:numPr>
        <w:tabs>
          <w:tab w:val="clear" w:pos="7711"/>
          <w:tab w:val="left" w:pos="850"/>
          <w:tab w:val="right" w:pos="7710"/>
        </w:tabs>
        <w:spacing w:after="60"/>
      </w:pPr>
      <w:bookmarkStart w:id="77" w:name="_Toc530147730"/>
      <w:r w:rsidRPr="004E4D8E">
        <w:lastRenderedPageBreak/>
        <w:t>Dividends</w:t>
      </w:r>
      <w:r>
        <w:t xml:space="preserve">, </w:t>
      </w:r>
      <w:r w:rsidRPr="00AA281B">
        <w:t>income</w:t>
      </w:r>
      <w:r>
        <w:t xml:space="preserve"> tax </w:t>
      </w:r>
      <w:r w:rsidRPr="007C6C55">
        <w:t>equivalent</w:t>
      </w:r>
      <w:r>
        <w:t xml:space="preserve"> and rate equivalent revenue</w:t>
      </w:r>
      <w:r>
        <w:tab/>
        <w:t>($ million)</w:t>
      </w:r>
      <w:bookmarkEnd w:id="77"/>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4B3C99BE"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02DAA378" w14:textId="77777777" w:rsidR="00964B88" w:rsidRDefault="00964B88"/>
        </w:tc>
        <w:tc>
          <w:tcPr>
            <w:tcW w:w="850" w:type="dxa"/>
          </w:tcPr>
          <w:p w14:paraId="18BDEB04"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48EDC9AD"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655EDECB"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0395EFA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2A16E42F"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3F23661C" w14:textId="77777777">
        <w:tc>
          <w:tcPr>
            <w:cnfStyle w:val="001000000000" w:firstRow="0" w:lastRow="0" w:firstColumn="1" w:lastColumn="0" w:oddVBand="0" w:evenVBand="0" w:oddHBand="0" w:evenHBand="0" w:firstRowFirstColumn="0" w:firstRowLastColumn="0" w:lastRowFirstColumn="0" w:lastRowLastColumn="0"/>
            <w:tcW w:w="3518" w:type="dxa"/>
          </w:tcPr>
          <w:p w14:paraId="6EE2F07A" w14:textId="77777777" w:rsidR="00964B88" w:rsidRDefault="00964B88">
            <w:r>
              <w:t>Dividends from PFC sector</w:t>
            </w:r>
          </w:p>
        </w:tc>
        <w:tc>
          <w:tcPr>
            <w:tcW w:w="850" w:type="dxa"/>
          </w:tcPr>
          <w:p w14:paraId="13306C16" w14:textId="77777777" w:rsidR="00964B88" w:rsidRDefault="00964B88">
            <w:pPr>
              <w:cnfStyle w:val="000000000000" w:firstRow="0" w:lastRow="0" w:firstColumn="0" w:lastColumn="0" w:oddVBand="0" w:evenVBand="0" w:oddHBand="0" w:evenHBand="0" w:firstRowFirstColumn="0" w:firstRowLastColumn="0" w:lastRowFirstColumn="0" w:lastRowLastColumn="0"/>
            </w:pPr>
            <w:r>
              <w:t>132</w:t>
            </w:r>
          </w:p>
        </w:tc>
        <w:tc>
          <w:tcPr>
            <w:tcW w:w="850" w:type="dxa"/>
          </w:tcPr>
          <w:p w14:paraId="43AF53E5" w14:textId="77777777" w:rsidR="00964B88" w:rsidRDefault="00964B88">
            <w:pPr>
              <w:cnfStyle w:val="000000000000" w:firstRow="0" w:lastRow="0" w:firstColumn="0" w:lastColumn="0" w:oddVBand="0" w:evenVBand="0" w:oddHBand="0" w:evenHBand="0" w:firstRowFirstColumn="0" w:firstRowLastColumn="0" w:lastRowFirstColumn="0" w:lastRowLastColumn="0"/>
            </w:pPr>
            <w:r>
              <w:t>111</w:t>
            </w:r>
          </w:p>
        </w:tc>
        <w:tc>
          <w:tcPr>
            <w:tcW w:w="850" w:type="dxa"/>
          </w:tcPr>
          <w:p w14:paraId="3832521B" w14:textId="77777777" w:rsidR="00964B88" w:rsidRDefault="00964B88">
            <w:pPr>
              <w:cnfStyle w:val="000000000000" w:firstRow="0" w:lastRow="0" w:firstColumn="0" w:lastColumn="0" w:oddVBand="0" w:evenVBand="0" w:oddHBand="0" w:evenHBand="0" w:firstRowFirstColumn="0" w:firstRowLastColumn="0" w:lastRowFirstColumn="0" w:lastRowLastColumn="0"/>
            </w:pPr>
            <w:r>
              <w:t>39</w:t>
            </w:r>
          </w:p>
        </w:tc>
        <w:tc>
          <w:tcPr>
            <w:tcW w:w="850" w:type="dxa"/>
          </w:tcPr>
          <w:p w14:paraId="7D84AE72"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850" w:type="dxa"/>
          </w:tcPr>
          <w:p w14:paraId="6625470B" w14:textId="77777777" w:rsidR="00964B88" w:rsidRDefault="00964B88">
            <w:pPr>
              <w:cnfStyle w:val="000000000000" w:firstRow="0" w:lastRow="0" w:firstColumn="0" w:lastColumn="0" w:oddVBand="0" w:evenVBand="0" w:oddHBand="0" w:evenHBand="0" w:firstRowFirstColumn="0" w:firstRowLastColumn="0" w:lastRowFirstColumn="0" w:lastRowLastColumn="0"/>
            </w:pPr>
            <w:r>
              <w:t>37</w:t>
            </w:r>
          </w:p>
        </w:tc>
      </w:tr>
      <w:tr w:rsidR="00964B88" w14:paraId="57373AF8" w14:textId="77777777">
        <w:tc>
          <w:tcPr>
            <w:cnfStyle w:val="001000000000" w:firstRow="0" w:lastRow="0" w:firstColumn="1" w:lastColumn="0" w:oddVBand="0" w:evenVBand="0" w:oddHBand="0" w:evenHBand="0" w:firstRowFirstColumn="0" w:firstRowLastColumn="0" w:lastRowFirstColumn="0" w:lastRowLastColumn="0"/>
            <w:tcW w:w="3518" w:type="dxa"/>
          </w:tcPr>
          <w:p w14:paraId="4C111657" w14:textId="77777777" w:rsidR="00964B88" w:rsidRDefault="00964B88">
            <w:r>
              <w:t>Dividends from PNFC sector</w:t>
            </w:r>
          </w:p>
        </w:tc>
        <w:tc>
          <w:tcPr>
            <w:tcW w:w="850" w:type="dxa"/>
          </w:tcPr>
          <w:p w14:paraId="4692DD19" w14:textId="77777777" w:rsidR="00964B88" w:rsidRDefault="00964B88">
            <w:pPr>
              <w:cnfStyle w:val="000000000000" w:firstRow="0" w:lastRow="0" w:firstColumn="0" w:lastColumn="0" w:oddVBand="0" w:evenVBand="0" w:oddHBand="0" w:evenHBand="0" w:firstRowFirstColumn="0" w:firstRowLastColumn="0" w:lastRowFirstColumn="0" w:lastRowLastColumn="0"/>
            </w:pPr>
            <w:r>
              <w:t>385</w:t>
            </w:r>
          </w:p>
        </w:tc>
        <w:tc>
          <w:tcPr>
            <w:tcW w:w="850" w:type="dxa"/>
          </w:tcPr>
          <w:p w14:paraId="0B38EB97" w14:textId="77777777" w:rsidR="00964B88" w:rsidRDefault="00964B88">
            <w:pPr>
              <w:cnfStyle w:val="000000000000" w:firstRow="0" w:lastRow="0" w:firstColumn="0" w:lastColumn="0" w:oddVBand="0" w:evenVBand="0" w:oddHBand="0" w:evenHBand="0" w:firstRowFirstColumn="0" w:firstRowLastColumn="0" w:lastRowFirstColumn="0" w:lastRowLastColumn="0"/>
            </w:pPr>
            <w:r>
              <w:t>340</w:t>
            </w:r>
          </w:p>
        </w:tc>
        <w:tc>
          <w:tcPr>
            <w:tcW w:w="850" w:type="dxa"/>
          </w:tcPr>
          <w:p w14:paraId="21B2BBBA" w14:textId="77777777" w:rsidR="00964B88" w:rsidRDefault="00964B88">
            <w:pPr>
              <w:cnfStyle w:val="000000000000" w:firstRow="0" w:lastRow="0" w:firstColumn="0" w:lastColumn="0" w:oddVBand="0" w:evenVBand="0" w:oddHBand="0" w:evenHBand="0" w:firstRowFirstColumn="0" w:firstRowLastColumn="0" w:lastRowFirstColumn="0" w:lastRowLastColumn="0"/>
            </w:pPr>
            <w:r>
              <w:t>115</w:t>
            </w:r>
          </w:p>
        </w:tc>
        <w:tc>
          <w:tcPr>
            <w:tcW w:w="850" w:type="dxa"/>
          </w:tcPr>
          <w:p w14:paraId="60D88711" w14:textId="77777777" w:rsidR="00964B88" w:rsidRDefault="00964B88">
            <w:pPr>
              <w:cnfStyle w:val="000000000000" w:firstRow="0" w:lastRow="0" w:firstColumn="0" w:lastColumn="0" w:oddVBand="0" w:evenVBand="0" w:oddHBand="0" w:evenHBand="0" w:firstRowFirstColumn="0" w:firstRowLastColumn="0" w:lastRowFirstColumn="0" w:lastRowLastColumn="0"/>
            </w:pPr>
            <w:r>
              <w:t>132</w:t>
            </w:r>
          </w:p>
        </w:tc>
        <w:tc>
          <w:tcPr>
            <w:tcW w:w="850" w:type="dxa"/>
          </w:tcPr>
          <w:p w14:paraId="6DC26F5D" w14:textId="77777777" w:rsidR="00964B88" w:rsidRDefault="00964B88">
            <w:pPr>
              <w:cnfStyle w:val="000000000000" w:firstRow="0" w:lastRow="0" w:firstColumn="0" w:lastColumn="0" w:oddVBand="0" w:evenVBand="0" w:oddHBand="0" w:evenHBand="0" w:firstRowFirstColumn="0" w:firstRowLastColumn="0" w:lastRowFirstColumn="0" w:lastRowLastColumn="0"/>
            </w:pPr>
            <w:r>
              <w:t>168</w:t>
            </w:r>
          </w:p>
        </w:tc>
      </w:tr>
      <w:tr w:rsidR="00964B88" w14:paraId="43A57754"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7CDE236B" w14:textId="77777777" w:rsidR="00964B88" w:rsidRDefault="00964B88">
            <w:r>
              <w:t>Dividends from non</w:t>
            </w:r>
            <w:r>
              <w:noBreakHyphen/>
              <w:t>public sector</w:t>
            </w:r>
          </w:p>
        </w:tc>
        <w:tc>
          <w:tcPr>
            <w:tcW w:w="850" w:type="dxa"/>
            <w:tcBorders>
              <w:bottom w:val="single" w:sz="6" w:space="0" w:color="auto"/>
            </w:tcBorders>
          </w:tcPr>
          <w:p w14:paraId="7101AC37" w14:textId="77777777" w:rsidR="00964B88" w:rsidRDefault="00964B88">
            <w:pPr>
              <w:cnfStyle w:val="000000000000" w:firstRow="0" w:lastRow="0" w:firstColumn="0" w:lastColumn="0" w:oddVBand="0" w:evenVBand="0" w:oddHBand="0" w:evenHBand="0" w:firstRowFirstColumn="0" w:firstRowLastColumn="0" w:lastRowFirstColumn="0" w:lastRowLastColumn="0"/>
            </w:pPr>
            <w:r>
              <w:t>107</w:t>
            </w:r>
          </w:p>
        </w:tc>
        <w:tc>
          <w:tcPr>
            <w:tcW w:w="850" w:type="dxa"/>
            <w:tcBorders>
              <w:bottom w:val="single" w:sz="6" w:space="0" w:color="auto"/>
            </w:tcBorders>
          </w:tcPr>
          <w:p w14:paraId="6838ACFE" w14:textId="77777777" w:rsidR="00964B88" w:rsidRDefault="00964B88">
            <w:pPr>
              <w:cnfStyle w:val="000000000000" w:firstRow="0" w:lastRow="0" w:firstColumn="0" w:lastColumn="0" w:oddVBand="0" w:evenVBand="0" w:oddHBand="0" w:evenHBand="0" w:firstRowFirstColumn="0" w:firstRowLastColumn="0" w:lastRowFirstColumn="0" w:lastRowLastColumn="0"/>
            </w:pPr>
            <w:r>
              <w:t>111</w:t>
            </w:r>
          </w:p>
        </w:tc>
        <w:tc>
          <w:tcPr>
            <w:tcW w:w="850" w:type="dxa"/>
            <w:tcBorders>
              <w:bottom w:val="single" w:sz="6" w:space="0" w:color="auto"/>
            </w:tcBorders>
          </w:tcPr>
          <w:p w14:paraId="61518595" w14:textId="77777777" w:rsidR="00964B88" w:rsidRDefault="00964B88">
            <w:pPr>
              <w:cnfStyle w:val="000000000000" w:firstRow="0" w:lastRow="0" w:firstColumn="0" w:lastColumn="0" w:oddVBand="0" w:evenVBand="0" w:oddHBand="0" w:evenHBand="0" w:firstRowFirstColumn="0" w:firstRowLastColumn="0" w:lastRowFirstColumn="0" w:lastRowLastColumn="0"/>
            </w:pPr>
            <w:r>
              <w:t>110</w:t>
            </w:r>
          </w:p>
        </w:tc>
        <w:tc>
          <w:tcPr>
            <w:tcW w:w="850" w:type="dxa"/>
            <w:tcBorders>
              <w:bottom w:val="single" w:sz="6" w:space="0" w:color="auto"/>
            </w:tcBorders>
          </w:tcPr>
          <w:p w14:paraId="0F7E81E5" w14:textId="77777777" w:rsidR="00964B88" w:rsidRDefault="00964B88">
            <w:pPr>
              <w:cnfStyle w:val="000000000000" w:firstRow="0" w:lastRow="0" w:firstColumn="0" w:lastColumn="0" w:oddVBand="0" w:evenVBand="0" w:oddHBand="0" w:evenHBand="0" w:firstRowFirstColumn="0" w:firstRowLastColumn="0" w:lastRowFirstColumn="0" w:lastRowLastColumn="0"/>
            </w:pPr>
            <w:r>
              <w:t>111</w:t>
            </w:r>
          </w:p>
        </w:tc>
        <w:tc>
          <w:tcPr>
            <w:tcW w:w="850" w:type="dxa"/>
            <w:tcBorders>
              <w:bottom w:val="single" w:sz="6" w:space="0" w:color="auto"/>
            </w:tcBorders>
          </w:tcPr>
          <w:p w14:paraId="0349DCBA" w14:textId="77777777" w:rsidR="00964B88" w:rsidRDefault="00964B88">
            <w:pPr>
              <w:cnfStyle w:val="000000000000" w:firstRow="0" w:lastRow="0" w:firstColumn="0" w:lastColumn="0" w:oddVBand="0" w:evenVBand="0" w:oddHBand="0" w:evenHBand="0" w:firstRowFirstColumn="0" w:firstRowLastColumn="0" w:lastRowFirstColumn="0" w:lastRowLastColumn="0"/>
            </w:pPr>
            <w:r>
              <w:t>112</w:t>
            </w:r>
          </w:p>
        </w:tc>
      </w:tr>
      <w:tr w:rsidR="00964B88" w14:paraId="0A0BF697"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3DDFAE5B" w14:textId="77777777" w:rsidR="00964B88" w:rsidRDefault="00964B88">
            <w:r>
              <w:rPr>
                <w:b/>
              </w:rPr>
              <w:t>Dividends</w:t>
            </w:r>
          </w:p>
        </w:tc>
        <w:tc>
          <w:tcPr>
            <w:tcW w:w="850" w:type="dxa"/>
            <w:tcBorders>
              <w:top w:val="single" w:sz="6" w:space="0" w:color="auto"/>
            </w:tcBorders>
          </w:tcPr>
          <w:p w14:paraId="4930A58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624</w:t>
            </w:r>
          </w:p>
        </w:tc>
        <w:tc>
          <w:tcPr>
            <w:tcW w:w="850" w:type="dxa"/>
            <w:tcBorders>
              <w:top w:val="single" w:sz="6" w:space="0" w:color="auto"/>
            </w:tcBorders>
          </w:tcPr>
          <w:p w14:paraId="6A4C4A3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562</w:t>
            </w:r>
          </w:p>
        </w:tc>
        <w:tc>
          <w:tcPr>
            <w:tcW w:w="850" w:type="dxa"/>
            <w:tcBorders>
              <w:top w:val="single" w:sz="6" w:space="0" w:color="auto"/>
            </w:tcBorders>
          </w:tcPr>
          <w:p w14:paraId="0BC930E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264</w:t>
            </w:r>
          </w:p>
        </w:tc>
        <w:tc>
          <w:tcPr>
            <w:tcW w:w="850" w:type="dxa"/>
            <w:tcBorders>
              <w:top w:val="single" w:sz="6" w:space="0" w:color="auto"/>
            </w:tcBorders>
          </w:tcPr>
          <w:p w14:paraId="4066A60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288</w:t>
            </w:r>
          </w:p>
        </w:tc>
        <w:tc>
          <w:tcPr>
            <w:tcW w:w="850" w:type="dxa"/>
            <w:tcBorders>
              <w:top w:val="single" w:sz="6" w:space="0" w:color="auto"/>
            </w:tcBorders>
          </w:tcPr>
          <w:p w14:paraId="3CFB26C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318</w:t>
            </w:r>
          </w:p>
        </w:tc>
      </w:tr>
      <w:tr w:rsidR="00964B88" w14:paraId="4292F9BF" w14:textId="77777777">
        <w:tc>
          <w:tcPr>
            <w:cnfStyle w:val="001000000000" w:firstRow="0" w:lastRow="0" w:firstColumn="1" w:lastColumn="0" w:oddVBand="0" w:evenVBand="0" w:oddHBand="0" w:evenHBand="0" w:firstRowFirstColumn="0" w:firstRowLastColumn="0" w:lastRowFirstColumn="0" w:lastRowLastColumn="0"/>
            <w:tcW w:w="3518" w:type="dxa"/>
          </w:tcPr>
          <w:p w14:paraId="07FFC538" w14:textId="77777777" w:rsidR="00964B88" w:rsidRDefault="00964B88">
            <w:r>
              <w:t>Income tax equivalent revenue from PFC sector</w:t>
            </w:r>
          </w:p>
        </w:tc>
        <w:tc>
          <w:tcPr>
            <w:tcW w:w="850" w:type="dxa"/>
          </w:tcPr>
          <w:p w14:paraId="7A3D97F5" w14:textId="77777777" w:rsidR="00964B88" w:rsidRDefault="00964B88">
            <w:pPr>
              <w:cnfStyle w:val="000000000000" w:firstRow="0" w:lastRow="0" w:firstColumn="0" w:lastColumn="0" w:oddVBand="0" w:evenVBand="0" w:oddHBand="0" w:evenHBand="0" w:firstRowFirstColumn="0" w:firstRowLastColumn="0" w:lastRowFirstColumn="0" w:lastRowLastColumn="0"/>
            </w:pPr>
            <w:r>
              <w:t>8</w:t>
            </w:r>
          </w:p>
        </w:tc>
        <w:tc>
          <w:tcPr>
            <w:tcW w:w="850" w:type="dxa"/>
          </w:tcPr>
          <w:p w14:paraId="27FB8F10"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c>
          <w:tcPr>
            <w:tcW w:w="850" w:type="dxa"/>
          </w:tcPr>
          <w:p w14:paraId="78AC126E" w14:textId="77777777" w:rsidR="00964B88" w:rsidRDefault="00964B88">
            <w:pPr>
              <w:cnfStyle w:val="000000000000" w:firstRow="0" w:lastRow="0" w:firstColumn="0" w:lastColumn="0" w:oddVBand="0" w:evenVBand="0" w:oddHBand="0" w:evenHBand="0" w:firstRowFirstColumn="0" w:firstRowLastColumn="0" w:lastRowFirstColumn="0" w:lastRowLastColumn="0"/>
            </w:pPr>
            <w:r>
              <w:t>7</w:t>
            </w:r>
          </w:p>
        </w:tc>
        <w:tc>
          <w:tcPr>
            <w:tcW w:w="850" w:type="dxa"/>
          </w:tcPr>
          <w:p w14:paraId="7C4BF9F2" w14:textId="77777777" w:rsidR="00964B88" w:rsidRDefault="00964B88">
            <w:pPr>
              <w:cnfStyle w:val="000000000000" w:firstRow="0" w:lastRow="0" w:firstColumn="0" w:lastColumn="0" w:oddVBand="0" w:evenVBand="0" w:oddHBand="0" w:evenHBand="0" w:firstRowFirstColumn="0" w:firstRowLastColumn="0" w:lastRowFirstColumn="0" w:lastRowLastColumn="0"/>
            </w:pPr>
            <w:r>
              <w:t>8</w:t>
            </w:r>
          </w:p>
        </w:tc>
        <w:tc>
          <w:tcPr>
            <w:tcW w:w="850" w:type="dxa"/>
          </w:tcPr>
          <w:p w14:paraId="09C0C003" w14:textId="77777777" w:rsidR="00964B88" w:rsidRDefault="00964B88">
            <w:pPr>
              <w:cnfStyle w:val="000000000000" w:firstRow="0" w:lastRow="0" w:firstColumn="0" w:lastColumn="0" w:oddVBand="0" w:evenVBand="0" w:oddHBand="0" w:evenHBand="0" w:firstRowFirstColumn="0" w:firstRowLastColumn="0" w:lastRowFirstColumn="0" w:lastRowLastColumn="0"/>
            </w:pPr>
            <w:r>
              <w:t>8</w:t>
            </w:r>
          </w:p>
        </w:tc>
      </w:tr>
      <w:tr w:rsidR="00964B88" w14:paraId="3650C29E"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1B83F93E" w14:textId="77777777" w:rsidR="00964B88" w:rsidRDefault="00964B88">
            <w:r>
              <w:t>Income tax equivalent revenue from PNFC sector</w:t>
            </w:r>
          </w:p>
        </w:tc>
        <w:tc>
          <w:tcPr>
            <w:tcW w:w="850" w:type="dxa"/>
            <w:tcBorders>
              <w:bottom w:val="single" w:sz="6" w:space="0" w:color="auto"/>
            </w:tcBorders>
          </w:tcPr>
          <w:p w14:paraId="30FD85BC" w14:textId="77777777" w:rsidR="00964B88" w:rsidRDefault="00964B88">
            <w:pPr>
              <w:cnfStyle w:val="000000000000" w:firstRow="0" w:lastRow="0" w:firstColumn="0" w:lastColumn="0" w:oddVBand="0" w:evenVBand="0" w:oddHBand="0" w:evenHBand="0" w:firstRowFirstColumn="0" w:firstRowLastColumn="0" w:lastRowFirstColumn="0" w:lastRowLastColumn="0"/>
            </w:pPr>
            <w:r>
              <w:t>224</w:t>
            </w:r>
          </w:p>
        </w:tc>
        <w:tc>
          <w:tcPr>
            <w:tcW w:w="850" w:type="dxa"/>
            <w:tcBorders>
              <w:bottom w:val="single" w:sz="6" w:space="0" w:color="auto"/>
            </w:tcBorders>
          </w:tcPr>
          <w:p w14:paraId="09003858" w14:textId="77777777" w:rsidR="00964B88" w:rsidRDefault="00964B88">
            <w:pPr>
              <w:cnfStyle w:val="000000000000" w:firstRow="0" w:lastRow="0" w:firstColumn="0" w:lastColumn="0" w:oddVBand="0" w:evenVBand="0" w:oddHBand="0" w:evenHBand="0" w:firstRowFirstColumn="0" w:firstRowLastColumn="0" w:lastRowFirstColumn="0" w:lastRowLastColumn="0"/>
            </w:pPr>
            <w:r>
              <w:t>250</w:t>
            </w:r>
          </w:p>
        </w:tc>
        <w:tc>
          <w:tcPr>
            <w:tcW w:w="850" w:type="dxa"/>
            <w:tcBorders>
              <w:bottom w:val="single" w:sz="6" w:space="0" w:color="auto"/>
            </w:tcBorders>
          </w:tcPr>
          <w:p w14:paraId="687E408A" w14:textId="77777777" w:rsidR="00964B88" w:rsidRDefault="00964B88">
            <w:pPr>
              <w:cnfStyle w:val="000000000000" w:firstRow="0" w:lastRow="0" w:firstColumn="0" w:lastColumn="0" w:oddVBand="0" w:evenVBand="0" w:oddHBand="0" w:evenHBand="0" w:firstRowFirstColumn="0" w:firstRowLastColumn="0" w:lastRowFirstColumn="0" w:lastRowLastColumn="0"/>
            </w:pPr>
            <w:r>
              <w:t>238</w:t>
            </w:r>
          </w:p>
        </w:tc>
        <w:tc>
          <w:tcPr>
            <w:tcW w:w="850" w:type="dxa"/>
            <w:tcBorders>
              <w:bottom w:val="single" w:sz="6" w:space="0" w:color="auto"/>
            </w:tcBorders>
          </w:tcPr>
          <w:p w14:paraId="4E7ECD4B" w14:textId="77777777" w:rsidR="00964B88" w:rsidRDefault="00964B88">
            <w:pPr>
              <w:cnfStyle w:val="000000000000" w:firstRow="0" w:lastRow="0" w:firstColumn="0" w:lastColumn="0" w:oddVBand="0" w:evenVBand="0" w:oddHBand="0" w:evenHBand="0" w:firstRowFirstColumn="0" w:firstRowLastColumn="0" w:lastRowFirstColumn="0" w:lastRowLastColumn="0"/>
            </w:pPr>
            <w:r>
              <w:t>223</w:t>
            </w:r>
          </w:p>
        </w:tc>
        <w:tc>
          <w:tcPr>
            <w:tcW w:w="850" w:type="dxa"/>
            <w:tcBorders>
              <w:bottom w:val="single" w:sz="6" w:space="0" w:color="auto"/>
            </w:tcBorders>
          </w:tcPr>
          <w:p w14:paraId="719683F2" w14:textId="77777777" w:rsidR="00964B88" w:rsidRDefault="00964B88">
            <w:pPr>
              <w:cnfStyle w:val="000000000000" w:firstRow="0" w:lastRow="0" w:firstColumn="0" w:lastColumn="0" w:oddVBand="0" w:evenVBand="0" w:oddHBand="0" w:evenHBand="0" w:firstRowFirstColumn="0" w:firstRowLastColumn="0" w:lastRowFirstColumn="0" w:lastRowLastColumn="0"/>
            </w:pPr>
            <w:r>
              <w:t>238</w:t>
            </w:r>
          </w:p>
        </w:tc>
      </w:tr>
      <w:tr w:rsidR="00964B88" w14:paraId="3E2A8703"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5346E9DC" w14:textId="77777777" w:rsidR="00964B88" w:rsidRDefault="00964B88">
            <w:r>
              <w:rPr>
                <w:b/>
              </w:rPr>
              <w:t>Income tax equivalent revenue</w:t>
            </w:r>
          </w:p>
        </w:tc>
        <w:tc>
          <w:tcPr>
            <w:tcW w:w="850" w:type="dxa"/>
            <w:tcBorders>
              <w:top w:val="single" w:sz="6" w:space="0" w:color="auto"/>
            </w:tcBorders>
          </w:tcPr>
          <w:p w14:paraId="62867B2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232</w:t>
            </w:r>
          </w:p>
        </w:tc>
        <w:tc>
          <w:tcPr>
            <w:tcW w:w="850" w:type="dxa"/>
            <w:tcBorders>
              <w:top w:val="single" w:sz="6" w:space="0" w:color="auto"/>
            </w:tcBorders>
          </w:tcPr>
          <w:p w14:paraId="5C3080E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257</w:t>
            </w:r>
          </w:p>
        </w:tc>
        <w:tc>
          <w:tcPr>
            <w:tcW w:w="850" w:type="dxa"/>
            <w:tcBorders>
              <w:top w:val="single" w:sz="6" w:space="0" w:color="auto"/>
            </w:tcBorders>
          </w:tcPr>
          <w:p w14:paraId="4BCD2A8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245</w:t>
            </w:r>
          </w:p>
        </w:tc>
        <w:tc>
          <w:tcPr>
            <w:tcW w:w="850" w:type="dxa"/>
            <w:tcBorders>
              <w:top w:val="single" w:sz="6" w:space="0" w:color="auto"/>
            </w:tcBorders>
          </w:tcPr>
          <w:p w14:paraId="18E5616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231</w:t>
            </w:r>
          </w:p>
        </w:tc>
        <w:tc>
          <w:tcPr>
            <w:tcW w:w="850" w:type="dxa"/>
            <w:tcBorders>
              <w:top w:val="single" w:sz="6" w:space="0" w:color="auto"/>
            </w:tcBorders>
          </w:tcPr>
          <w:p w14:paraId="32D55BA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246</w:t>
            </w:r>
          </w:p>
        </w:tc>
      </w:tr>
      <w:tr w:rsidR="00964B88" w14:paraId="4DB8927A"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008A5A68" w14:textId="77777777" w:rsidR="00964B88" w:rsidRDefault="00964B88">
            <w:r>
              <w:t>Local government rate equivalent revenue</w:t>
            </w:r>
          </w:p>
        </w:tc>
        <w:tc>
          <w:tcPr>
            <w:tcW w:w="850" w:type="dxa"/>
            <w:tcBorders>
              <w:bottom w:val="single" w:sz="6" w:space="0" w:color="auto"/>
            </w:tcBorders>
          </w:tcPr>
          <w:p w14:paraId="56BAF2DD" w14:textId="77777777" w:rsidR="00964B88" w:rsidRDefault="00964B88">
            <w:pPr>
              <w:cnfStyle w:val="000000000000" w:firstRow="0" w:lastRow="0" w:firstColumn="0" w:lastColumn="0" w:oddVBand="0" w:evenVBand="0" w:oddHBand="0" w:evenHBand="0" w:firstRowFirstColumn="0" w:firstRowLastColumn="0" w:lastRowFirstColumn="0" w:lastRowLastColumn="0"/>
            </w:pPr>
            <w:r>
              <w:t>7</w:t>
            </w:r>
          </w:p>
        </w:tc>
        <w:tc>
          <w:tcPr>
            <w:tcW w:w="850" w:type="dxa"/>
            <w:tcBorders>
              <w:bottom w:val="single" w:sz="6" w:space="0" w:color="auto"/>
            </w:tcBorders>
          </w:tcPr>
          <w:p w14:paraId="5D03F322"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c>
          <w:tcPr>
            <w:tcW w:w="850" w:type="dxa"/>
            <w:tcBorders>
              <w:bottom w:val="single" w:sz="6" w:space="0" w:color="auto"/>
            </w:tcBorders>
          </w:tcPr>
          <w:p w14:paraId="7B934567"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c>
          <w:tcPr>
            <w:tcW w:w="850" w:type="dxa"/>
            <w:tcBorders>
              <w:bottom w:val="single" w:sz="6" w:space="0" w:color="auto"/>
            </w:tcBorders>
          </w:tcPr>
          <w:p w14:paraId="5BDA6964" w14:textId="77777777" w:rsidR="00964B88" w:rsidRDefault="00964B88">
            <w:pPr>
              <w:cnfStyle w:val="000000000000" w:firstRow="0" w:lastRow="0" w:firstColumn="0" w:lastColumn="0" w:oddVBand="0" w:evenVBand="0" w:oddHBand="0" w:evenHBand="0" w:firstRowFirstColumn="0" w:firstRowLastColumn="0" w:lastRowFirstColumn="0" w:lastRowLastColumn="0"/>
            </w:pPr>
            <w:r>
              <w:t>7</w:t>
            </w:r>
          </w:p>
        </w:tc>
        <w:tc>
          <w:tcPr>
            <w:tcW w:w="850" w:type="dxa"/>
            <w:tcBorders>
              <w:bottom w:val="single" w:sz="6" w:space="0" w:color="auto"/>
            </w:tcBorders>
          </w:tcPr>
          <w:p w14:paraId="650A0D99"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r>
      <w:tr w:rsidR="00964B88" w14:paraId="58E84D07"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3CD841BD" w14:textId="77777777" w:rsidR="00964B88" w:rsidRDefault="00964B88">
            <w:r>
              <w:t>Total dividends, income tax equivalent and</w:t>
            </w:r>
            <w:r>
              <w:br/>
              <w:t>rate equivalent revenue</w:t>
            </w:r>
          </w:p>
        </w:tc>
        <w:tc>
          <w:tcPr>
            <w:tcW w:w="850" w:type="dxa"/>
          </w:tcPr>
          <w:p w14:paraId="4F5ECD52" w14:textId="77777777" w:rsidR="00964B88" w:rsidRDefault="00964B88">
            <w:pPr>
              <w:cnfStyle w:val="010000000000" w:firstRow="0" w:lastRow="1" w:firstColumn="0" w:lastColumn="0" w:oddVBand="0" w:evenVBand="0" w:oddHBand="0" w:evenHBand="0" w:firstRowFirstColumn="0" w:firstRowLastColumn="0" w:lastRowFirstColumn="0" w:lastRowLastColumn="0"/>
            </w:pPr>
            <w:r>
              <w:t>863</w:t>
            </w:r>
          </w:p>
        </w:tc>
        <w:tc>
          <w:tcPr>
            <w:tcW w:w="850" w:type="dxa"/>
          </w:tcPr>
          <w:p w14:paraId="02F79E95" w14:textId="77777777" w:rsidR="00964B88" w:rsidRDefault="00964B88">
            <w:pPr>
              <w:cnfStyle w:val="010000000000" w:firstRow="0" w:lastRow="1" w:firstColumn="0" w:lastColumn="0" w:oddVBand="0" w:evenVBand="0" w:oddHBand="0" w:evenHBand="0" w:firstRowFirstColumn="0" w:firstRowLastColumn="0" w:lastRowFirstColumn="0" w:lastRowLastColumn="0"/>
            </w:pPr>
            <w:r>
              <w:t>825</w:t>
            </w:r>
          </w:p>
        </w:tc>
        <w:tc>
          <w:tcPr>
            <w:tcW w:w="850" w:type="dxa"/>
          </w:tcPr>
          <w:p w14:paraId="708B5ACC" w14:textId="77777777" w:rsidR="00964B88" w:rsidRDefault="00964B88">
            <w:pPr>
              <w:cnfStyle w:val="010000000000" w:firstRow="0" w:lastRow="1" w:firstColumn="0" w:lastColumn="0" w:oddVBand="0" w:evenVBand="0" w:oddHBand="0" w:evenHBand="0" w:firstRowFirstColumn="0" w:firstRowLastColumn="0" w:lastRowFirstColumn="0" w:lastRowLastColumn="0"/>
            </w:pPr>
            <w:r>
              <w:t>515</w:t>
            </w:r>
          </w:p>
        </w:tc>
        <w:tc>
          <w:tcPr>
            <w:tcW w:w="850" w:type="dxa"/>
          </w:tcPr>
          <w:p w14:paraId="2D272572" w14:textId="77777777" w:rsidR="00964B88" w:rsidRDefault="00964B88">
            <w:pPr>
              <w:cnfStyle w:val="010000000000" w:firstRow="0" w:lastRow="1" w:firstColumn="0" w:lastColumn="0" w:oddVBand="0" w:evenVBand="0" w:oddHBand="0" w:evenHBand="0" w:firstRowFirstColumn="0" w:firstRowLastColumn="0" w:lastRowFirstColumn="0" w:lastRowLastColumn="0"/>
            </w:pPr>
            <w:r>
              <w:t>525</w:t>
            </w:r>
          </w:p>
        </w:tc>
        <w:tc>
          <w:tcPr>
            <w:tcW w:w="850" w:type="dxa"/>
          </w:tcPr>
          <w:p w14:paraId="51D44F05" w14:textId="77777777" w:rsidR="00964B88" w:rsidRDefault="00964B88">
            <w:pPr>
              <w:cnfStyle w:val="010000000000" w:firstRow="0" w:lastRow="1" w:firstColumn="0" w:lastColumn="0" w:oddVBand="0" w:evenVBand="0" w:oddHBand="0" w:evenHBand="0" w:firstRowFirstColumn="0" w:firstRowLastColumn="0" w:lastRowFirstColumn="0" w:lastRowLastColumn="0"/>
            </w:pPr>
            <w:r>
              <w:t>570</w:t>
            </w:r>
          </w:p>
        </w:tc>
      </w:tr>
    </w:tbl>
    <w:p w14:paraId="62DFFA0E" w14:textId="77777777" w:rsidR="00964B88" w:rsidRDefault="00964B88" w:rsidP="00F53820"/>
    <w:p w14:paraId="4588D63C" w14:textId="77777777" w:rsidR="00964B88" w:rsidRDefault="00964B88" w:rsidP="00F53820">
      <w:pPr>
        <w:pStyle w:val="TableHeading"/>
      </w:pPr>
      <w:bookmarkStart w:id="78" w:name="_Hlk25155042"/>
      <w:r w:rsidRPr="004E4D8E">
        <w:t xml:space="preserve">Dividends by entity </w:t>
      </w:r>
      <w:r w:rsidRPr="004E4D8E">
        <w:rPr>
          <w:vertAlign w:val="superscript"/>
        </w:rPr>
        <w:t>(a)</w:t>
      </w:r>
      <w:r w:rsidRPr="004E4D8E">
        <w:tab/>
      </w:r>
      <w:r w:rsidRPr="008C4F9A">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5B253B2D"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2D8F8BE6" w14:textId="77777777" w:rsidR="00964B88" w:rsidRDefault="00964B88"/>
        </w:tc>
        <w:tc>
          <w:tcPr>
            <w:tcW w:w="850" w:type="dxa"/>
          </w:tcPr>
          <w:p w14:paraId="76F6B0B2"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70E59B11"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337AC58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07F78FC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3F5280D5"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24BF3FC9" w14:textId="77777777">
        <w:tc>
          <w:tcPr>
            <w:cnfStyle w:val="001000000000" w:firstRow="0" w:lastRow="0" w:firstColumn="1" w:lastColumn="0" w:oddVBand="0" w:evenVBand="0" w:oddHBand="0" w:evenHBand="0" w:firstRowFirstColumn="0" w:firstRowLastColumn="0" w:lastRowFirstColumn="0" w:lastRowLastColumn="0"/>
            <w:tcW w:w="3518" w:type="dxa"/>
          </w:tcPr>
          <w:p w14:paraId="3E5C1858" w14:textId="77777777" w:rsidR="00964B88" w:rsidRDefault="00964B88">
            <w:r>
              <w:rPr>
                <w:b/>
              </w:rPr>
              <w:t>Public financial corporations</w:t>
            </w:r>
          </w:p>
        </w:tc>
        <w:tc>
          <w:tcPr>
            <w:tcW w:w="850" w:type="dxa"/>
          </w:tcPr>
          <w:p w14:paraId="6E1ED07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2F315A8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36A9E2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C40E42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07C89C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5059ED1D" w14:textId="77777777">
        <w:tc>
          <w:tcPr>
            <w:cnfStyle w:val="001000000000" w:firstRow="0" w:lastRow="0" w:firstColumn="1" w:lastColumn="0" w:oddVBand="0" w:evenVBand="0" w:oddHBand="0" w:evenHBand="0" w:firstRowFirstColumn="0" w:firstRowLastColumn="0" w:lastRowFirstColumn="0" w:lastRowLastColumn="0"/>
            <w:tcW w:w="3518" w:type="dxa"/>
          </w:tcPr>
          <w:p w14:paraId="57FED257" w14:textId="77777777" w:rsidR="00964B88" w:rsidRDefault="00964B88">
            <w:r>
              <w:t>Victorian Managed Insurance Authority</w:t>
            </w:r>
          </w:p>
        </w:tc>
        <w:tc>
          <w:tcPr>
            <w:tcW w:w="850" w:type="dxa"/>
          </w:tcPr>
          <w:p w14:paraId="65D84904" w14:textId="77777777" w:rsidR="00964B88" w:rsidRDefault="00964B88">
            <w:pPr>
              <w:cnfStyle w:val="000000000000" w:firstRow="0" w:lastRow="0" w:firstColumn="0" w:lastColumn="0" w:oddVBand="0" w:evenVBand="0" w:oddHBand="0" w:evenHBand="0" w:firstRowFirstColumn="0" w:firstRowLastColumn="0" w:lastRowFirstColumn="0" w:lastRowLastColumn="0"/>
            </w:pPr>
            <w:r>
              <w:t>52</w:t>
            </w:r>
          </w:p>
        </w:tc>
        <w:tc>
          <w:tcPr>
            <w:tcW w:w="850" w:type="dxa"/>
          </w:tcPr>
          <w:p w14:paraId="3576107F" w14:textId="77777777" w:rsidR="00964B88" w:rsidRDefault="00964B88">
            <w:pPr>
              <w:cnfStyle w:val="000000000000" w:firstRow="0" w:lastRow="0" w:firstColumn="0" w:lastColumn="0" w:oddVBand="0" w:evenVBand="0" w:oddHBand="0" w:evenHBand="0" w:firstRowFirstColumn="0" w:firstRowLastColumn="0" w:lastRowFirstColumn="0" w:lastRowLastColumn="0"/>
            </w:pPr>
            <w:r>
              <w:t>52</w:t>
            </w:r>
          </w:p>
        </w:tc>
        <w:tc>
          <w:tcPr>
            <w:tcW w:w="850" w:type="dxa"/>
          </w:tcPr>
          <w:p w14:paraId="0D639D26"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41907972"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5E8FDE8F"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4EDCBCE1" w14:textId="77777777">
        <w:tc>
          <w:tcPr>
            <w:cnfStyle w:val="001000000000" w:firstRow="0" w:lastRow="0" w:firstColumn="1" w:lastColumn="0" w:oddVBand="0" w:evenVBand="0" w:oddHBand="0" w:evenHBand="0" w:firstRowFirstColumn="0" w:firstRowLastColumn="0" w:lastRowFirstColumn="0" w:lastRowLastColumn="0"/>
            <w:tcW w:w="3518" w:type="dxa"/>
          </w:tcPr>
          <w:p w14:paraId="24EA5138" w14:textId="77777777" w:rsidR="00964B88" w:rsidRDefault="00964B88">
            <w:r>
              <w:t>Treasury Corporation of Victoria</w:t>
            </w:r>
          </w:p>
        </w:tc>
        <w:tc>
          <w:tcPr>
            <w:tcW w:w="850" w:type="dxa"/>
          </w:tcPr>
          <w:p w14:paraId="4C3AA976" w14:textId="77777777" w:rsidR="00964B88" w:rsidRDefault="00964B88">
            <w:pPr>
              <w:cnfStyle w:val="000000000000" w:firstRow="0" w:lastRow="0" w:firstColumn="0" w:lastColumn="0" w:oddVBand="0" w:evenVBand="0" w:oddHBand="0" w:evenHBand="0" w:firstRowFirstColumn="0" w:firstRowLastColumn="0" w:lastRowFirstColumn="0" w:lastRowLastColumn="0"/>
            </w:pPr>
            <w:r>
              <w:t>72</w:t>
            </w:r>
          </w:p>
        </w:tc>
        <w:tc>
          <w:tcPr>
            <w:tcW w:w="850" w:type="dxa"/>
          </w:tcPr>
          <w:p w14:paraId="0183DEBA" w14:textId="77777777" w:rsidR="00964B88" w:rsidRDefault="00964B88">
            <w:pPr>
              <w:cnfStyle w:val="000000000000" w:firstRow="0" w:lastRow="0" w:firstColumn="0" w:lastColumn="0" w:oddVBand="0" w:evenVBand="0" w:oddHBand="0" w:evenHBand="0" w:firstRowFirstColumn="0" w:firstRowLastColumn="0" w:lastRowFirstColumn="0" w:lastRowLastColumn="0"/>
            </w:pPr>
            <w:r>
              <w:t>50</w:t>
            </w:r>
          </w:p>
        </w:tc>
        <w:tc>
          <w:tcPr>
            <w:tcW w:w="850" w:type="dxa"/>
          </w:tcPr>
          <w:p w14:paraId="3B04244B" w14:textId="77777777" w:rsidR="00964B88" w:rsidRDefault="00964B88">
            <w:pPr>
              <w:cnfStyle w:val="000000000000" w:firstRow="0" w:lastRow="0" w:firstColumn="0" w:lastColumn="0" w:oddVBand="0" w:evenVBand="0" w:oddHBand="0" w:evenHBand="0" w:firstRowFirstColumn="0" w:firstRowLastColumn="0" w:lastRowFirstColumn="0" w:lastRowLastColumn="0"/>
            </w:pPr>
            <w:r>
              <w:t>31</w:t>
            </w:r>
          </w:p>
        </w:tc>
        <w:tc>
          <w:tcPr>
            <w:tcW w:w="850" w:type="dxa"/>
          </w:tcPr>
          <w:p w14:paraId="28F116DB" w14:textId="77777777" w:rsidR="00964B88" w:rsidRDefault="00964B88">
            <w:pPr>
              <w:cnfStyle w:val="000000000000" w:firstRow="0" w:lastRow="0" w:firstColumn="0" w:lastColumn="0" w:oddVBand="0" w:evenVBand="0" w:oddHBand="0" w:evenHBand="0" w:firstRowFirstColumn="0" w:firstRowLastColumn="0" w:lastRowFirstColumn="0" w:lastRowLastColumn="0"/>
            </w:pPr>
            <w:r>
              <w:t>36</w:t>
            </w:r>
          </w:p>
        </w:tc>
        <w:tc>
          <w:tcPr>
            <w:tcW w:w="850" w:type="dxa"/>
          </w:tcPr>
          <w:p w14:paraId="4406AB0C" w14:textId="77777777" w:rsidR="00964B88" w:rsidRDefault="00964B88">
            <w:pPr>
              <w:cnfStyle w:val="000000000000" w:firstRow="0" w:lastRow="0" w:firstColumn="0" w:lastColumn="0" w:oddVBand="0" w:evenVBand="0" w:oddHBand="0" w:evenHBand="0" w:firstRowFirstColumn="0" w:firstRowLastColumn="0" w:lastRowFirstColumn="0" w:lastRowLastColumn="0"/>
            </w:pPr>
            <w:r>
              <w:t>28</w:t>
            </w:r>
          </w:p>
        </w:tc>
      </w:tr>
      <w:tr w:rsidR="00964B88" w14:paraId="2B9DFCFF" w14:textId="77777777">
        <w:tc>
          <w:tcPr>
            <w:cnfStyle w:val="001000000000" w:firstRow="0" w:lastRow="0" w:firstColumn="1" w:lastColumn="0" w:oddVBand="0" w:evenVBand="0" w:oddHBand="0" w:evenHBand="0" w:firstRowFirstColumn="0" w:firstRowLastColumn="0" w:lastRowFirstColumn="0" w:lastRowLastColumn="0"/>
            <w:tcW w:w="3518" w:type="dxa"/>
          </w:tcPr>
          <w:p w14:paraId="0546F58F" w14:textId="77777777" w:rsidR="00964B88" w:rsidRDefault="00964B88">
            <w:r>
              <w:t>State Trustees Ltd</w:t>
            </w:r>
          </w:p>
        </w:tc>
        <w:tc>
          <w:tcPr>
            <w:tcW w:w="850" w:type="dxa"/>
          </w:tcPr>
          <w:p w14:paraId="0E471F0E"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c>
          <w:tcPr>
            <w:tcW w:w="850" w:type="dxa"/>
          </w:tcPr>
          <w:p w14:paraId="597F2717"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c>
          <w:tcPr>
            <w:tcW w:w="850" w:type="dxa"/>
          </w:tcPr>
          <w:p w14:paraId="7E0B705F"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Pr>
          <w:p w14:paraId="17E2F69B"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Pr>
          <w:p w14:paraId="791B6927"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r>
      <w:tr w:rsidR="00964B88" w14:paraId="17BDB719"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66FF97FA" w14:textId="77777777" w:rsidR="00964B88" w:rsidRDefault="00964B88">
            <w:r>
              <w:t>Victorian Funds Management Corporation</w:t>
            </w:r>
          </w:p>
        </w:tc>
        <w:tc>
          <w:tcPr>
            <w:tcW w:w="850" w:type="dxa"/>
            <w:tcBorders>
              <w:bottom w:val="single" w:sz="6" w:space="0" w:color="auto"/>
            </w:tcBorders>
          </w:tcPr>
          <w:p w14:paraId="76764DC0"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c>
          <w:tcPr>
            <w:tcW w:w="850" w:type="dxa"/>
            <w:tcBorders>
              <w:bottom w:val="single" w:sz="6" w:space="0" w:color="auto"/>
            </w:tcBorders>
          </w:tcPr>
          <w:p w14:paraId="3391A939" w14:textId="77777777" w:rsidR="00964B88" w:rsidRDefault="00964B88">
            <w:pPr>
              <w:cnfStyle w:val="000000000000" w:firstRow="0" w:lastRow="0" w:firstColumn="0" w:lastColumn="0" w:oddVBand="0" w:evenVBand="0" w:oddHBand="0" w:evenHBand="0" w:firstRowFirstColumn="0" w:firstRowLastColumn="0" w:lastRowFirstColumn="0" w:lastRowLastColumn="0"/>
            </w:pPr>
            <w:r>
              <w:t>7</w:t>
            </w:r>
          </w:p>
        </w:tc>
        <w:tc>
          <w:tcPr>
            <w:tcW w:w="850" w:type="dxa"/>
            <w:tcBorders>
              <w:bottom w:val="single" w:sz="6" w:space="0" w:color="auto"/>
            </w:tcBorders>
          </w:tcPr>
          <w:p w14:paraId="7615CDE4"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c>
          <w:tcPr>
            <w:tcW w:w="850" w:type="dxa"/>
            <w:tcBorders>
              <w:bottom w:val="single" w:sz="6" w:space="0" w:color="auto"/>
            </w:tcBorders>
          </w:tcPr>
          <w:p w14:paraId="3D888A08" w14:textId="77777777" w:rsidR="00964B88" w:rsidRDefault="00964B88">
            <w:pPr>
              <w:cnfStyle w:val="000000000000" w:firstRow="0" w:lastRow="0" w:firstColumn="0" w:lastColumn="0" w:oddVBand="0" w:evenVBand="0" w:oddHBand="0" w:evenHBand="0" w:firstRowFirstColumn="0" w:firstRowLastColumn="0" w:lastRowFirstColumn="0" w:lastRowLastColumn="0"/>
            </w:pPr>
            <w:r>
              <w:t>7</w:t>
            </w:r>
          </w:p>
        </w:tc>
        <w:tc>
          <w:tcPr>
            <w:tcW w:w="850" w:type="dxa"/>
            <w:tcBorders>
              <w:bottom w:val="single" w:sz="6" w:space="0" w:color="auto"/>
            </w:tcBorders>
          </w:tcPr>
          <w:p w14:paraId="3A242574" w14:textId="77777777" w:rsidR="00964B88" w:rsidRDefault="00964B88">
            <w:pPr>
              <w:cnfStyle w:val="000000000000" w:firstRow="0" w:lastRow="0" w:firstColumn="0" w:lastColumn="0" w:oddVBand="0" w:evenVBand="0" w:oddHBand="0" w:evenHBand="0" w:firstRowFirstColumn="0" w:firstRowLastColumn="0" w:lastRowFirstColumn="0" w:lastRowLastColumn="0"/>
            </w:pPr>
            <w:r>
              <w:t>8</w:t>
            </w:r>
          </w:p>
        </w:tc>
      </w:tr>
      <w:tr w:rsidR="00964B88" w14:paraId="1AA7E37D"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12" w:space="0" w:color="auto"/>
            </w:tcBorders>
          </w:tcPr>
          <w:p w14:paraId="6425F965" w14:textId="77777777" w:rsidR="00964B88" w:rsidRDefault="00964B88">
            <w:r>
              <w:rPr>
                <w:b/>
              </w:rPr>
              <w:t>Dividends from PFC sector</w:t>
            </w:r>
          </w:p>
        </w:tc>
        <w:tc>
          <w:tcPr>
            <w:tcW w:w="850" w:type="dxa"/>
            <w:tcBorders>
              <w:top w:val="single" w:sz="6" w:space="0" w:color="auto"/>
              <w:bottom w:val="single" w:sz="12" w:space="0" w:color="auto"/>
            </w:tcBorders>
          </w:tcPr>
          <w:p w14:paraId="1FDD843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132</w:t>
            </w:r>
          </w:p>
        </w:tc>
        <w:tc>
          <w:tcPr>
            <w:tcW w:w="850" w:type="dxa"/>
            <w:tcBorders>
              <w:top w:val="single" w:sz="6" w:space="0" w:color="auto"/>
              <w:bottom w:val="single" w:sz="12" w:space="0" w:color="auto"/>
            </w:tcBorders>
          </w:tcPr>
          <w:p w14:paraId="1024FFE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111</w:t>
            </w:r>
          </w:p>
        </w:tc>
        <w:tc>
          <w:tcPr>
            <w:tcW w:w="850" w:type="dxa"/>
            <w:tcBorders>
              <w:top w:val="single" w:sz="6" w:space="0" w:color="auto"/>
              <w:bottom w:val="single" w:sz="12" w:space="0" w:color="auto"/>
            </w:tcBorders>
          </w:tcPr>
          <w:p w14:paraId="7679176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39</w:t>
            </w:r>
          </w:p>
        </w:tc>
        <w:tc>
          <w:tcPr>
            <w:tcW w:w="850" w:type="dxa"/>
            <w:tcBorders>
              <w:top w:val="single" w:sz="6" w:space="0" w:color="auto"/>
              <w:bottom w:val="single" w:sz="12" w:space="0" w:color="auto"/>
            </w:tcBorders>
          </w:tcPr>
          <w:p w14:paraId="1E84B5B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45</w:t>
            </w:r>
          </w:p>
        </w:tc>
        <w:tc>
          <w:tcPr>
            <w:tcW w:w="850" w:type="dxa"/>
            <w:tcBorders>
              <w:top w:val="single" w:sz="6" w:space="0" w:color="auto"/>
              <w:bottom w:val="single" w:sz="12" w:space="0" w:color="auto"/>
            </w:tcBorders>
          </w:tcPr>
          <w:p w14:paraId="643D31A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37</w:t>
            </w:r>
          </w:p>
        </w:tc>
      </w:tr>
      <w:tr w:rsidR="00964B88" w14:paraId="0C78FDF4"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35CEEEE1" w14:textId="77777777" w:rsidR="00964B88" w:rsidRDefault="00964B88">
            <w:r>
              <w:t>City West Water Corporation</w:t>
            </w:r>
          </w:p>
        </w:tc>
        <w:tc>
          <w:tcPr>
            <w:tcW w:w="850" w:type="dxa"/>
            <w:tcBorders>
              <w:top w:val="single" w:sz="6" w:space="0" w:color="auto"/>
            </w:tcBorders>
          </w:tcPr>
          <w:p w14:paraId="5EAEF79E" w14:textId="77777777" w:rsidR="00964B88" w:rsidRDefault="00964B88">
            <w:pPr>
              <w:cnfStyle w:val="000000000000" w:firstRow="0" w:lastRow="0" w:firstColumn="0" w:lastColumn="0" w:oddVBand="0" w:evenVBand="0" w:oddHBand="0" w:evenHBand="0" w:firstRowFirstColumn="0" w:firstRowLastColumn="0" w:lastRowFirstColumn="0" w:lastRowLastColumn="0"/>
            </w:pPr>
            <w:r>
              <w:t>68</w:t>
            </w:r>
          </w:p>
        </w:tc>
        <w:tc>
          <w:tcPr>
            <w:tcW w:w="850" w:type="dxa"/>
            <w:tcBorders>
              <w:top w:val="single" w:sz="6" w:space="0" w:color="auto"/>
            </w:tcBorders>
          </w:tcPr>
          <w:p w14:paraId="795E45FB" w14:textId="77777777" w:rsidR="00964B88" w:rsidRDefault="00964B88">
            <w:pPr>
              <w:cnfStyle w:val="000000000000" w:firstRow="0" w:lastRow="0" w:firstColumn="0" w:lastColumn="0" w:oddVBand="0" w:evenVBand="0" w:oddHBand="0" w:evenHBand="0" w:firstRowFirstColumn="0" w:firstRowLastColumn="0" w:lastRowFirstColumn="0" w:lastRowLastColumn="0"/>
            </w:pPr>
            <w:r>
              <w:t>66</w:t>
            </w:r>
          </w:p>
        </w:tc>
        <w:tc>
          <w:tcPr>
            <w:tcW w:w="850" w:type="dxa"/>
            <w:tcBorders>
              <w:top w:val="single" w:sz="6" w:space="0" w:color="auto"/>
            </w:tcBorders>
          </w:tcPr>
          <w:p w14:paraId="30AFA95E" w14:textId="77777777" w:rsidR="00964B88" w:rsidRDefault="00964B88">
            <w:pPr>
              <w:cnfStyle w:val="000000000000" w:firstRow="0" w:lastRow="0" w:firstColumn="0" w:lastColumn="0" w:oddVBand="0" w:evenVBand="0" w:oddHBand="0" w:evenHBand="0" w:firstRowFirstColumn="0" w:firstRowLastColumn="0" w:lastRowFirstColumn="0" w:lastRowLastColumn="0"/>
            </w:pPr>
            <w:r>
              <w:t>32</w:t>
            </w:r>
          </w:p>
        </w:tc>
        <w:tc>
          <w:tcPr>
            <w:tcW w:w="850" w:type="dxa"/>
            <w:tcBorders>
              <w:top w:val="single" w:sz="6" w:space="0" w:color="auto"/>
            </w:tcBorders>
          </w:tcPr>
          <w:p w14:paraId="5E01464D" w14:textId="77777777" w:rsidR="00964B88" w:rsidRDefault="00964B88">
            <w:pPr>
              <w:cnfStyle w:val="000000000000" w:firstRow="0" w:lastRow="0" w:firstColumn="0" w:lastColumn="0" w:oddVBand="0" w:evenVBand="0" w:oddHBand="0" w:evenHBand="0" w:firstRowFirstColumn="0" w:firstRowLastColumn="0" w:lastRowFirstColumn="0" w:lastRowLastColumn="0"/>
            </w:pPr>
            <w:r>
              <w:t>34</w:t>
            </w:r>
          </w:p>
        </w:tc>
        <w:tc>
          <w:tcPr>
            <w:tcW w:w="850" w:type="dxa"/>
            <w:tcBorders>
              <w:top w:val="single" w:sz="6" w:space="0" w:color="auto"/>
            </w:tcBorders>
          </w:tcPr>
          <w:p w14:paraId="71F2D8ED" w14:textId="77777777" w:rsidR="00964B88" w:rsidRDefault="00964B88">
            <w:pPr>
              <w:cnfStyle w:val="000000000000" w:firstRow="0" w:lastRow="0" w:firstColumn="0" w:lastColumn="0" w:oddVBand="0" w:evenVBand="0" w:oddHBand="0" w:evenHBand="0" w:firstRowFirstColumn="0" w:firstRowLastColumn="0" w:lastRowFirstColumn="0" w:lastRowLastColumn="0"/>
            </w:pPr>
            <w:r>
              <w:t>34</w:t>
            </w:r>
          </w:p>
        </w:tc>
      </w:tr>
      <w:tr w:rsidR="00964B88" w14:paraId="1FA91F0F" w14:textId="77777777">
        <w:tc>
          <w:tcPr>
            <w:cnfStyle w:val="001000000000" w:firstRow="0" w:lastRow="0" w:firstColumn="1" w:lastColumn="0" w:oddVBand="0" w:evenVBand="0" w:oddHBand="0" w:evenHBand="0" w:firstRowFirstColumn="0" w:firstRowLastColumn="0" w:lastRowFirstColumn="0" w:lastRowLastColumn="0"/>
            <w:tcW w:w="3518" w:type="dxa"/>
          </w:tcPr>
          <w:p w14:paraId="18B324E1" w14:textId="77777777" w:rsidR="00964B88" w:rsidRDefault="00964B88">
            <w:r>
              <w:t>Melbourne Water Corporation</w:t>
            </w:r>
          </w:p>
        </w:tc>
        <w:tc>
          <w:tcPr>
            <w:tcW w:w="850" w:type="dxa"/>
          </w:tcPr>
          <w:p w14:paraId="2B9A77CC" w14:textId="77777777" w:rsidR="00964B88" w:rsidRDefault="00964B88">
            <w:pPr>
              <w:cnfStyle w:val="000000000000" w:firstRow="0" w:lastRow="0" w:firstColumn="0" w:lastColumn="0" w:oddVBand="0" w:evenVBand="0" w:oddHBand="0" w:evenHBand="0" w:firstRowFirstColumn="0" w:firstRowLastColumn="0" w:lastRowFirstColumn="0" w:lastRowLastColumn="0"/>
            </w:pPr>
            <w:r>
              <w:t>53</w:t>
            </w:r>
          </w:p>
        </w:tc>
        <w:tc>
          <w:tcPr>
            <w:tcW w:w="850" w:type="dxa"/>
          </w:tcPr>
          <w:p w14:paraId="5FF29F74" w14:textId="77777777" w:rsidR="00964B88" w:rsidRDefault="00964B88">
            <w:pPr>
              <w:cnfStyle w:val="000000000000" w:firstRow="0" w:lastRow="0" w:firstColumn="0" w:lastColumn="0" w:oddVBand="0" w:evenVBand="0" w:oddHBand="0" w:evenHBand="0" w:firstRowFirstColumn="0" w:firstRowLastColumn="0" w:lastRowFirstColumn="0" w:lastRowLastColumn="0"/>
            </w:pPr>
            <w:r>
              <w:t>69</w:t>
            </w:r>
          </w:p>
        </w:tc>
        <w:tc>
          <w:tcPr>
            <w:tcW w:w="850" w:type="dxa"/>
          </w:tcPr>
          <w:p w14:paraId="79DC16E1"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Pr>
          <w:p w14:paraId="0B66AB9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7CD20224"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0D81DDB3" w14:textId="77777777">
        <w:tc>
          <w:tcPr>
            <w:cnfStyle w:val="001000000000" w:firstRow="0" w:lastRow="0" w:firstColumn="1" w:lastColumn="0" w:oddVBand="0" w:evenVBand="0" w:oddHBand="0" w:evenHBand="0" w:firstRowFirstColumn="0" w:firstRowLastColumn="0" w:lastRowFirstColumn="0" w:lastRowLastColumn="0"/>
            <w:tcW w:w="3518" w:type="dxa"/>
          </w:tcPr>
          <w:p w14:paraId="36193F38" w14:textId="77777777" w:rsidR="00964B88" w:rsidRDefault="00964B88">
            <w:r>
              <w:t>South East Water Corporation</w:t>
            </w:r>
          </w:p>
        </w:tc>
        <w:tc>
          <w:tcPr>
            <w:tcW w:w="850" w:type="dxa"/>
          </w:tcPr>
          <w:p w14:paraId="019B06BD" w14:textId="77777777" w:rsidR="00964B88" w:rsidRDefault="00964B88">
            <w:pPr>
              <w:cnfStyle w:val="000000000000" w:firstRow="0" w:lastRow="0" w:firstColumn="0" w:lastColumn="0" w:oddVBand="0" w:evenVBand="0" w:oddHBand="0" w:evenHBand="0" w:firstRowFirstColumn="0" w:firstRowLastColumn="0" w:lastRowFirstColumn="0" w:lastRowLastColumn="0"/>
            </w:pPr>
            <w:r>
              <w:t>140</w:t>
            </w:r>
          </w:p>
        </w:tc>
        <w:tc>
          <w:tcPr>
            <w:tcW w:w="850" w:type="dxa"/>
          </w:tcPr>
          <w:p w14:paraId="335E2766" w14:textId="77777777" w:rsidR="00964B88" w:rsidRDefault="00964B88">
            <w:pPr>
              <w:cnfStyle w:val="000000000000" w:firstRow="0" w:lastRow="0" w:firstColumn="0" w:lastColumn="0" w:oddVBand="0" w:evenVBand="0" w:oddHBand="0" w:evenHBand="0" w:firstRowFirstColumn="0" w:firstRowLastColumn="0" w:lastRowFirstColumn="0" w:lastRowLastColumn="0"/>
            </w:pPr>
            <w:r>
              <w:t>135</w:t>
            </w:r>
          </w:p>
        </w:tc>
        <w:tc>
          <w:tcPr>
            <w:tcW w:w="850" w:type="dxa"/>
          </w:tcPr>
          <w:p w14:paraId="3E1A4A60" w14:textId="77777777" w:rsidR="00964B88" w:rsidRDefault="00964B88">
            <w:pPr>
              <w:cnfStyle w:val="000000000000" w:firstRow="0" w:lastRow="0" w:firstColumn="0" w:lastColumn="0" w:oddVBand="0" w:evenVBand="0" w:oddHBand="0" w:evenHBand="0" w:firstRowFirstColumn="0" w:firstRowLastColumn="0" w:lastRowFirstColumn="0" w:lastRowLastColumn="0"/>
            </w:pPr>
            <w:r>
              <w:t>38</w:t>
            </w:r>
          </w:p>
        </w:tc>
        <w:tc>
          <w:tcPr>
            <w:tcW w:w="850" w:type="dxa"/>
          </w:tcPr>
          <w:p w14:paraId="11A40D72" w14:textId="77777777" w:rsidR="00964B88" w:rsidRDefault="00964B88">
            <w:pPr>
              <w:cnfStyle w:val="000000000000" w:firstRow="0" w:lastRow="0" w:firstColumn="0" w:lastColumn="0" w:oddVBand="0" w:evenVBand="0" w:oddHBand="0" w:evenHBand="0" w:firstRowFirstColumn="0" w:firstRowLastColumn="0" w:lastRowFirstColumn="0" w:lastRowLastColumn="0"/>
            </w:pPr>
            <w:r>
              <w:t>41</w:t>
            </w:r>
          </w:p>
        </w:tc>
        <w:tc>
          <w:tcPr>
            <w:tcW w:w="850" w:type="dxa"/>
          </w:tcPr>
          <w:p w14:paraId="5DA491FF"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r>
      <w:tr w:rsidR="00964B88" w14:paraId="5A61D359" w14:textId="77777777">
        <w:tc>
          <w:tcPr>
            <w:cnfStyle w:val="001000000000" w:firstRow="0" w:lastRow="0" w:firstColumn="1" w:lastColumn="0" w:oddVBand="0" w:evenVBand="0" w:oddHBand="0" w:evenHBand="0" w:firstRowFirstColumn="0" w:firstRowLastColumn="0" w:lastRowFirstColumn="0" w:lastRowLastColumn="0"/>
            <w:tcW w:w="3518" w:type="dxa"/>
          </w:tcPr>
          <w:p w14:paraId="4A22CB62" w14:textId="77777777" w:rsidR="00964B88" w:rsidRDefault="00964B88">
            <w:r>
              <w:t>Yarra Valley Water Corporation</w:t>
            </w:r>
          </w:p>
        </w:tc>
        <w:tc>
          <w:tcPr>
            <w:tcW w:w="850" w:type="dxa"/>
          </w:tcPr>
          <w:p w14:paraId="33E140A6" w14:textId="77777777" w:rsidR="00964B88" w:rsidRDefault="00964B88">
            <w:pPr>
              <w:cnfStyle w:val="000000000000" w:firstRow="0" w:lastRow="0" w:firstColumn="0" w:lastColumn="0" w:oddVBand="0" w:evenVBand="0" w:oddHBand="0" w:evenHBand="0" w:firstRowFirstColumn="0" w:firstRowLastColumn="0" w:lastRowFirstColumn="0" w:lastRowLastColumn="0"/>
            </w:pPr>
            <w:r>
              <w:t>77</w:t>
            </w:r>
          </w:p>
        </w:tc>
        <w:tc>
          <w:tcPr>
            <w:tcW w:w="850" w:type="dxa"/>
          </w:tcPr>
          <w:p w14:paraId="6379F62C" w14:textId="77777777" w:rsidR="00964B88" w:rsidRDefault="00964B88">
            <w:pPr>
              <w:cnfStyle w:val="000000000000" w:firstRow="0" w:lastRow="0" w:firstColumn="0" w:lastColumn="0" w:oddVBand="0" w:evenVBand="0" w:oddHBand="0" w:evenHBand="0" w:firstRowFirstColumn="0" w:firstRowLastColumn="0" w:lastRowFirstColumn="0" w:lastRowLastColumn="0"/>
            </w:pPr>
            <w:r>
              <w:t>68</w:t>
            </w:r>
          </w:p>
        </w:tc>
        <w:tc>
          <w:tcPr>
            <w:tcW w:w="850" w:type="dxa"/>
          </w:tcPr>
          <w:p w14:paraId="58E5D5F7" w14:textId="77777777" w:rsidR="00964B88" w:rsidRDefault="00964B88">
            <w:pPr>
              <w:cnfStyle w:val="000000000000" w:firstRow="0" w:lastRow="0" w:firstColumn="0" w:lastColumn="0" w:oddVBand="0" w:evenVBand="0" w:oddHBand="0" w:evenHBand="0" w:firstRowFirstColumn="0" w:firstRowLastColumn="0" w:lastRowFirstColumn="0" w:lastRowLastColumn="0"/>
            </w:pPr>
            <w:r>
              <w:t>33</w:t>
            </w:r>
          </w:p>
        </w:tc>
        <w:tc>
          <w:tcPr>
            <w:tcW w:w="850" w:type="dxa"/>
          </w:tcPr>
          <w:p w14:paraId="044E58B9" w14:textId="77777777" w:rsidR="00964B88" w:rsidRDefault="00964B88">
            <w:pPr>
              <w:cnfStyle w:val="000000000000" w:firstRow="0" w:lastRow="0" w:firstColumn="0" w:lastColumn="0" w:oddVBand="0" w:evenVBand="0" w:oddHBand="0" w:evenHBand="0" w:firstRowFirstColumn="0" w:firstRowLastColumn="0" w:lastRowFirstColumn="0" w:lastRowLastColumn="0"/>
            </w:pPr>
            <w:r>
              <w:t>37</w:t>
            </w:r>
          </w:p>
        </w:tc>
        <w:tc>
          <w:tcPr>
            <w:tcW w:w="850" w:type="dxa"/>
          </w:tcPr>
          <w:p w14:paraId="4CAE6B93" w14:textId="77777777" w:rsidR="00964B88" w:rsidRDefault="00964B88">
            <w:pPr>
              <w:cnfStyle w:val="000000000000" w:firstRow="0" w:lastRow="0" w:firstColumn="0" w:lastColumn="0" w:oddVBand="0" w:evenVBand="0" w:oddHBand="0" w:evenHBand="0" w:firstRowFirstColumn="0" w:firstRowLastColumn="0" w:lastRowFirstColumn="0" w:lastRowLastColumn="0"/>
            </w:pPr>
            <w:r>
              <w:t>36</w:t>
            </w:r>
          </w:p>
        </w:tc>
      </w:tr>
      <w:tr w:rsidR="00964B88" w14:paraId="4331A416" w14:textId="77777777">
        <w:tc>
          <w:tcPr>
            <w:cnfStyle w:val="001000000000" w:firstRow="0" w:lastRow="0" w:firstColumn="1" w:lastColumn="0" w:oddVBand="0" w:evenVBand="0" w:oddHBand="0" w:evenHBand="0" w:firstRowFirstColumn="0" w:firstRowLastColumn="0" w:lastRowFirstColumn="0" w:lastRowLastColumn="0"/>
            <w:tcW w:w="3518" w:type="dxa"/>
          </w:tcPr>
          <w:p w14:paraId="75F5DB37" w14:textId="77777777" w:rsidR="00964B88" w:rsidRDefault="00964B88">
            <w:r>
              <w:t>Development Victoria</w:t>
            </w:r>
          </w:p>
        </w:tc>
        <w:tc>
          <w:tcPr>
            <w:tcW w:w="850" w:type="dxa"/>
          </w:tcPr>
          <w:p w14:paraId="73E7BDAB" w14:textId="77777777" w:rsidR="00964B88" w:rsidRDefault="00964B88">
            <w:pPr>
              <w:cnfStyle w:val="000000000000" w:firstRow="0" w:lastRow="0" w:firstColumn="0" w:lastColumn="0" w:oddVBand="0" w:evenVBand="0" w:oddHBand="0" w:evenHBand="0" w:firstRowFirstColumn="0" w:firstRowLastColumn="0" w:lastRowFirstColumn="0" w:lastRowLastColumn="0"/>
            </w:pPr>
            <w:r>
              <w:t>43</w:t>
            </w:r>
          </w:p>
        </w:tc>
        <w:tc>
          <w:tcPr>
            <w:tcW w:w="850" w:type="dxa"/>
          </w:tcPr>
          <w:p w14:paraId="1C645085"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Pr>
          <w:p w14:paraId="4F71BA7C" w14:textId="77777777" w:rsidR="00964B88" w:rsidRDefault="00964B88">
            <w:pPr>
              <w:cnfStyle w:val="000000000000" w:firstRow="0" w:lastRow="0" w:firstColumn="0" w:lastColumn="0" w:oddVBand="0" w:evenVBand="0" w:oddHBand="0" w:evenHBand="0" w:firstRowFirstColumn="0" w:firstRowLastColumn="0" w:lastRowFirstColumn="0" w:lastRowLastColumn="0"/>
            </w:pPr>
            <w:r>
              <w:t>11</w:t>
            </w:r>
          </w:p>
        </w:tc>
        <w:tc>
          <w:tcPr>
            <w:tcW w:w="850" w:type="dxa"/>
          </w:tcPr>
          <w:p w14:paraId="590BFB6A" w14:textId="77777777" w:rsidR="00964B88" w:rsidRDefault="00964B88">
            <w:pPr>
              <w:cnfStyle w:val="000000000000" w:firstRow="0" w:lastRow="0" w:firstColumn="0" w:lastColumn="0" w:oddVBand="0" w:evenVBand="0" w:oddHBand="0" w:evenHBand="0" w:firstRowFirstColumn="0" w:firstRowLastColumn="0" w:lastRowFirstColumn="0" w:lastRowLastColumn="0"/>
            </w:pPr>
            <w:r>
              <w:t>17</w:t>
            </w:r>
          </w:p>
        </w:tc>
        <w:tc>
          <w:tcPr>
            <w:tcW w:w="850" w:type="dxa"/>
          </w:tcPr>
          <w:p w14:paraId="3BB8FF94" w14:textId="77777777" w:rsidR="00964B88" w:rsidRDefault="00964B88">
            <w:pPr>
              <w:cnfStyle w:val="000000000000" w:firstRow="0" w:lastRow="0" w:firstColumn="0" w:lastColumn="0" w:oddVBand="0" w:evenVBand="0" w:oddHBand="0" w:evenHBand="0" w:firstRowFirstColumn="0" w:firstRowLastColumn="0" w:lastRowFirstColumn="0" w:lastRowLastColumn="0"/>
            </w:pPr>
            <w:r>
              <w:t>51</w:t>
            </w:r>
          </w:p>
        </w:tc>
      </w:tr>
      <w:tr w:rsidR="00964B88" w14:paraId="4ED53CCF"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6270B93B" w14:textId="77777777" w:rsidR="00964B88" w:rsidRDefault="00964B88">
            <w:r>
              <w:t>Others</w:t>
            </w:r>
          </w:p>
        </w:tc>
        <w:tc>
          <w:tcPr>
            <w:tcW w:w="850" w:type="dxa"/>
            <w:tcBorders>
              <w:bottom w:val="single" w:sz="6" w:space="0" w:color="auto"/>
            </w:tcBorders>
          </w:tcPr>
          <w:p w14:paraId="197EF317"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c>
          <w:tcPr>
            <w:tcW w:w="850" w:type="dxa"/>
            <w:tcBorders>
              <w:bottom w:val="single" w:sz="6" w:space="0" w:color="auto"/>
            </w:tcBorders>
          </w:tcPr>
          <w:p w14:paraId="364066FD"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c>
          <w:tcPr>
            <w:tcW w:w="850" w:type="dxa"/>
            <w:tcBorders>
              <w:bottom w:val="single" w:sz="6" w:space="0" w:color="auto"/>
            </w:tcBorders>
          </w:tcPr>
          <w:p w14:paraId="5FBBC323"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Borders>
              <w:bottom w:val="single" w:sz="6" w:space="0" w:color="auto"/>
            </w:tcBorders>
          </w:tcPr>
          <w:p w14:paraId="4139FDA4"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c>
          <w:tcPr>
            <w:tcW w:w="850" w:type="dxa"/>
            <w:tcBorders>
              <w:bottom w:val="single" w:sz="6" w:space="0" w:color="auto"/>
            </w:tcBorders>
          </w:tcPr>
          <w:p w14:paraId="68C453F1"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r>
      <w:tr w:rsidR="00964B88" w14:paraId="56A8C663"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658ABF7E" w14:textId="77777777" w:rsidR="00964B88" w:rsidRDefault="00964B88">
            <w:r>
              <w:t>Dividends from PNFC sector</w:t>
            </w:r>
          </w:p>
        </w:tc>
        <w:tc>
          <w:tcPr>
            <w:tcW w:w="850" w:type="dxa"/>
          </w:tcPr>
          <w:p w14:paraId="16E12D00" w14:textId="77777777" w:rsidR="00964B88" w:rsidRDefault="00964B88">
            <w:pPr>
              <w:cnfStyle w:val="010000000000" w:firstRow="0" w:lastRow="1" w:firstColumn="0" w:lastColumn="0" w:oddVBand="0" w:evenVBand="0" w:oddHBand="0" w:evenHBand="0" w:firstRowFirstColumn="0" w:firstRowLastColumn="0" w:lastRowFirstColumn="0" w:lastRowLastColumn="0"/>
            </w:pPr>
            <w:r>
              <w:t>385</w:t>
            </w:r>
          </w:p>
        </w:tc>
        <w:tc>
          <w:tcPr>
            <w:tcW w:w="850" w:type="dxa"/>
          </w:tcPr>
          <w:p w14:paraId="578825E0" w14:textId="77777777" w:rsidR="00964B88" w:rsidRDefault="00964B88">
            <w:pPr>
              <w:cnfStyle w:val="010000000000" w:firstRow="0" w:lastRow="1" w:firstColumn="0" w:lastColumn="0" w:oddVBand="0" w:evenVBand="0" w:oddHBand="0" w:evenHBand="0" w:firstRowFirstColumn="0" w:firstRowLastColumn="0" w:lastRowFirstColumn="0" w:lastRowLastColumn="0"/>
            </w:pPr>
            <w:r>
              <w:t>340</w:t>
            </w:r>
          </w:p>
        </w:tc>
        <w:tc>
          <w:tcPr>
            <w:tcW w:w="850" w:type="dxa"/>
          </w:tcPr>
          <w:p w14:paraId="1D21EA27" w14:textId="77777777" w:rsidR="00964B88" w:rsidRDefault="00964B88">
            <w:pPr>
              <w:cnfStyle w:val="010000000000" w:firstRow="0" w:lastRow="1" w:firstColumn="0" w:lastColumn="0" w:oddVBand="0" w:evenVBand="0" w:oddHBand="0" w:evenHBand="0" w:firstRowFirstColumn="0" w:firstRowLastColumn="0" w:lastRowFirstColumn="0" w:lastRowLastColumn="0"/>
            </w:pPr>
            <w:r>
              <w:t>115</w:t>
            </w:r>
          </w:p>
        </w:tc>
        <w:tc>
          <w:tcPr>
            <w:tcW w:w="850" w:type="dxa"/>
          </w:tcPr>
          <w:p w14:paraId="3920A399" w14:textId="77777777" w:rsidR="00964B88" w:rsidRDefault="00964B88">
            <w:pPr>
              <w:cnfStyle w:val="010000000000" w:firstRow="0" w:lastRow="1" w:firstColumn="0" w:lastColumn="0" w:oddVBand="0" w:evenVBand="0" w:oddHBand="0" w:evenHBand="0" w:firstRowFirstColumn="0" w:firstRowLastColumn="0" w:lastRowFirstColumn="0" w:lastRowLastColumn="0"/>
            </w:pPr>
            <w:r>
              <w:t>132</w:t>
            </w:r>
          </w:p>
        </w:tc>
        <w:tc>
          <w:tcPr>
            <w:tcW w:w="850" w:type="dxa"/>
          </w:tcPr>
          <w:p w14:paraId="3430FEB9" w14:textId="77777777" w:rsidR="00964B88" w:rsidRDefault="00964B88">
            <w:pPr>
              <w:cnfStyle w:val="010000000000" w:firstRow="0" w:lastRow="1" w:firstColumn="0" w:lastColumn="0" w:oddVBand="0" w:evenVBand="0" w:oddHBand="0" w:evenHBand="0" w:firstRowFirstColumn="0" w:firstRowLastColumn="0" w:lastRowFirstColumn="0" w:lastRowLastColumn="0"/>
            </w:pPr>
            <w:r>
              <w:t>168</w:t>
            </w:r>
          </w:p>
        </w:tc>
      </w:tr>
    </w:tbl>
    <w:p w14:paraId="23CFB33C" w14:textId="77777777" w:rsidR="00964B88" w:rsidRDefault="00964B88" w:rsidP="00F53820">
      <w:pPr>
        <w:pStyle w:val="Note"/>
      </w:pPr>
      <w:r>
        <w:t>Note:</w:t>
      </w:r>
    </w:p>
    <w:p w14:paraId="721BD485" w14:textId="77777777" w:rsidR="00964B88" w:rsidRDefault="00964B88" w:rsidP="00F53820">
      <w:pPr>
        <w:pStyle w:val="Note"/>
      </w:pPr>
      <w:r>
        <w:t>(a)</w:t>
      </w:r>
      <w:r>
        <w:tab/>
      </w:r>
      <w:bookmarkStart w:id="79" w:name="_Hlk22888075"/>
      <w:r>
        <w:t xml:space="preserve">Amounts equivalent to dividends to be paid by the Victorian Managed Insurance Authority and the Transport Accident Commission are received and reported as contributions forming part of grant revenue, consistent with the requirements of AASB 1023 </w:t>
      </w:r>
      <w:r w:rsidRPr="00D164EC">
        <w:rPr>
          <w:i w:val="0"/>
        </w:rPr>
        <w:t>General Insurance Contracts</w:t>
      </w:r>
      <w:r>
        <w:t xml:space="preserve">. The amounts, subject to annual review, that are forecast to be paid </w:t>
      </w:r>
      <w:r w:rsidRPr="006263B4">
        <w:t>are $890 million in 2019-20, $982</w:t>
      </w:r>
      <w:r>
        <w:t> </w:t>
      </w:r>
      <w:r w:rsidRPr="006263B4">
        <w:t>million in 2020-21 and $1 billion in 2021-22 for the Transport Accident Commission and $277 million in 2019-20, $105 million in 2020-21, $46</w:t>
      </w:r>
      <w:r>
        <w:t> </w:t>
      </w:r>
      <w:r w:rsidRPr="006263B4">
        <w:t xml:space="preserve">million in 2021-22 and $49 million in 2022-23 for the Victorian Managed Insurance Authority. WorkSafe Victoria is forecast to pay $125 million in 2021-22 and $575 million in 2022-23 as contributions forming part of grant revenue. </w:t>
      </w:r>
      <w:r>
        <w:t>T</w:t>
      </w:r>
      <w:r w:rsidRPr="006263B4">
        <w:t xml:space="preserve">hese payments </w:t>
      </w:r>
      <w:r>
        <w:t xml:space="preserve">from the three insurance agencies </w:t>
      </w:r>
      <w:r w:rsidRPr="006263B4">
        <w:t xml:space="preserve">include contributions to the Delivering for all Victorians Infrastructure Fund. </w:t>
      </w:r>
      <w:bookmarkEnd w:id="79"/>
    </w:p>
    <w:bookmarkEnd w:id="78"/>
    <w:p w14:paraId="30B4D659" w14:textId="77777777" w:rsidR="00964B88" w:rsidRDefault="00964B88">
      <w:pPr>
        <w:keepLines w:val="0"/>
        <w:rPr>
          <w:rFonts w:asciiTheme="majorHAnsi" w:eastAsiaTheme="majorEastAsia" w:hAnsiTheme="majorHAnsi" w:cstheme="majorBidi"/>
          <w:b/>
          <w:bCs/>
          <w:spacing w:val="-2"/>
          <w:szCs w:val="26"/>
        </w:rPr>
      </w:pPr>
      <w:r>
        <w:br w:type="page"/>
      </w:r>
    </w:p>
    <w:p w14:paraId="248FDAB1" w14:textId="77777777" w:rsidR="00964B88" w:rsidRPr="00177EBC" w:rsidRDefault="00964B88" w:rsidP="00964B88">
      <w:pPr>
        <w:pStyle w:val="Heading3"/>
        <w:numPr>
          <w:ilvl w:val="2"/>
          <w:numId w:val="22"/>
        </w:numPr>
        <w:tabs>
          <w:tab w:val="clear" w:pos="7711"/>
          <w:tab w:val="left" w:pos="850"/>
          <w:tab w:val="right" w:pos="7710"/>
        </w:tabs>
        <w:spacing w:after="60"/>
        <w:rPr>
          <w:lang w:val="en-US"/>
        </w:rPr>
      </w:pPr>
      <w:bookmarkStart w:id="80" w:name="_Toc530147731"/>
      <w:r w:rsidRPr="004E4D8E">
        <w:lastRenderedPageBreak/>
        <w:t>Sales of goods and services</w:t>
      </w:r>
      <w:r w:rsidRPr="004E4D8E">
        <w:tab/>
        <w:t>($ million)</w:t>
      </w:r>
      <w:bookmarkEnd w:id="80"/>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2A52AB16"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3DC58148" w14:textId="77777777" w:rsidR="00964B88" w:rsidRDefault="00964B88"/>
        </w:tc>
        <w:tc>
          <w:tcPr>
            <w:tcW w:w="850" w:type="dxa"/>
          </w:tcPr>
          <w:p w14:paraId="5CFD7DD9"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03D1CDBF"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22CEB8AF"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6F8FD01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7B2DE261"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6487EEC4" w14:textId="77777777">
        <w:tc>
          <w:tcPr>
            <w:cnfStyle w:val="001000000000" w:firstRow="0" w:lastRow="0" w:firstColumn="1" w:lastColumn="0" w:oddVBand="0" w:evenVBand="0" w:oddHBand="0" w:evenHBand="0" w:firstRowFirstColumn="0" w:firstRowLastColumn="0" w:lastRowFirstColumn="0" w:lastRowLastColumn="0"/>
            <w:tcW w:w="3518" w:type="dxa"/>
          </w:tcPr>
          <w:p w14:paraId="407A2A9B" w14:textId="77777777" w:rsidR="00964B88" w:rsidRDefault="00964B88">
            <w:r>
              <w:t>Motor vehicle regulatory fees</w:t>
            </w:r>
          </w:p>
        </w:tc>
        <w:tc>
          <w:tcPr>
            <w:tcW w:w="850" w:type="dxa"/>
          </w:tcPr>
          <w:p w14:paraId="29C15E51" w14:textId="77777777" w:rsidR="00964B88" w:rsidRDefault="00964B88">
            <w:pPr>
              <w:cnfStyle w:val="000000000000" w:firstRow="0" w:lastRow="0" w:firstColumn="0" w:lastColumn="0" w:oddVBand="0" w:evenVBand="0" w:oddHBand="0" w:evenHBand="0" w:firstRowFirstColumn="0" w:firstRowLastColumn="0" w:lastRowFirstColumn="0" w:lastRowLastColumn="0"/>
            </w:pPr>
            <w:r>
              <w:t>242</w:t>
            </w:r>
          </w:p>
        </w:tc>
        <w:tc>
          <w:tcPr>
            <w:tcW w:w="850" w:type="dxa"/>
          </w:tcPr>
          <w:p w14:paraId="7A4C1360" w14:textId="77777777" w:rsidR="00964B88" w:rsidRDefault="00964B88">
            <w:pPr>
              <w:cnfStyle w:val="000000000000" w:firstRow="0" w:lastRow="0" w:firstColumn="0" w:lastColumn="0" w:oddVBand="0" w:evenVBand="0" w:oddHBand="0" w:evenHBand="0" w:firstRowFirstColumn="0" w:firstRowLastColumn="0" w:lastRowFirstColumn="0" w:lastRowLastColumn="0"/>
            </w:pPr>
            <w:r>
              <w:t>240</w:t>
            </w:r>
          </w:p>
        </w:tc>
        <w:tc>
          <w:tcPr>
            <w:tcW w:w="850" w:type="dxa"/>
          </w:tcPr>
          <w:p w14:paraId="539054CB" w14:textId="77777777" w:rsidR="00964B88" w:rsidRDefault="00964B88">
            <w:pPr>
              <w:cnfStyle w:val="000000000000" w:firstRow="0" w:lastRow="0" w:firstColumn="0" w:lastColumn="0" w:oddVBand="0" w:evenVBand="0" w:oddHBand="0" w:evenHBand="0" w:firstRowFirstColumn="0" w:firstRowLastColumn="0" w:lastRowFirstColumn="0" w:lastRowLastColumn="0"/>
            </w:pPr>
            <w:r>
              <w:t>272</w:t>
            </w:r>
          </w:p>
        </w:tc>
        <w:tc>
          <w:tcPr>
            <w:tcW w:w="850" w:type="dxa"/>
          </w:tcPr>
          <w:p w14:paraId="6311C098" w14:textId="77777777" w:rsidR="00964B88" w:rsidRDefault="00964B88">
            <w:pPr>
              <w:cnfStyle w:val="000000000000" w:firstRow="0" w:lastRow="0" w:firstColumn="0" w:lastColumn="0" w:oddVBand="0" w:evenVBand="0" w:oddHBand="0" w:evenHBand="0" w:firstRowFirstColumn="0" w:firstRowLastColumn="0" w:lastRowFirstColumn="0" w:lastRowLastColumn="0"/>
            </w:pPr>
            <w:r>
              <w:t>306</w:t>
            </w:r>
          </w:p>
        </w:tc>
        <w:tc>
          <w:tcPr>
            <w:tcW w:w="850" w:type="dxa"/>
          </w:tcPr>
          <w:p w14:paraId="3B1660AF" w14:textId="77777777" w:rsidR="00964B88" w:rsidRDefault="00964B88">
            <w:pPr>
              <w:cnfStyle w:val="000000000000" w:firstRow="0" w:lastRow="0" w:firstColumn="0" w:lastColumn="0" w:oddVBand="0" w:evenVBand="0" w:oddHBand="0" w:evenHBand="0" w:firstRowFirstColumn="0" w:firstRowLastColumn="0" w:lastRowFirstColumn="0" w:lastRowLastColumn="0"/>
            </w:pPr>
            <w:r>
              <w:t>315</w:t>
            </w:r>
          </w:p>
        </w:tc>
      </w:tr>
      <w:tr w:rsidR="00964B88" w14:paraId="0E68F9DF" w14:textId="77777777">
        <w:tc>
          <w:tcPr>
            <w:cnfStyle w:val="001000000000" w:firstRow="0" w:lastRow="0" w:firstColumn="1" w:lastColumn="0" w:oddVBand="0" w:evenVBand="0" w:oddHBand="0" w:evenHBand="0" w:firstRowFirstColumn="0" w:firstRowLastColumn="0" w:lastRowFirstColumn="0" w:lastRowLastColumn="0"/>
            <w:tcW w:w="3518" w:type="dxa"/>
          </w:tcPr>
          <w:p w14:paraId="4DDFC333" w14:textId="77777777" w:rsidR="00964B88" w:rsidRDefault="00964B88">
            <w:r>
              <w:t>Other regulatory fees</w:t>
            </w:r>
          </w:p>
        </w:tc>
        <w:tc>
          <w:tcPr>
            <w:tcW w:w="850" w:type="dxa"/>
          </w:tcPr>
          <w:p w14:paraId="1C5047E2" w14:textId="77777777" w:rsidR="00964B88" w:rsidRDefault="00964B88">
            <w:pPr>
              <w:cnfStyle w:val="000000000000" w:firstRow="0" w:lastRow="0" w:firstColumn="0" w:lastColumn="0" w:oddVBand="0" w:evenVBand="0" w:oddHBand="0" w:evenHBand="0" w:firstRowFirstColumn="0" w:firstRowLastColumn="0" w:lastRowFirstColumn="0" w:lastRowLastColumn="0"/>
            </w:pPr>
            <w:r>
              <w:t>579</w:t>
            </w:r>
          </w:p>
        </w:tc>
        <w:tc>
          <w:tcPr>
            <w:tcW w:w="850" w:type="dxa"/>
          </w:tcPr>
          <w:p w14:paraId="4EE26019" w14:textId="77777777" w:rsidR="00964B88" w:rsidRDefault="00964B88">
            <w:pPr>
              <w:cnfStyle w:val="000000000000" w:firstRow="0" w:lastRow="0" w:firstColumn="0" w:lastColumn="0" w:oddVBand="0" w:evenVBand="0" w:oddHBand="0" w:evenHBand="0" w:firstRowFirstColumn="0" w:firstRowLastColumn="0" w:lastRowFirstColumn="0" w:lastRowLastColumn="0"/>
            </w:pPr>
            <w:r>
              <w:t>593</w:t>
            </w:r>
          </w:p>
        </w:tc>
        <w:tc>
          <w:tcPr>
            <w:tcW w:w="850" w:type="dxa"/>
          </w:tcPr>
          <w:p w14:paraId="5D8D855C" w14:textId="77777777" w:rsidR="00964B88" w:rsidRDefault="00964B88">
            <w:pPr>
              <w:cnfStyle w:val="000000000000" w:firstRow="0" w:lastRow="0" w:firstColumn="0" w:lastColumn="0" w:oddVBand="0" w:evenVBand="0" w:oddHBand="0" w:evenHBand="0" w:firstRowFirstColumn="0" w:firstRowLastColumn="0" w:lastRowFirstColumn="0" w:lastRowLastColumn="0"/>
            </w:pPr>
            <w:r>
              <w:t>593</w:t>
            </w:r>
          </w:p>
        </w:tc>
        <w:tc>
          <w:tcPr>
            <w:tcW w:w="850" w:type="dxa"/>
          </w:tcPr>
          <w:p w14:paraId="1941F1F1" w14:textId="77777777" w:rsidR="00964B88" w:rsidRDefault="00964B88">
            <w:pPr>
              <w:cnfStyle w:val="000000000000" w:firstRow="0" w:lastRow="0" w:firstColumn="0" w:lastColumn="0" w:oddVBand="0" w:evenVBand="0" w:oddHBand="0" w:evenHBand="0" w:firstRowFirstColumn="0" w:firstRowLastColumn="0" w:lastRowFirstColumn="0" w:lastRowLastColumn="0"/>
            </w:pPr>
            <w:r>
              <w:t>620</w:t>
            </w:r>
          </w:p>
        </w:tc>
        <w:tc>
          <w:tcPr>
            <w:tcW w:w="850" w:type="dxa"/>
          </w:tcPr>
          <w:p w14:paraId="11EB6406" w14:textId="77777777" w:rsidR="00964B88" w:rsidRDefault="00964B88">
            <w:pPr>
              <w:cnfStyle w:val="000000000000" w:firstRow="0" w:lastRow="0" w:firstColumn="0" w:lastColumn="0" w:oddVBand="0" w:evenVBand="0" w:oddHBand="0" w:evenHBand="0" w:firstRowFirstColumn="0" w:firstRowLastColumn="0" w:lastRowFirstColumn="0" w:lastRowLastColumn="0"/>
            </w:pPr>
            <w:r>
              <w:t>635</w:t>
            </w:r>
          </w:p>
        </w:tc>
      </w:tr>
      <w:tr w:rsidR="00964B88" w14:paraId="627058BF" w14:textId="77777777">
        <w:tc>
          <w:tcPr>
            <w:cnfStyle w:val="001000000000" w:firstRow="0" w:lastRow="0" w:firstColumn="1" w:lastColumn="0" w:oddVBand="0" w:evenVBand="0" w:oddHBand="0" w:evenHBand="0" w:firstRowFirstColumn="0" w:firstRowLastColumn="0" w:lastRowFirstColumn="0" w:lastRowLastColumn="0"/>
            <w:tcW w:w="3518" w:type="dxa"/>
          </w:tcPr>
          <w:p w14:paraId="6C46A29F" w14:textId="77777777" w:rsidR="00964B88" w:rsidRDefault="00964B88">
            <w:r>
              <w:t>Sale of goods</w:t>
            </w:r>
          </w:p>
        </w:tc>
        <w:tc>
          <w:tcPr>
            <w:tcW w:w="850" w:type="dxa"/>
          </w:tcPr>
          <w:p w14:paraId="6CD999F5" w14:textId="77777777" w:rsidR="00964B88" w:rsidRDefault="00964B88">
            <w:pPr>
              <w:cnfStyle w:val="000000000000" w:firstRow="0" w:lastRow="0" w:firstColumn="0" w:lastColumn="0" w:oddVBand="0" w:evenVBand="0" w:oddHBand="0" w:evenHBand="0" w:firstRowFirstColumn="0" w:firstRowLastColumn="0" w:lastRowFirstColumn="0" w:lastRowLastColumn="0"/>
            </w:pPr>
            <w:r>
              <w:t>99</w:t>
            </w:r>
          </w:p>
        </w:tc>
        <w:tc>
          <w:tcPr>
            <w:tcW w:w="850" w:type="dxa"/>
          </w:tcPr>
          <w:p w14:paraId="72F430EE" w14:textId="77777777" w:rsidR="00964B88" w:rsidRDefault="00964B88">
            <w:pPr>
              <w:cnfStyle w:val="000000000000" w:firstRow="0" w:lastRow="0" w:firstColumn="0" w:lastColumn="0" w:oddVBand="0" w:evenVBand="0" w:oddHBand="0" w:evenHBand="0" w:firstRowFirstColumn="0" w:firstRowLastColumn="0" w:lastRowFirstColumn="0" w:lastRowLastColumn="0"/>
            </w:pPr>
            <w:r>
              <w:t>89</w:t>
            </w:r>
          </w:p>
        </w:tc>
        <w:tc>
          <w:tcPr>
            <w:tcW w:w="850" w:type="dxa"/>
          </w:tcPr>
          <w:p w14:paraId="1D060E14" w14:textId="77777777" w:rsidR="00964B88" w:rsidRDefault="00964B88">
            <w:pPr>
              <w:cnfStyle w:val="000000000000" w:firstRow="0" w:lastRow="0" w:firstColumn="0" w:lastColumn="0" w:oddVBand="0" w:evenVBand="0" w:oddHBand="0" w:evenHBand="0" w:firstRowFirstColumn="0" w:firstRowLastColumn="0" w:lastRowFirstColumn="0" w:lastRowLastColumn="0"/>
            </w:pPr>
            <w:r>
              <w:t>93</w:t>
            </w:r>
          </w:p>
        </w:tc>
        <w:tc>
          <w:tcPr>
            <w:tcW w:w="850" w:type="dxa"/>
          </w:tcPr>
          <w:p w14:paraId="0C56D33C" w14:textId="77777777" w:rsidR="00964B88" w:rsidRDefault="00964B88">
            <w:pPr>
              <w:cnfStyle w:val="000000000000" w:firstRow="0" w:lastRow="0" w:firstColumn="0" w:lastColumn="0" w:oddVBand="0" w:evenVBand="0" w:oddHBand="0" w:evenHBand="0" w:firstRowFirstColumn="0" w:firstRowLastColumn="0" w:lastRowFirstColumn="0" w:lastRowLastColumn="0"/>
            </w:pPr>
            <w:r>
              <w:t>94</w:t>
            </w:r>
          </w:p>
        </w:tc>
        <w:tc>
          <w:tcPr>
            <w:tcW w:w="850" w:type="dxa"/>
          </w:tcPr>
          <w:p w14:paraId="79F26096" w14:textId="77777777" w:rsidR="00964B88" w:rsidRDefault="00964B88">
            <w:pPr>
              <w:cnfStyle w:val="000000000000" w:firstRow="0" w:lastRow="0" w:firstColumn="0" w:lastColumn="0" w:oddVBand="0" w:evenVBand="0" w:oddHBand="0" w:evenHBand="0" w:firstRowFirstColumn="0" w:firstRowLastColumn="0" w:lastRowFirstColumn="0" w:lastRowLastColumn="0"/>
            </w:pPr>
            <w:r>
              <w:t>96</w:t>
            </w:r>
          </w:p>
        </w:tc>
      </w:tr>
      <w:tr w:rsidR="00964B88" w14:paraId="4FA1BC29" w14:textId="77777777">
        <w:tc>
          <w:tcPr>
            <w:cnfStyle w:val="001000000000" w:firstRow="0" w:lastRow="0" w:firstColumn="1" w:lastColumn="0" w:oddVBand="0" w:evenVBand="0" w:oddHBand="0" w:evenHBand="0" w:firstRowFirstColumn="0" w:firstRowLastColumn="0" w:lastRowFirstColumn="0" w:lastRowLastColumn="0"/>
            <w:tcW w:w="3518" w:type="dxa"/>
          </w:tcPr>
          <w:p w14:paraId="0B0973C7" w14:textId="77777777" w:rsidR="00964B88" w:rsidRDefault="00964B88">
            <w:r>
              <w:t>Provision of services</w:t>
            </w:r>
          </w:p>
        </w:tc>
        <w:tc>
          <w:tcPr>
            <w:tcW w:w="850" w:type="dxa"/>
          </w:tcPr>
          <w:p w14:paraId="04AB4B59" w14:textId="77777777" w:rsidR="00964B88" w:rsidRDefault="00964B88">
            <w:pPr>
              <w:cnfStyle w:val="000000000000" w:firstRow="0" w:lastRow="0" w:firstColumn="0" w:lastColumn="0" w:oddVBand="0" w:evenVBand="0" w:oddHBand="0" w:evenHBand="0" w:firstRowFirstColumn="0" w:firstRowLastColumn="0" w:lastRowFirstColumn="0" w:lastRowLastColumn="0"/>
            </w:pPr>
            <w:r>
              <w:t>4 630</w:t>
            </w:r>
          </w:p>
        </w:tc>
        <w:tc>
          <w:tcPr>
            <w:tcW w:w="850" w:type="dxa"/>
          </w:tcPr>
          <w:p w14:paraId="3A7655B2" w14:textId="77777777" w:rsidR="00964B88" w:rsidRDefault="00964B88">
            <w:pPr>
              <w:cnfStyle w:val="000000000000" w:firstRow="0" w:lastRow="0" w:firstColumn="0" w:lastColumn="0" w:oddVBand="0" w:evenVBand="0" w:oddHBand="0" w:evenHBand="0" w:firstRowFirstColumn="0" w:firstRowLastColumn="0" w:lastRowFirstColumn="0" w:lastRowLastColumn="0"/>
            </w:pPr>
            <w:r>
              <w:t>4 715</w:t>
            </w:r>
          </w:p>
        </w:tc>
        <w:tc>
          <w:tcPr>
            <w:tcW w:w="850" w:type="dxa"/>
          </w:tcPr>
          <w:p w14:paraId="68C268A0" w14:textId="77777777" w:rsidR="00964B88" w:rsidRDefault="00964B88">
            <w:pPr>
              <w:cnfStyle w:val="000000000000" w:firstRow="0" w:lastRow="0" w:firstColumn="0" w:lastColumn="0" w:oddVBand="0" w:evenVBand="0" w:oddHBand="0" w:evenHBand="0" w:firstRowFirstColumn="0" w:firstRowLastColumn="0" w:lastRowFirstColumn="0" w:lastRowLastColumn="0"/>
            </w:pPr>
            <w:r>
              <w:t>5 169</w:t>
            </w:r>
          </w:p>
        </w:tc>
        <w:tc>
          <w:tcPr>
            <w:tcW w:w="850" w:type="dxa"/>
          </w:tcPr>
          <w:p w14:paraId="0534AF99" w14:textId="77777777" w:rsidR="00964B88" w:rsidRDefault="00964B88">
            <w:pPr>
              <w:cnfStyle w:val="000000000000" w:firstRow="0" w:lastRow="0" w:firstColumn="0" w:lastColumn="0" w:oddVBand="0" w:evenVBand="0" w:oddHBand="0" w:evenHBand="0" w:firstRowFirstColumn="0" w:firstRowLastColumn="0" w:lastRowFirstColumn="0" w:lastRowLastColumn="0"/>
            </w:pPr>
            <w:r>
              <w:t>5 278</w:t>
            </w:r>
          </w:p>
        </w:tc>
        <w:tc>
          <w:tcPr>
            <w:tcW w:w="850" w:type="dxa"/>
          </w:tcPr>
          <w:p w14:paraId="51414285" w14:textId="77777777" w:rsidR="00964B88" w:rsidRDefault="00964B88">
            <w:pPr>
              <w:cnfStyle w:val="000000000000" w:firstRow="0" w:lastRow="0" w:firstColumn="0" w:lastColumn="0" w:oddVBand="0" w:evenVBand="0" w:oddHBand="0" w:evenHBand="0" w:firstRowFirstColumn="0" w:firstRowLastColumn="0" w:lastRowFirstColumn="0" w:lastRowLastColumn="0"/>
            </w:pPr>
            <w:r>
              <w:t>5 328</w:t>
            </w:r>
          </w:p>
        </w:tc>
      </w:tr>
      <w:tr w:rsidR="00964B88" w14:paraId="543968D7" w14:textId="77777777">
        <w:tc>
          <w:tcPr>
            <w:cnfStyle w:val="001000000000" w:firstRow="0" w:lastRow="0" w:firstColumn="1" w:lastColumn="0" w:oddVBand="0" w:evenVBand="0" w:oddHBand="0" w:evenHBand="0" w:firstRowFirstColumn="0" w:firstRowLastColumn="0" w:lastRowFirstColumn="0" w:lastRowLastColumn="0"/>
            <w:tcW w:w="3518" w:type="dxa"/>
          </w:tcPr>
          <w:p w14:paraId="0ABC548E" w14:textId="77777777" w:rsidR="00964B88" w:rsidRDefault="00964B88">
            <w:r>
              <w:t>Rental</w:t>
            </w:r>
          </w:p>
        </w:tc>
        <w:tc>
          <w:tcPr>
            <w:tcW w:w="850" w:type="dxa"/>
          </w:tcPr>
          <w:p w14:paraId="76046F06" w14:textId="77777777" w:rsidR="00964B88" w:rsidRDefault="00964B88">
            <w:pPr>
              <w:cnfStyle w:val="000000000000" w:firstRow="0" w:lastRow="0" w:firstColumn="0" w:lastColumn="0" w:oddVBand="0" w:evenVBand="0" w:oddHBand="0" w:evenHBand="0" w:firstRowFirstColumn="0" w:firstRowLastColumn="0" w:lastRowFirstColumn="0" w:lastRowLastColumn="0"/>
            </w:pPr>
            <w:r>
              <w:t>86</w:t>
            </w:r>
          </w:p>
        </w:tc>
        <w:tc>
          <w:tcPr>
            <w:tcW w:w="850" w:type="dxa"/>
          </w:tcPr>
          <w:p w14:paraId="2324362A" w14:textId="77777777" w:rsidR="00964B88" w:rsidRDefault="00964B88">
            <w:pPr>
              <w:cnfStyle w:val="000000000000" w:firstRow="0" w:lastRow="0" w:firstColumn="0" w:lastColumn="0" w:oddVBand="0" w:evenVBand="0" w:oddHBand="0" w:evenHBand="0" w:firstRowFirstColumn="0" w:firstRowLastColumn="0" w:lastRowFirstColumn="0" w:lastRowLastColumn="0"/>
            </w:pPr>
            <w:r>
              <w:t>86</w:t>
            </w:r>
          </w:p>
        </w:tc>
        <w:tc>
          <w:tcPr>
            <w:tcW w:w="850" w:type="dxa"/>
          </w:tcPr>
          <w:p w14:paraId="3F3E9BD6" w14:textId="77777777" w:rsidR="00964B88" w:rsidRDefault="00964B88">
            <w:pPr>
              <w:cnfStyle w:val="000000000000" w:firstRow="0" w:lastRow="0" w:firstColumn="0" w:lastColumn="0" w:oddVBand="0" w:evenVBand="0" w:oddHBand="0" w:evenHBand="0" w:firstRowFirstColumn="0" w:firstRowLastColumn="0" w:lastRowFirstColumn="0" w:lastRowLastColumn="0"/>
            </w:pPr>
            <w:r>
              <w:t>87</w:t>
            </w:r>
          </w:p>
        </w:tc>
        <w:tc>
          <w:tcPr>
            <w:tcW w:w="850" w:type="dxa"/>
          </w:tcPr>
          <w:p w14:paraId="5FED2B85" w14:textId="77777777" w:rsidR="00964B88" w:rsidRDefault="00964B88">
            <w:pPr>
              <w:cnfStyle w:val="000000000000" w:firstRow="0" w:lastRow="0" w:firstColumn="0" w:lastColumn="0" w:oddVBand="0" w:evenVBand="0" w:oddHBand="0" w:evenHBand="0" w:firstRowFirstColumn="0" w:firstRowLastColumn="0" w:lastRowFirstColumn="0" w:lastRowLastColumn="0"/>
            </w:pPr>
            <w:r>
              <w:t>89</w:t>
            </w:r>
          </w:p>
        </w:tc>
        <w:tc>
          <w:tcPr>
            <w:tcW w:w="850" w:type="dxa"/>
          </w:tcPr>
          <w:p w14:paraId="28AB71CC" w14:textId="77777777" w:rsidR="00964B88" w:rsidRDefault="00964B88">
            <w:pPr>
              <w:cnfStyle w:val="000000000000" w:firstRow="0" w:lastRow="0" w:firstColumn="0" w:lastColumn="0" w:oddVBand="0" w:evenVBand="0" w:oddHBand="0" w:evenHBand="0" w:firstRowFirstColumn="0" w:firstRowLastColumn="0" w:lastRowFirstColumn="0" w:lastRowLastColumn="0"/>
            </w:pPr>
            <w:r>
              <w:t>91</w:t>
            </w:r>
          </w:p>
        </w:tc>
      </w:tr>
      <w:tr w:rsidR="00964B88" w14:paraId="594FDBDF" w14:textId="77777777">
        <w:tc>
          <w:tcPr>
            <w:cnfStyle w:val="001000000000" w:firstRow="0" w:lastRow="0" w:firstColumn="1" w:lastColumn="0" w:oddVBand="0" w:evenVBand="0" w:oddHBand="0" w:evenHBand="0" w:firstRowFirstColumn="0" w:firstRowLastColumn="0" w:lastRowFirstColumn="0" w:lastRowLastColumn="0"/>
            <w:tcW w:w="3518" w:type="dxa"/>
          </w:tcPr>
          <w:p w14:paraId="3977CFC1" w14:textId="77777777" w:rsidR="00964B88" w:rsidRDefault="00964B88">
            <w:r>
              <w:t>Refunds and reimbursements</w:t>
            </w:r>
          </w:p>
        </w:tc>
        <w:tc>
          <w:tcPr>
            <w:tcW w:w="850" w:type="dxa"/>
          </w:tcPr>
          <w:p w14:paraId="4469FC2D" w14:textId="77777777" w:rsidR="00964B88" w:rsidRDefault="00964B88">
            <w:pPr>
              <w:cnfStyle w:val="000000000000" w:firstRow="0" w:lastRow="0" w:firstColumn="0" w:lastColumn="0" w:oddVBand="0" w:evenVBand="0" w:oddHBand="0" w:evenHBand="0" w:firstRowFirstColumn="0" w:firstRowLastColumn="0" w:lastRowFirstColumn="0" w:lastRowLastColumn="0"/>
            </w:pPr>
            <w:r>
              <w:t>11</w:t>
            </w:r>
          </w:p>
        </w:tc>
        <w:tc>
          <w:tcPr>
            <w:tcW w:w="850" w:type="dxa"/>
          </w:tcPr>
          <w:p w14:paraId="30FC14C1" w14:textId="77777777" w:rsidR="00964B88" w:rsidRDefault="00964B88">
            <w:pPr>
              <w:cnfStyle w:val="000000000000" w:firstRow="0" w:lastRow="0" w:firstColumn="0" w:lastColumn="0" w:oddVBand="0" w:evenVBand="0" w:oddHBand="0" w:evenHBand="0" w:firstRowFirstColumn="0" w:firstRowLastColumn="0" w:lastRowFirstColumn="0" w:lastRowLastColumn="0"/>
            </w:pPr>
            <w:r>
              <w:t>11</w:t>
            </w:r>
          </w:p>
        </w:tc>
        <w:tc>
          <w:tcPr>
            <w:tcW w:w="850" w:type="dxa"/>
          </w:tcPr>
          <w:p w14:paraId="51B4F1C0" w14:textId="77777777" w:rsidR="00964B88" w:rsidRDefault="00964B88">
            <w:pPr>
              <w:cnfStyle w:val="000000000000" w:firstRow="0" w:lastRow="0" w:firstColumn="0" w:lastColumn="0" w:oddVBand="0" w:evenVBand="0" w:oddHBand="0" w:evenHBand="0" w:firstRowFirstColumn="0" w:firstRowLastColumn="0" w:lastRowFirstColumn="0" w:lastRowLastColumn="0"/>
            </w:pPr>
            <w:r>
              <w:t>11</w:t>
            </w:r>
          </w:p>
        </w:tc>
        <w:tc>
          <w:tcPr>
            <w:tcW w:w="850" w:type="dxa"/>
          </w:tcPr>
          <w:p w14:paraId="25AB3116" w14:textId="77777777" w:rsidR="00964B88" w:rsidRDefault="00964B88">
            <w:pPr>
              <w:cnfStyle w:val="000000000000" w:firstRow="0" w:lastRow="0" w:firstColumn="0" w:lastColumn="0" w:oddVBand="0" w:evenVBand="0" w:oddHBand="0" w:evenHBand="0" w:firstRowFirstColumn="0" w:firstRowLastColumn="0" w:lastRowFirstColumn="0" w:lastRowLastColumn="0"/>
            </w:pPr>
            <w:r>
              <w:t>11</w:t>
            </w:r>
          </w:p>
        </w:tc>
        <w:tc>
          <w:tcPr>
            <w:tcW w:w="850" w:type="dxa"/>
          </w:tcPr>
          <w:p w14:paraId="3386E6C5" w14:textId="77777777" w:rsidR="00964B88" w:rsidRDefault="00964B88">
            <w:pPr>
              <w:cnfStyle w:val="000000000000" w:firstRow="0" w:lastRow="0" w:firstColumn="0" w:lastColumn="0" w:oddVBand="0" w:evenVBand="0" w:oddHBand="0" w:evenHBand="0" w:firstRowFirstColumn="0" w:firstRowLastColumn="0" w:lastRowFirstColumn="0" w:lastRowLastColumn="0"/>
            </w:pPr>
            <w:r>
              <w:t>11</w:t>
            </w:r>
          </w:p>
        </w:tc>
      </w:tr>
      <w:tr w:rsidR="00964B88" w14:paraId="176DAEEF"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67B2DEB7" w14:textId="77777777" w:rsidR="00964B88" w:rsidRDefault="00964B88">
            <w:r>
              <w:t>Inter</w:t>
            </w:r>
            <w:r>
              <w:noBreakHyphen/>
              <w:t>sector capital asset charge</w:t>
            </w:r>
          </w:p>
        </w:tc>
        <w:tc>
          <w:tcPr>
            <w:tcW w:w="850" w:type="dxa"/>
            <w:tcBorders>
              <w:bottom w:val="single" w:sz="6" w:space="0" w:color="auto"/>
            </w:tcBorders>
          </w:tcPr>
          <w:p w14:paraId="5416F11D" w14:textId="77777777" w:rsidR="00964B88" w:rsidRDefault="00964B88">
            <w:pPr>
              <w:cnfStyle w:val="000000000000" w:firstRow="0" w:lastRow="0" w:firstColumn="0" w:lastColumn="0" w:oddVBand="0" w:evenVBand="0" w:oddHBand="0" w:evenHBand="0" w:firstRowFirstColumn="0" w:firstRowLastColumn="0" w:lastRowFirstColumn="0" w:lastRowLastColumn="0"/>
            </w:pPr>
            <w:r>
              <w:t>2 384</w:t>
            </w:r>
          </w:p>
        </w:tc>
        <w:tc>
          <w:tcPr>
            <w:tcW w:w="850" w:type="dxa"/>
            <w:tcBorders>
              <w:bottom w:val="single" w:sz="6" w:space="0" w:color="auto"/>
            </w:tcBorders>
          </w:tcPr>
          <w:p w14:paraId="0F2CCF30" w14:textId="77777777" w:rsidR="00964B88" w:rsidRDefault="00964B88">
            <w:pPr>
              <w:cnfStyle w:val="000000000000" w:firstRow="0" w:lastRow="0" w:firstColumn="0" w:lastColumn="0" w:oddVBand="0" w:evenVBand="0" w:oddHBand="0" w:evenHBand="0" w:firstRowFirstColumn="0" w:firstRowLastColumn="0" w:lastRowFirstColumn="0" w:lastRowLastColumn="0"/>
            </w:pPr>
            <w:r>
              <w:t>2 384</w:t>
            </w:r>
          </w:p>
        </w:tc>
        <w:tc>
          <w:tcPr>
            <w:tcW w:w="850" w:type="dxa"/>
            <w:tcBorders>
              <w:bottom w:val="single" w:sz="6" w:space="0" w:color="auto"/>
            </w:tcBorders>
          </w:tcPr>
          <w:p w14:paraId="45151C42" w14:textId="77777777" w:rsidR="00964B88" w:rsidRDefault="00964B88">
            <w:pPr>
              <w:cnfStyle w:val="000000000000" w:firstRow="0" w:lastRow="0" w:firstColumn="0" w:lastColumn="0" w:oddVBand="0" w:evenVBand="0" w:oddHBand="0" w:evenHBand="0" w:firstRowFirstColumn="0" w:firstRowLastColumn="0" w:lastRowFirstColumn="0" w:lastRowLastColumn="0"/>
            </w:pPr>
            <w:r>
              <w:t>2 566</w:t>
            </w:r>
          </w:p>
        </w:tc>
        <w:tc>
          <w:tcPr>
            <w:tcW w:w="850" w:type="dxa"/>
            <w:tcBorders>
              <w:bottom w:val="single" w:sz="6" w:space="0" w:color="auto"/>
            </w:tcBorders>
          </w:tcPr>
          <w:p w14:paraId="55E9F62E" w14:textId="77777777" w:rsidR="00964B88" w:rsidRDefault="00964B88">
            <w:pPr>
              <w:cnfStyle w:val="000000000000" w:firstRow="0" w:lastRow="0" w:firstColumn="0" w:lastColumn="0" w:oddVBand="0" w:evenVBand="0" w:oddHBand="0" w:evenHBand="0" w:firstRowFirstColumn="0" w:firstRowLastColumn="0" w:lastRowFirstColumn="0" w:lastRowLastColumn="0"/>
            </w:pPr>
            <w:r>
              <w:t>2 686</w:t>
            </w:r>
          </w:p>
        </w:tc>
        <w:tc>
          <w:tcPr>
            <w:tcW w:w="850" w:type="dxa"/>
            <w:tcBorders>
              <w:bottom w:val="single" w:sz="6" w:space="0" w:color="auto"/>
            </w:tcBorders>
          </w:tcPr>
          <w:p w14:paraId="0B961343" w14:textId="77777777" w:rsidR="00964B88" w:rsidRDefault="00964B88">
            <w:pPr>
              <w:cnfStyle w:val="000000000000" w:firstRow="0" w:lastRow="0" w:firstColumn="0" w:lastColumn="0" w:oddVBand="0" w:evenVBand="0" w:oddHBand="0" w:evenHBand="0" w:firstRowFirstColumn="0" w:firstRowLastColumn="0" w:lastRowFirstColumn="0" w:lastRowLastColumn="0"/>
            </w:pPr>
            <w:r>
              <w:t>2 766</w:t>
            </w:r>
          </w:p>
        </w:tc>
      </w:tr>
      <w:tr w:rsidR="00964B88" w14:paraId="1292420B"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65DCC623" w14:textId="77777777" w:rsidR="00964B88" w:rsidRDefault="00964B88">
            <w:r>
              <w:t>Total sales of goods and services</w:t>
            </w:r>
          </w:p>
        </w:tc>
        <w:tc>
          <w:tcPr>
            <w:tcW w:w="850" w:type="dxa"/>
          </w:tcPr>
          <w:p w14:paraId="61AA1936" w14:textId="77777777" w:rsidR="00964B88" w:rsidRDefault="00964B88">
            <w:pPr>
              <w:cnfStyle w:val="010000000000" w:firstRow="0" w:lastRow="1" w:firstColumn="0" w:lastColumn="0" w:oddVBand="0" w:evenVBand="0" w:oddHBand="0" w:evenHBand="0" w:firstRowFirstColumn="0" w:firstRowLastColumn="0" w:lastRowFirstColumn="0" w:lastRowLastColumn="0"/>
            </w:pPr>
            <w:r>
              <w:t>8 030</w:t>
            </w:r>
          </w:p>
        </w:tc>
        <w:tc>
          <w:tcPr>
            <w:tcW w:w="850" w:type="dxa"/>
          </w:tcPr>
          <w:p w14:paraId="5596070E" w14:textId="77777777" w:rsidR="00964B88" w:rsidRDefault="00964B88">
            <w:pPr>
              <w:cnfStyle w:val="010000000000" w:firstRow="0" w:lastRow="1" w:firstColumn="0" w:lastColumn="0" w:oddVBand="0" w:evenVBand="0" w:oddHBand="0" w:evenHBand="0" w:firstRowFirstColumn="0" w:firstRowLastColumn="0" w:lastRowFirstColumn="0" w:lastRowLastColumn="0"/>
            </w:pPr>
            <w:r>
              <w:t>8 118</w:t>
            </w:r>
          </w:p>
        </w:tc>
        <w:tc>
          <w:tcPr>
            <w:tcW w:w="850" w:type="dxa"/>
          </w:tcPr>
          <w:p w14:paraId="77998723" w14:textId="77777777" w:rsidR="00964B88" w:rsidRDefault="00964B88">
            <w:pPr>
              <w:cnfStyle w:val="010000000000" w:firstRow="0" w:lastRow="1" w:firstColumn="0" w:lastColumn="0" w:oddVBand="0" w:evenVBand="0" w:oddHBand="0" w:evenHBand="0" w:firstRowFirstColumn="0" w:firstRowLastColumn="0" w:lastRowFirstColumn="0" w:lastRowLastColumn="0"/>
            </w:pPr>
            <w:r>
              <w:t>8 791</w:t>
            </w:r>
          </w:p>
        </w:tc>
        <w:tc>
          <w:tcPr>
            <w:tcW w:w="850" w:type="dxa"/>
          </w:tcPr>
          <w:p w14:paraId="57E24EDC" w14:textId="77777777" w:rsidR="00964B88" w:rsidRDefault="00964B88">
            <w:pPr>
              <w:cnfStyle w:val="010000000000" w:firstRow="0" w:lastRow="1" w:firstColumn="0" w:lastColumn="0" w:oddVBand="0" w:evenVBand="0" w:oddHBand="0" w:evenHBand="0" w:firstRowFirstColumn="0" w:firstRowLastColumn="0" w:lastRowFirstColumn="0" w:lastRowLastColumn="0"/>
            </w:pPr>
            <w:r>
              <w:t>9 086</w:t>
            </w:r>
          </w:p>
        </w:tc>
        <w:tc>
          <w:tcPr>
            <w:tcW w:w="850" w:type="dxa"/>
          </w:tcPr>
          <w:p w14:paraId="1FF84596" w14:textId="77777777" w:rsidR="00964B88" w:rsidRDefault="00964B88">
            <w:pPr>
              <w:cnfStyle w:val="010000000000" w:firstRow="0" w:lastRow="1" w:firstColumn="0" w:lastColumn="0" w:oddVBand="0" w:evenVBand="0" w:oddHBand="0" w:evenHBand="0" w:firstRowFirstColumn="0" w:firstRowLastColumn="0" w:lastRowFirstColumn="0" w:lastRowLastColumn="0"/>
            </w:pPr>
            <w:r>
              <w:t>9 243</w:t>
            </w:r>
          </w:p>
        </w:tc>
      </w:tr>
    </w:tbl>
    <w:p w14:paraId="0FFC5C77" w14:textId="77777777" w:rsidR="00964B88" w:rsidRDefault="00964B88" w:rsidP="00F53820">
      <w:pPr>
        <w:rPr>
          <w:lang w:val="en-US"/>
        </w:rPr>
      </w:pPr>
    </w:p>
    <w:p w14:paraId="5F740B1C" w14:textId="77777777" w:rsidR="00964B88" w:rsidRPr="00875AC9" w:rsidRDefault="00964B88" w:rsidP="00F53820">
      <w:pPr>
        <w:rPr>
          <w:lang w:val="en-US"/>
        </w:rPr>
      </w:pPr>
    </w:p>
    <w:p w14:paraId="01DB0EC3" w14:textId="77777777" w:rsidR="00964B88" w:rsidRPr="00177EBC" w:rsidRDefault="00964B88" w:rsidP="00964B88">
      <w:pPr>
        <w:pStyle w:val="Heading3"/>
        <w:numPr>
          <w:ilvl w:val="2"/>
          <w:numId w:val="22"/>
        </w:numPr>
        <w:tabs>
          <w:tab w:val="clear" w:pos="7711"/>
          <w:tab w:val="left" w:pos="850"/>
          <w:tab w:val="right" w:pos="7710"/>
        </w:tabs>
        <w:spacing w:after="60"/>
        <w:rPr>
          <w:lang w:val="en-US"/>
        </w:rPr>
      </w:pPr>
      <w:bookmarkStart w:id="81" w:name="_Toc530147732"/>
      <w:r w:rsidRPr="004E4D8E">
        <w:t>Grant revenue</w:t>
      </w:r>
      <w:r w:rsidRPr="004E4D8E">
        <w:tab/>
        <w:t>($ million)</w:t>
      </w:r>
      <w:bookmarkEnd w:id="81"/>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31C00E17"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4BD1FD4C" w14:textId="77777777" w:rsidR="00964B88" w:rsidRDefault="00964B88"/>
        </w:tc>
        <w:tc>
          <w:tcPr>
            <w:tcW w:w="850" w:type="dxa"/>
          </w:tcPr>
          <w:p w14:paraId="51EF17C4"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5C6F8BCC"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3E5309E5"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12AF688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6E4A418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0FDDA933" w14:textId="77777777">
        <w:tc>
          <w:tcPr>
            <w:cnfStyle w:val="001000000000" w:firstRow="0" w:lastRow="0" w:firstColumn="1" w:lastColumn="0" w:oddVBand="0" w:evenVBand="0" w:oddHBand="0" w:evenHBand="0" w:firstRowFirstColumn="0" w:firstRowLastColumn="0" w:lastRowFirstColumn="0" w:lastRowLastColumn="0"/>
            <w:tcW w:w="3518" w:type="dxa"/>
          </w:tcPr>
          <w:p w14:paraId="2FE9578E" w14:textId="77777777" w:rsidR="00964B88" w:rsidRDefault="00964B88">
            <w:r>
              <w:t>General purpose grants</w:t>
            </w:r>
          </w:p>
        </w:tc>
        <w:tc>
          <w:tcPr>
            <w:tcW w:w="850" w:type="dxa"/>
          </w:tcPr>
          <w:p w14:paraId="25D0BC34" w14:textId="77777777" w:rsidR="00964B88" w:rsidRDefault="00964B88">
            <w:pPr>
              <w:cnfStyle w:val="000000000000" w:firstRow="0" w:lastRow="0" w:firstColumn="0" w:lastColumn="0" w:oddVBand="0" w:evenVBand="0" w:oddHBand="0" w:evenHBand="0" w:firstRowFirstColumn="0" w:firstRowLastColumn="0" w:lastRowFirstColumn="0" w:lastRowLastColumn="0"/>
            </w:pPr>
            <w:r>
              <w:t>17 535</w:t>
            </w:r>
          </w:p>
        </w:tc>
        <w:tc>
          <w:tcPr>
            <w:tcW w:w="850" w:type="dxa"/>
          </w:tcPr>
          <w:p w14:paraId="53D0D3A8" w14:textId="77777777" w:rsidR="00964B88" w:rsidRDefault="00964B88">
            <w:pPr>
              <w:cnfStyle w:val="000000000000" w:firstRow="0" w:lastRow="0" w:firstColumn="0" w:lastColumn="0" w:oddVBand="0" w:evenVBand="0" w:oddHBand="0" w:evenHBand="0" w:firstRowFirstColumn="0" w:firstRowLastColumn="0" w:lastRowFirstColumn="0" w:lastRowLastColumn="0"/>
            </w:pPr>
            <w:r>
              <w:t>17 028</w:t>
            </w:r>
          </w:p>
        </w:tc>
        <w:tc>
          <w:tcPr>
            <w:tcW w:w="850" w:type="dxa"/>
          </w:tcPr>
          <w:p w14:paraId="0D54B9CA" w14:textId="77777777" w:rsidR="00964B88" w:rsidRDefault="00964B88">
            <w:pPr>
              <w:cnfStyle w:val="000000000000" w:firstRow="0" w:lastRow="0" w:firstColumn="0" w:lastColumn="0" w:oddVBand="0" w:evenVBand="0" w:oddHBand="0" w:evenHBand="0" w:firstRowFirstColumn="0" w:firstRowLastColumn="0" w:lastRowFirstColumn="0" w:lastRowLastColumn="0"/>
            </w:pPr>
            <w:r>
              <w:t>18 336</w:t>
            </w:r>
          </w:p>
        </w:tc>
        <w:tc>
          <w:tcPr>
            <w:tcW w:w="850" w:type="dxa"/>
          </w:tcPr>
          <w:p w14:paraId="06682120" w14:textId="77777777" w:rsidR="00964B88" w:rsidRDefault="00964B88">
            <w:pPr>
              <w:cnfStyle w:val="000000000000" w:firstRow="0" w:lastRow="0" w:firstColumn="0" w:lastColumn="0" w:oddVBand="0" w:evenVBand="0" w:oddHBand="0" w:evenHBand="0" w:firstRowFirstColumn="0" w:firstRowLastColumn="0" w:lastRowFirstColumn="0" w:lastRowLastColumn="0"/>
            </w:pPr>
            <w:r>
              <w:t>19 810</w:t>
            </w:r>
          </w:p>
        </w:tc>
        <w:tc>
          <w:tcPr>
            <w:tcW w:w="850" w:type="dxa"/>
          </w:tcPr>
          <w:p w14:paraId="63CB7894" w14:textId="77777777" w:rsidR="00964B88" w:rsidRDefault="00964B88">
            <w:pPr>
              <w:cnfStyle w:val="000000000000" w:firstRow="0" w:lastRow="0" w:firstColumn="0" w:lastColumn="0" w:oddVBand="0" w:evenVBand="0" w:oddHBand="0" w:evenHBand="0" w:firstRowFirstColumn="0" w:firstRowLastColumn="0" w:lastRowFirstColumn="0" w:lastRowLastColumn="0"/>
            </w:pPr>
            <w:r>
              <w:t>21 379</w:t>
            </w:r>
          </w:p>
        </w:tc>
      </w:tr>
      <w:tr w:rsidR="00964B88" w14:paraId="33B59047" w14:textId="77777777">
        <w:tc>
          <w:tcPr>
            <w:cnfStyle w:val="001000000000" w:firstRow="0" w:lastRow="0" w:firstColumn="1" w:lastColumn="0" w:oddVBand="0" w:evenVBand="0" w:oddHBand="0" w:evenHBand="0" w:firstRowFirstColumn="0" w:firstRowLastColumn="0" w:lastRowFirstColumn="0" w:lastRowLastColumn="0"/>
            <w:tcW w:w="3518" w:type="dxa"/>
          </w:tcPr>
          <w:p w14:paraId="45B0BE6D" w14:textId="77777777" w:rsidR="00964B88" w:rsidRDefault="00964B88">
            <w:r>
              <w:t>Specific purpose grants for on</w:t>
            </w:r>
            <w:r>
              <w:noBreakHyphen/>
              <w:t>passing</w:t>
            </w:r>
          </w:p>
        </w:tc>
        <w:tc>
          <w:tcPr>
            <w:tcW w:w="850" w:type="dxa"/>
          </w:tcPr>
          <w:p w14:paraId="28863E94" w14:textId="77777777" w:rsidR="00964B88" w:rsidRDefault="00964B88">
            <w:pPr>
              <w:cnfStyle w:val="000000000000" w:firstRow="0" w:lastRow="0" w:firstColumn="0" w:lastColumn="0" w:oddVBand="0" w:evenVBand="0" w:oddHBand="0" w:evenHBand="0" w:firstRowFirstColumn="0" w:firstRowLastColumn="0" w:lastRowFirstColumn="0" w:lastRowLastColumn="0"/>
            </w:pPr>
            <w:r>
              <w:t>3 936</w:t>
            </w:r>
          </w:p>
        </w:tc>
        <w:tc>
          <w:tcPr>
            <w:tcW w:w="850" w:type="dxa"/>
          </w:tcPr>
          <w:p w14:paraId="411B8B95" w14:textId="77777777" w:rsidR="00964B88" w:rsidRDefault="00964B88">
            <w:pPr>
              <w:cnfStyle w:val="000000000000" w:firstRow="0" w:lastRow="0" w:firstColumn="0" w:lastColumn="0" w:oddVBand="0" w:evenVBand="0" w:oddHBand="0" w:evenHBand="0" w:firstRowFirstColumn="0" w:firstRowLastColumn="0" w:lastRowFirstColumn="0" w:lastRowLastColumn="0"/>
            </w:pPr>
            <w:r>
              <w:t>3 927</w:t>
            </w:r>
          </w:p>
        </w:tc>
        <w:tc>
          <w:tcPr>
            <w:tcW w:w="850" w:type="dxa"/>
          </w:tcPr>
          <w:p w14:paraId="58C6A879" w14:textId="77777777" w:rsidR="00964B88" w:rsidRDefault="00964B88">
            <w:pPr>
              <w:cnfStyle w:val="000000000000" w:firstRow="0" w:lastRow="0" w:firstColumn="0" w:lastColumn="0" w:oddVBand="0" w:evenVBand="0" w:oddHBand="0" w:evenHBand="0" w:firstRowFirstColumn="0" w:firstRowLastColumn="0" w:lastRowFirstColumn="0" w:lastRowLastColumn="0"/>
            </w:pPr>
            <w:r>
              <w:t>4 564</w:t>
            </w:r>
          </w:p>
        </w:tc>
        <w:tc>
          <w:tcPr>
            <w:tcW w:w="850" w:type="dxa"/>
          </w:tcPr>
          <w:p w14:paraId="5839FF86" w14:textId="77777777" w:rsidR="00964B88" w:rsidRDefault="00964B88">
            <w:pPr>
              <w:cnfStyle w:val="000000000000" w:firstRow="0" w:lastRow="0" w:firstColumn="0" w:lastColumn="0" w:oddVBand="0" w:evenVBand="0" w:oddHBand="0" w:evenHBand="0" w:firstRowFirstColumn="0" w:firstRowLastColumn="0" w:lastRowFirstColumn="0" w:lastRowLastColumn="0"/>
            </w:pPr>
            <w:r>
              <w:t>4 832</w:t>
            </w:r>
          </w:p>
        </w:tc>
        <w:tc>
          <w:tcPr>
            <w:tcW w:w="850" w:type="dxa"/>
          </w:tcPr>
          <w:p w14:paraId="440CA227" w14:textId="77777777" w:rsidR="00964B88" w:rsidRDefault="00964B88">
            <w:pPr>
              <w:cnfStyle w:val="000000000000" w:firstRow="0" w:lastRow="0" w:firstColumn="0" w:lastColumn="0" w:oddVBand="0" w:evenVBand="0" w:oddHBand="0" w:evenHBand="0" w:firstRowFirstColumn="0" w:firstRowLastColumn="0" w:lastRowFirstColumn="0" w:lastRowLastColumn="0"/>
            </w:pPr>
            <w:r>
              <w:t>5 108</w:t>
            </w:r>
          </w:p>
        </w:tc>
      </w:tr>
      <w:tr w:rsidR="00964B88" w14:paraId="2786C830"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576CD307" w14:textId="77777777" w:rsidR="00964B88" w:rsidRDefault="00964B88">
            <w:r>
              <w:t>Grants for specific purposes</w:t>
            </w:r>
          </w:p>
        </w:tc>
        <w:tc>
          <w:tcPr>
            <w:tcW w:w="850" w:type="dxa"/>
            <w:tcBorders>
              <w:bottom w:val="single" w:sz="6" w:space="0" w:color="auto"/>
            </w:tcBorders>
          </w:tcPr>
          <w:p w14:paraId="04E88837" w14:textId="77777777" w:rsidR="00964B88" w:rsidRDefault="00964B88">
            <w:pPr>
              <w:cnfStyle w:val="000000000000" w:firstRow="0" w:lastRow="0" w:firstColumn="0" w:lastColumn="0" w:oddVBand="0" w:evenVBand="0" w:oddHBand="0" w:evenHBand="0" w:firstRowFirstColumn="0" w:firstRowLastColumn="0" w:lastRowFirstColumn="0" w:lastRowLastColumn="0"/>
            </w:pPr>
            <w:r>
              <w:t>11 026</w:t>
            </w:r>
          </w:p>
        </w:tc>
        <w:tc>
          <w:tcPr>
            <w:tcW w:w="850" w:type="dxa"/>
            <w:tcBorders>
              <w:bottom w:val="single" w:sz="6" w:space="0" w:color="auto"/>
            </w:tcBorders>
          </w:tcPr>
          <w:p w14:paraId="67BE6332" w14:textId="77777777" w:rsidR="00964B88" w:rsidRDefault="00964B88">
            <w:pPr>
              <w:cnfStyle w:val="000000000000" w:firstRow="0" w:lastRow="0" w:firstColumn="0" w:lastColumn="0" w:oddVBand="0" w:evenVBand="0" w:oddHBand="0" w:evenHBand="0" w:firstRowFirstColumn="0" w:firstRowLastColumn="0" w:lastRowFirstColumn="0" w:lastRowLastColumn="0"/>
            </w:pPr>
            <w:r>
              <w:t>11 363</w:t>
            </w:r>
          </w:p>
        </w:tc>
        <w:tc>
          <w:tcPr>
            <w:tcW w:w="850" w:type="dxa"/>
            <w:tcBorders>
              <w:bottom w:val="single" w:sz="6" w:space="0" w:color="auto"/>
            </w:tcBorders>
          </w:tcPr>
          <w:p w14:paraId="0DF05E5E" w14:textId="77777777" w:rsidR="00964B88" w:rsidRDefault="00964B88">
            <w:pPr>
              <w:cnfStyle w:val="000000000000" w:firstRow="0" w:lastRow="0" w:firstColumn="0" w:lastColumn="0" w:oddVBand="0" w:evenVBand="0" w:oddHBand="0" w:evenHBand="0" w:firstRowFirstColumn="0" w:firstRowLastColumn="0" w:lastRowFirstColumn="0" w:lastRowLastColumn="0"/>
            </w:pPr>
            <w:r>
              <w:t>11 587</w:t>
            </w:r>
          </w:p>
        </w:tc>
        <w:tc>
          <w:tcPr>
            <w:tcW w:w="850" w:type="dxa"/>
            <w:tcBorders>
              <w:bottom w:val="single" w:sz="6" w:space="0" w:color="auto"/>
            </w:tcBorders>
          </w:tcPr>
          <w:p w14:paraId="5960F086" w14:textId="77777777" w:rsidR="00964B88" w:rsidRDefault="00964B88">
            <w:pPr>
              <w:cnfStyle w:val="000000000000" w:firstRow="0" w:lastRow="0" w:firstColumn="0" w:lastColumn="0" w:oddVBand="0" w:evenVBand="0" w:oddHBand="0" w:evenHBand="0" w:firstRowFirstColumn="0" w:firstRowLastColumn="0" w:lastRowFirstColumn="0" w:lastRowLastColumn="0"/>
            </w:pPr>
            <w:r>
              <w:t>11 901</w:t>
            </w:r>
          </w:p>
        </w:tc>
        <w:tc>
          <w:tcPr>
            <w:tcW w:w="850" w:type="dxa"/>
            <w:tcBorders>
              <w:bottom w:val="single" w:sz="6" w:space="0" w:color="auto"/>
            </w:tcBorders>
          </w:tcPr>
          <w:p w14:paraId="76F81D3E" w14:textId="77777777" w:rsidR="00964B88" w:rsidRDefault="00964B88">
            <w:pPr>
              <w:cnfStyle w:val="000000000000" w:firstRow="0" w:lastRow="0" w:firstColumn="0" w:lastColumn="0" w:oddVBand="0" w:evenVBand="0" w:oddHBand="0" w:evenHBand="0" w:firstRowFirstColumn="0" w:firstRowLastColumn="0" w:lastRowFirstColumn="0" w:lastRowLastColumn="0"/>
            </w:pPr>
            <w:r>
              <w:t>13 155</w:t>
            </w:r>
          </w:p>
        </w:tc>
      </w:tr>
      <w:tr w:rsidR="00964B88" w14:paraId="2DFF8B88"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78BAAC3B" w14:textId="77777777" w:rsidR="00964B88" w:rsidRDefault="00964B88">
            <w:r>
              <w:rPr>
                <w:b/>
              </w:rPr>
              <w:t>Total</w:t>
            </w:r>
          </w:p>
        </w:tc>
        <w:tc>
          <w:tcPr>
            <w:tcW w:w="850" w:type="dxa"/>
            <w:tcBorders>
              <w:top w:val="single" w:sz="6" w:space="0" w:color="auto"/>
            </w:tcBorders>
          </w:tcPr>
          <w:p w14:paraId="2C6E489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32 497</w:t>
            </w:r>
          </w:p>
        </w:tc>
        <w:tc>
          <w:tcPr>
            <w:tcW w:w="850" w:type="dxa"/>
            <w:tcBorders>
              <w:top w:val="single" w:sz="6" w:space="0" w:color="auto"/>
            </w:tcBorders>
          </w:tcPr>
          <w:p w14:paraId="1DE4D8E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32 318</w:t>
            </w:r>
          </w:p>
        </w:tc>
        <w:tc>
          <w:tcPr>
            <w:tcW w:w="850" w:type="dxa"/>
            <w:tcBorders>
              <w:top w:val="single" w:sz="6" w:space="0" w:color="auto"/>
            </w:tcBorders>
          </w:tcPr>
          <w:p w14:paraId="6F61C0E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34 487</w:t>
            </w:r>
          </w:p>
        </w:tc>
        <w:tc>
          <w:tcPr>
            <w:tcW w:w="850" w:type="dxa"/>
            <w:tcBorders>
              <w:top w:val="single" w:sz="6" w:space="0" w:color="auto"/>
            </w:tcBorders>
          </w:tcPr>
          <w:p w14:paraId="143327F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36 543</w:t>
            </w:r>
          </w:p>
        </w:tc>
        <w:tc>
          <w:tcPr>
            <w:tcW w:w="850" w:type="dxa"/>
            <w:tcBorders>
              <w:top w:val="single" w:sz="6" w:space="0" w:color="auto"/>
            </w:tcBorders>
          </w:tcPr>
          <w:p w14:paraId="0991809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39 642</w:t>
            </w:r>
          </w:p>
        </w:tc>
      </w:tr>
      <w:tr w:rsidR="00964B88" w14:paraId="6F946083"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3F98B659" w14:textId="77777777" w:rsidR="00964B88" w:rsidRDefault="00964B88">
            <w:r>
              <w:t>Other contributions and grants</w:t>
            </w:r>
          </w:p>
        </w:tc>
        <w:tc>
          <w:tcPr>
            <w:tcW w:w="850" w:type="dxa"/>
            <w:tcBorders>
              <w:bottom w:val="single" w:sz="6" w:space="0" w:color="auto"/>
            </w:tcBorders>
          </w:tcPr>
          <w:p w14:paraId="60985B48" w14:textId="77777777" w:rsidR="00964B88" w:rsidRDefault="00964B88">
            <w:pPr>
              <w:cnfStyle w:val="000000000000" w:firstRow="0" w:lastRow="0" w:firstColumn="0" w:lastColumn="0" w:oddVBand="0" w:evenVBand="0" w:oddHBand="0" w:evenHBand="0" w:firstRowFirstColumn="0" w:firstRowLastColumn="0" w:lastRowFirstColumn="0" w:lastRowLastColumn="0"/>
            </w:pPr>
            <w:r>
              <w:t>1 596</w:t>
            </w:r>
          </w:p>
        </w:tc>
        <w:tc>
          <w:tcPr>
            <w:tcW w:w="850" w:type="dxa"/>
            <w:tcBorders>
              <w:bottom w:val="single" w:sz="6" w:space="0" w:color="auto"/>
            </w:tcBorders>
          </w:tcPr>
          <w:p w14:paraId="4FF2C906" w14:textId="77777777" w:rsidR="00964B88" w:rsidRDefault="00964B88">
            <w:pPr>
              <w:cnfStyle w:val="000000000000" w:firstRow="0" w:lastRow="0" w:firstColumn="0" w:lastColumn="0" w:oddVBand="0" w:evenVBand="0" w:oddHBand="0" w:evenHBand="0" w:firstRowFirstColumn="0" w:firstRowLastColumn="0" w:lastRowFirstColumn="0" w:lastRowLastColumn="0"/>
            </w:pPr>
            <w:r>
              <w:t>1 570</w:t>
            </w:r>
          </w:p>
        </w:tc>
        <w:tc>
          <w:tcPr>
            <w:tcW w:w="850" w:type="dxa"/>
            <w:tcBorders>
              <w:bottom w:val="single" w:sz="6" w:space="0" w:color="auto"/>
            </w:tcBorders>
          </w:tcPr>
          <w:p w14:paraId="3016CC4A" w14:textId="77777777" w:rsidR="00964B88" w:rsidRDefault="00964B88">
            <w:pPr>
              <w:cnfStyle w:val="000000000000" w:firstRow="0" w:lastRow="0" w:firstColumn="0" w:lastColumn="0" w:oddVBand="0" w:evenVBand="0" w:oddHBand="0" w:evenHBand="0" w:firstRowFirstColumn="0" w:firstRowLastColumn="0" w:lastRowFirstColumn="0" w:lastRowLastColumn="0"/>
            </w:pPr>
            <w:r>
              <w:t>1 435</w:t>
            </w:r>
          </w:p>
        </w:tc>
        <w:tc>
          <w:tcPr>
            <w:tcW w:w="850" w:type="dxa"/>
            <w:tcBorders>
              <w:bottom w:val="single" w:sz="6" w:space="0" w:color="auto"/>
            </w:tcBorders>
          </w:tcPr>
          <w:p w14:paraId="75A7F5F1" w14:textId="77777777" w:rsidR="00964B88" w:rsidRDefault="00964B88">
            <w:pPr>
              <w:cnfStyle w:val="000000000000" w:firstRow="0" w:lastRow="0" w:firstColumn="0" w:lastColumn="0" w:oddVBand="0" w:evenVBand="0" w:oddHBand="0" w:evenHBand="0" w:firstRowFirstColumn="0" w:firstRowLastColumn="0" w:lastRowFirstColumn="0" w:lastRowLastColumn="0"/>
            </w:pPr>
            <w:r>
              <w:t>1 367</w:t>
            </w:r>
          </w:p>
        </w:tc>
        <w:tc>
          <w:tcPr>
            <w:tcW w:w="850" w:type="dxa"/>
            <w:tcBorders>
              <w:bottom w:val="single" w:sz="6" w:space="0" w:color="auto"/>
            </w:tcBorders>
          </w:tcPr>
          <w:p w14:paraId="47930E32" w14:textId="77777777" w:rsidR="00964B88" w:rsidRDefault="00964B88">
            <w:pPr>
              <w:cnfStyle w:val="000000000000" w:firstRow="0" w:lastRow="0" w:firstColumn="0" w:lastColumn="0" w:oddVBand="0" w:evenVBand="0" w:oddHBand="0" w:evenHBand="0" w:firstRowFirstColumn="0" w:firstRowLastColumn="0" w:lastRowFirstColumn="0" w:lastRowLastColumn="0"/>
            </w:pPr>
            <w:r>
              <w:t>703</w:t>
            </w:r>
          </w:p>
        </w:tc>
      </w:tr>
      <w:tr w:rsidR="00964B88" w14:paraId="42567224"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2A478551" w14:textId="77777777" w:rsidR="00964B88" w:rsidRDefault="00964B88">
            <w:r>
              <w:t>Total grant revenue</w:t>
            </w:r>
          </w:p>
        </w:tc>
        <w:tc>
          <w:tcPr>
            <w:tcW w:w="850" w:type="dxa"/>
          </w:tcPr>
          <w:p w14:paraId="14D2347E" w14:textId="77777777" w:rsidR="00964B88" w:rsidRDefault="00964B88">
            <w:pPr>
              <w:cnfStyle w:val="010000000000" w:firstRow="0" w:lastRow="1" w:firstColumn="0" w:lastColumn="0" w:oddVBand="0" w:evenVBand="0" w:oddHBand="0" w:evenHBand="0" w:firstRowFirstColumn="0" w:firstRowLastColumn="0" w:lastRowFirstColumn="0" w:lastRowLastColumn="0"/>
            </w:pPr>
            <w:r>
              <w:t>34 093</w:t>
            </w:r>
          </w:p>
        </w:tc>
        <w:tc>
          <w:tcPr>
            <w:tcW w:w="850" w:type="dxa"/>
          </w:tcPr>
          <w:p w14:paraId="5F3484DD" w14:textId="77777777" w:rsidR="00964B88" w:rsidRDefault="00964B88">
            <w:pPr>
              <w:cnfStyle w:val="010000000000" w:firstRow="0" w:lastRow="1" w:firstColumn="0" w:lastColumn="0" w:oddVBand="0" w:evenVBand="0" w:oddHBand="0" w:evenHBand="0" w:firstRowFirstColumn="0" w:firstRowLastColumn="0" w:lastRowFirstColumn="0" w:lastRowLastColumn="0"/>
            </w:pPr>
            <w:r>
              <w:t>33 889</w:t>
            </w:r>
          </w:p>
        </w:tc>
        <w:tc>
          <w:tcPr>
            <w:tcW w:w="850" w:type="dxa"/>
          </w:tcPr>
          <w:p w14:paraId="7CD9E9DF" w14:textId="77777777" w:rsidR="00964B88" w:rsidRDefault="00964B88">
            <w:pPr>
              <w:cnfStyle w:val="010000000000" w:firstRow="0" w:lastRow="1" w:firstColumn="0" w:lastColumn="0" w:oddVBand="0" w:evenVBand="0" w:oddHBand="0" w:evenHBand="0" w:firstRowFirstColumn="0" w:firstRowLastColumn="0" w:lastRowFirstColumn="0" w:lastRowLastColumn="0"/>
            </w:pPr>
            <w:r>
              <w:t>35 922</w:t>
            </w:r>
          </w:p>
        </w:tc>
        <w:tc>
          <w:tcPr>
            <w:tcW w:w="850" w:type="dxa"/>
          </w:tcPr>
          <w:p w14:paraId="4EEE1D2D" w14:textId="77777777" w:rsidR="00964B88" w:rsidRDefault="00964B88">
            <w:pPr>
              <w:cnfStyle w:val="010000000000" w:firstRow="0" w:lastRow="1" w:firstColumn="0" w:lastColumn="0" w:oddVBand="0" w:evenVBand="0" w:oddHBand="0" w:evenHBand="0" w:firstRowFirstColumn="0" w:firstRowLastColumn="0" w:lastRowFirstColumn="0" w:lastRowLastColumn="0"/>
            </w:pPr>
            <w:r>
              <w:t>37 910</w:t>
            </w:r>
          </w:p>
        </w:tc>
        <w:tc>
          <w:tcPr>
            <w:tcW w:w="850" w:type="dxa"/>
          </w:tcPr>
          <w:p w14:paraId="1FE22948" w14:textId="77777777" w:rsidR="00964B88" w:rsidRDefault="00964B88">
            <w:pPr>
              <w:cnfStyle w:val="010000000000" w:firstRow="0" w:lastRow="1" w:firstColumn="0" w:lastColumn="0" w:oddVBand="0" w:evenVBand="0" w:oddHBand="0" w:evenHBand="0" w:firstRowFirstColumn="0" w:firstRowLastColumn="0" w:lastRowFirstColumn="0" w:lastRowLastColumn="0"/>
            </w:pPr>
            <w:r>
              <w:t>40 345</w:t>
            </w:r>
          </w:p>
        </w:tc>
      </w:tr>
    </w:tbl>
    <w:p w14:paraId="0965B7C2" w14:textId="77777777" w:rsidR="00964B88" w:rsidRDefault="00964B88" w:rsidP="00F53820"/>
    <w:p w14:paraId="1E473770" w14:textId="77777777" w:rsidR="00964B88" w:rsidRDefault="00964B88" w:rsidP="00F53820"/>
    <w:p w14:paraId="2D2692BD" w14:textId="77777777" w:rsidR="00964B88" w:rsidRPr="00177EBC" w:rsidRDefault="00964B88" w:rsidP="00964B88">
      <w:pPr>
        <w:pStyle w:val="Heading3"/>
        <w:numPr>
          <w:ilvl w:val="2"/>
          <w:numId w:val="22"/>
        </w:numPr>
        <w:tabs>
          <w:tab w:val="clear" w:pos="7711"/>
          <w:tab w:val="left" w:pos="850"/>
          <w:tab w:val="right" w:pos="7710"/>
        </w:tabs>
        <w:spacing w:after="60"/>
        <w:rPr>
          <w:lang w:val="en-US"/>
        </w:rPr>
      </w:pPr>
      <w:bookmarkStart w:id="82" w:name="_Toc530147733"/>
      <w:r w:rsidRPr="004E4D8E">
        <w:t>Other revenue</w:t>
      </w:r>
      <w:r w:rsidRPr="004E4D8E">
        <w:tab/>
        <w:t>($ million)</w:t>
      </w:r>
      <w:bookmarkEnd w:id="82"/>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22667D8E"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3BD82857" w14:textId="77777777" w:rsidR="00964B88" w:rsidRDefault="00964B88"/>
        </w:tc>
        <w:tc>
          <w:tcPr>
            <w:tcW w:w="850" w:type="dxa"/>
          </w:tcPr>
          <w:p w14:paraId="6E90569D"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3257AA0A"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682315C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25074C7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240D043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15034E34" w14:textId="77777777">
        <w:tc>
          <w:tcPr>
            <w:cnfStyle w:val="001000000000" w:firstRow="0" w:lastRow="0" w:firstColumn="1" w:lastColumn="0" w:oddVBand="0" w:evenVBand="0" w:oddHBand="0" w:evenHBand="0" w:firstRowFirstColumn="0" w:firstRowLastColumn="0" w:lastRowFirstColumn="0" w:lastRowLastColumn="0"/>
            <w:tcW w:w="3518" w:type="dxa"/>
          </w:tcPr>
          <w:p w14:paraId="50EB7B70" w14:textId="77777777" w:rsidR="00964B88" w:rsidRDefault="00964B88">
            <w:r>
              <w:t>Fair value of assets received free of charge or for nominal consideration</w:t>
            </w:r>
          </w:p>
        </w:tc>
        <w:tc>
          <w:tcPr>
            <w:tcW w:w="850" w:type="dxa"/>
          </w:tcPr>
          <w:p w14:paraId="74EB6322" w14:textId="77777777" w:rsidR="00964B88" w:rsidRDefault="00964B88">
            <w:pPr>
              <w:cnfStyle w:val="000000000000" w:firstRow="0" w:lastRow="0" w:firstColumn="0" w:lastColumn="0" w:oddVBand="0" w:evenVBand="0" w:oddHBand="0" w:evenHBand="0" w:firstRowFirstColumn="0" w:firstRowLastColumn="0" w:lastRowFirstColumn="0" w:lastRowLastColumn="0"/>
            </w:pPr>
            <w:r>
              <w:t>56</w:t>
            </w:r>
          </w:p>
        </w:tc>
        <w:tc>
          <w:tcPr>
            <w:tcW w:w="850" w:type="dxa"/>
          </w:tcPr>
          <w:p w14:paraId="0546FB54" w14:textId="77777777" w:rsidR="00964B88" w:rsidRDefault="00964B88">
            <w:pPr>
              <w:cnfStyle w:val="000000000000" w:firstRow="0" w:lastRow="0" w:firstColumn="0" w:lastColumn="0" w:oddVBand="0" w:evenVBand="0" w:oddHBand="0" w:evenHBand="0" w:firstRowFirstColumn="0" w:firstRowLastColumn="0" w:lastRowFirstColumn="0" w:lastRowLastColumn="0"/>
            </w:pPr>
            <w:r>
              <w:t>63</w:t>
            </w:r>
          </w:p>
        </w:tc>
        <w:tc>
          <w:tcPr>
            <w:tcW w:w="850" w:type="dxa"/>
          </w:tcPr>
          <w:p w14:paraId="0F246F41" w14:textId="77777777" w:rsidR="00964B88" w:rsidRDefault="00964B88">
            <w:pPr>
              <w:cnfStyle w:val="000000000000" w:firstRow="0" w:lastRow="0" w:firstColumn="0" w:lastColumn="0" w:oddVBand="0" w:evenVBand="0" w:oddHBand="0" w:evenHBand="0" w:firstRowFirstColumn="0" w:firstRowLastColumn="0" w:lastRowFirstColumn="0" w:lastRowLastColumn="0"/>
            </w:pPr>
            <w:r>
              <w:t>56</w:t>
            </w:r>
          </w:p>
        </w:tc>
        <w:tc>
          <w:tcPr>
            <w:tcW w:w="850" w:type="dxa"/>
          </w:tcPr>
          <w:p w14:paraId="03CCCAC3" w14:textId="77777777" w:rsidR="00964B88" w:rsidRDefault="00964B88">
            <w:pPr>
              <w:cnfStyle w:val="000000000000" w:firstRow="0" w:lastRow="0" w:firstColumn="0" w:lastColumn="0" w:oddVBand="0" w:evenVBand="0" w:oddHBand="0" w:evenHBand="0" w:firstRowFirstColumn="0" w:firstRowLastColumn="0" w:lastRowFirstColumn="0" w:lastRowLastColumn="0"/>
            </w:pPr>
            <w:r>
              <w:t>57</w:t>
            </w:r>
          </w:p>
        </w:tc>
        <w:tc>
          <w:tcPr>
            <w:tcW w:w="850" w:type="dxa"/>
          </w:tcPr>
          <w:p w14:paraId="628B4C84" w14:textId="77777777" w:rsidR="00964B88" w:rsidRDefault="00964B88">
            <w:pPr>
              <w:cnfStyle w:val="000000000000" w:firstRow="0" w:lastRow="0" w:firstColumn="0" w:lastColumn="0" w:oddVBand="0" w:evenVBand="0" w:oddHBand="0" w:evenHBand="0" w:firstRowFirstColumn="0" w:firstRowLastColumn="0" w:lastRowFirstColumn="0" w:lastRowLastColumn="0"/>
            </w:pPr>
            <w:r>
              <w:t>57</w:t>
            </w:r>
          </w:p>
        </w:tc>
      </w:tr>
      <w:tr w:rsidR="00964B88" w14:paraId="322ED238" w14:textId="77777777">
        <w:tc>
          <w:tcPr>
            <w:cnfStyle w:val="001000000000" w:firstRow="0" w:lastRow="0" w:firstColumn="1" w:lastColumn="0" w:oddVBand="0" w:evenVBand="0" w:oddHBand="0" w:evenHBand="0" w:firstRowFirstColumn="0" w:firstRowLastColumn="0" w:lastRowFirstColumn="0" w:lastRowLastColumn="0"/>
            <w:tcW w:w="3518" w:type="dxa"/>
          </w:tcPr>
          <w:p w14:paraId="3ADBEA19" w14:textId="77777777" w:rsidR="00964B88" w:rsidRDefault="00964B88">
            <w:r>
              <w:t>Fines</w:t>
            </w:r>
          </w:p>
        </w:tc>
        <w:tc>
          <w:tcPr>
            <w:tcW w:w="850" w:type="dxa"/>
          </w:tcPr>
          <w:p w14:paraId="21B08651" w14:textId="77777777" w:rsidR="00964B88" w:rsidRDefault="00964B88">
            <w:pPr>
              <w:cnfStyle w:val="000000000000" w:firstRow="0" w:lastRow="0" w:firstColumn="0" w:lastColumn="0" w:oddVBand="0" w:evenVBand="0" w:oddHBand="0" w:evenHBand="0" w:firstRowFirstColumn="0" w:firstRowLastColumn="0" w:lastRowFirstColumn="0" w:lastRowLastColumn="0"/>
            </w:pPr>
            <w:r>
              <w:t>822</w:t>
            </w:r>
          </w:p>
        </w:tc>
        <w:tc>
          <w:tcPr>
            <w:tcW w:w="850" w:type="dxa"/>
          </w:tcPr>
          <w:p w14:paraId="0C1DA4F9" w14:textId="77777777" w:rsidR="00964B88" w:rsidRDefault="00964B88">
            <w:pPr>
              <w:cnfStyle w:val="000000000000" w:firstRow="0" w:lastRow="0" w:firstColumn="0" w:lastColumn="0" w:oddVBand="0" w:evenVBand="0" w:oddHBand="0" w:evenHBand="0" w:firstRowFirstColumn="0" w:firstRowLastColumn="0" w:lastRowFirstColumn="0" w:lastRowLastColumn="0"/>
            </w:pPr>
            <w:r>
              <w:t>822</w:t>
            </w:r>
          </w:p>
        </w:tc>
        <w:tc>
          <w:tcPr>
            <w:tcW w:w="850" w:type="dxa"/>
          </w:tcPr>
          <w:p w14:paraId="684EAC3C" w14:textId="77777777" w:rsidR="00964B88" w:rsidRDefault="00964B88">
            <w:pPr>
              <w:cnfStyle w:val="000000000000" w:firstRow="0" w:lastRow="0" w:firstColumn="0" w:lastColumn="0" w:oddVBand="0" w:evenVBand="0" w:oddHBand="0" w:evenHBand="0" w:firstRowFirstColumn="0" w:firstRowLastColumn="0" w:lastRowFirstColumn="0" w:lastRowLastColumn="0"/>
            </w:pPr>
            <w:r>
              <w:t>868</w:t>
            </w:r>
          </w:p>
        </w:tc>
        <w:tc>
          <w:tcPr>
            <w:tcW w:w="850" w:type="dxa"/>
          </w:tcPr>
          <w:p w14:paraId="2D327A73" w14:textId="77777777" w:rsidR="00964B88" w:rsidRDefault="00964B88">
            <w:pPr>
              <w:cnfStyle w:val="000000000000" w:firstRow="0" w:lastRow="0" w:firstColumn="0" w:lastColumn="0" w:oddVBand="0" w:evenVBand="0" w:oddHBand="0" w:evenHBand="0" w:firstRowFirstColumn="0" w:firstRowLastColumn="0" w:lastRowFirstColumn="0" w:lastRowLastColumn="0"/>
            </w:pPr>
            <w:r>
              <w:t>931</w:t>
            </w:r>
          </w:p>
        </w:tc>
        <w:tc>
          <w:tcPr>
            <w:tcW w:w="850" w:type="dxa"/>
          </w:tcPr>
          <w:p w14:paraId="049062E6" w14:textId="77777777" w:rsidR="00964B88" w:rsidRDefault="00964B88">
            <w:pPr>
              <w:cnfStyle w:val="000000000000" w:firstRow="0" w:lastRow="0" w:firstColumn="0" w:lastColumn="0" w:oddVBand="0" w:evenVBand="0" w:oddHBand="0" w:evenHBand="0" w:firstRowFirstColumn="0" w:firstRowLastColumn="0" w:lastRowFirstColumn="0" w:lastRowLastColumn="0"/>
            </w:pPr>
            <w:r>
              <w:t>959</w:t>
            </w:r>
          </w:p>
        </w:tc>
      </w:tr>
      <w:tr w:rsidR="00964B88" w14:paraId="4D5AB187" w14:textId="77777777">
        <w:tc>
          <w:tcPr>
            <w:cnfStyle w:val="001000000000" w:firstRow="0" w:lastRow="0" w:firstColumn="1" w:lastColumn="0" w:oddVBand="0" w:evenVBand="0" w:oddHBand="0" w:evenHBand="0" w:firstRowFirstColumn="0" w:firstRowLastColumn="0" w:lastRowFirstColumn="0" w:lastRowLastColumn="0"/>
            <w:tcW w:w="3518" w:type="dxa"/>
          </w:tcPr>
          <w:p w14:paraId="49437ED1" w14:textId="77777777" w:rsidR="00964B88" w:rsidRDefault="00964B88">
            <w:r>
              <w:t>Royalties</w:t>
            </w:r>
          </w:p>
        </w:tc>
        <w:tc>
          <w:tcPr>
            <w:tcW w:w="850" w:type="dxa"/>
          </w:tcPr>
          <w:p w14:paraId="3D64F4EA" w14:textId="77777777" w:rsidR="00964B88" w:rsidRDefault="00964B88">
            <w:pPr>
              <w:cnfStyle w:val="000000000000" w:firstRow="0" w:lastRow="0" w:firstColumn="0" w:lastColumn="0" w:oddVBand="0" w:evenVBand="0" w:oddHBand="0" w:evenHBand="0" w:firstRowFirstColumn="0" w:firstRowLastColumn="0" w:lastRowFirstColumn="0" w:lastRowLastColumn="0"/>
            </w:pPr>
            <w:r>
              <w:t>110</w:t>
            </w:r>
          </w:p>
        </w:tc>
        <w:tc>
          <w:tcPr>
            <w:tcW w:w="850" w:type="dxa"/>
          </w:tcPr>
          <w:p w14:paraId="65147871" w14:textId="77777777" w:rsidR="00964B88" w:rsidRDefault="00964B88">
            <w:pPr>
              <w:cnfStyle w:val="000000000000" w:firstRow="0" w:lastRow="0" w:firstColumn="0" w:lastColumn="0" w:oddVBand="0" w:evenVBand="0" w:oddHBand="0" w:evenHBand="0" w:firstRowFirstColumn="0" w:firstRowLastColumn="0" w:lastRowFirstColumn="0" w:lastRowLastColumn="0"/>
            </w:pPr>
            <w:r>
              <w:t>121</w:t>
            </w:r>
          </w:p>
        </w:tc>
        <w:tc>
          <w:tcPr>
            <w:tcW w:w="850" w:type="dxa"/>
          </w:tcPr>
          <w:p w14:paraId="5D5D732C" w14:textId="77777777" w:rsidR="00964B88" w:rsidRDefault="00964B88">
            <w:pPr>
              <w:cnfStyle w:val="000000000000" w:firstRow="0" w:lastRow="0" w:firstColumn="0" w:lastColumn="0" w:oddVBand="0" w:evenVBand="0" w:oddHBand="0" w:evenHBand="0" w:firstRowFirstColumn="0" w:firstRowLastColumn="0" w:lastRowFirstColumn="0" w:lastRowLastColumn="0"/>
            </w:pPr>
            <w:r>
              <w:t>142</w:t>
            </w:r>
          </w:p>
        </w:tc>
        <w:tc>
          <w:tcPr>
            <w:tcW w:w="850" w:type="dxa"/>
          </w:tcPr>
          <w:p w14:paraId="65183CF1" w14:textId="77777777" w:rsidR="00964B88" w:rsidRDefault="00964B88">
            <w:pPr>
              <w:cnfStyle w:val="000000000000" w:firstRow="0" w:lastRow="0" w:firstColumn="0" w:lastColumn="0" w:oddVBand="0" w:evenVBand="0" w:oddHBand="0" w:evenHBand="0" w:firstRowFirstColumn="0" w:firstRowLastColumn="0" w:lastRowFirstColumn="0" w:lastRowLastColumn="0"/>
            </w:pPr>
            <w:r>
              <w:t>143</w:t>
            </w:r>
          </w:p>
        </w:tc>
        <w:tc>
          <w:tcPr>
            <w:tcW w:w="850" w:type="dxa"/>
          </w:tcPr>
          <w:p w14:paraId="6DE6E135" w14:textId="77777777" w:rsidR="00964B88" w:rsidRDefault="00964B88">
            <w:pPr>
              <w:cnfStyle w:val="000000000000" w:firstRow="0" w:lastRow="0" w:firstColumn="0" w:lastColumn="0" w:oddVBand="0" w:evenVBand="0" w:oddHBand="0" w:evenHBand="0" w:firstRowFirstColumn="0" w:firstRowLastColumn="0" w:lastRowFirstColumn="0" w:lastRowLastColumn="0"/>
            </w:pPr>
            <w:r>
              <w:t>134</w:t>
            </w:r>
          </w:p>
        </w:tc>
      </w:tr>
      <w:tr w:rsidR="00964B88" w14:paraId="2B394A01" w14:textId="77777777">
        <w:tc>
          <w:tcPr>
            <w:cnfStyle w:val="001000000000" w:firstRow="0" w:lastRow="0" w:firstColumn="1" w:lastColumn="0" w:oddVBand="0" w:evenVBand="0" w:oddHBand="0" w:evenHBand="0" w:firstRowFirstColumn="0" w:firstRowLastColumn="0" w:lastRowFirstColumn="0" w:lastRowLastColumn="0"/>
            <w:tcW w:w="3518" w:type="dxa"/>
          </w:tcPr>
          <w:p w14:paraId="2B596AE0" w14:textId="77777777" w:rsidR="00964B88" w:rsidRDefault="00964B88">
            <w:r>
              <w:t>Donations and gifts</w:t>
            </w:r>
          </w:p>
        </w:tc>
        <w:tc>
          <w:tcPr>
            <w:tcW w:w="850" w:type="dxa"/>
          </w:tcPr>
          <w:p w14:paraId="2065DD42" w14:textId="77777777" w:rsidR="00964B88" w:rsidRDefault="00964B88">
            <w:pPr>
              <w:cnfStyle w:val="000000000000" w:firstRow="0" w:lastRow="0" w:firstColumn="0" w:lastColumn="0" w:oddVBand="0" w:evenVBand="0" w:oddHBand="0" w:evenHBand="0" w:firstRowFirstColumn="0" w:firstRowLastColumn="0" w:lastRowFirstColumn="0" w:lastRowLastColumn="0"/>
            </w:pPr>
            <w:r>
              <w:t>209</w:t>
            </w:r>
          </w:p>
        </w:tc>
        <w:tc>
          <w:tcPr>
            <w:tcW w:w="850" w:type="dxa"/>
          </w:tcPr>
          <w:p w14:paraId="7EE5E432" w14:textId="77777777" w:rsidR="00964B88" w:rsidRDefault="00964B88">
            <w:pPr>
              <w:cnfStyle w:val="000000000000" w:firstRow="0" w:lastRow="0" w:firstColumn="0" w:lastColumn="0" w:oddVBand="0" w:evenVBand="0" w:oddHBand="0" w:evenHBand="0" w:firstRowFirstColumn="0" w:firstRowLastColumn="0" w:lastRowFirstColumn="0" w:lastRowLastColumn="0"/>
            </w:pPr>
            <w:r>
              <w:t>210</w:t>
            </w:r>
          </w:p>
        </w:tc>
        <w:tc>
          <w:tcPr>
            <w:tcW w:w="850" w:type="dxa"/>
          </w:tcPr>
          <w:p w14:paraId="54704D58" w14:textId="77777777" w:rsidR="00964B88" w:rsidRDefault="00964B88">
            <w:pPr>
              <w:cnfStyle w:val="000000000000" w:firstRow="0" w:lastRow="0" w:firstColumn="0" w:lastColumn="0" w:oddVBand="0" w:evenVBand="0" w:oddHBand="0" w:evenHBand="0" w:firstRowFirstColumn="0" w:firstRowLastColumn="0" w:lastRowFirstColumn="0" w:lastRowLastColumn="0"/>
            </w:pPr>
            <w:r>
              <w:t>239</w:t>
            </w:r>
          </w:p>
        </w:tc>
        <w:tc>
          <w:tcPr>
            <w:tcW w:w="850" w:type="dxa"/>
          </w:tcPr>
          <w:p w14:paraId="73541A7B" w14:textId="77777777" w:rsidR="00964B88" w:rsidRDefault="00964B88">
            <w:pPr>
              <w:cnfStyle w:val="000000000000" w:firstRow="0" w:lastRow="0" w:firstColumn="0" w:lastColumn="0" w:oddVBand="0" w:evenVBand="0" w:oddHBand="0" w:evenHBand="0" w:firstRowFirstColumn="0" w:firstRowLastColumn="0" w:lastRowFirstColumn="0" w:lastRowLastColumn="0"/>
            </w:pPr>
            <w:r>
              <w:t>249</w:t>
            </w:r>
          </w:p>
        </w:tc>
        <w:tc>
          <w:tcPr>
            <w:tcW w:w="850" w:type="dxa"/>
          </w:tcPr>
          <w:p w14:paraId="7C88E800" w14:textId="77777777" w:rsidR="00964B88" w:rsidRDefault="00964B88">
            <w:pPr>
              <w:cnfStyle w:val="000000000000" w:firstRow="0" w:lastRow="0" w:firstColumn="0" w:lastColumn="0" w:oddVBand="0" w:evenVBand="0" w:oddHBand="0" w:evenHBand="0" w:firstRowFirstColumn="0" w:firstRowLastColumn="0" w:lastRowFirstColumn="0" w:lastRowLastColumn="0"/>
            </w:pPr>
            <w:r>
              <w:t>239</w:t>
            </w:r>
          </w:p>
        </w:tc>
      </w:tr>
      <w:tr w:rsidR="00964B88" w14:paraId="05781BFC" w14:textId="77777777">
        <w:tc>
          <w:tcPr>
            <w:cnfStyle w:val="001000000000" w:firstRow="0" w:lastRow="0" w:firstColumn="1" w:lastColumn="0" w:oddVBand="0" w:evenVBand="0" w:oddHBand="0" w:evenHBand="0" w:firstRowFirstColumn="0" w:firstRowLastColumn="0" w:lastRowFirstColumn="0" w:lastRowLastColumn="0"/>
            <w:tcW w:w="3518" w:type="dxa"/>
          </w:tcPr>
          <w:p w14:paraId="4FD8C188" w14:textId="77777777" w:rsidR="00964B88" w:rsidRDefault="00964B88">
            <w:r>
              <w:t>Other non</w:t>
            </w:r>
            <w:r>
              <w:noBreakHyphen/>
              <w:t>property rental</w:t>
            </w:r>
          </w:p>
        </w:tc>
        <w:tc>
          <w:tcPr>
            <w:tcW w:w="850" w:type="dxa"/>
          </w:tcPr>
          <w:p w14:paraId="49856EF3" w14:textId="77777777" w:rsidR="00964B88" w:rsidRDefault="00964B88">
            <w:pPr>
              <w:cnfStyle w:val="000000000000" w:firstRow="0" w:lastRow="0" w:firstColumn="0" w:lastColumn="0" w:oddVBand="0" w:evenVBand="0" w:oddHBand="0" w:evenHBand="0" w:firstRowFirstColumn="0" w:firstRowLastColumn="0" w:lastRowFirstColumn="0" w:lastRowLastColumn="0"/>
            </w:pPr>
            <w:r>
              <w:t>28</w:t>
            </w:r>
          </w:p>
        </w:tc>
        <w:tc>
          <w:tcPr>
            <w:tcW w:w="850" w:type="dxa"/>
          </w:tcPr>
          <w:p w14:paraId="1EFE3360" w14:textId="77777777" w:rsidR="00964B88" w:rsidRDefault="00964B88">
            <w:pPr>
              <w:cnfStyle w:val="000000000000" w:firstRow="0" w:lastRow="0" w:firstColumn="0" w:lastColumn="0" w:oddVBand="0" w:evenVBand="0" w:oddHBand="0" w:evenHBand="0" w:firstRowFirstColumn="0" w:firstRowLastColumn="0" w:lastRowFirstColumn="0" w:lastRowLastColumn="0"/>
            </w:pPr>
            <w:r>
              <w:t>28</w:t>
            </w:r>
          </w:p>
        </w:tc>
        <w:tc>
          <w:tcPr>
            <w:tcW w:w="850" w:type="dxa"/>
          </w:tcPr>
          <w:p w14:paraId="1905AE36" w14:textId="77777777" w:rsidR="00964B88" w:rsidRDefault="00964B88">
            <w:pPr>
              <w:cnfStyle w:val="000000000000" w:firstRow="0" w:lastRow="0" w:firstColumn="0" w:lastColumn="0" w:oddVBand="0" w:evenVBand="0" w:oddHBand="0" w:evenHBand="0" w:firstRowFirstColumn="0" w:firstRowLastColumn="0" w:lastRowFirstColumn="0" w:lastRowLastColumn="0"/>
            </w:pPr>
            <w:r>
              <w:t>29</w:t>
            </w:r>
          </w:p>
        </w:tc>
        <w:tc>
          <w:tcPr>
            <w:tcW w:w="850" w:type="dxa"/>
          </w:tcPr>
          <w:p w14:paraId="09F91A46" w14:textId="77777777" w:rsidR="00964B88" w:rsidRDefault="00964B88">
            <w:pPr>
              <w:cnfStyle w:val="000000000000" w:firstRow="0" w:lastRow="0" w:firstColumn="0" w:lastColumn="0" w:oddVBand="0" w:evenVBand="0" w:oddHBand="0" w:evenHBand="0" w:firstRowFirstColumn="0" w:firstRowLastColumn="0" w:lastRowFirstColumn="0" w:lastRowLastColumn="0"/>
            </w:pPr>
            <w:r>
              <w:t>31</w:t>
            </w:r>
          </w:p>
        </w:tc>
        <w:tc>
          <w:tcPr>
            <w:tcW w:w="850" w:type="dxa"/>
          </w:tcPr>
          <w:p w14:paraId="34719BF0" w14:textId="77777777" w:rsidR="00964B88" w:rsidRDefault="00964B88">
            <w:pPr>
              <w:cnfStyle w:val="000000000000" w:firstRow="0" w:lastRow="0" w:firstColumn="0" w:lastColumn="0" w:oddVBand="0" w:evenVBand="0" w:oddHBand="0" w:evenHBand="0" w:firstRowFirstColumn="0" w:firstRowLastColumn="0" w:lastRowFirstColumn="0" w:lastRowLastColumn="0"/>
            </w:pPr>
            <w:r>
              <w:t>33</w:t>
            </w:r>
          </w:p>
        </w:tc>
      </w:tr>
      <w:tr w:rsidR="00964B88" w14:paraId="327F5481" w14:textId="77777777">
        <w:tc>
          <w:tcPr>
            <w:cnfStyle w:val="001000000000" w:firstRow="0" w:lastRow="0" w:firstColumn="1" w:lastColumn="0" w:oddVBand="0" w:evenVBand="0" w:oddHBand="0" w:evenHBand="0" w:firstRowFirstColumn="0" w:firstRowLastColumn="0" w:lastRowFirstColumn="0" w:lastRowLastColumn="0"/>
            <w:tcW w:w="3518" w:type="dxa"/>
          </w:tcPr>
          <w:p w14:paraId="6BD64532" w14:textId="77777777" w:rsidR="00964B88" w:rsidRDefault="00964B88">
            <w:r>
              <w:t>Other revenue – Education</w:t>
            </w:r>
          </w:p>
        </w:tc>
        <w:tc>
          <w:tcPr>
            <w:tcW w:w="850" w:type="dxa"/>
          </w:tcPr>
          <w:p w14:paraId="16298747" w14:textId="77777777" w:rsidR="00964B88" w:rsidRDefault="00964B88">
            <w:pPr>
              <w:cnfStyle w:val="000000000000" w:firstRow="0" w:lastRow="0" w:firstColumn="0" w:lastColumn="0" w:oddVBand="0" w:evenVBand="0" w:oddHBand="0" w:evenHBand="0" w:firstRowFirstColumn="0" w:firstRowLastColumn="0" w:lastRowFirstColumn="0" w:lastRowLastColumn="0"/>
            </w:pPr>
            <w:r>
              <w:t>651</w:t>
            </w:r>
          </w:p>
        </w:tc>
        <w:tc>
          <w:tcPr>
            <w:tcW w:w="850" w:type="dxa"/>
          </w:tcPr>
          <w:p w14:paraId="523768DD" w14:textId="77777777" w:rsidR="00964B88" w:rsidRDefault="00964B88">
            <w:pPr>
              <w:cnfStyle w:val="000000000000" w:firstRow="0" w:lastRow="0" w:firstColumn="0" w:lastColumn="0" w:oddVBand="0" w:evenVBand="0" w:oddHBand="0" w:evenHBand="0" w:firstRowFirstColumn="0" w:firstRowLastColumn="0" w:lastRowFirstColumn="0" w:lastRowLastColumn="0"/>
            </w:pPr>
            <w:r>
              <w:t>640</w:t>
            </w:r>
          </w:p>
        </w:tc>
        <w:tc>
          <w:tcPr>
            <w:tcW w:w="850" w:type="dxa"/>
          </w:tcPr>
          <w:p w14:paraId="32BEB75C" w14:textId="77777777" w:rsidR="00964B88" w:rsidRDefault="00964B88">
            <w:pPr>
              <w:cnfStyle w:val="000000000000" w:firstRow="0" w:lastRow="0" w:firstColumn="0" w:lastColumn="0" w:oddVBand="0" w:evenVBand="0" w:oddHBand="0" w:evenHBand="0" w:firstRowFirstColumn="0" w:firstRowLastColumn="0" w:lastRowFirstColumn="0" w:lastRowLastColumn="0"/>
            </w:pPr>
            <w:r>
              <w:t>656</w:t>
            </w:r>
          </w:p>
        </w:tc>
        <w:tc>
          <w:tcPr>
            <w:tcW w:w="850" w:type="dxa"/>
          </w:tcPr>
          <w:p w14:paraId="598D0C6D" w14:textId="77777777" w:rsidR="00964B88" w:rsidRDefault="00964B88">
            <w:pPr>
              <w:cnfStyle w:val="000000000000" w:firstRow="0" w:lastRow="0" w:firstColumn="0" w:lastColumn="0" w:oddVBand="0" w:evenVBand="0" w:oddHBand="0" w:evenHBand="0" w:firstRowFirstColumn="0" w:firstRowLastColumn="0" w:lastRowFirstColumn="0" w:lastRowLastColumn="0"/>
            </w:pPr>
            <w:r>
              <w:t>673</w:t>
            </w:r>
          </w:p>
        </w:tc>
        <w:tc>
          <w:tcPr>
            <w:tcW w:w="850" w:type="dxa"/>
          </w:tcPr>
          <w:p w14:paraId="1322A0CB" w14:textId="77777777" w:rsidR="00964B88" w:rsidRDefault="00964B88">
            <w:pPr>
              <w:cnfStyle w:val="000000000000" w:firstRow="0" w:lastRow="0" w:firstColumn="0" w:lastColumn="0" w:oddVBand="0" w:evenVBand="0" w:oddHBand="0" w:evenHBand="0" w:firstRowFirstColumn="0" w:firstRowLastColumn="0" w:lastRowFirstColumn="0" w:lastRowLastColumn="0"/>
            </w:pPr>
            <w:r>
              <w:t>690</w:t>
            </w:r>
          </w:p>
        </w:tc>
      </w:tr>
      <w:tr w:rsidR="00964B88" w14:paraId="45C6CA3E" w14:textId="77777777">
        <w:tc>
          <w:tcPr>
            <w:cnfStyle w:val="001000000000" w:firstRow="0" w:lastRow="0" w:firstColumn="1" w:lastColumn="0" w:oddVBand="0" w:evenVBand="0" w:oddHBand="0" w:evenHBand="0" w:firstRowFirstColumn="0" w:firstRowLastColumn="0" w:lastRowFirstColumn="0" w:lastRowLastColumn="0"/>
            <w:tcW w:w="3518" w:type="dxa"/>
          </w:tcPr>
          <w:p w14:paraId="59D99AA6" w14:textId="77777777" w:rsidR="00964B88" w:rsidRDefault="00964B88">
            <w:r>
              <w:t>Other revenue – Health</w:t>
            </w:r>
          </w:p>
        </w:tc>
        <w:tc>
          <w:tcPr>
            <w:tcW w:w="850" w:type="dxa"/>
          </w:tcPr>
          <w:p w14:paraId="0C0EBE94" w14:textId="77777777" w:rsidR="00964B88" w:rsidRDefault="00964B88">
            <w:pPr>
              <w:cnfStyle w:val="000000000000" w:firstRow="0" w:lastRow="0" w:firstColumn="0" w:lastColumn="0" w:oddVBand="0" w:evenVBand="0" w:oddHBand="0" w:evenHBand="0" w:firstRowFirstColumn="0" w:firstRowLastColumn="0" w:lastRowFirstColumn="0" w:lastRowLastColumn="0"/>
            </w:pPr>
            <w:r>
              <w:t>220</w:t>
            </w:r>
          </w:p>
        </w:tc>
        <w:tc>
          <w:tcPr>
            <w:tcW w:w="850" w:type="dxa"/>
          </w:tcPr>
          <w:p w14:paraId="2CB1F94D" w14:textId="77777777" w:rsidR="00964B88" w:rsidRDefault="00964B88">
            <w:pPr>
              <w:cnfStyle w:val="000000000000" w:firstRow="0" w:lastRow="0" w:firstColumn="0" w:lastColumn="0" w:oddVBand="0" w:evenVBand="0" w:oddHBand="0" w:evenHBand="0" w:firstRowFirstColumn="0" w:firstRowLastColumn="0" w:lastRowFirstColumn="0" w:lastRowLastColumn="0"/>
            </w:pPr>
            <w:r>
              <w:t>220</w:t>
            </w:r>
          </w:p>
        </w:tc>
        <w:tc>
          <w:tcPr>
            <w:tcW w:w="850" w:type="dxa"/>
          </w:tcPr>
          <w:p w14:paraId="42B5C807" w14:textId="77777777" w:rsidR="00964B88" w:rsidRDefault="00964B88">
            <w:pPr>
              <w:cnfStyle w:val="000000000000" w:firstRow="0" w:lastRow="0" w:firstColumn="0" w:lastColumn="0" w:oddVBand="0" w:evenVBand="0" w:oddHBand="0" w:evenHBand="0" w:firstRowFirstColumn="0" w:firstRowLastColumn="0" w:lastRowFirstColumn="0" w:lastRowLastColumn="0"/>
            </w:pPr>
            <w:r>
              <w:t>233</w:t>
            </w:r>
          </w:p>
        </w:tc>
        <w:tc>
          <w:tcPr>
            <w:tcW w:w="850" w:type="dxa"/>
          </w:tcPr>
          <w:p w14:paraId="52C79234" w14:textId="77777777" w:rsidR="00964B88" w:rsidRDefault="00964B88">
            <w:pPr>
              <w:cnfStyle w:val="000000000000" w:firstRow="0" w:lastRow="0" w:firstColumn="0" w:lastColumn="0" w:oddVBand="0" w:evenVBand="0" w:oddHBand="0" w:evenHBand="0" w:firstRowFirstColumn="0" w:firstRowLastColumn="0" w:lastRowFirstColumn="0" w:lastRowLastColumn="0"/>
            </w:pPr>
            <w:r>
              <w:t>238</w:t>
            </w:r>
          </w:p>
        </w:tc>
        <w:tc>
          <w:tcPr>
            <w:tcW w:w="850" w:type="dxa"/>
          </w:tcPr>
          <w:p w14:paraId="4D40B0AD" w14:textId="77777777" w:rsidR="00964B88" w:rsidRDefault="00964B88">
            <w:pPr>
              <w:cnfStyle w:val="000000000000" w:firstRow="0" w:lastRow="0" w:firstColumn="0" w:lastColumn="0" w:oddVBand="0" w:evenVBand="0" w:oddHBand="0" w:evenHBand="0" w:firstRowFirstColumn="0" w:firstRowLastColumn="0" w:lastRowFirstColumn="0" w:lastRowLastColumn="0"/>
            </w:pPr>
            <w:r>
              <w:t>242</w:t>
            </w:r>
          </w:p>
        </w:tc>
      </w:tr>
      <w:tr w:rsidR="00964B88" w14:paraId="052C8589" w14:textId="77777777">
        <w:tc>
          <w:tcPr>
            <w:cnfStyle w:val="001000000000" w:firstRow="0" w:lastRow="0" w:firstColumn="1" w:lastColumn="0" w:oddVBand="0" w:evenVBand="0" w:oddHBand="0" w:evenHBand="0" w:firstRowFirstColumn="0" w:firstRowLastColumn="0" w:lastRowFirstColumn="0" w:lastRowLastColumn="0"/>
            <w:tcW w:w="3518" w:type="dxa"/>
          </w:tcPr>
          <w:p w14:paraId="76498DDA" w14:textId="77777777" w:rsidR="00964B88" w:rsidRDefault="00964B88">
            <w:r>
              <w:t>Revenue related to economic service concession arrangements</w:t>
            </w:r>
            <w:r>
              <w:rPr>
                <w:vertAlign w:val="superscript"/>
              </w:rPr>
              <w:t xml:space="preserve"> (a)</w:t>
            </w:r>
          </w:p>
        </w:tc>
        <w:tc>
          <w:tcPr>
            <w:tcW w:w="850" w:type="dxa"/>
          </w:tcPr>
          <w:p w14:paraId="7ED3E285" w14:textId="77777777" w:rsidR="00964B88" w:rsidRDefault="00964B88">
            <w:pPr>
              <w:cnfStyle w:val="000000000000" w:firstRow="0" w:lastRow="0" w:firstColumn="0" w:lastColumn="0" w:oddVBand="0" w:evenVBand="0" w:oddHBand="0" w:evenHBand="0" w:firstRowFirstColumn="0" w:firstRowLastColumn="0" w:lastRowFirstColumn="0" w:lastRowLastColumn="0"/>
            </w:pPr>
            <w:r>
              <w:t>337</w:t>
            </w:r>
          </w:p>
        </w:tc>
        <w:tc>
          <w:tcPr>
            <w:tcW w:w="850" w:type="dxa"/>
          </w:tcPr>
          <w:p w14:paraId="21A6121D" w14:textId="77777777" w:rsidR="00964B88" w:rsidRDefault="00964B88">
            <w:pPr>
              <w:cnfStyle w:val="000000000000" w:firstRow="0" w:lastRow="0" w:firstColumn="0" w:lastColumn="0" w:oddVBand="0" w:evenVBand="0" w:oddHBand="0" w:evenHBand="0" w:firstRowFirstColumn="0" w:firstRowLastColumn="0" w:lastRowFirstColumn="0" w:lastRowLastColumn="0"/>
            </w:pPr>
            <w:r>
              <w:t>337</w:t>
            </w:r>
          </w:p>
        </w:tc>
        <w:tc>
          <w:tcPr>
            <w:tcW w:w="850" w:type="dxa"/>
          </w:tcPr>
          <w:p w14:paraId="7B119782" w14:textId="77777777" w:rsidR="00964B88" w:rsidRDefault="00964B88">
            <w:pPr>
              <w:cnfStyle w:val="000000000000" w:firstRow="0" w:lastRow="0" w:firstColumn="0" w:lastColumn="0" w:oddVBand="0" w:evenVBand="0" w:oddHBand="0" w:evenHBand="0" w:firstRowFirstColumn="0" w:firstRowLastColumn="0" w:lastRowFirstColumn="0" w:lastRowLastColumn="0"/>
            </w:pPr>
            <w:r>
              <w:t>351</w:t>
            </w:r>
          </w:p>
        </w:tc>
        <w:tc>
          <w:tcPr>
            <w:tcW w:w="850" w:type="dxa"/>
          </w:tcPr>
          <w:p w14:paraId="6CEE402C" w14:textId="77777777" w:rsidR="00964B88" w:rsidRDefault="00964B88">
            <w:pPr>
              <w:cnfStyle w:val="000000000000" w:firstRow="0" w:lastRow="0" w:firstColumn="0" w:lastColumn="0" w:oddVBand="0" w:evenVBand="0" w:oddHBand="0" w:evenHBand="0" w:firstRowFirstColumn="0" w:firstRowLastColumn="0" w:lastRowFirstColumn="0" w:lastRowLastColumn="0"/>
            </w:pPr>
            <w:r>
              <w:t>352</w:t>
            </w:r>
          </w:p>
        </w:tc>
        <w:tc>
          <w:tcPr>
            <w:tcW w:w="850" w:type="dxa"/>
          </w:tcPr>
          <w:p w14:paraId="0B20D232" w14:textId="77777777" w:rsidR="00964B88" w:rsidRDefault="00964B88">
            <w:pPr>
              <w:cnfStyle w:val="000000000000" w:firstRow="0" w:lastRow="0" w:firstColumn="0" w:lastColumn="0" w:oddVBand="0" w:evenVBand="0" w:oddHBand="0" w:evenHBand="0" w:firstRowFirstColumn="0" w:firstRowLastColumn="0" w:lastRowFirstColumn="0" w:lastRowLastColumn="0"/>
            </w:pPr>
            <w:r>
              <w:t>443</w:t>
            </w:r>
          </w:p>
        </w:tc>
      </w:tr>
      <w:tr w:rsidR="00964B88" w14:paraId="3919819A"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180B832F" w14:textId="77777777" w:rsidR="00964B88" w:rsidRDefault="00964B88">
            <w:r>
              <w:t>Other miscellaneous revenue</w:t>
            </w:r>
          </w:p>
        </w:tc>
        <w:tc>
          <w:tcPr>
            <w:tcW w:w="850" w:type="dxa"/>
            <w:tcBorders>
              <w:bottom w:val="single" w:sz="6" w:space="0" w:color="auto"/>
            </w:tcBorders>
          </w:tcPr>
          <w:p w14:paraId="0CB44E36" w14:textId="77777777" w:rsidR="00964B88" w:rsidRDefault="00964B88">
            <w:pPr>
              <w:cnfStyle w:val="000000000000" w:firstRow="0" w:lastRow="0" w:firstColumn="0" w:lastColumn="0" w:oddVBand="0" w:evenVBand="0" w:oddHBand="0" w:evenHBand="0" w:firstRowFirstColumn="0" w:firstRowLastColumn="0" w:lastRowFirstColumn="0" w:lastRowLastColumn="0"/>
            </w:pPr>
            <w:r>
              <w:t>566</w:t>
            </w:r>
          </w:p>
        </w:tc>
        <w:tc>
          <w:tcPr>
            <w:tcW w:w="850" w:type="dxa"/>
            <w:tcBorders>
              <w:bottom w:val="single" w:sz="6" w:space="0" w:color="auto"/>
            </w:tcBorders>
          </w:tcPr>
          <w:p w14:paraId="7C292091" w14:textId="77777777" w:rsidR="00964B88" w:rsidRDefault="00964B88">
            <w:pPr>
              <w:cnfStyle w:val="000000000000" w:firstRow="0" w:lastRow="0" w:firstColumn="0" w:lastColumn="0" w:oddVBand="0" w:evenVBand="0" w:oddHBand="0" w:evenHBand="0" w:firstRowFirstColumn="0" w:firstRowLastColumn="0" w:lastRowFirstColumn="0" w:lastRowLastColumn="0"/>
            </w:pPr>
            <w:r>
              <w:t>584</w:t>
            </w:r>
          </w:p>
        </w:tc>
        <w:tc>
          <w:tcPr>
            <w:tcW w:w="850" w:type="dxa"/>
            <w:tcBorders>
              <w:bottom w:val="single" w:sz="6" w:space="0" w:color="auto"/>
            </w:tcBorders>
          </w:tcPr>
          <w:p w14:paraId="50D3484C" w14:textId="77777777" w:rsidR="00964B88" w:rsidRDefault="00964B88">
            <w:pPr>
              <w:cnfStyle w:val="000000000000" w:firstRow="0" w:lastRow="0" w:firstColumn="0" w:lastColumn="0" w:oddVBand="0" w:evenVBand="0" w:oddHBand="0" w:evenHBand="0" w:firstRowFirstColumn="0" w:firstRowLastColumn="0" w:lastRowFirstColumn="0" w:lastRowLastColumn="0"/>
            </w:pPr>
            <w:r>
              <w:t>596</w:t>
            </w:r>
          </w:p>
        </w:tc>
        <w:tc>
          <w:tcPr>
            <w:tcW w:w="850" w:type="dxa"/>
            <w:tcBorders>
              <w:bottom w:val="single" w:sz="6" w:space="0" w:color="auto"/>
            </w:tcBorders>
          </w:tcPr>
          <w:p w14:paraId="54895B8F" w14:textId="77777777" w:rsidR="00964B88" w:rsidRDefault="00964B88">
            <w:pPr>
              <w:cnfStyle w:val="000000000000" w:firstRow="0" w:lastRow="0" w:firstColumn="0" w:lastColumn="0" w:oddVBand="0" w:evenVBand="0" w:oddHBand="0" w:evenHBand="0" w:firstRowFirstColumn="0" w:firstRowLastColumn="0" w:lastRowFirstColumn="0" w:lastRowLastColumn="0"/>
            </w:pPr>
            <w:r>
              <w:t>594</w:t>
            </w:r>
          </w:p>
        </w:tc>
        <w:tc>
          <w:tcPr>
            <w:tcW w:w="850" w:type="dxa"/>
            <w:tcBorders>
              <w:bottom w:val="single" w:sz="6" w:space="0" w:color="auto"/>
            </w:tcBorders>
          </w:tcPr>
          <w:p w14:paraId="348A4F85" w14:textId="77777777" w:rsidR="00964B88" w:rsidRDefault="00964B88">
            <w:pPr>
              <w:cnfStyle w:val="000000000000" w:firstRow="0" w:lastRow="0" w:firstColumn="0" w:lastColumn="0" w:oddVBand="0" w:evenVBand="0" w:oddHBand="0" w:evenHBand="0" w:firstRowFirstColumn="0" w:firstRowLastColumn="0" w:lastRowFirstColumn="0" w:lastRowLastColumn="0"/>
            </w:pPr>
            <w:r>
              <w:t>584</w:t>
            </w:r>
          </w:p>
        </w:tc>
      </w:tr>
      <w:tr w:rsidR="00964B88" w14:paraId="194CB714"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228DB415" w14:textId="77777777" w:rsidR="00964B88" w:rsidRDefault="00964B88">
            <w:r>
              <w:t>Total other revenue</w:t>
            </w:r>
          </w:p>
        </w:tc>
        <w:tc>
          <w:tcPr>
            <w:tcW w:w="850" w:type="dxa"/>
          </w:tcPr>
          <w:p w14:paraId="314259E1" w14:textId="77777777" w:rsidR="00964B88" w:rsidRDefault="00964B88">
            <w:pPr>
              <w:cnfStyle w:val="010000000000" w:firstRow="0" w:lastRow="1" w:firstColumn="0" w:lastColumn="0" w:oddVBand="0" w:evenVBand="0" w:oddHBand="0" w:evenHBand="0" w:firstRowFirstColumn="0" w:firstRowLastColumn="0" w:lastRowFirstColumn="0" w:lastRowLastColumn="0"/>
            </w:pPr>
            <w:r>
              <w:t>2 999</w:t>
            </w:r>
          </w:p>
        </w:tc>
        <w:tc>
          <w:tcPr>
            <w:tcW w:w="850" w:type="dxa"/>
          </w:tcPr>
          <w:p w14:paraId="597ED4D1" w14:textId="77777777" w:rsidR="00964B88" w:rsidRDefault="00964B88">
            <w:pPr>
              <w:cnfStyle w:val="010000000000" w:firstRow="0" w:lastRow="1" w:firstColumn="0" w:lastColumn="0" w:oddVBand="0" w:evenVBand="0" w:oddHBand="0" w:evenHBand="0" w:firstRowFirstColumn="0" w:firstRowLastColumn="0" w:lastRowFirstColumn="0" w:lastRowLastColumn="0"/>
            </w:pPr>
            <w:r>
              <w:t>3 025</w:t>
            </w:r>
          </w:p>
        </w:tc>
        <w:tc>
          <w:tcPr>
            <w:tcW w:w="850" w:type="dxa"/>
          </w:tcPr>
          <w:p w14:paraId="71B74C16" w14:textId="77777777" w:rsidR="00964B88" w:rsidRDefault="00964B88">
            <w:pPr>
              <w:cnfStyle w:val="010000000000" w:firstRow="0" w:lastRow="1" w:firstColumn="0" w:lastColumn="0" w:oddVBand="0" w:evenVBand="0" w:oddHBand="0" w:evenHBand="0" w:firstRowFirstColumn="0" w:firstRowLastColumn="0" w:lastRowFirstColumn="0" w:lastRowLastColumn="0"/>
            </w:pPr>
            <w:r>
              <w:t>3 170</w:t>
            </w:r>
          </w:p>
        </w:tc>
        <w:tc>
          <w:tcPr>
            <w:tcW w:w="850" w:type="dxa"/>
          </w:tcPr>
          <w:p w14:paraId="1FEED2FE" w14:textId="77777777" w:rsidR="00964B88" w:rsidRDefault="00964B88">
            <w:pPr>
              <w:cnfStyle w:val="010000000000" w:firstRow="0" w:lastRow="1" w:firstColumn="0" w:lastColumn="0" w:oddVBand="0" w:evenVBand="0" w:oddHBand="0" w:evenHBand="0" w:firstRowFirstColumn="0" w:firstRowLastColumn="0" w:lastRowFirstColumn="0" w:lastRowLastColumn="0"/>
            </w:pPr>
            <w:r>
              <w:t>3 268</w:t>
            </w:r>
          </w:p>
        </w:tc>
        <w:tc>
          <w:tcPr>
            <w:tcW w:w="850" w:type="dxa"/>
          </w:tcPr>
          <w:p w14:paraId="28211C70" w14:textId="77777777" w:rsidR="00964B88" w:rsidRDefault="00964B88">
            <w:pPr>
              <w:cnfStyle w:val="010000000000" w:firstRow="0" w:lastRow="1" w:firstColumn="0" w:lastColumn="0" w:oddVBand="0" w:evenVBand="0" w:oddHBand="0" w:evenHBand="0" w:firstRowFirstColumn="0" w:firstRowLastColumn="0" w:lastRowFirstColumn="0" w:lastRowLastColumn="0"/>
            </w:pPr>
            <w:r>
              <w:t>3 382</w:t>
            </w:r>
          </w:p>
        </w:tc>
      </w:tr>
    </w:tbl>
    <w:p w14:paraId="2F182B32" w14:textId="77777777" w:rsidR="00964B88" w:rsidRPr="00142330" w:rsidRDefault="00964B88" w:rsidP="00F53820">
      <w:pPr>
        <w:pStyle w:val="Note"/>
      </w:pPr>
      <w:r w:rsidRPr="00142330">
        <w:t xml:space="preserve">Note: </w:t>
      </w:r>
    </w:p>
    <w:p w14:paraId="4D3DE818" w14:textId="77777777" w:rsidR="00964B88" w:rsidRDefault="00964B88" w:rsidP="00F53820">
      <w:pPr>
        <w:pStyle w:val="Note"/>
      </w:pPr>
      <w:r w:rsidRPr="00142330">
        <w:t>(a)</w:t>
      </w:r>
      <w:r w:rsidRPr="00142330">
        <w:tab/>
        <w:t>This revenue relates to economic service concession arrangements and reflects the progressive unwinding of the grant of right to operate liability over the remaining period of the arrangement.</w:t>
      </w:r>
    </w:p>
    <w:bookmarkEnd w:id="76"/>
    <w:p w14:paraId="5AFDACC5" w14:textId="77777777" w:rsidR="00964B88" w:rsidRDefault="00964B88" w:rsidP="00964B88">
      <w:pPr>
        <w:pStyle w:val="Heading2"/>
        <w:pageBreakBefore/>
        <w:numPr>
          <w:ilvl w:val="1"/>
          <w:numId w:val="22"/>
        </w:numPr>
        <w:sectPr w:rsidR="00964B88" w:rsidSect="00F53820">
          <w:headerReference w:type="even" r:id="rId56"/>
          <w:headerReference w:type="default" r:id="rId57"/>
          <w:headerReference w:type="first" r:id="rId58"/>
          <w:footerReference w:type="first" r:id="rId59"/>
          <w:type w:val="continuous"/>
          <w:pgSz w:w="9979" w:h="14175" w:code="9"/>
          <w:pgMar w:top="850" w:right="1134" w:bottom="850" w:left="1134" w:header="624" w:footer="567" w:gutter="0"/>
          <w:cols w:sep="1" w:space="567"/>
          <w:titlePg/>
          <w:docGrid w:linePitch="360"/>
        </w:sectPr>
      </w:pPr>
      <w:r>
        <w:lastRenderedPageBreak/>
        <w:t>HOW FUNDS ARE SPENT</w:t>
      </w:r>
    </w:p>
    <w:p w14:paraId="50D9E96B" w14:textId="77777777" w:rsidR="00964B88" w:rsidRPr="004E4D8E" w:rsidRDefault="00964B88" w:rsidP="00F53820">
      <w:pPr>
        <w:pStyle w:val="Heading30"/>
      </w:pPr>
      <w:r w:rsidRPr="004E4D8E">
        <w:t>Introduction</w:t>
      </w:r>
    </w:p>
    <w:p w14:paraId="52DC7E45" w14:textId="77777777" w:rsidR="00964B88" w:rsidRDefault="00964B88" w:rsidP="00F53820">
      <w:r w:rsidRPr="006422C6">
        <w:t>This section details the major components of forecast expenditure for the general government sector’s operating activities (expenses from transactions) and capital or infrastructure projects during the year, as well as any related obligations.</w:t>
      </w:r>
    </w:p>
    <w:p w14:paraId="6FE4F315" w14:textId="77777777" w:rsidR="00964B88" w:rsidRPr="004E4D8E" w:rsidRDefault="00964B88" w:rsidP="00F53820">
      <w:pPr>
        <w:pStyle w:val="Heading30"/>
      </w:pPr>
      <w:r>
        <w:br w:type="column"/>
      </w:r>
      <w:r w:rsidRPr="004E4D8E">
        <w:t>Structure</w:t>
      </w:r>
    </w:p>
    <w:p w14:paraId="3D4E5A8D" w14:textId="27CF8FA8" w:rsidR="00964B88" w:rsidRDefault="00964B88">
      <w:pPr>
        <w:pStyle w:val="TOC9"/>
        <w:rPr>
          <w:rFonts w:eastAsiaTheme="minorEastAsia"/>
          <w:noProof/>
          <w:spacing w:val="0"/>
          <w:lang w:eastAsia="en-AU"/>
        </w:rPr>
      </w:pPr>
      <w:r w:rsidRPr="00F033D6">
        <w:rPr>
          <w:noProof/>
        </w:rPr>
        <w:t>4.3.1</w:t>
      </w:r>
      <w:r>
        <w:rPr>
          <w:rFonts w:eastAsiaTheme="minorEastAsia"/>
          <w:noProof/>
          <w:spacing w:val="0"/>
          <w:lang w:eastAsia="en-AU"/>
        </w:rPr>
        <w:tab/>
      </w:r>
      <w:r w:rsidRPr="00F033D6">
        <w:rPr>
          <w:noProof/>
        </w:rPr>
        <w:t>Employee expenses and provision for outstanding employee benefits</w:t>
      </w:r>
      <w:r>
        <w:rPr>
          <w:noProof/>
          <w:webHidden/>
        </w:rPr>
        <w:tab/>
      </w:r>
      <w:r w:rsidR="00F033D6">
        <w:rPr>
          <w:noProof/>
          <w:webHidden/>
        </w:rPr>
        <w:t>54</w:t>
      </w:r>
    </w:p>
    <w:p w14:paraId="01F498AF" w14:textId="4133B900" w:rsidR="00964B88" w:rsidRDefault="00964B88">
      <w:pPr>
        <w:pStyle w:val="TOC9"/>
        <w:rPr>
          <w:rFonts w:eastAsiaTheme="minorEastAsia"/>
          <w:noProof/>
          <w:spacing w:val="0"/>
          <w:lang w:eastAsia="en-AU"/>
        </w:rPr>
      </w:pPr>
      <w:r w:rsidRPr="00F033D6">
        <w:rPr>
          <w:noProof/>
        </w:rPr>
        <w:t>4.3.2</w:t>
      </w:r>
      <w:r>
        <w:rPr>
          <w:rFonts w:eastAsiaTheme="minorEastAsia"/>
          <w:noProof/>
          <w:spacing w:val="0"/>
          <w:lang w:eastAsia="en-AU"/>
        </w:rPr>
        <w:tab/>
      </w:r>
      <w:r w:rsidRPr="00F033D6">
        <w:rPr>
          <w:noProof/>
        </w:rPr>
        <w:t>Superannuation expense</w:t>
      </w:r>
      <w:r>
        <w:rPr>
          <w:noProof/>
          <w:webHidden/>
        </w:rPr>
        <w:tab/>
      </w:r>
      <w:r w:rsidR="00F033D6">
        <w:rPr>
          <w:noProof/>
          <w:webHidden/>
        </w:rPr>
        <w:t>55</w:t>
      </w:r>
    </w:p>
    <w:p w14:paraId="1F9233AA" w14:textId="5598D225" w:rsidR="00964B88" w:rsidRDefault="00964B88">
      <w:pPr>
        <w:pStyle w:val="TOC9"/>
        <w:rPr>
          <w:rFonts w:eastAsiaTheme="minorEastAsia"/>
          <w:noProof/>
          <w:spacing w:val="0"/>
          <w:lang w:eastAsia="en-AU"/>
        </w:rPr>
      </w:pPr>
      <w:r w:rsidRPr="00F033D6">
        <w:rPr>
          <w:noProof/>
          <w:lang w:val="en-US"/>
        </w:rPr>
        <w:t>4.3.3</w:t>
      </w:r>
      <w:r>
        <w:rPr>
          <w:rFonts w:eastAsiaTheme="minorEastAsia"/>
          <w:noProof/>
          <w:spacing w:val="0"/>
          <w:lang w:eastAsia="en-AU"/>
        </w:rPr>
        <w:tab/>
      </w:r>
      <w:r w:rsidRPr="00F033D6">
        <w:rPr>
          <w:noProof/>
        </w:rPr>
        <w:t>Grant expense</w:t>
      </w:r>
      <w:r>
        <w:rPr>
          <w:noProof/>
          <w:webHidden/>
        </w:rPr>
        <w:tab/>
      </w:r>
      <w:r w:rsidR="00F033D6">
        <w:rPr>
          <w:noProof/>
          <w:webHidden/>
        </w:rPr>
        <w:t>57</w:t>
      </w:r>
    </w:p>
    <w:p w14:paraId="46D4BC2E" w14:textId="67C272EB" w:rsidR="00964B88" w:rsidRDefault="00964B88">
      <w:pPr>
        <w:pStyle w:val="TOC9"/>
        <w:rPr>
          <w:rFonts w:eastAsiaTheme="minorEastAsia"/>
          <w:noProof/>
          <w:spacing w:val="0"/>
          <w:lang w:eastAsia="en-AU"/>
        </w:rPr>
      </w:pPr>
      <w:r w:rsidRPr="00F033D6">
        <w:rPr>
          <w:noProof/>
          <w:lang w:val="en-US"/>
        </w:rPr>
        <w:t>4.3.4</w:t>
      </w:r>
      <w:r>
        <w:rPr>
          <w:rFonts w:eastAsiaTheme="minorEastAsia"/>
          <w:noProof/>
          <w:spacing w:val="0"/>
          <w:lang w:eastAsia="en-AU"/>
        </w:rPr>
        <w:tab/>
      </w:r>
      <w:r w:rsidRPr="00F033D6">
        <w:rPr>
          <w:noProof/>
        </w:rPr>
        <w:t>Other operating expenses</w:t>
      </w:r>
      <w:r>
        <w:rPr>
          <w:noProof/>
          <w:webHidden/>
        </w:rPr>
        <w:tab/>
      </w:r>
      <w:r w:rsidR="00F033D6">
        <w:rPr>
          <w:noProof/>
          <w:webHidden/>
        </w:rPr>
        <w:t>58</w:t>
      </w:r>
    </w:p>
    <w:p w14:paraId="6A43FCC3" w14:textId="14FC5E74" w:rsidR="00964B88" w:rsidRDefault="00964B88">
      <w:pPr>
        <w:pStyle w:val="TOC9"/>
        <w:rPr>
          <w:rFonts w:eastAsiaTheme="minorEastAsia"/>
          <w:noProof/>
          <w:spacing w:val="0"/>
          <w:lang w:eastAsia="en-AU"/>
        </w:rPr>
      </w:pPr>
      <w:r w:rsidRPr="00F033D6">
        <w:rPr>
          <w:noProof/>
        </w:rPr>
        <w:t>4.3.5</w:t>
      </w:r>
      <w:r>
        <w:rPr>
          <w:rFonts w:eastAsiaTheme="minorEastAsia"/>
          <w:noProof/>
          <w:spacing w:val="0"/>
          <w:lang w:eastAsia="en-AU"/>
        </w:rPr>
        <w:tab/>
      </w:r>
      <w:r w:rsidRPr="00F033D6">
        <w:rPr>
          <w:noProof/>
        </w:rPr>
        <w:t>Total expenses by classification of the functions of government and by portfolio department</w:t>
      </w:r>
      <w:r>
        <w:rPr>
          <w:noProof/>
          <w:webHidden/>
        </w:rPr>
        <w:tab/>
      </w:r>
      <w:r w:rsidR="00F033D6">
        <w:rPr>
          <w:noProof/>
          <w:webHidden/>
        </w:rPr>
        <w:t>59</w:t>
      </w:r>
    </w:p>
    <w:p w14:paraId="4D44ACB1" w14:textId="2816508E" w:rsidR="00964B88" w:rsidRDefault="00964B88">
      <w:pPr>
        <w:pStyle w:val="TOC9"/>
        <w:rPr>
          <w:rFonts w:eastAsiaTheme="minorEastAsia"/>
          <w:noProof/>
          <w:spacing w:val="0"/>
          <w:lang w:eastAsia="en-AU"/>
        </w:rPr>
      </w:pPr>
      <w:r w:rsidRPr="00F033D6">
        <w:rPr>
          <w:noProof/>
        </w:rPr>
        <w:t>4.3.6</w:t>
      </w:r>
      <w:r>
        <w:rPr>
          <w:rFonts w:eastAsiaTheme="minorEastAsia"/>
          <w:noProof/>
          <w:spacing w:val="0"/>
          <w:lang w:eastAsia="en-AU"/>
        </w:rPr>
        <w:tab/>
      </w:r>
      <w:r w:rsidRPr="00F033D6">
        <w:rPr>
          <w:noProof/>
        </w:rPr>
        <w:t>Purchases of non-financial assets by classification of the functions of government and by portfolio department</w:t>
      </w:r>
      <w:r>
        <w:rPr>
          <w:noProof/>
          <w:webHidden/>
        </w:rPr>
        <w:tab/>
      </w:r>
      <w:r w:rsidR="00F033D6">
        <w:rPr>
          <w:noProof/>
          <w:webHidden/>
        </w:rPr>
        <w:t>61</w:t>
      </w:r>
    </w:p>
    <w:p w14:paraId="5EA1D2B3" w14:textId="4922CB46" w:rsidR="00964B88" w:rsidRDefault="00964B88">
      <w:pPr>
        <w:pStyle w:val="TOC9"/>
        <w:rPr>
          <w:rFonts w:eastAsiaTheme="minorEastAsia"/>
          <w:noProof/>
          <w:spacing w:val="0"/>
          <w:lang w:eastAsia="en-AU"/>
        </w:rPr>
      </w:pPr>
      <w:r w:rsidRPr="00F033D6">
        <w:rPr>
          <w:noProof/>
          <w:lang w:val="en-US"/>
        </w:rPr>
        <w:t>4.3.7</w:t>
      </w:r>
      <w:r>
        <w:rPr>
          <w:rFonts w:eastAsiaTheme="minorEastAsia"/>
          <w:noProof/>
          <w:spacing w:val="0"/>
          <w:lang w:eastAsia="en-AU"/>
        </w:rPr>
        <w:tab/>
      </w:r>
      <w:r w:rsidRPr="00F033D6">
        <w:rPr>
          <w:noProof/>
        </w:rPr>
        <w:t>Net acquisition of non-financial assets from transactions</w:t>
      </w:r>
      <w:r>
        <w:rPr>
          <w:noProof/>
          <w:webHidden/>
        </w:rPr>
        <w:tab/>
      </w:r>
      <w:r w:rsidR="00F033D6">
        <w:rPr>
          <w:noProof/>
          <w:webHidden/>
        </w:rPr>
        <w:t>62</w:t>
      </w:r>
    </w:p>
    <w:p w14:paraId="011CF30D" w14:textId="6B8D53AA" w:rsidR="00964B88" w:rsidRDefault="00964B88" w:rsidP="00F53820">
      <w:pPr>
        <w:pStyle w:val="TOC9"/>
        <w:rPr>
          <w:b/>
          <w:bCs/>
          <w:noProof/>
          <w:lang w:val="en-US"/>
        </w:rPr>
        <w:sectPr w:rsidR="00964B88" w:rsidSect="00F53820">
          <w:headerReference w:type="even" r:id="rId60"/>
          <w:headerReference w:type="default" r:id="rId61"/>
          <w:footerReference w:type="even" r:id="rId62"/>
          <w:footerReference w:type="default" r:id="rId63"/>
          <w:headerReference w:type="first" r:id="rId64"/>
          <w:footerReference w:type="first" r:id="rId65"/>
          <w:type w:val="continuous"/>
          <w:pgSz w:w="9979" w:h="14175" w:code="9"/>
          <w:pgMar w:top="850" w:right="1134" w:bottom="850" w:left="1134" w:header="624" w:footer="567" w:gutter="0"/>
          <w:cols w:num="2" w:space="567"/>
          <w:titlePg/>
          <w:docGrid w:linePitch="360"/>
        </w:sectPr>
      </w:pPr>
    </w:p>
    <w:p w14:paraId="4EA4DAEA" w14:textId="77777777" w:rsidR="00964B88" w:rsidRPr="004E4D8E" w:rsidRDefault="00964B88" w:rsidP="00964B88">
      <w:pPr>
        <w:pStyle w:val="Heading3"/>
        <w:numPr>
          <w:ilvl w:val="2"/>
          <w:numId w:val="22"/>
        </w:numPr>
        <w:tabs>
          <w:tab w:val="clear" w:pos="7711"/>
          <w:tab w:val="left" w:pos="850"/>
          <w:tab w:val="right" w:pos="7710"/>
        </w:tabs>
        <w:spacing w:after="60"/>
      </w:pPr>
      <w:bookmarkStart w:id="85" w:name="_Toc496606574"/>
      <w:bookmarkStart w:id="86" w:name="_Toc530147960"/>
      <w:bookmarkStart w:id="87" w:name="Section_3"/>
      <w:r w:rsidRPr="004E4D8E">
        <w:t>Employee expenses and provision for outstanding employee benefits</w:t>
      </w:r>
      <w:bookmarkEnd w:id="85"/>
      <w:bookmarkEnd w:id="86"/>
    </w:p>
    <w:p w14:paraId="256F2EC2" w14:textId="77777777" w:rsidR="00964B88" w:rsidRDefault="00964B88" w:rsidP="00F53820">
      <w:r>
        <w:t>Employee expenses and employee benefits are forecast on the basis of staffing profiles and current salaries, conditions and on-costs. For the forecast period, employee expenses and employee benefits includes the expected financial impact of employing more staff to increase service delivery and approved wage outcomes, in line with wages policy. Forecast employee expenses also reflect the estimated impact of budget decisions, which either increase or reduce employee expenses. The majority of employee expenses in the operating statement are salaries and wages.</w:t>
      </w:r>
    </w:p>
    <w:p w14:paraId="35618F0F" w14:textId="77777777" w:rsidR="00964B88" w:rsidRDefault="00964B88" w:rsidP="00F53820">
      <w:pPr>
        <w:pStyle w:val="TableHeading"/>
      </w:pPr>
      <w:r>
        <w:t>Employee benefits (balance sheet)</w:t>
      </w:r>
      <w:r>
        <w:tab/>
        <w:t>($ million)</w:t>
      </w:r>
    </w:p>
    <w:tbl>
      <w:tblPr>
        <w:tblStyle w:val="DTFTable"/>
        <w:tblW w:w="7768" w:type="dxa"/>
        <w:tblLayout w:type="fixed"/>
        <w:tblLook w:val="06E0" w:firstRow="1" w:lastRow="1" w:firstColumn="1" w:lastColumn="0" w:noHBand="1" w:noVBand="1"/>
      </w:tblPr>
      <w:tblGrid>
        <w:gridCol w:w="3715"/>
        <w:gridCol w:w="653"/>
        <w:gridCol w:w="850"/>
        <w:gridCol w:w="850"/>
        <w:gridCol w:w="850"/>
        <w:gridCol w:w="850"/>
      </w:tblGrid>
      <w:tr w:rsidR="00964B88" w14:paraId="7F59B797"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15" w:type="dxa"/>
          </w:tcPr>
          <w:p w14:paraId="7ABA1055" w14:textId="77777777" w:rsidR="00964B88" w:rsidRDefault="00964B88"/>
        </w:tc>
        <w:tc>
          <w:tcPr>
            <w:tcW w:w="653" w:type="dxa"/>
          </w:tcPr>
          <w:p w14:paraId="4F117D9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p>
        </w:tc>
        <w:tc>
          <w:tcPr>
            <w:tcW w:w="850" w:type="dxa"/>
          </w:tcPr>
          <w:p w14:paraId="6D0B2B1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50" w:type="dxa"/>
          </w:tcPr>
          <w:p w14:paraId="608033FE"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50" w:type="dxa"/>
          </w:tcPr>
          <w:p w14:paraId="31578B3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50" w:type="dxa"/>
          </w:tcPr>
          <w:p w14:paraId="06838A35"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0509272C" w14:textId="77777777">
        <w:tc>
          <w:tcPr>
            <w:cnfStyle w:val="001000000000" w:firstRow="0" w:lastRow="0" w:firstColumn="1" w:lastColumn="0" w:oddVBand="0" w:evenVBand="0" w:oddHBand="0" w:evenHBand="0" w:firstRowFirstColumn="0" w:firstRowLastColumn="0" w:lastRowFirstColumn="0" w:lastRowLastColumn="0"/>
            <w:tcW w:w="3715" w:type="dxa"/>
          </w:tcPr>
          <w:p w14:paraId="2FE51FBB" w14:textId="77777777" w:rsidR="00964B88" w:rsidRDefault="00964B88">
            <w:r>
              <w:rPr>
                <w:b/>
              </w:rPr>
              <w:t>Current</w:t>
            </w:r>
          </w:p>
        </w:tc>
        <w:tc>
          <w:tcPr>
            <w:tcW w:w="653" w:type="dxa"/>
          </w:tcPr>
          <w:p w14:paraId="03FF16C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C19EC4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98AD9D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ED3791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1D9A12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7EAD7E4" w14:textId="77777777">
        <w:tc>
          <w:tcPr>
            <w:cnfStyle w:val="001000000000" w:firstRow="0" w:lastRow="0" w:firstColumn="1" w:lastColumn="0" w:oddVBand="0" w:evenVBand="0" w:oddHBand="0" w:evenHBand="0" w:firstRowFirstColumn="0" w:firstRowLastColumn="0" w:lastRowFirstColumn="0" w:lastRowLastColumn="0"/>
            <w:tcW w:w="3715" w:type="dxa"/>
          </w:tcPr>
          <w:p w14:paraId="4B308512" w14:textId="77777777" w:rsidR="00964B88" w:rsidRDefault="00964B88">
            <w:r>
              <w:t>Accrued salaries and wages</w:t>
            </w:r>
          </w:p>
        </w:tc>
        <w:tc>
          <w:tcPr>
            <w:tcW w:w="653" w:type="dxa"/>
          </w:tcPr>
          <w:p w14:paraId="1F6DE553" w14:textId="77777777" w:rsidR="00964B88" w:rsidRDefault="00964B88">
            <w:pPr>
              <w:cnfStyle w:val="000000000000" w:firstRow="0" w:lastRow="0" w:firstColumn="0" w:lastColumn="0" w:oddVBand="0" w:evenVBand="0" w:oddHBand="0" w:evenHBand="0" w:firstRowFirstColumn="0" w:firstRowLastColumn="0" w:lastRowFirstColumn="0" w:lastRowLastColumn="0"/>
            </w:pPr>
            <w:r>
              <w:t>670</w:t>
            </w:r>
          </w:p>
        </w:tc>
        <w:tc>
          <w:tcPr>
            <w:tcW w:w="850" w:type="dxa"/>
          </w:tcPr>
          <w:p w14:paraId="56035633" w14:textId="77777777" w:rsidR="00964B88" w:rsidRDefault="00964B88">
            <w:pPr>
              <w:cnfStyle w:val="000000000000" w:firstRow="0" w:lastRow="0" w:firstColumn="0" w:lastColumn="0" w:oddVBand="0" w:evenVBand="0" w:oddHBand="0" w:evenHBand="0" w:firstRowFirstColumn="0" w:firstRowLastColumn="0" w:lastRowFirstColumn="0" w:lastRowLastColumn="0"/>
            </w:pPr>
            <w:r>
              <w:t>671</w:t>
            </w:r>
          </w:p>
        </w:tc>
        <w:tc>
          <w:tcPr>
            <w:tcW w:w="850" w:type="dxa"/>
          </w:tcPr>
          <w:p w14:paraId="590ED371" w14:textId="77777777" w:rsidR="00964B88" w:rsidRDefault="00964B88">
            <w:pPr>
              <w:cnfStyle w:val="000000000000" w:firstRow="0" w:lastRow="0" w:firstColumn="0" w:lastColumn="0" w:oddVBand="0" w:evenVBand="0" w:oddHBand="0" w:evenHBand="0" w:firstRowFirstColumn="0" w:firstRowLastColumn="0" w:lastRowFirstColumn="0" w:lastRowLastColumn="0"/>
            </w:pPr>
            <w:r>
              <w:t>686</w:t>
            </w:r>
          </w:p>
        </w:tc>
        <w:tc>
          <w:tcPr>
            <w:tcW w:w="850" w:type="dxa"/>
          </w:tcPr>
          <w:p w14:paraId="28D28BFD" w14:textId="77777777" w:rsidR="00964B88" w:rsidRDefault="00964B88">
            <w:pPr>
              <w:cnfStyle w:val="000000000000" w:firstRow="0" w:lastRow="0" w:firstColumn="0" w:lastColumn="0" w:oddVBand="0" w:evenVBand="0" w:oddHBand="0" w:evenHBand="0" w:firstRowFirstColumn="0" w:firstRowLastColumn="0" w:lastRowFirstColumn="0" w:lastRowLastColumn="0"/>
            </w:pPr>
            <w:r>
              <w:t>698</w:t>
            </w:r>
          </w:p>
        </w:tc>
        <w:tc>
          <w:tcPr>
            <w:tcW w:w="850" w:type="dxa"/>
          </w:tcPr>
          <w:p w14:paraId="30513F01" w14:textId="77777777" w:rsidR="00964B88" w:rsidRDefault="00964B88">
            <w:pPr>
              <w:cnfStyle w:val="000000000000" w:firstRow="0" w:lastRow="0" w:firstColumn="0" w:lastColumn="0" w:oddVBand="0" w:evenVBand="0" w:oddHBand="0" w:evenHBand="0" w:firstRowFirstColumn="0" w:firstRowLastColumn="0" w:lastRowFirstColumn="0" w:lastRowLastColumn="0"/>
            </w:pPr>
            <w:r>
              <w:t>713</w:t>
            </w:r>
          </w:p>
        </w:tc>
      </w:tr>
      <w:tr w:rsidR="00964B88" w14:paraId="1412DD49" w14:textId="77777777">
        <w:tc>
          <w:tcPr>
            <w:cnfStyle w:val="001000000000" w:firstRow="0" w:lastRow="0" w:firstColumn="1" w:lastColumn="0" w:oddVBand="0" w:evenVBand="0" w:oddHBand="0" w:evenHBand="0" w:firstRowFirstColumn="0" w:firstRowLastColumn="0" w:lastRowFirstColumn="0" w:lastRowLastColumn="0"/>
            <w:tcW w:w="3715" w:type="dxa"/>
          </w:tcPr>
          <w:p w14:paraId="47690717" w14:textId="77777777" w:rsidR="00964B88" w:rsidRDefault="00964B88">
            <w:r>
              <w:t>Other employee benefits</w:t>
            </w:r>
          </w:p>
        </w:tc>
        <w:tc>
          <w:tcPr>
            <w:tcW w:w="653" w:type="dxa"/>
          </w:tcPr>
          <w:p w14:paraId="2341DF37" w14:textId="77777777" w:rsidR="00964B88" w:rsidRDefault="00964B88">
            <w:pPr>
              <w:cnfStyle w:val="000000000000" w:firstRow="0" w:lastRow="0" w:firstColumn="0" w:lastColumn="0" w:oddVBand="0" w:evenVBand="0" w:oddHBand="0" w:evenHBand="0" w:firstRowFirstColumn="0" w:firstRowLastColumn="0" w:lastRowFirstColumn="0" w:lastRowLastColumn="0"/>
            </w:pPr>
            <w:r>
              <w:t>84</w:t>
            </w:r>
          </w:p>
        </w:tc>
        <w:tc>
          <w:tcPr>
            <w:tcW w:w="850" w:type="dxa"/>
          </w:tcPr>
          <w:p w14:paraId="311CFD00" w14:textId="77777777" w:rsidR="00964B88" w:rsidRDefault="00964B88">
            <w:pPr>
              <w:cnfStyle w:val="000000000000" w:firstRow="0" w:lastRow="0" w:firstColumn="0" w:lastColumn="0" w:oddVBand="0" w:evenVBand="0" w:oddHBand="0" w:evenHBand="0" w:firstRowFirstColumn="0" w:firstRowLastColumn="0" w:lastRowFirstColumn="0" w:lastRowLastColumn="0"/>
            </w:pPr>
            <w:r>
              <w:t>81</w:t>
            </w:r>
          </w:p>
        </w:tc>
        <w:tc>
          <w:tcPr>
            <w:tcW w:w="850" w:type="dxa"/>
          </w:tcPr>
          <w:p w14:paraId="4022AF6F" w14:textId="77777777" w:rsidR="00964B88" w:rsidRDefault="00964B88">
            <w:pPr>
              <w:cnfStyle w:val="000000000000" w:firstRow="0" w:lastRow="0" w:firstColumn="0" w:lastColumn="0" w:oddVBand="0" w:evenVBand="0" w:oddHBand="0" w:evenHBand="0" w:firstRowFirstColumn="0" w:firstRowLastColumn="0" w:lastRowFirstColumn="0" w:lastRowLastColumn="0"/>
            </w:pPr>
            <w:r>
              <w:t>81</w:t>
            </w:r>
          </w:p>
        </w:tc>
        <w:tc>
          <w:tcPr>
            <w:tcW w:w="850" w:type="dxa"/>
          </w:tcPr>
          <w:p w14:paraId="0DB10547" w14:textId="77777777" w:rsidR="00964B88" w:rsidRDefault="00964B88">
            <w:pPr>
              <w:cnfStyle w:val="000000000000" w:firstRow="0" w:lastRow="0" w:firstColumn="0" w:lastColumn="0" w:oddVBand="0" w:evenVBand="0" w:oddHBand="0" w:evenHBand="0" w:firstRowFirstColumn="0" w:firstRowLastColumn="0" w:lastRowFirstColumn="0" w:lastRowLastColumn="0"/>
            </w:pPr>
            <w:r>
              <w:t>81</w:t>
            </w:r>
          </w:p>
        </w:tc>
        <w:tc>
          <w:tcPr>
            <w:tcW w:w="850" w:type="dxa"/>
          </w:tcPr>
          <w:p w14:paraId="5B242100" w14:textId="77777777" w:rsidR="00964B88" w:rsidRDefault="00964B88">
            <w:pPr>
              <w:cnfStyle w:val="000000000000" w:firstRow="0" w:lastRow="0" w:firstColumn="0" w:lastColumn="0" w:oddVBand="0" w:evenVBand="0" w:oddHBand="0" w:evenHBand="0" w:firstRowFirstColumn="0" w:firstRowLastColumn="0" w:lastRowFirstColumn="0" w:lastRowLastColumn="0"/>
            </w:pPr>
            <w:r>
              <w:t>81</w:t>
            </w:r>
          </w:p>
        </w:tc>
      </w:tr>
      <w:tr w:rsidR="00964B88" w14:paraId="618C3D6D" w14:textId="77777777">
        <w:tc>
          <w:tcPr>
            <w:cnfStyle w:val="001000000000" w:firstRow="0" w:lastRow="0" w:firstColumn="1" w:lastColumn="0" w:oddVBand="0" w:evenVBand="0" w:oddHBand="0" w:evenHBand="0" w:firstRowFirstColumn="0" w:firstRowLastColumn="0" w:lastRowFirstColumn="0" w:lastRowLastColumn="0"/>
            <w:tcW w:w="3715" w:type="dxa"/>
          </w:tcPr>
          <w:p w14:paraId="32BFFCA8" w14:textId="77777777" w:rsidR="00964B88" w:rsidRDefault="00964B88">
            <w:r>
              <w:t>Annual leave</w:t>
            </w:r>
          </w:p>
        </w:tc>
        <w:tc>
          <w:tcPr>
            <w:tcW w:w="653" w:type="dxa"/>
          </w:tcPr>
          <w:p w14:paraId="0A4C8948" w14:textId="77777777" w:rsidR="00964B88" w:rsidRDefault="00964B88">
            <w:pPr>
              <w:cnfStyle w:val="000000000000" w:firstRow="0" w:lastRow="0" w:firstColumn="0" w:lastColumn="0" w:oddVBand="0" w:evenVBand="0" w:oddHBand="0" w:evenHBand="0" w:firstRowFirstColumn="0" w:firstRowLastColumn="0" w:lastRowFirstColumn="0" w:lastRowLastColumn="0"/>
            </w:pPr>
            <w:r>
              <w:t>1 794</w:t>
            </w:r>
          </w:p>
        </w:tc>
        <w:tc>
          <w:tcPr>
            <w:tcW w:w="850" w:type="dxa"/>
          </w:tcPr>
          <w:p w14:paraId="353B573D" w14:textId="77777777" w:rsidR="00964B88" w:rsidRDefault="00964B88">
            <w:pPr>
              <w:cnfStyle w:val="000000000000" w:firstRow="0" w:lastRow="0" w:firstColumn="0" w:lastColumn="0" w:oddVBand="0" w:evenVBand="0" w:oddHBand="0" w:evenHBand="0" w:firstRowFirstColumn="0" w:firstRowLastColumn="0" w:lastRowFirstColumn="0" w:lastRowLastColumn="0"/>
            </w:pPr>
            <w:r>
              <w:t>1 801</w:t>
            </w:r>
          </w:p>
        </w:tc>
        <w:tc>
          <w:tcPr>
            <w:tcW w:w="850" w:type="dxa"/>
          </w:tcPr>
          <w:p w14:paraId="408E8EF6" w14:textId="77777777" w:rsidR="00964B88" w:rsidRDefault="00964B88">
            <w:pPr>
              <w:cnfStyle w:val="000000000000" w:firstRow="0" w:lastRow="0" w:firstColumn="0" w:lastColumn="0" w:oddVBand="0" w:evenVBand="0" w:oddHBand="0" w:evenHBand="0" w:firstRowFirstColumn="0" w:firstRowLastColumn="0" w:lastRowFirstColumn="0" w:lastRowLastColumn="0"/>
            </w:pPr>
            <w:r>
              <w:t>1 836</w:t>
            </w:r>
          </w:p>
        </w:tc>
        <w:tc>
          <w:tcPr>
            <w:tcW w:w="850" w:type="dxa"/>
          </w:tcPr>
          <w:p w14:paraId="380F3801" w14:textId="77777777" w:rsidR="00964B88" w:rsidRDefault="00964B88">
            <w:pPr>
              <w:cnfStyle w:val="000000000000" w:firstRow="0" w:lastRow="0" w:firstColumn="0" w:lastColumn="0" w:oddVBand="0" w:evenVBand="0" w:oddHBand="0" w:evenHBand="0" w:firstRowFirstColumn="0" w:firstRowLastColumn="0" w:lastRowFirstColumn="0" w:lastRowLastColumn="0"/>
            </w:pPr>
            <w:r>
              <w:t>1 873</w:t>
            </w:r>
          </w:p>
        </w:tc>
        <w:tc>
          <w:tcPr>
            <w:tcW w:w="850" w:type="dxa"/>
          </w:tcPr>
          <w:p w14:paraId="3AE44087" w14:textId="77777777" w:rsidR="00964B88" w:rsidRDefault="00964B88">
            <w:pPr>
              <w:cnfStyle w:val="000000000000" w:firstRow="0" w:lastRow="0" w:firstColumn="0" w:lastColumn="0" w:oddVBand="0" w:evenVBand="0" w:oddHBand="0" w:evenHBand="0" w:firstRowFirstColumn="0" w:firstRowLastColumn="0" w:lastRowFirstColumn="0" w:lastRowLastColumn="0"/>
            </w:pPr>
            <w:r>
              <w:t>1 909</w:t>
            </w:r>
          </w:p>
        </w:tc>
      </w:tr>
      <w:tr w:rsidR="00964B88" w14:paraId="08C6C538"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5C1D7C40" w14:textId="77777777" w:rsidR="00964B88" w:rsidRDefault="00964B88">
            <w:r>
              <w:t>Long service leave</w:t>
            </w:r>
          </w:p>
        </w:tc>
        <w:tc>
          <w:tcPr>
            <w:tcW w:w="653" w:type="dxa"/>
            <w:tcBorders>
              <w:bottom w:val="single" w:sz="6" w:space="0" w:color="auto"/>
            </w:tcBorders>
          </w:tcPr>
          <w:p w14:paraId="7234948A" w14:textId="77777777" w:rsidR="00964B88" w:rsidRDefault="00964B88">
            <w:pPr>
              <w:cnfStyle w:val="000000000000" w:firstRow="0" w:lastRow="0" w:firstColumn="0" w:lastColumn="0" w:oddVBand="0" w:evenVBand="0" w:oddHBand="0" w:evenHBand="0" w:firstRowFirstColumn="0" w:firstRowLastColumn="0" w:lastRowFirstColumn="0" w:lastRowLastColumn="0"/>
            </w:pPr>
            <w:r>
              <w:t>4 617</w:t>
            </w:r>
          </w:p>
        </w:tc>
        <w:tc>
          <w:tcPr>
            <w:tcW w:w="850" w:type="dxa"/>
            <w:tcBorders>
              <w:bottom w:val="single" w:sz="6" w:space="0" w:color="auto"/>
            </w:tcBorders>
          </w:tcPr>
          <w:p w14:paraId="6633648C" w14:textId="77777777" w:rsidR="00964B88" w:rsidRDefault="00964B88">
            <w:pPr>
              <w:cnfStyle w:val="000000000000" w:firstRow="0" w:lastRow="0" w:firstColumn="0" w:lastColumn="0" w:oddVBand="0" w:evenVBand="0" w:oddHBand="0" w:evenHBand="0" w:firstRowFirstColumn="0" w:firstRowLastColumn="0" w:lastRowFirstColumn="0" w:lastRowLastColumn="0"/>
            </w:pPr>
            <w:r>
              <w:t>4 602</w:t>
            </w:r>
          </w:p>
        </w:tc>
        <w:tc>
          <w:tcPr>
            <w:tcW w:w="850" w:type="dxa"/>
            <w:tcBorders>
              <w:bottom w:val="single" w:sz="6" w:space="0" w:color="auto"/>
            </w:tcBorders>
          </w:tcPr>
          <w:p w14:paraId="5CA536C9" w14:textId="77777777" w:rsidR="00964B88" w:rsidRDefault="00964B88">
            <w:pPr>
              <w:cnfStyle w:val="000000000000" w:firstRow="0" w:lastRow="0" w:firstColumn="0" w:lastColumn="0" w:oddVBand="0" w:evenVBand="0" w:oddHBand="0" w:evenHBand="0" w:firstRowFirstColumn="0" w:firstRowLastColumn="0" w:lastRowFirstColumn="0" w:lastRowLastColumn="0"/>
            </w:pPr>
            <w:r>
              <w:t>4 747</w:t>
            </w:r>
          </w:p>
        </w:tc>
        <w:tc>
          <w:tcPr>
            <w:tcW w:w="850" w:type="dxa"/>
            <w:tcBorders>
              <w:bottom w:val="single" w:sz="6" w:space="0" w:color="auto"/>
            </w:tcBorders>
          </w:tcPr>
          <w:p w14:paraId="49339463" w14:textId="77777777" w:rsidR="00964B88" w:rsidRDefault="00964B88">
            <w:pPr>
              <w:cnfStyle w:val="000000000000" w:firstRow="0" w:lastRow="0" w:firstColumn="0" w:lastColumn="0" w:oddVBand="0" w:evenVBand="0" w:oddHBand="0" w:evenHBand="0" w:firstRowFirstColumn="0" w:firstRowLastColumn="0" w:lastRowFirstColumn="0" w:lastRowLastColumn="0"/>
            </w:pPr>
            <w:r>
              <w:t>4 892</w:t>
            </w:r>
          </w:p>
        </w:tc>
        <w:tc>
          <w:tcPr>
            <w:tcW w:w="850" w:type="dxa"/>
            <w:tcBorders>
              <w:bottom w:val="single" w:sz="6" w:space="0" w:color="auto"/>
            </w:tcBorders>
          </w:tcPr>
          <w:p w14:paraId="5AD06BDC" w14:textId="77777777" w:rsidR="00964B88" w:rsidRDefault="00964B88">
            <w:pPr>
              <w:cnfStyle w:val="000000000000" w:firstRow="0" w:lastRow="0" w:firstColumn="0" w:lastColumn="0" w:oddVBand="0" w:evenVBand="0" w:oddHBand="0" w:evenHBand="0" w:firstRowFirstColumn="0" w:firstRowLastColumn="0" w:lastRowFirstColumn="0" w:lastRowLastColumn="0"/>
            </w:pPr>
            <w:r>
              <w:t>5 037</w:t>
            </w:r>
          </w:p>
        </w:tc>
      </w:tr>
      <w:tr w:rsidR="00964B88" w14:paraId="0B00426A"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tcBorders>
          </w:tcPr>
          <w:p w14:paraId="4C88B735" w14:textId="77777777" w:rsidR="00964B88" w:rsidRDefault="00964B88">
            <w:r>
              <w:rPr>
                <w:b/>
              </w:rPr>
              <w:t>Total current employee benefits and on</w:t>
            </w:r>
            <w:r>
              <w:rPr>
                <w:b/>
              </w:rPr>
              <w:noBreakHyphen/>
              <w:t>costs</w:t>
            </w:r>
          </w:p>
        </w:tc>
        <w:tc>
          <w:tcPr>
            <w:tcW w:w="653" w:type="dxa"/>
            <w:tcBorders>
              <w:top w:val="single" w:sz="6" w:space="0" w:color="auto"/>
            </w:tcBorders>
          </w:tcPr>
          <w:p w14:paraId="33E9392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7 164</w:t>
            </w:r>
          </w:p>
        </w:tc>
        <w:tc>
          <w:tcPr>
            <w:tcW w:w="850" w:type="dxa"/>
            <w:tcBorders>
              <w:top w:val="single" w:sz="6" w:space="0" w:color="auto"/>
            </w:tcBorders>
          </w:tcPr>
          <w:p w14:paraId="15418EC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7 155</w:t>
            </w:r>
          </w:p>
        </w:tc>
        <w:tc>
          <w:tcPr>
            <w:tcW w:w="850" w:type="dxa"/>
            <w:tcBorders>
              <w:top w:val="single" w:sz="6" w:space="0" w:color="auto"/>
            </w:tcBorders>
          </w:tcPr>
          <w:p w14:paraId="0F0EBEA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7 349</w:t>
            </w:r>
          </w:p>
        </w:tc>
        <w:tc>
          <w:tcPr>
            <w:tcW w:w="850" w:type="dxa"/>
            <w:tcBorders>
              <w:top w:val="single" w:sz="6" w:space="0" w:color="auto"/>
            </w:tcBorders>
          </w:tcPr>
          <w:p w14:paraId="43B426F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7 544</w:t>
            </w:r>
          </w:p>
        </w:tc>
        <w:tc>
          <w:tcPr>
            <w:tcW w:w="850" w:type="dxa"/>
            <w:tcBorders>
              <w:top w:val="single" w:sz="6" w:space="0" w:color="auto"/>
            </w:tcBorders>
          </w:tcPr>
          <w:p w14:paraId="7148A57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7 740</w:t>
            </w:r>
          </w:p>
        </w:tc>
      </w:tr>
      <w:tr w:rsidR="00964B88" w14:paraId="55ED4328" w14:textId="77777777">
        <w:tc>
          <w:tcPr>
            <w:cnfStyle w:val="001000000000" w:firstRow="0" w:lastRow="0" w:firstColumn="1" w:lastColumn="0" w:oddVBand="0" w:evenVBand="0" w:oddHBand="0" w:evenHBand="0" w:firstRowFirstColumn="0" w:firstRowLastColumn="0" w:lastRowFirstColumn="0" w:lastRowLastColumn="0"/>
            <w:tcW w:w="3715" w:type="dxa"/>
          </w:tcPr>
          <w:p w14:paraId="240085F2" w14:textId="77777777" w:rsidR="00964B88" w:rsidRDefault="00964B88">
            <w:r>
              <w:rPr>
                <w:b/>
              </w:rPr>
              <w:t>Non</w:t>
            </w:r>
            <w:r>
              <w:rPr>
                <w:b/>
              </w:rPr>
              <w:noBreakHyphen/>
              <w:t>current</w:t>
            </w:r>
          </w:p>
        </w:tc>
        <w:tc>
          <w:tcPr>
            <w:tcW w:w="653" w:type="dxa"/>
          </w:tcPr>
          <w:p w14:paraId="431F598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24BB386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D6EF05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40783F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F5F4BD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A1E3567"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0A363D63" w14:textId="77777777" w:rsidR="00964B88" w:rsidRDefault="00964B88">
            <w:r>
              <w:t>Long service leave</w:t>
            </w:r>
          </w:p>
        </w:tc>
        <w:tc>
          <w:tcPr>
            <w:tcW w:w="653" w:type="dxa"/>
            <w:tcBorders>
              <w:bottom w:val="single" w:sz="6" w:space="0" w:color="auto"/>
            </w:tcBorders>
          </w:tcPr>
          <w:p w14:paraId="5DDDA900" w14:textId="77777777" w:rsidR="00964B88" w:rsidRDefault="00964B88">
            <w:pPr>
              <w:cnfStyle w:val="000000000000" w:firstRow="0" w:lastRow="0" w:firstColumn="0" w:lastColumn="0" w:oddVBand="0" w:evenVBand="0" w:oddHBand="0" w:evenHBand="0" w:firstRowFirstColumn="0" w:firstRowLastColumn="0" w:lastRowFirstColumn="0" w:lastRowLastColumn="0"/>
            </w:pPr>
            <w:r>
              <w:t>1 173</w:t>
            </w:r>
          </w:p>
        </w:tc>
        <w:tc>
          <w:tcPr>
            <w:tcW w:w="850" w:type="dxa"/>
            <w:tcBorders>
              <w:bottom w:val="single" w:sz="6" w:space="0" w:color="auto"/>
            </w:tcBorders>
          </w:tcPr>
          <w:p w14:paraId="1BA93B05" w14:textId="77777777" w:rsidR="00964B88" w:rsidRDefault="00964B88">
            <w:pPr>
              <w:cnfStyle w:val="000000000000" w:firstRow="0" w:lastRow="0" w:firstColumn="0" w:lastColumn="0" w:oddVBand="0" w:evenVBand="0" w:oddHBand="0" w:evenHBand="0" w:firstRowFirstColumn="0" w:firstRowLastColumn="0" w:lastRowFirstColumn="0" w:lastRowLastColumn="0"/>
            </w:pPr>
            <w:r>
              <w:t>1 178</w:t>
            </w:r>
          </w:p>
        </w:tc>
        <w:tc>
          <w:tcPr>
            <w:tcW w:w="850" w:type="dxa"/>
            <w:tcBorders>
              <w:bottom w:val="single" w:sz="6" w:space="0" w:color="auto"/>
            </w:tcBorders>
          </w:tcPr>
          <w:p w14:paraId="4649F65F" w14:textId="77777777" w:rsidR="00964B88" w:rsidRDefault="00964B88">
            <w:pPr>
              <w:cnfStyle w:val="000000000000" w:firstRow="0" w:lastRow="0" w:firstColumn="0" w:lastColumn="0" w:oddVBand="0" w:evenVBand="0" w:oddHBand="0" w:evenHBand="0" w:firstRowFirstColumn="0" w:firstRowLastColumn="0" w:lastRowFirstColumn="0" w:lastRowLastColumn="0"/>
            </w:pPr>
            <w:r>
              <w:t>1 274</w:t>
            </w:r>
          </w:p>
        </w:tc>
        <w:tc>
          <w:tcPr>
            <w:tcW w:w="850" w:type="dxa"/>
            <w:tcBorders>
              <w:bottom w:val="single" w:sz="6" w:space="0" w:color="auto"/>
            </w:tcBorders>
          </w:tcPr>
          <w:p w14:paraId="1E7D8643" w14:textId="77777777" w:rsidR="00964B88" w:rsidRDefault="00964B88">
            <w:pPr>
              <w:cnfStyle w:val="000000000000" w:firstRow="0" w:lastRow="0" w:firstColumn="0" w:lastColumn="0" w:oddVBand="0" w:evenVBand="0" w:oddHBand="0" w:evenHBand="0" w:firstRowFirstColumn="0" w:firstRowLastColumn="0" w:lastRowFirstColumn="0" w:lastRowLastColumn="0"/>
            </w:pPr>
            <w:r>
              <w:t>1 372</w:t>
            </w:r>
          </w:p>
        </w:tc>
        <w:tc>
          <w:tcPr>
            <w:tcW w:w="850" w:type="dxa"/>
            <w:tcBorders>
              <w:bottom w:val="single" w:sz="6" w:space="0" w:color="auto"/>
            </w:tcBorders>
          </w:tcPr>
          <w:p w14:paraId="50947375" w14:textId="77777777" w:rsidR="00964B88" w:rsidRDefault="00964B88">
            <w:pPr>
              <w:cnfStyle w:val="000000000000" w:firstRow="0" w:lastRow="0" w:firstColumn="0" w:lastColumn="0" w:oddVBand="0" w:evenVBand="0" w:oddHBand="0" w:evenHBand="0" w:firstRowFirstColumn="0" w:firstRowLastColumn="0" w:lastRowFirstColumn="0" w:lastRowLastColumn="0"/>
            </w:pPr>
            <w:r>
              <w:t>1 474</w:t>
            </w:r>
          </w:p>
        </w:tc>
      </w:tr>
      <w:tr w:rsidR="00964B88" w14:paraId="56077A3E"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23F3B1D2" w14:textId="77777777" w:rsidR="00964B88" w:rsidRDefault="00964B88">
            <w:r>
              <w:rPr>
                <w:b/>
              </w:rPr>
              <w:t>Total non</w:t>
            </w:r>
            <w:r>
              <w:rPr>
                <w:b/>
              </w:rPr>
              <w:noBreakHyphen/>
              <w:t>current employee benefits and on</w:t>
            </w:r>
            <w:r>
              <w:rPr>
                <w:b/>
              </w:rPr>
              <w:noBreakHyphen/>
              <w:t>costs</w:t>
            </w:r>
          </w:p>
        </w:tc>
        <w:tc>
          <w:tcPr>
            <w:tcW w:w="653" w:type="dxa"/>
            <w:tcBorders>
              <w:top w:val="single" w:sz="6" w:space="0" w:color="auto"/>
              <w:bottom w:val="single" w:sz="6" w:space="0" w:color="auto"/>
            </w:tcBorders>
          </w:tcPr>
          <w:p w14:paraId="56F9935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1 173</w:t>
            </w:r>
          </w:p>
        </w:tc>
        <w:tc>
          <w:tcPr>
            <w:tcW w:w="850" w:type="dxa"/>
            <w:tcBorders>
              <w:top w:val="single" w:sz="6" w:space="0" w:color="auto"/>
              <w:bottom w:val="single" w:sz="6" w:space="0" w:color="auto"/>
            </w:tcBorders>
          </w:tcPr>
          <w:p w14:paraId="3F973AF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1 178</w:t>
            </w:r>
          </w:p>
        </w:tc>
        <w:tc>
          <w:tcPr>
            <w:tcW w:w="850" w:type="dxa"/>
            <w:tcBorders>
              <w:top w:val="single" w:sz="6" w:space="0" w:color="auto"/>
              <w:bottom w:val="single" w:sz="6" w:space="0" w:color="auto"/>
            </w:tcBorders>
          </w:tcPr>
          <w:p w14:paraId="27BDE9F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1 274</w:t>
            </w:r>
          </w:p>
        </w:tc>
        <w:tc>
          <w:tcPr>
            <w:tcW w:w="850" w:type="dxa"/>
            <w:tcBorders>
              <w:top w:val="single" w:sz="6" w:space="0" w:color="auto"/>
              <w:bottom w:val="single" w:sz="6" w:space="0" w:color="auto"/>
            </w:tcBorders>
          </w:tcPr>
          <w:p w14:paraId="3BC4EF6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1 372</w:t>
            </w:r>
          </w:p>
        </w:tc>
        <w:tc>
          <w:tcPr>
            <w:tcW w:w="850" w:type="dxa"/>
            <w:tcBorders>
              <w:top w:val="single" w:sz="6" w:space="0" w:color="auto"/>
              <w:bottom w:val="single" w:sz="6" w:space="0" w:color="auto"/>
            </w:tcBorders>
          </w:tcPr>
          <w:p w14:paraId="0D216AB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1 474</w:t>
            </w:r>
          </w:p>
        </w:tc>
      </w:tr>
      <w:tr w:rsidR="00964B88" w14:paraId="1B37E7A1"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77E98A37" w14:textId="77777777" w:rsidR="00964B88" w:rsidRDefault="00964B88">
            <w:r>
              <w:t>Total employee benefits</w:t>
            </w:r>
          </w:p>
        </w:tc>
        <w:tc>
          <w:tcPr>
            <w:tcW w:w="653" w:type="dxa"/>
          </w:tcPr>
          <w:p w14:paraId="55685D2F" w14:textId="77777777" w:rsidR="00964B88" w:rsidRDefault="00964B88">
            <w:pPr>
              <w:cnfStyle w:val="010000000000" w:firstRow="0" w:lastRow="1" w:firstColumn="0" w:lastColumn="0" w:oddVBand="0" w:evenVBand="0" w:oddHBand="0" w:evenHBand="0" w:firstRowFirstColumn="0" w:firstRowLastColumn="0" w:lastRowFirstColumn="0" w:lastRowLastColumn="0"/>
            </w:pPr>
            <w:r>
              <w:t>8 337</w:t>
            </w:r>
          </w:p>
        </w:tc>
        <w:tc>
          <w:tcPr>
            <w:tcW w:w="850" w:type="dxa"/>
          </w:tcPr>
          <w:p w14:paraId="1FCBC1FF" w14:textId="77777777" w:rsidR="00964B88" w:rsidRDefault="00964B88">
            <w:pPr>
              <w:cnfStyle w:val="010000000000" w:firstRow="0" w:lastRow="1" w:firstColumn="0" w:lastColumn="0" w:oddVBand="0" w:evenVBand="0" w:oddHBand="0" w:evenHBand="0" w:firstRowFirstColumn="0" w:firstRowLastColumn="0" w:lastRowFirstColumn="0" w:lastRowLastColumn="0"/>
            </w:pPr>
            <w:r>
              <w:t>8 333</w:t>
            </w:r>
          </w:p>
        </w:tc>
        <w:tc>
          <w:tcPr>
            <w:tcW w:w="850" w:type="dxa"/>
          </w:tcPr>
          <w:p w14:paraId="66DE1905" w14:textId="77777777" w:rsidR="00964B88" w:rsidRDefault="00964B88">
            <w:pPr>
              <w:cnfStyle w:val="010000000000" w:firstRow="0" w:lastRow="1" w:firstColumn="0" w:lastColumn="0" w:oddVBand="0" w:evenVBand="0" w:oddHBand="0" w:evenHBand="0" w:firstRowFirstColumn="0" w:firstRowLastColumn="0" w:lastRowFirstColumn="0" w:lastRowLastColumn="0"/>
            </w:pPr>
            <w:r>
              <w:t>8 624</w:t>
            </w:r>
          </w:p>
        </w:tc>
        <w:tc>
          <w:tcPr>
            <w:tcW w:w="850" w:type="dxa"/>
          </w:tcPr>
          <w:p w14:paraId="7172B64C" w14:textId="77777777" w:rsidR="00964B88" w:rsidRDefault="00964B88">
            <w:pPr>
              <w:cnfStyle w:val="010000000000" w:firstRow="0" w:lastRow="1" w:firstColumn="0" w:lastColumn="0" w:oddVBand="0" w:evenVBand="0" w:oddHBand="0" w:evenHBand="0" w:firstRowFirstColumn="0" w:firstRowLastColumn="0" w:lastRowFirstColumn="0" w:lastRowLastColumn="0"/>
            </w:pPr>
            <w:r>
              <w:t>8 916</w:t>
            </w:r>
          </w:p>
        </w:tc>
        <w:tc>
          <w:tcPr>
            <w:tcW w:w="850" w:type="dxa"/>
          </w:tcPr>
          <w:p w14:paraId="58C86783" w14:textId="77777777" w:rsidR="00964B88" w:rsidRDefault="00964B88">
            <w:pPr>
              <w:cnfStyle w:val="010000000000" w:firstRow="0" w:lastRow="1" w:firstColumn="0" w:lastColumn="0" w:oddVBand="0" w:evenVBand="0" w:oddHBand="0" w:evenHBand="0" w:firstRowFirstColumn="0" w:firstRowLastColumn="0" w:lastRowFirstColumn="0" w:lastRowLastColumn="0"/>
            </w:pPr>
            <w:r>
              <w:t>9 214</w:t>
            </w:r>
          </w:p>
        </w:tc>
      </w:tr>
    </w:tbl>
    <w:p w14:paraId="4ABDD990" w14:textId="77777777" w:rsidR="00964B88" w:rsidRPr="004E4D8E" w:rsidRDefault="00964B88" w:rsidP="00964B88">
      <w:pPr>
        <w:pStyle w:val="Heading3"/>
        <w:numPr>
          <w:ilvl w:val="2"/>
          <w:numId w:val="22"/>
        </w:numPr>
        <w:tabs>
          <w:tab w:val="clear" w:pos="7711"/>
          <w:tab w:val="left" w:pos="850"/>
          <w:tab w:val="right" w:pos="7710"/>
        </w:tabs>
        <w:spacing w:after="60"/>
      </w:pPr>
      <w:bookmarkStart w:id="88" w:name="_Toc496606575"/>
      <w:bookmarkStart w:id="89" w:name="_Toc530147961"/>
      <w:r w:rsidRPr="004E4D8E">
        <w:lastRenderedPageBreak/>
        <w:t>Superannuation expense</w:t>
      </w:r>
      <w:bookmarkEnd w:id="88"/>
      <w:bookmarkEnd w:id="89"/>
    </w:p>
    <w:p w14:paraId="70504D7D" w14:textId="77777777" w:rsidR="00964B88" w:rsidRDefault="00964B88" w:rsidP="00F53820">
      <w:pPr>
        <w:pStyle w:val="TableHeading"/>
      </w:pPr>
      <w:r>
        <w:t>Superannuation expense recognised in the operating statement</w:t>
      </w:r>
      <w:r>
        <w:ta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1E31EFFF"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53B9AEFE" w14:textId="77777777" w:rsidR="00964B88" w:rsidRDefault="00964B88"/>
        </w:tc>
        <w:tc>
          <w:tcPr>
            <w:tcW w:w="850" w:type="dxa"/>
          </w:tcPr>
          <w:p w14:paraId="157B2669"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307D3F58"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4FF3EB75"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5B9CD53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2AABDC5F"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75594097" w14:textId="77777777">
        <w:tc>
          <w:tcPr>
            <w:cnfStyle w:val="001000000000" w:firstRow="0" w:lastRow="0" w:firstColumn="1" w:lastColumn="0" w:oddVBand="0" w:evenVBand="0" w:oddHBand="0" w:evenHBand="0" w:firstRowFirstColumn="0" w:firstRowLastColumn="0" w:lastRowFirstColumn="0" w:lastRowLastColumn="0"/>
            <w:tcW w:w="3518" w:type="dxa"/>
          </w:tcPr>
          <w:p w14:paraId="7CD0C80C" w14:textId="77777777" w:rsidR="00964B88" w:rsidRDefault="00964B88">
            <w:r>
              <w:rPr>
                <w:b/>
              </w:rPr>
              <w:t>Defined benefit plans</w:t>
            </w:r>
          </w:p>
        </w:tc>
        <w:tc>
          <w:tcPr>
            <w:tcW w:w="850" w:type="dxa"/>
          </w:tcPr>
          <w:p w14:paraId="7097805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F22D5A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66C52D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4B3123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54CDC70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7F3B21C" w14:textId="77777777">
        <w:tc>
          <w:tcPr>
            <w:cnfStyle w:val="001000000000" w:firstRow="0" w:lastRow="0" w:firstColumn="1" w:lastColumn="0" w:oddVBand="0" w:evenVBand="0" w:oddHBand="0" w:evenHBand="0" w:firstRowFirstColumn="0" w:firstRowLastColumn="0" w:lastRowFirstColumn="0" w:lastRowLastColumn="0"/>
            <w:tcW w:w="3518" w:type="dxa"/>
          </w:tcPr>
          <w:p w14:paraId="7C0FD404" w14:textId="77777777" w:rsidR="00964B88" w:rsidRDefault="00964B88">
            <w:r>
              <w:t>Net superannuation interest expense</w:t>
            </w:r>
          </w:p>
        </w:tc>
        <w:tc>
          <w:tcPr>
            <w:tcW w:w="850" w:type="dxa"/>
          </w:tcPr>
          <w:p w14:paraId="0645A4B4" w14:textId="77777777" w:rsidR="00964B88" w:rsidRDefault="00964B88">
            <w:pPr>
              <w:cnfStyle w:val="000000000000" w:firstRow="0" w:lastRow="0" w:firstColumn="0" w:lastColumn="0" w:oddVBand="0" w:evenVBand="0" w:oddHBand="0" w:evenHBand="0" w:firstRowFirstColumn="0" w:firstRowLastColumn="0" w:lastRowFirstColumn="0" w:lastRowLastColumn="0"/>
            </w:pPr>
            <w:r>
              <w:t>565</w:t>
            </w:r>
          </w:p>
        </w:tc>
        <w:tc>
          <w:tcPr>
            <w:tcW w:w="850" w:type="dxa"/>
          </w:tcPr>
          <w:p w14:paraId="38CC3B9F" w14:textId="77777777" w:rsidR="00964B88" w:rsidRDefault="00964B88">
            <w:pPr>
              <w:cnfStyle w:val="000000000000" w:firstRow="0" w:lastRow="0" w:firstColumn="0" w:lastColumn="0" w:oddVBand="0" w:evenVBand="0" w:oddHBand="0" w:evenHBand="0" w:firstRowFirstColumn="0" w:firstRowLastColumn="0" w:lastRowFirstColumn="0" w:lastRowLastColumn="0"/>
            </w:pPr>
            <w:r>
              <w:t>407</w:t>
            </w:r>
          </w:p>
        </w:tc>
        <w:tc>
          <w:tcPr>
            <w:tcW w:w="850" w:type="dxa"/>
          </w:tcPr>
          <w:p w14:paraId="0E181F60" w14:textId="77777777" w:rsidR="00964B88" w:rsidRDefault="00964B88">
            <w:pPr>
              <w:cnfStyle w:val="000000000000" w:firstRow="0" w:lastRow="0" w:firstColumn="0" w:lastColumn="0" w:oddVBand="0" w:evenVBand="0" w:oddHBand="0" w:evenHBand="0" w:firstRowFirstColumn="0" w:firstRowLastColumn="0" w:lastRowFirstColumn="0" w:lastRowLastColumn="0"/>
            </w:pPr>
            <w:r>
              <w:t>328</w:t>
            </w:r>
          </w:p>
        </w:tc>
        <w:tc>
          <w:tcPr>
            <w:tcW w:w="850" w:type="dxa"/>
          </w:tcPr>
          <w:p w14:paraId="4E786CD5" w14:textId="77777777" w:rsidR="00964B88" w:rsidRDefault="00964B88">
            <w:pPr>
              <w:cnfStyle w:val="000000000000" w:firstRow="0" w:lastRow="0" w:firstColumn="0" w:lastColumn="0" w:oddVBand="0" w:evenVBand="0" w:oddHBand="0" w:evenHBand="0" w:firstRowFirstColumn="0" w:firstRowLastColumn="0" w:lastRowFirstColumn="0" w:lastRowLastColumn="0"/>
            </w:pPr>
            <w:r>
              <w:t>312</w:t>
            </w:r>
          </w:p>
        </w:tc>
        <w:tc>
          <w:tcPr>
            <w:tcW w:w="850" w:type="dxa"/>
          </w:tcPr>
          <w:p w14:paraId="7CF401BD" w14:textId="77777777" w:rsidR="00964B88" w:rsidRDefault="00964B88">
            <w:pPr>
              <w:cnfStyle w:val="000000000000" w:firstRow="0" w:lastRow="0" w:firstColumn="0" w:lastColumn="0" w:oddVBand="0" w:evenVBand="0" w:oddHBand="0" w:evenHBand="0" w:firstRowFirstColumn="0" w:firstRowLastColumn="0" w:lastRowFirstColumn="0" w:lastRowLastColumn="0"/>
            </w:pPr>
            <w:r>
              <w:t>297</w:t>
            </w:r>
          </w:p>
        </w:tc>
      </w:tr>
      <w:tr w:rsidR="00964B88" w14:paraId="1B2AA52B" w14:textId="77777777">
        <w:tc>
          <w:tcPr>
            <w:cnfStyle w:val="001000000000" w:firstRow="0" w:lastRow="0" w:firstColumn="1" w:lastColumn="0" w:oddVBand="0" w:evenVBand="0" w:oddHBand="0" w:evenHBand="0" w:firstRowFirstColumn="0" w:firstRowLastColumn="0" w:lastRowFirstColumn="0" w:lastRowLastColumn="0"/>
            <w:tcW w:w="3518" w:type="dxa"/>
          </w:tcPr>
          <w:p w14:paraId="1B04BF28" w14:textId="77777777" w:rsidR="00964B88" w:rsidRDefault="00964B88">
            <w:r>
              <w:t>Current service cost</w:t>
            </w:r>
          </w:p>
        </w:tc>
        <w:tc>
          <w:tcPr>
            <w:tcW w:w="850" w:type="dxa"/>
          </w:tcPr>
          <w:p w14:paraId="202612FC" w14:textId="77777777" w:rsidR="00964B88" w:rsidRDefault="00964B88">
            <w:pPr>
              <w:cnfStyle w:val="000000000000" w:firstRow="0" w:lastRow="0" w:firstColumn="0" w:lastColumn="0" w:oddVBand="0" w:evenVBand="0" w:oddHBand="0" w:evenHBand="0" w:firstRowFirstColumn="0" w:firstRowLastColumn="0" w:lastRowFirstColumn="0" w:lastRowLastColumn="0"/>
            </w:pPr>
            <w:r>
              <w:t>1 093</w:t>
            </w:r>
          </w:p>
        </w:tc>
        <w:tc>
          <w:tcPr>
            <w:tcW w:w="850" w:type="dxa"/>
          </w:tcPr>
          <w:p w14:paraId="6FB322E3" w14:textId="77777777" w:rsidR="00964B88" w:rsidRDefault="00964B88">
            <w:pPr>
              <w:cnfStyle w:val="000000000000" w:firstRow="0" w:lastRow="0" w:firstColumn="0" w:lastColumn="0" w:oddVBand="0" w:evenVBand="0" w:oddHBand="0" w:evenHBand="0" w:firstRowFirstColumn="0" w:firstRowLastColumn="0" w:lastRowFirstColumn="0" w:lastRowLastColumn="0"/>
            </w:pPr>
            <w:r>
              <w:t>1 108</w:t>
            </w:r>
          </w:p>
        </w:tc>
        <w:tc>
          <w:tcPr>
            <w:tcW w:w="850" w:type="dxa"/>
          </w:tcPr>
          <w:p w14:paraId="464E5A65" w14:textId="77777777" w:rsidR="00964B88" w:rsidRDefault="00964B88">
            <w:pPr>
              <w:cnfStyle w:val="000000000000" w:firstRow="0" w:lastRow="0" w:firstColumn="0" w:lastColumn="0" w:oddVBand="0" w:evenVBand="0" w:oddHBand="0" w:evenHBand="0" w:firstRowFirstColumn="0" w:firstRowLastColumn="0" w:lastRowFirstColumn="0" w:lastRowLastColumn="0"/>
            </w:pPr>
            <w:r>
              <w:t>1 138</w:t>
            </w:r>
          </w:p>
        </w:tc>
        <w:tc>
          <w:tcPr>
            <w:tcW w:w="850" w:type="dxa"/>
          </w:tcPr>
          <w:p w14:paraId="46EEBF50" w14:textId="77777777" w:rsidR="00964B88" w:rsidRDefault="00964B88">
            <w:pPr>
              <w:cnfStyle w:val="000000000000" w:firstRow="0" w:lastRow="0" w:firstColumn="0" w:lastColumn="0" w:oddVBand="0" w:evenVBand="0" w:oddHBand="0" w:evenHBand="0" w:firstRowFirstColumn="0" w:firstRowLastColumn="0" w:lastRowFirstColumn="0" w:lastRowLastColumn="0"/>
            </w:pPr>
            <w:r>
              <w:t>1 191</w:t>
            </w:r>
          </w:p>
        </w:tc>
        <w:tc>
          <w:tcPr>
            <w:tcW w:w="850" w:type="dxa"/>
          </w:tcPr>
          <w:p w14:paraId="502E4C1C" w14:textId="77777777" w:rsidR="00964B88" w:rsidRDefault="00964B88">
            <w:pPr>
              <w:cnfStyle w:val="000000000000" w:firstRow="0" w:lastRow="0" w:firstColumn="0" w:lastColumn="0" w:oddVBand="0" w:evenVBand="0" w:oddHBand="0" w:evenHBand="0" w:firstRowFirstColumn="0" w:firstRowLastColumn="0" w:lastRowFirstColumn="0" w:lastRowLastColumn="0"/>
            </w:pPr>
            <w:r>
              <w:t>1 231</w:t>
            </w:r>
          </w:p>
        </w:tc>
      </w:tr>
      <w:tr w:rsidR="00964B88" w14:paraId="16753794" w14:textId="77777777">
        <w:tc>
          <w:tcPr>
            <w:cnfStyle w:val="001000000000" w:firstRow="0" w:lastRow="0" w:firstColumn="1" w:lastColumn="0" w:oddVBand="0" w:evenVBand="0" w:oddHBand="0" w:evenHBand="0" w:firstRowFirstColumn="0" w:firstRowLastColumn="0" w:lastRowFirstColumn="0" w:lastRowLastColumn="0"/>
            <w:tcW w:w="3518" w:type="dxa"/>
          </w:tcPr>
          <w:p w14:paraId="4E0F11AD" w14:textId="77777777" w:rsidR="00964B88" w:rsidRDefault="00964B88">
            <w:r>
              <w:t>Remeasurements:</w:t>
            </w:r>
          </w:p>
        </w:tc>
        <w:tc>
          <w:tcPr>
            <w:tcW w:w="850" w:type="dxa"/>
          </w:tcPr>
          <w:p w14:paraId="3325F66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5269F3F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45C0B62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D17C55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3FA5AA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D9B65AB" w14:textId="77777777">
        <w:tc>
          <w:tcPr>
            <w:cnfStyle w:val="001000000000" w:firstRow="0" w:lastRow="0" w:firstColumn="1" w:lastColumn="0" w:oddVBand="0" w:evenVBand="0" w:oddHBand="0" w:evenHBand="0" w:firstRowFirstColumn="0" w:firstRowLastColumn="0" w:lastRowFirstColumn="0" w:lastRowLastColumn="0"/>
            <w:tcW w:w="3518" w:type="dxa"/>
          </w:tcPr>
          <w:p w14:paraId="29E1D9FF" w14:textId="77777777" w:rsidR="00964B88" w:rsidRDefault="00964B88">
            <w:pPr>
              <w:ind w:left="340"/>
            </w:pPr>
            <w:r>
              <w:t>Expected return on superannuation assets excluding interest income</w:t>
            </w:r>
          </w:p>
        </w:tc>
        <w:tc>
          <w:tcPr>
            <w:tcW w:w="850" w:type="dxa"/>
          </w:tcPr>
          <w:p w14:paraId="5874CC13" w14:textId="77777777" w:rsidR="00964B88" w:rsidRDefault="00964B88">
            <w:pPr>
              <w:cnfStyle w:val="000000000000" w:firstRow="0" w:lastRow="0" w:firstColumn="0" w:lastColumn="0" w:oddVBand="0" w:evenVBand="0" w:oddHBand="0" w:evenHBand="0" w:firstRowFirstColumn="0" w:firstRowLastColumn="0" w:lastRowFirstColumn="0" w:lastRowLastColumn="0"/>
            </w:pPr>
            <w:r>
              <w:t>(1 109)</w:t>
            </w:r>
          </w:p>
        </w:tc>
        <w:tc>
          <w:tcPr>
            <w:tcW w:w="850" w:type="dxa"/>
          </w:tcPr>
          <w:p w14:paraId="13C5D6D6" w14:textId="77777777" w:rsidR="00964B88" w:rsidRDefault="00964B88">
            <w:pPr>
              <w:cnfStyle w:val="000000000000" w:firstRow="0" w:lastRow="0" w:firstColumn="0" w:lastColumn="0" w:oddVBand="0" w:evenVBand="0" w:oddHBand="0" w:evenHBand="0" w:firstRowFirstColumn="0" w:firstRowLastColumn="0" w:lastRowFirstColumn="0" w:lastRowLastColumn="0"/>
            </w:pPr>
            <w:r>
              <w:t>(1 316)</w:t>
            </w:r>
          </w:p>
        </w:tc>
        <w:tc>
          <w:tcPr>
            <w:tcW w:w="850" w:type="dxa"/>
          </w:tcPr>
          <w:p w14:paraId="27CF92BB" w14:textId="77777777" w:rsidR="00964B88" w:rsidRDefault="00964B88">
            <w:pPr>
              <w:cnfStyle w:val="000000000000" w:firstRow="0" w:lastRow="0" w:firstColumn="0" w:lastColumn="0" w:oddVBand="0" w:evenVBand="0" w:oddHBand="0" w:evenHBand="0" w:firstRowFirstColumn="0" w:firstRowLastColumn="0" w:lastRowFirstColumn="0" w:lastRowLastColumn="0"/>
            </w:pPr>
            <w:r>
              <w:t>(1 424)</w:t>
            </w:r>
          </w:p>
        </w:tc>
        <w:tc>
          <w:tcPr>
            <w:tcW w:w="850" w:type="dxa"/>
          </w:tcPr>
          <w:p w14:paraId="613CD23E" w14:textId="77777777" w:rsidR="00964B88" w:rsidRDefault="00964B88">
            <w:pPr>
              <w:cnfStyle w:val="000000000000" w:firstRow="0" w:lastRow="0" w:firstColumn="0" w:lastColumn="0" w:oddVBand="0" w:evenVBand="0" w:oddHBand="0" w:evenHBand="0" w:firstRowFirstColumn="0" w:firstRowLastColumn="0" w:lastRowFirstColumn="0" w:lastRowLastColumn="0"/>
            </w:pPr>
            <w:r>
              <w:t>(1 454)</w:t>
            </w:r>
          </w:p>
        </w:tc>
        <w:tc>
          <w:tcPr>
            <w:tcW w:w="850" w:type="dxa"/>
          </w:tcPr>
          <w:p w14:paraId="755A8B35" w14:textId="77777777" w:rsidR="00964B88" w:rsidRDefault="00964B88">
            <w:pPr>
              <w:cnfStyle w:val="000000000000" w:firstRow="0" w:lastRow="0" w:firstColumn="0" w:lastColumn="0" w:oddVBand="0" w:evenVBand="0" w:oddHBand="0" w:evenHBand="0" w:firstRowFirstColumn="0" w:firstRowLastColumn="0" w:lastRowFirstColumn="0" w:lastRowLastColumn="0"/>
            </w:pPr>
            <w:r>
              <w:t>(1 481)</w:t>
            </w:r>
          </w:p>
        </w:tc>
      </w:tr>
      <w:tr w:rsidR="00964B88" w14:paraId="492ADD1A" w14:textId="77777777">
        <w:tc>
          <w:tcPr>
            <w:cnfStyle w:val="001000000000" w:firstRow="0" w:lastRow="0" w:firstColumn="1" w:lastColumn="0" w:oddVBand="0" w:evenVBand="0" w:oddHBand="0" w:evenHBand="0" w:firstRowFirstColumn="0" w:firstRowLastColumn="0" w:lastRowFirstColumn="0" w:lastRowLastColumn="0"/>
            <w:tcW w:w="3518" w:type="dxa"/>
          </w:tcPr>
          <w:p w14:paraId="3D981CE0" w14:textId="77777777" w:rsidR="00964B88" w:rsidRDefault="00964B88">
            <w:pPr>
              <w:ind w:left="340"/>
            </w:pPr>
            <w:r>
              <w:t>Other actuarial (gain)/loss on superannuation assets</w:t>
            </w:r>
          </w:p>
        </w:tc>
        <w:tc>
          <w:tcPr>
            <w:tcW w:w="850" w:type="dxa"/>
          </w:tcPr>
          <w:p w14:paraId="0F98895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69DA2293" w14:textId="77777777" w:rsidR="00964B88" w:rsidRDefault="00964B88">
            <w:pPr>
              <w:cnfStyle w:val="000000000000" w:firstRow="0" w:lastRow="0" w:firstColumn="0" w:lastColumn="0" w:oddVBand="0" w:evenVBand="0" w:oddHBand="0" w:evenHBand="0" w:firstRowFirstColumn="0" w:firstRowLastColumn="0" w:lastRowFirstColumn="0" w:lastRowLastColumn="0"/>
            </w:pPr>
            <w:r>
              <w:t>(15)</w:t>
            </w:r>
          </w:p>
        </w:tc>
        <w:tc>
          <w:tcPr>
            <w:tcW w:w="850" w:type="dxa"/>
          </w:tcPr>
          <w:p w14:paraId="706D5C48"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2E7A322A"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20E3406A"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47508AA5"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0C7109F0" w14:textId="77777777" w:rsidR="00964B88" w:rsidRDefault="00964B88">
            <w:pPr>
              <w:ind w:left="340"/>
            </w:pPr>
            <w:r>
              <w:t>Actuarial and other adjustments to unfunded superannuation liability</w:t>
            </w:r>
          </w:p>
        </w:tc>
        <w:tc>
          <w:tcPr>
            <w:tcW w:w="850" w:type="dxa"/>
            <w:tcBorders>
              <w:bottom w:val="single" w:sz="6" w:space="0" w:color="auto"/>
            </w:tcBorders>
          </w:tcPr>
          <w:p w14:paraId="6796E758"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23360CC9" w14:textId="77777777" w:rsidR="00964B88" w:rsidRDefault="00964B88">
            <w:pPr>
              <w:cnfStyle w:val="000000000000" w:firstRow="0" w:lastRow="0" w:firstColumn="0" w:lastColumn="0" w:oddVBand="0" w:evenVBand="0" w:oddHBand="0" w:evenHBand="0" w:firstRowFirstColumn="0" w:firstRowLastColumn="0" w:lastRowFirstColumn="0" w:lastRowLastColumn="0"/>
            </w:pPr>
            <w:r>
              <w:t>1 267</w:t>
            </w:r>
          </w:p>
        </w:tc>
        <w:tc>
          <w:tcPr>
            <w:tcW w:w="850" w:type="dxa"/>
            <w:tcBorders>
              <w:bottom w:val="single" w:sz="6" w:space="0" w:color="auto"/>
            </w:tcBorders>
          </w:tcPr>
          <w:p w14:paraId="6B95517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5A63F369"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477DFC9A"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27F4438A"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77E3A897" w14:textId="77777777" w:rsidR="00964B88" w:rsidRDefault="00964B88">
            <w:r>
              <w:rPr>
                <w:b/>
              </w:rPr>
              <w:t>Total expense recognised in respect of defined benefit plans</w:t>
            </w:r>
          </w:p>
        </w:tc>
        <w:tc>
          <w:tcPr>
            <w:tcW w:w="850" w:type="dxa"/>
            <w:tcBorders>
              <w:top w:val="single" w:sz="6" w:space="0" w:color="auto"/>
            </w:tcBorders>
          </w:tcPr>
          <w:p w14:paraId="73C7A21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549</w:t>
            </w:r>
          </w:p>
        </w:tc>
        <w:tc>
          <w:tcPr>
            <w:tcW w:w="850" w:type="dxa"/>
            <w:tcBorders>
              <w:top w:val="single" w:sz="6" w:space="0" w:color="auto"/>
            </w:tcBorders>
          </w:tcPr>
          <w:p w14:paraId="4CA2224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1 452</w:t>
            </w:r>
          </w:p>
        </w:tc>
        <w:tc>
          <w:tcPr>
            <w:tcW w:w="850" w:type="dxa"/>
            <w:tcBorders>
              <w:top w:val="single" w:sz="6" w:space="0" w:color="auto"/>
            </w:tcBorders>
          </w:tcPr>
          <w:p w14:paraId="030AA4A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42</w:t>
            </w:r>
          </w:p>
        </w:tc>
        <w:tc>
          <w:tcPr>
            <w:tcW w:w="850" w:type="dxa"/>
            <w:tcBorders>
              <w:top w:val="single" w:sz="6" w:space="0" w:color="auto"/>
            </w:tcBorders>
          </w:tcPr>
          <w:p w14:paraId="4A5AD1B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50</w:t>
            </w:r>
          </w:p>
        </w:tc>
        <w:tc>
          <w:tcPr>
            <w:tcW w:w="850" w:type="dxa"/>
            <w:tcBorders>
              <w:top w:val="single" w:sz="6" w:space="0" w:color="auto"/>
            </w:tcBorders>
          </w:tcPr>
          <w:p w14:paraId="192B29E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47</w:t>
            </w:r>
          </w:p>
        </w:tc>
      </w:tr>
      <w:tr w:rsidR="00964B88" w14:paraId="30658C85" w14:textId="77777777">
        <w:tc>
          <w:tcPr>
            <w:cnfStyle w:val="001000000000" w:firstRow="0" w:lastRow="0" w:firstColumn="1" w:lastColumn="0" w:oddVBand="0" w:evenVBand="0" w:oddHBand="0" w:evenHBand="0" w:firstRowFirstColumn="0" w:firstRowLastColumn="0" w:lastRowFirstColumn="0" w:lastRowLastColumn="0"/>
            <w:tcW w:w="3518" w:type="dxa"/>
          </w:tcPr>
          <w:p w14:paraId="60CFC1D3" w14:textId="77777777" w:rsidR="00964B88" w:rsidRDefault="00964B88">
            <w:r>
              <w:rPr>
                <w:b/>
              </w:rPr>
              <w:t>Defined contribution plans</w:t>
            </w:r>
          </w:p>
        </w:tc>
        <w:tc>
          <w:tcPr>
            <w:tcW w:w="850" w:type="dxa"/>
          </w:tcPr>
          <w:p w14:paraId="1D4B9A7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8708BE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0B43F9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DF8448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86972C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A1528BD" w14:textId="77777777">
        <w:tc>
          <w:tcPr>
            <w:cnfStyle w:val="001000000000" w:firstRow="0" w:lastRow="0" w:firstColumn="1" w:lastColumn="0" w:oddVBand="0" w:evenVBand="0" w:oddHBand="0" w:evenHBand="0" w:firstRowFirstColumn="0" w:firstRowLastColumn="0" w:lastRowFirstColumn="0" w:lastRowLastColumn="0"/>
            <w:tcW w:w="3518" w:type="dxa"/>
          </w:tcPr>
          <w:p w14:paraId="42CC9BB0" w14:textId="77777777" w:rsidR="00964B88" w:rsidRDefault="00964B88">
            <w:r>
              <w:t>Employer contributions to defined contribution plans</w:t>
            </w:r>
          </w:p>
        </w:tc>
        <w:tc>
          <w:tcPr>
            <w:tcW w:w="850" w:type="dxa"/>
          </w:tcPr>
          <w:p w14:paraId="3E7D92D1" w14:textId="77777777" w:rsidR="00964B88" w:rsidRDefault="00964B88">
            <w:pPr>
              <w:cnfStyle w:val="000000000000" w:firstRow="0" w:lastRow="0" w:firstColumn="0" w:lastColumn="0" w:oddVBand="0" w:evenVBand="0" w:oddHBand="0" w:evenHBand="0" w:firstRowFirstColumn="0" w:firstRowLastColumn="0" w:lastRowFirstColumn="0" w:lastRowLastColumn="0"/>
            </w:pPr>
            <w:r>
              <w:t>1 794</w:t>
            </w:r>
          </w:p>
        </w:tc>
        <w:tc>
          <w:tcPr>
            <w:tcW w:w="850" w:type="dxa"/>
          </w:tcPr>
          <w:p w14:paraId="72763AA2" w14:textId="77777777" w:rsidR="00964B88" w:rsidRDefault="00964B88">
            <w:pPr>
              <w:cnfStyle w:val="000000000000" w:firstRow="0" w:lastRow="0" w:firstColumn="0" w:lastColumn="0" w:oddVBand="0" w:evenVBand="0" w:oddHBand="0" w:evenHBand="0" w:firstRowFirstColumn="0" w:firstRowLastColumn="0" w:lastRowFirstColumn="0" w:lastRowLastColumn="0"/>
            </w:pPr>
            <w:r>
              <w:t>1 784</w:t>
            </w:r>
          </w:p>
        </w:tc>
        <w:tc>
          <w:tcPr>
            <w:tcW w:w="850" w:type="dxa"/>
          </w:tcPr>
          <w:p w14:paraId="3CB44978" w14:textId="77777777" w:rsidR="00964B88" w:rsidRDefault="00964B88">
            <w:pPr>
              <w:cnfStyle w:val="000000000000" w:firstRow="0" w:lastRow="0" w:firstColumn="0" w:lastColumn="0" w:oddVBand="0" w:evenVBand="0" w:oddHBand="0" w:evenHBand="0" w:firstRowFirstColumn="0" w:firstRowLastColumn="0" w:lastRowFirstColumn="0" w:lastRowLastColumn="0"/>
            </w:pPr>
            <w:r>
              <w:t>1 835</w:t>
            </w:r>
          </w:p>
        </w:tc>
        <w:tc>
          <w:tcPr>
            <w:tcW w:w="850" w:type="dxa"/>
          </w:tcPr>
          <w:p w14:paraId="6B735ABB" w14:textId="77777777" w:rsidR="00964B88" w:rsidRDefault="00964B88">
            <w:pPr>
              <w:cnfStyle w:val="000000000000" w:firstRow="0" w:lastRow="0" w:firstColumn="0" w:lastColumn="0" w:oddVBand="0" w:evenVBand="0" w:oddHBand="0" w:evenHBand="0" w:firstRowFirstColumn="0" w:firstRowLastColumn="0" w:lastRowFirstColumn="0" w:lastRowLastColumn="0"/>
            </w:pPr>
            <w:r>
              <w:t>1 880</w:t>
            </w:r>
          </w:p>
        </w:tc>
        <w:tc>
          <w:tcPr>
            <w:tcW w:w="850" w:type="dxa"/>
          </w:tcPr>
          <w:p w14:paraId="436CA57B" w14:textId="77777777" w:rsidR="00964B88" w:rsidRDefault="00964B88">
            <w:pPr>
              <w:cnfStyle w:val="000000000000" w:firstRow="0" w:lastRow="0" w:firstColumn="0" w:lastColumn="0" w:oddVBand="0" w:evenVBand="0" w:oddHBand="0" w:evenHBand="0" w:firstRowFirstColumn="0" w:firstRowLastColumn="0" w:lastRowFirstColumn="0" w:lastRowLastColumn="0"/>
            </w:pPr>
            <w:r>
              <w:t>1 941</w:t>
            </w:r>
          </w:p>
        </w:tc>
      </w:tr>
      <w:tr w:rsidR="00964B88" w14:paraId="35B6F0B3"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58C8B852" w14:textId="77777777" w:rsidR="00964B88" w:rsidRDefault="00964B88">
            <w:r>
              <w:t>Other (including pensions)</w:t>
            </w:r>
          </w:p>
        </w:tc>
        <w:tc>
          <w:tcPr>
            <w:tcW w:w="850" w:type="dxa"/>
            <w:tcBorders>
              <w:bottom w:val="single" w:sz="6" w:space="0" w:color="auto"/>
            </w:tcBorders>
          </w:tcPr>
          <w:p w14:paraId="2753FD94" w14:textId="77777777" w:rsidR="00964B88" w:rsidRDefault="00964B88">
            <w:pPr>
              <w:cnfStyle w:val="000000000000" w:firstRow="0" w:lastRow="0" w:firstColumn="0" w:lastColumn="0" w:oddVBand="0" w:evenVBand="0" w:oddHBand="0" w:evenHBand="0" w:firstRowFirstColumn="0" w:firstRowLastColumn="0" w:lastRowFirstColumn="0" w:lastRowLastColumn="0"/>
            </w:pPr>
            <w:r>
              <w:t>73</w:t>
            </w:r>
          </w:p>
        </w:tc>
        <w:tc>
          <w:tcPr>
            <w:tcW w:w="850" w:type="dxa"/>
            <w:tcBorders>
              <w:bottom w:val="single" w:sz="6" w:space="0" w:color="auto"/>
            </w:tcBorders>
          </w:tcPr>
          <w:p w14:paraId="5C33DDCC" w14:textId="77777777" w:rsidR="00964B88" w:rsidRDefault="00964B88">
            <w:pPr>
              <w:cnfStyle w:val="000000000000" w:firstRow="0" w:lastRow="0" w:firstColumn="0" w:lastColumn="0" w:oddVBand="0" w:evenVBand="0" w:oddHBand="0" w:evenHBand="0" w:firstRowFirstColumn="0" w:firstRowLastColumn="0" w:lastRowFirstColumn="0" w:lastRowLastColumn="0"/>
            </w:pPr>
            <w:r>
              <w:t>73</w:t>
            </w:r>
          </w:p>
        </w:tc>
        <w:tc>
          <w:tcPr>
            <w:tcW w:w="850" w:type="dxa"/>
            <w:tcBorders>
              <w:bottom w:val="single" w:sz="6" w:space="0" w:color="auto"/>
            </w:tcBorders>
          </w:tcPr>
          <w:p w14:paraId="4CD0BC71" w14:textId="77777777" w:rsidR="00964B88" w:rsidRDefault="00964B88">
            <w:pPr>
              <w:cnfStyle w:val="000000000000" w:firstRow="0" w:lastRow="0" w:firstColumn="0" w:lastColumn="0" w:oddVBand="0" w:evenVBand="0" w:oddHBand="0" w:evenHBand="0" w:firstRowFirstColumn="0" w:firstRowLastColumn="0" w:lastRowFirstColumn="0" w:lastRowLastColumn="0"/>
            </w:pPr>
            <w:r>
              <w:t>75</w:t>
            </w:r>
          </w:p>
        </w:tc>
        <w:tc>
          <w:tcPr>
            <w:tcW w:w="850" w:type="dxa"/>
            <w:tcBorders>
              <w:bottom w:val="single" w:sz="6" w:space="0" w:color="auto"/>
            </w:tcBorders>
          </w:tcPr>
          <w:p w14:paraId="7EDA1303" w14:textId="77777777" w:rsidR="00964B88" w:rsidRDefault="00964B88">
            <w:pPr>
              <w:cnfStyle w:val="000000000000" w:firstRow="0" w:lastRow="0" w:firstColumn="0" w:lastColumn="0" w:oddVBand="0" w:evenVBand="0" w:oddHBand="0" w:evenHBand="0" w:firstRowFirstColumn="0" w:firstRowLastColumn="0" w:lastRowFirstColumn="0" w:lastRowLastColumn="0"/>
            </w:pPr>
            <w:r>
              <w:t>76</w:t>
            </w:r>
          </w:p>
        </w:tc>
        <w:tc>
          <w:tcPr>
            <w:tcW w:w="850" w:type="dxa"/>
            <w:tcBorders>
              <w:bottom w:val="single" w:sz="6" w:space="0" w:color="auto"/>
            </w:tcBorders>
          </w:tcPr>
          <w:p w14:paraId="0F1863BD" w14:textId="77777777" w:rsidR="00964B88" w:rsidRDefault="00964B88">
            <w:pPr>
              <w:cnfStyle w:val="000000000000" w:firstRow="0" w:lastRow="0" w:firstColumn="0" w:lastColumn="0" w:oddVBand="0" w:evenVBand="0" w:oddHBand="0" w:evenHBand="0" w:firstRowFirstColumn="0" w:firstRowLastColumn="0" w:lastRowFirstColumn="0" w:lastRowLastColumn="0"/>
            </w:pPr>
            <w:r>
              <w:t>69</w:t>
            </w:r>
          </w:p>
        </w:tc>
      </w:tr>
      <w:tr w:rsidR="00964B88" w14:paraId="28AD06EF"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6" w:space="0" w:color="auto"/>
            </w:tcBorders>
          </w:tcPr>
          <w:p w14:paraId="463CCEDB" w14:textId="77777777" w:rsidR="00964B88" w:rsidRDefault="00964B88">
            <w:r>
              <w:rPr>
                <w:b/>
              </w:rPr>
              <w:t>Total expense recognised in respect of defined contribution plans</w:t>
            </w:r>
          </w:p>
        </w:tc>
        <w:tc>
          <w:tcPr>
            <w:tcW w:w="850" w:type="dxa"/>
            <w:tcBorders>
              <w:top w:val="single" w:sz="6" w:space="0" w:color="auto"/>
              <w:bottom w:val="single" w:sz="6" w:space="0" w:color="auto"/>
            </w:tcBorders>
          </w:tcPr>
          <w:p w14:paraId="25D87A8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1 868</w:t>
            </w:r>
          </w:p>
        </w:tc>
        <w:tc>
          <w:tcPr>
            <w:tcW w:w="850" w:type="dxa"/>
            <w:tcBorders>
              <w:top w:val="single" w:sz="6" w:space="0" w:color="auto"/>
              <w:bottom w:val="single" w:sz="6" w:space="0" w:color="auto"/>
            </w:tcBorders>
          </w:tcPr>
          <w:p w14:paraId="7CE0839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1 858</w:t>
            </w:r>
          </w:p>
        </w:tc>
        <w:tc>
          <w:tcPr>
            <w:tcW w:w="850" w:type="dxa"/>
            <w:tcBorders>
              <w:top w:val="single" w:sz="6" w:space="0" w:color="auto"/>
              <w:bottom w:val="single" w:sz="6" w:space="0" w:color="auto"/>
            </w:tcBorders>
          </w:tcPr>
          <w:p w14:paraId="4C26660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1 910</w:t>
            </w:r>
          </w:p>
        </w:tc>
        <w:tc>
          <w:tcPr>
            <w:tcW w:w="850" w:type="dxa"/>
            <w:tcBorders>
              <w:top w:val="single" w:sz="6" w:space="0" w:color="auto"/>
              <w:bottom w:val="single" w:sz="6" w:space="0" w:color="auto"/>
            </w:tcBorders>
          </w:tcPr>
          <w:p w14:paraId="7824A00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1 956</w:t>
            </w:r>
          </w:p>
        </w:tc>
        <w:tc>
          <w:tcPr>
            <w:tcW w:w="850" w:type="dxa"/>
            <w:tcBorders>
              <w:top w:val="single" w:sz="6" w:space="0" w:color="auto"/>
              <w:bottom w:val="single" w:sz="6" w:space="0" w:color="auto"/>
            </w:tcBorders>
          </w:tcPr>
          <w:p w14:paraId="301B76E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2 011</w:t>
            </w:r>
          </w:p>
        </w:tc>
      </w:tr>
      <w:tr w:rsidR="00964B88" w14:paraId="2C347937"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12" w:space="0" w:color="auto"/>
            </w:tcBorders>
          </w:tcPr>
          <w:p w14:paraId="10EFCD34" w14:textId="77777777" w:rsidR="00964B88" w:rsidRDefault="00964B88">
            <w:r>
              <w:rPr>
                <w:b/>
              </w:rPr>
              <w:t>Total superannuation (gain)/expense recognised in operating statement</w:t>
            </w:r>
          </w:p>
        </w:tc>
        <w:tc>
          <w:tcPr>
            <w:tcW w:w="850" w:type="dxa"/>
            <w:tcBorders>
              <w:top w:val="single" w:sz="6" w:space="0" w:color="auto"/>
              <w:bottom w:val="single" w:sz="12" w:space="0" w:color="auto"/>
            </w:tcBorders>
          </w:tcPr>
          <w:p w14:paraId="5A9FF73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2 416</w:t>
            </w:r>
          </w:p>
        </w:tc>
        <w:tc>
          <w:tcPr>
            <w:tcW w:w="850" w:type="dxa"/>
            <w:tcBorders>
              <w:top w:val="single" w:sz="6" w:space="0" w:color="auto"/>
              <w:bottom w:val="single" w:sz="12" w:space="0" w:color="auto"/>
            </w:tcBorders>
          </w:tcPr>
          <w:p w14:paraId="45DBE31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3 310</w:t>
            </w:r>
          </w:p>
        </w:tc>
        <w:tc>
          <w:tcPr>
            <w:tcW w:w="850" w:type="dxa"/>
            <w:tcBorders>
              <w:top w:val="single" w:sz="6" w:space="0" w:color="auto"/>
              <w:bottom w:val="single" w:sz="12" w:space="0" w:color="auto"/>
            </w:tcBorders>
          </w:tcPr>
          <w:p w14:paraId="1FA357E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1 952</w:t>
            </w:r>
          </w:p>
        </w:tc>
        <w:tc>
          <w:tcPr>
            <w:tcW w:w="850" w:type="dxa"/>
            <w:tcBorders>
              <w:top w:val="single" w:sz="6" w:space="0" w:color="auto"/>
              <w:bottom w:val="single" w:sz="12" w:space="0" w:color="auto"/>
            </w:tcBorders>
          </w:tcPr>
          <w:p w14:paraId="586FE00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2 006</w:t>
            </w:r>
          </w:p>
        </w:tc>
        <w:tc>
          <w:tcPr>
            <w:tcW w:w="850" w:type="dxa"/>
            <w:tcBorders>
              <w:top w:val="single" w:sz="6" w:space="0" w:color="auto"/>
              <w:bottom w:val="single" w:sz="12" w:space="0" w:color="auto"/>
            </w:tcBorders>
          </w:tcPr>
          <w:p w14:paraId="56F265B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2 058</w:t>
            </w:r>
          </w:p>
        </w:tc>
      </w:tr>
      <w:tr w:rsidR="00964B88" w14:paraId="32CE9E4A"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741B101D" w14:textId="77777777" w:rsidR="00964B88" w:rsidRDefault="00964B88">
            <w:r>
              <w:rPr>
                <w:b/>
              </w:rPr>
              <w:t>Represented by:</w:t>
            </w:r>
          </w:p>
        </w:tc>
        <w:tc>
          <w:tcPr>
            <w:tcW w:w="850" w:type="dxa"/>
            <w:tcBorders>
              <w:top w:val="single" w:sz="6" w:space="0" w:color="auto"/>
            </w:tcBorders>
          </w:tcPr>
          <w:p w14:paraId="4D46204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1650DB1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6F2145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00041C2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8B92BB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49FCC9B" w14:textId="77777777">
        <w:tc>
          <w:tcPr>
            <w:cnfStyle w:val="001000000000" w:firstRow="0" w:lastRow="0" w:firstColumn="1" w:lastColumn="0" w:oddVBand="0" w:evenVBand="0" w:oddHBand="0" w:evenHBand="0" w:firstRowFirstColumn="0" w:firstRowLastColumn="0" w:lastRowFirstColumn="0" w:lastRowLastColumn="0"/>
            <w:tcW w:w="3518" w:type="dxa"/>
          </w:tcPr>
          <w:p w14:paraId="3B9B54ED" w14:textId="77777777" w:rsidR="00964B88" w:rsidRDefault="00964B88">
            <w:pPr>
              <w:ind w:left="340"/>
            </w:pPr>
            <w:r>
              <w:t>Net superannuation interest expense</w:t>
            </w:r>
          </w:p>
        </w:tc>
        <w:tc>
          <w:tcPr>
            <w:tcW w:w="850" w:type="dxa"/>
          </w:tcPr>
          <w:p w14:paraId="5115CBFB" w14:textId="77777777" w:rsidR="00964B88" w:rsidRDefault="00964B88">
            <w:pPr>
              <w:cnfStyle w:val="000000000000" w:firstRow="0" w:lastRow="0" w:firstColumn="0" w:lastColumn="0" w:oddVBand="0" w:evenVBand="0" w:oddHBand="0" w:evenHBand="0" w:firstRowFirstColumn="0" w:firstRowLastColumn="0" w:lastRowFirstColumn="0" w:lastRowLastColumn="0"/>
            </w:pPr>
            <w:r>
              <w:t>565</w:t>
            </w:r>
          </w:p>
        </w:tc>
        <w:tc>
          <w:tcPr>
            <w:tcW w:w="850" w:type="dxa"/>
          </w:tcPr>
          <w:p w14:paraId="4C3F4BC0" w14:textId="77777777" w:rsidR="00964B88" w:rsidRDefault="00964B88">
            <w:pPr>
              <w:cnfStyle w:val="000000000000" w:firstRow="0" w:lastRow="0" w:firstColumn="0" w:lastColumn="0" w:oddVBand="0" w:evenVBand="0" w:oddHBand="0" w:evenHBand="0" w:firstRowFirstColumn="0" w:firstRowLastColumn="0" w:lastRowFirstColumn="0" w:lastRowLastColumn="0"/>
            </w:pPr>
            <w:r>
              <w:t>407</w:t>
            </w:r>
          </w:p>
        </w:tc>
        <w:tc>
          <w:tcPr>
            <w:tcW w:w="850" w:type="dxa"/>
          </w:tcPr>
          <w:p w14:paraId="3349F059" w14:textId="77777777" w:rsidR="00964B88" w:rsidRDefault="00964B88">
            <w:pPr>
              <w:cnfStyle w:val="000000000000" w:firstRow="0" w:lastRow="0" w:firstColumn="0" w:lastColumn="0" w:oddVBand="0" w:evenVBand="0" w:oddHBand="0" w:evenHBand="0" w:firstRowFirstColumn="0" w:firstRowLastColumn="0" w:lastRowFirstColumn="0" w:lastRowLastColumn="0"/>
            </w:pPr>
            <w:r>
              <w:t>328</w:t>
            </w:r>
          </w:p>
        </w:tc>
        <w:tc>
          <w:tcPr>
            <w:tcW w:w="850" w:type="dxa"/>
          </w:tcPr>
          <w:p w14:paraId="369659E1" w14:textId="77777777" w:rsidR="00964B88" w:rsidRDefault="00964B88">
            <w:pPr>
              <w:cnfStyle w:val="000000000000" w:firstRow="0" w:lastRow="0" w:firstColumn="0" w:lastColumn="0" w:oddVBand="0" w:evenVBand="0" w:oddHBand="0" w:evenHBand="0" w:firstRowFirstColumn="0" w:firstRowLastColumn="0" w:lastRowFirstColumn="0" w:lastRowLastColumn="0"/>
            </w:pPr>
            <w:r>
              <w:t>312</w:t>
            </w:r>
          </w:p>
        </w:tc>
        <w:tc>
          <w:tcPr>
            <w:tcW w:w="850" w:type="dxa"/>
          </w:tcPr>
          <w:p w14:paraId="4102D485" w14:textId="77777777" w:rsidR="00964B88" w:rsidRDefault="00964B88">
            <w:pPr>
              <w:cnfStyle w:val="000000000000" w:firstRow="0" w:lastRow="0" w:firstColumn="0" w:lastColumn="0" w:oddVBand="0" w:evenVBand="0" w:oddHBand="0" w:evenHBand="0" w:firstRowFirstColumn="0" w:firstRowLastColumn="0" w:lastRowFirstColumn="0" w:lastRowLastColumn="0"/>
            </w:pPr>
            <w:r>
              <w:t>297</w:t>
            </w:r>
          </w:p>
        </w:tc>
      </w:tr>
      <w:tr w:rsidR="00964B88" w14:paraId="696A5239"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21792B6E" w14:textId="77777777" w:rsidR="00964B88" w:rsidRDefault="00964B88">
            <w:pPr>
              <w:ind w:left="340"/>
            </w:pPr>
            <w:r>
              <w:t>Other superannuation</w:t>
            </w:r>
          </w:p>
        </w:tc>
        <w:tc>
          <w:tcPr>
            <w:tcW w:w="850" w:type="dxa"/>
            <w:tcBorders>
              <w:bottom w:val="single" w:sz="6" w:space="0" w:color="auto"/>
            </w:tcBorders>
          </w:tcPr>
          <w:p w14:paraId="4083DBA0" w14:textId="77777777" w:rsidR="00964B88" w:rsidRDefault="00964B88">
            <w:pPr>
              <w:cnfStyle w:val="000000000000" w:firstRow="0" w:lastRow="0" w:firstColumn="0" w:lastColumn="0" w:oddVBand="0" w:evenVBand="0" w:oddHBand="0" w:evenHBand="0" w:firstRowFirstColumn="0" w:firstRowLastColumn="0" w:lastRowFirstColumn="0" w:lastRowLastColumn="0"/>
            </w:pPr>
            <w:r>
              <w:t>2 960</w:t>
            </w:r>
          </w:p>
        </w:tc>
        <w:tc>
          <w:tcPr>
            <w:tcW w:w="850" w:type="dxa"/>
            <w:tcBorders>
              <w:bottom w:val="single" w:sz="6" w:space="0" w:color="auto"/>
            </w:tcBorders>
          </w:tcPr>
          <w:p w14:paraId="1D8D599A" w14:textId="77777777" w:rsidR="00964B88" w:rsidRDefault="00964B88">
            <w:pPr>
              <w:cnfStyle w:val="000000000000" w:firstRow="0" w:lastRow="0" w:firstColumn="0" w:lastColumn="0" w:oddVBand="0" w:evenVBand="0" w:oddHBand="0" w:evenHBand="0" w:firstRowFirstColumn="0" w:firstRowLastColumn="0" w:lastRowFirstColumn="0" w:lastRowLastColumn="0"/>
            </w:pPr>
            <w:r>
              <w:t>2 965</w:t>
            </w:r>
          </w:p>
        </w:tc>
        <w:tc>
          <w:tcPr>
            <w:tcW w:w="850" w:type="dxa"/>
            <w:tcBorders>
              <w:bottom w:val="single" w:sz="6" w:space="0" w:color="auto"/>
            </w:tcBorders>
          </w:tcPr>
          <w:p w14:paraId="52B31F91" w14:textId="77777777" w:rsidR="00964B88" w:rsidRDefault="00964B88">
            <w:pPr>
              <w:cnfStyle w:val="000000000000" w:firstRow="0" w:lastRow="0" w:firstColumn="0" w:lastColumn="0" w:oddVBand="0" w:evenVBand="0" w:oddHBand="0" w:evenHBand="0" w:firstRowFirstColumn="0" w:firstRowLastColumn="0" w:lastRowFirstColumn="0" w:lastRowLastColumn="0"/>
            </w:pPr>
            <w:r>
              <w:t>3 049</w:t>
            </w:r>
          </w:p>
        </w:tc>
        <w:tc>
          <w:tcPr>
            <w:tcW w:w="850" w:type="dxa"/>
            <w:tcBorders>
              <w:bottom w:val="single" w:sz="6" w:space="0" w:color="auto"/>
            </w:tcBorders>
          </w:tcPr>
          <w:p w14:paraId="3CCEE77A" w14:textId="77777777" w:rsidR="00964B88" w:rsidRDefault="00964B88">
            <w:pPr>
              <w:cnfStyle w:val="000000000000" w:firstRow="0" w:lastRow="0" w:firstColumn="0" w:lastColumn="0" w:oddVBand="0" w:evenVBand="0" w:oddHBand="0" w:evenHBand="0" w:firstRowFirstColumn="0" w:firstRowLastColumn="0" w:lastRowFirstColumn="0" w:lastRowLastColumn="0"/>
            </w:pPr>
            <w:r>
              <w:t>3 147</w:t>
            </w:r>
          </w:p>
        </w:tc>
        <w:tc>
          <w:tcPr>
            <w:tcW w:w="850" w:type="dxa"/>
            <w:tcBorders>
              <w:bottom w:val="single" w:sz="6" w:space="0" w:color="auto"/>
            </w:tcBorders>
          </w:tcPr>
          <w:p w14:paraId="6892F914" w14:textId="77777777" w:rsidR="00964B88" w:rsidRDefault="00964B88">
            <w:pPr>
              <w:cnfStyle w:val="000000000000" w:firstRow="0" w:lastRow="0" w:firstColumn="0" w:lastColumn="0" w:oddVBand="0" w:evenVBand="0" w:oddHBand="0" w:evenHBand="0" w:firstRowFirstColumn="0" w:firstRowLastColumn="0" w:lastRowFirstColumn="0" w:lastRowLastColumn="0"/>
            </w:pPr>
            <w:r>
              <w:t>3 241</w:t>
            </w:r>
          </w:p>
        </w:tc>
      </w:tr>
      <w:tr w:rsidR="00964B88" w14:paraId="4EA11164"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6" w:space="0" w:color="auto"/>
            </w:tcBorders>
          </w:tcPr>
          <w:p w14:paraId="2EE14C5E" w14:textId="77777777" w:rsidR="00964B88" w:rsidRDefault="00964B88">
            <w:r>
              <w:rPr>
                <w:b/>
              </w:rPr>
              <w:t>Superannuation expense from transactions</w:t>
            </w:r>
          </w:p>
        </w:tc>
        <w:tc>
          <w:tcPr>
            <w:tcW w:w="850" w:type="dxa"/>
            <w:tcBorders>
              <w:top w:val="single" w:sz="6" w:space="0" w:color="auto"/>
              <w:bottom w:val="single" w:sz="6" w:space="0" w:color="auto"/>
            </w:tcBorders>
          </w:tcPr>
          <w:p w14:paraId="143B8F1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3 526</w:t>
            </w:r>
          </w:p>
        </w:tc>
        <w:tc>
          <w:tcPr>
            <w:tcW w:w="850" w:type="dxa"/>
            <w:tcBorders>
              <w:top w:val="single" w:sz="6" w:space="0" w:color="auto"/>
              <w:bottom w:val="single" w:sz="6" w:space="0" w:color="auto"/>
            </w:tcBorders>
          </w:tcPr>
          <w:p w14:paraId="4BEC154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3 373</w:t>
            </w:r>
          </w:p>
        </w:tc>
        <w:tc>
          <w:tcPr>
            <w:tcW w:w="850" w:type="dxa"/>
            <w:tcBorders>
              <w:top w:val="single" w:sz="6" w:space="0" w:color="auto"/>
              <w:bottom w:val="single" w:sz="6" w:space="0" w:color="auto"/>
            </w:tcBorders>
          </w:tcPr>
          <w:p w14:paraId="3AF9350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3 376</w:t>
            </w:r>
          </w:p>
        </w:tc>
        <w:tc>
          <w:tcPr>
            <w:tcW w:w="850" w:type="dxa"/>
            <w:tcBorders>
              <w:top w:val="single" w:sz="6" w:space="0" w:color="auto"/>
              <w:bottom w:val="single" w:sz="6" w:space="0" w:color="auto"/>
            </w:tcBorders>
          </w:tcPr>
          <w:p w14:paraId="057477D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3 459</w:t>
            </w:r>
          </w:p>
        </w:tc>
        <w:tc>
          <w:tcPr>
            <w:tcW w:w="850" w:type="dxa"/>
            <w:tcBorders>
              <w:top w:val="single" w:sz="6" w:space="0" w:color="auto"/>
              <w:bottom w:val="single" w:sz="6" w:space="0" w:color="auto"/>
            </w:tcBorders>
          </w:tcPr>
          <w:p w14:paraId="6026E16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3 538</w:t>
            </w:r>
          </w:p>
        </w:tc>
      </w:tr>
      <w:tr w:rsidR="00964B88" w14:paraId="4C1355EF"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6" w:space="0" w:color="auto"/>
            </w:tcBorders>
          </w:tcPr>
          <w:p w14:paraId="14250A4A" w14:textId="77777777" w:rsidR="00964B88" w:rsidRDefault="00964B88">
            <w:r>
              <w:rPr>
                <w:b/>
              </w:rPr>
              <w:t>Remeasurements recognised in other comprehensive income</w:t>
            </w:r>
          </w:p>
        </w:tc>
        <w:tc>
          <w:tcPr>
            <w:tcW w:w="850" w:type="dxa"/>
            <w:tcBorders>
              <w:top w:val="single" w:sz="6" w:space="0" w:color="auto"/>
              <w:bottom w:val="single" w:sz="6" w:space="0" w:color="auto"/>
            </w:tcBorders>
          </w:tcPr>
          <w:p w14:paraId="6C086E0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(1 109)</w:t>
            </w:r>
          </w:p>
        </w:tc>
        <w:tc>
          <w:tcPr>
            <w:tcW w:w="850" w:type="dxa"/>
            <w:tcBorders>
              <w:top w:val="single" w:sz="6" w:space="0" w:color="auto"/>
              <w:bottom w:val="single" w:sz="6" w:space="0" w:color="auto"/>
            </w:tcBorders>
          </w:tcPr>
          <w:p w14:paraId="1A71144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(63)</w:t>
            </w:r>
          </w:p>
        </w:tc>
        <w:tc>
          <w:tcPr>
            <w:tcW w:w="850" w:type="dxa"/>
            <w:tcBorders>
              <w:top w:val="single" w:sz="6" w:space="0" w:color="auto"/>
              <w:bottom w:val="single" w:sz="6" w:space="0" w:color="auto"/>
            </w:tcBorders>
          </w:tcPr>
          <w:p w14:paraId="7F22A6B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(1 424)</w:t>
            </w:r>
          </w:p>
        </w:tc>
        <w:tc>
          <w:tcPr>
            <w:tcW w:w="850" w:type="dxa"/>
            <w:tcBorders>
              <w:top w:val="single" w:sz="6" w:space="0" w:color="auto"/>
              <w:bottom w:val="single" w:sz="6" w:space="0" w:color="auto"/>
            </w:tcBorders>
          </w:tcPr>
          <w:p w14:paraId="6F621DD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(1 454)</w:t>
            </w:r>
          </w:p>
        </w:tc>
        <w:tc>
          <w:tcPr>
            <w:tcW w:w="850" w:type="dxa"/>
            <w:tcBorders>
              <w:top w:val="single" w:sz="6" w:space="0" w:color="auto"/>
              <w:bottom w:val="single" w:sz="6" w:space="0" w:color="auto"/>
            </w:tcBorders>
          </w:tcPr>
          <w:p w14:paraId="22204C1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(1 481)</w:t>
            </w:r>
          </w:p>
        </w:tc>
      </w:tr>
      <w:tr w:rsidR="00964B88" w14:paraId="6DF9877F"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1CD49448" w14:textId="77777777" w:rsidR="00964B88" w:rsidRDefault="00964B88">
            <w:r>
              <w:t>Total superannuation expense recognised in operating statement</w:t>
            </w:r>
          </w:p>
        </w:tc>
        <w:tc>
          <w:tcPr>
            <w:tcW w:w="850" w:type="dxa"/>
          </w:tcPr>
          <w:p w14:paraId="22495B8F" w14:textId="77777777" w:rsidR="00964B88" w:rsidRDefault="00964B88">
            <w:pPr>
              <w:cnfStyle w:val="010000000000" w:firstRow="0" w:lastRow="1" w:firstColumn="0" w:lastColumn="0" w:oddVBand="0" w:evenVBand="0" w:oddHBand="0" w:evenHBand="0" w:firstRowFirstColumn="0" w:firstRowLastColumn="0" w:lastRowFirstColumn="0" w:lastRowLastColumn="0"/>
            </w:pPr>
            <w:r>
              <w:t>2 416</w:t>
            </w:r>
          </w:p>
        </w:tc>
        <w:tc>
          <w:tcPr>
            <w:tcW w:w="850" w:type="dxa"/>
          </w:tcPr>
          <w:p w14:paraId="734A48C6" w14:textId="77777777" w:rsidR="00964B88" w:rsidRDefault="00964B88">
            <w:pPr>
              <w:cnfStyle w:val="010000000000" w:firstRow="0" w:lastRow="1" w:firstColumn="0" w:lastColumn="0" w:oddVBand="0" w:evenVBand="0" w:oddHBand="0" w:evenHBand="0" w:firstRowFirstColumn="0" w:firstRowLastColumn="0" w:lastRowFirstColumn="0" w:lastRowLastColumn="0"/>
            </w:pPr>
            <w:r>
              <w:t>3 310</w:t>
            </w:r>
          </w:p>
        </w:tc>
        <w:tc>
          <w:tcPr>
            <w:tcW w:w="850" w:type="dxa"/>
          </w:tcPr>
          <w:p w14:paraId="03D6CD3E" w14:textId="77777777" w:rsidR="00964B88" w:rsidRDefault="00964B88">
            <w:pPr>
              <w:cnfStyle w:val="010000000000" w:firstRow="0" w:lastRow="1" w:firstColumn="0" w:lastColumn="0" w:oddVBand="0" w:evenVBand="0" w:oddHBand="0" w:evenHBand="0" w:firstRowFirstColumn="0" w:firstRowLastColumn="0" w:lastRowFirstColumn="0" w:lastRowLastColumn="0"/>
            </w:pPr>
            <w:r>
              <w:t>1 952</w:t>
            </w:r>
          </w:p>
        </w:tc>
        <w:tc>
          <w:tcPr>
            <w:tcW w:w="850" w:type="dxa"/>
          </w:tcPr>
          <w:p w14:paraId="628C79FF" w14:textId="77777777" w:rsidR="00964B88" w:rsidRDefault="00964B88">
            <w:pPr>
              <w:cnfStyle w:val="010000000000" w:firstRow="0" w:lastRow="1" w:firstColumn="0" w:lastColumn="0" w:oddVBand="0" w:evenVBand="0" w:oddHBand="0" w:evenHBand="0" w:firstRowFirstColumn="0" w:firstRowLastColumn="0" w:lastRowFirstColumn="0" w:lastRowLastColumn="0"/>
            </w:pPr>
            <w:r>
              <w:t>2 006</w:t>
            </w:r>
          </w:p>
        </w:tc>
        <w:tc>
          <w:tcPr>
            <w:tcW w:w="850" w:type="dxa"/>
          </w:tcPr>
          <w:p w14:paraId="42310780" w14:textId="77777777" w:rsidR="00964B88" w:rsidRDefault="00964B88">
            <w:pPr>
              <w:cnfStyle w:val="010000000000" w:firstRow="0" w:lastRow="1" w:firstColumn="0" w:lastColumn="0" w:oddVBand="0" w:evenVBand="0" w:oddHBand="0" w:evenHBand="0" w:firstRowFirstColumn="0" w:firstRowLastColumn="0" w:lastRowFirstColumn="0" w:lastRowLastColumn="0"/>
            </w:pPr>
            <w:r>
              <w:t>2 058</w:t>
            </w:r>
          </w:p>
        </w:tc>
      </w:tr>
    </w:tbl>
    <w:p w14:paraId="18D016B7" w14:textId="77777777" w:rsidR="00964B88" w:rsidRDefault="00964B88" w:rsidP="00F53820"/>
    <w:p w14:paraId="02041C76" w14:textId="77777777" w:rsidR="00964B88" w:rsidRDefault="00964B88">
      <w:pPr>
        <w:keepLines w:val="0"/>
      </w:pPr>
      <w:r>
        <w:br w:type="page"/>
      </w:r>
    </w:p>
    <w:p w14:paraId="72C49442" w14:textId="77777777" w:rsidR="00964B88" w:rsidRDefault="00964B88" w:rsidP="00F53820">
      <w:r w:rsidRPr="00D87D22">
        <w:lastRenderedPageBreak/>
        <w:t>The accounting policies relating to superannuation expenses and liabilities are</w:t>
      </w:r>
      <w:r>
        <w:t xml:space="preserve"> consistent with </w:t>
      </w:r>
      <w:r w:rsidRPr="00D87D22">
        <w:t xml:space="preserve">the </w:t>
      </w:r>
      <w:r w:rsidRPr="00D87D22">
        <w:rPr>
          <w:i/>
        </w:rPr>
        <w:t>201</w:t>
      </w:r>
      <w:r>
        <w:rPr>
          <w:i/>
        </w:rPr>
        <w:t>9</w:t>
      </w:r>
      <w:r w:rsidRPr="00D87D22">
        <w:rPr>
          <w:i/>
        </w:rPr>
        <w:t>-</w:t>
      </w:r>
      <w:r>
        <w:rPr>
          <w:i/>
        </w:rPr>
        <w:t>20</w:t>
      </w:r>
      <w:r w:rsidRPr="00D87D22">
        <w:rPr>
          <w:i/>
        </w:rPr>
        <w:t xml:space="preserve"> Budget</w:t>
      </w:r>
      <w:r w:rsidRPr="00D87D22">
        <w:t>. However, the forecast assumptions have been revised for each relevant defined benefit superannuation scheme as in the following table.</w:t>
      </w:r>
    </w:p>
    <w:p w14:paraId="7A78AD6C" w14:textId="77777777" w:rsidR="00964B88" w:rsidRDefault="00964B88" w:rsidP="00F53820">
      <w:pPr>
        <w:pStyle w:val="TableHeading"/>
      </w:pPr>
      <w:r w:rsidRPr="00250B48">
        <w:t>Superannuation assumptions</w:t>
      </w:r>
      <w:r w:rsidRPr="00250B48">
        <w:tab/>
        <w:t>(per cent)</w:t>
      </w:r>
    </w:p>
    <w:tbl>
      <w:tblPr>
        <w:tblStyle w:val="DTFTable"/>
        <w:tblW w:w="7768" w:type="dxa"/>
        <w:tblLayout w:type="fixed"/>
        <w:tblLook w:val="06A0" w:firstRow="1" w:lastRow="0" w:firstColumn="1" w:lastColumn="0" w:noHBand="1" w:noVBand="1"/>
      </w:tblPr>
      <w:tblGrid>
        <w:gridCol w:w="6620"/>
        <w:gridCol w:w="1148"/>
      </w:tblGrid>
      <w:tr w:rsidR="00964B88" w:rsidRPr="00250B48" w14:paraId="69283EFF" w14:textId="77777777" w:rsidTr="00F53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tcPr>
          <w:p w14:paraId="02A20C56" w14:textId="77777777" w:rsidR="00964B88" w:rsidRPr="00250B48" w:rsidRDefault="00964B88" w:rsidP="00F53820">
            <w:pPr>
              <w:ind w:left="0" w:firstLine="0"/>
            </w:pPr>
            <w:r w:rsidRPr="00250B48">
              <w:t xml:space="preserve">Underlying assumptions for all listed schemes </w:t>
            </w:r>
            <w:r w:rsidRPr="00250B48">
              <w:rPr>
                <w:vertAlign w:val="superscript"/>
              </w:rPr>
              <w:t>(a)</w:t>
            </w:r>
          </w:p>
        </w:tc>
        <w:tc>
          <w:tcPr>
            <w:tcW w:w="1133" w:type="dxa"/>
          </w:tcPr>
          <w:p w14:paraId="1DBFFBB6" w14:textId="77777777" w:rsidR="00964B88" w:rsidRPr="00250B48" w:rsidRDefault="00964B88" w:rsidP="00F53820">
            <w:pPr>
              <w:cnfStyle w:val="100000000000" w:firstRow="1" w:lastRow="0" w:firstColumn="0" w:lastColumn="0" w:oddVBand="0" w:evenVBand="0" w:oddHBand="0" w:evenHBand="0" w:firstRowFirstColumn="0" w:firstRowLastColumn="0" w:lastRowFirstColumn="0" w:lastRowLastColumn="0"/>
            </w:pPr>
          </w:p>
        </w:tc>
      </w:tr>
      <w:tr w:rsidR="00964B88" w:rsidRPr="00250B48" w14:paraId="71876FA0" w14:textId="77777777" w:rsidTr="00F53820">
        <w:tc>
          <w:tcPr>
            <w:cnfStyle w:val="001000000000" w:firstRow="0" w:lastRow="0" w:firstColumn="1" w:lastColumn="0" w:oddVBand="0" w:evenVBand="0" w:oddHBand="0" w:evenHBand="0" w:firstRowFirstColumn="0" w:firstRowLastColumn="0" w:lastRowFirstColumn="0" w:lastRowLastColumn="0"/>
            <w:tcW w:w="6532" w:type="dxa"/>
          </w:tcPr>
          <w:p w14:paraId="4805B13A" w14:textId="77777777" w:rsidR="00964B88" w:rsidRPr="00250B48" w:rsidRDefault="00964B88" w:rsidP="00F53820">
            <w:pPr>
              <w:ind w:left="0" w:firstLine="0"/>
            </w:pPr>
            <w:r w:rsidRPr="00250B48">
              <w:t xml:space="preserve">Discount rate </w:t>
            </w:r>
            <w:r w:rsidRPr="00250B48">
              <w:rPr>
                <w:vertAlign w:val="superscript"/>
              </w:rPr>
              <w:t>(b)</w:t>
            </w:r>
          </w:p>
        </w:tc>
        <w:tc>
          <w:tcPr>
            <w:tcW w:w="1133" w:type="dxa"/>
          </w:tcPr>
          <w:p w14:paraId="1D6CC9D3" w14:textId="77777777" w:rsidR="00964B88" w:rsidRPr="00250B48" w:rsidRDefault="00964B88" w:rsidP="00F53820">
            <w:pPr>
              <w:cnfStyle w:val="000000000000" w:firstRow="0" w:lastRow="0" w:firstColumn="0" w:lastColumn="0" w:oddVBand="0" w:evenVBand="0" w:oddHBand="0" w:evenHBand="0" w:firstRowFirstColumn="0" w:firstRowLastColumn="0" w:lastRowFirstColumn="0" w:lastRowLastColumn="0"/>
            </w:pPr>
            <w:r w:rsidRPr="00250B48">
              <w:t>1.1</w:t>
            </w:r>
          </w:p>
        </w:tc>
      </w:tr>
      <w:tr w:rsidR="00964B88" w:rsidRPr="00250B48" w14:paraId="5C94097E" w14:textId="77777777" w:rsidTr="00F53820">
        <w:tc>
          <w:tcPr>
            <w:cnfStyle w:val="001000000000" w:firstRow="0" w:lastRow="0" w:firstColumn="1" w:lastColumn="0" w:oddVBand="0" w:evenVBand="0" w:oddHBand="0" w:evenHBand="0" w:firstRowFirstColumn="0" w:firstRowLastColumn="0" w:lastRowFirstColumn="0" w:lastRowLastColumn="0"/>
            <w:tcW w:w="6532" w:type="dxa"/>
          </w:tcPr>
          <w:p w14:paraId="73D2545E" w14:textId="77777777" w:rsidR="00964B88" w:rsidRPr="00250B48" w:rsidRDefault="00964B88" w:rsidP="00F53820">
            <w:pPr>
              <w:ind w:left="0" w:firstLine="0"/>
            </w:pPr>
            <w:r w:rsidRPr="00250B48">
              <w:t xml:space="preserve">Wages growth </w:t>
            </w:r>
            <w:r w:rsidRPr="00250B48">
              <w:rPr>
                <w:vertAlign w:val="superscript"/>
              </w:rPr>
              <w:t>(c)</w:t>
            </w:r>
          </w:p>
        </w:tc>
        <w:tc>
          <w:tcPr>
            <w:tcW w:w="1133" w:type="dxa"/>
          </w:tcPr>
          <w:p w14:paraId="66FB951B" w14:textId="77777777" w:rsidR="00964B88" w:rsidRPr="00250B48" w:rsidRDefault="00964B88" w:rsidP="00F53820">
            <w:pPr>
              <w:cnfStyle w:val="000000000000" w:firstRow="0" w:lastRow="0" w:firstColumn="0" w:lastColumn="0" w:oddVBand="0" w:evenVBand="0" w:oddHBand="0" w:evenHBand="0" w:firstRowFirstColumn="0" w:firstRowLastColumn="0" w:lastRowFirstColumn="0" w:lastRowLastColumn="0"/>
            </w:pPr>
            <w:r w:rsidRPr="00250B48">
              <w:t>2.6</w:t>
            </w:r>
          </w:p>
        </w:tc>
      </w:tr>
      <w:tr w:rsidR="00964B88" w:rsidRPr="00250B48" w14:paraId="0A68F48D" w14:textId="77777777" w:rsidTr="00F53820">
        <w:tc>
          <w:tcPr>
            <w:cnfStyle w:val="001000000000" w:firstRow="0" w:lastRow="0" w:firstColumn="1" w:lastColumn="0" w:oddVBand="0" w:evenVBand="0" w:oddHBand="0" w:evenHBand="0" w:firstRowFirstColumn="0" w:firstRowLastColumn="0" w:lastRowFirstColumn="0" w:lastRowLastColumn="0"/>
            <w:tcW w:w="6532" w:type="dxa"/>
          </w:tcPr>
          <w:p w14:paraId="363D1B10" w14:textId="77777777" w:rsidR="00964B88" w:rsidRPr="00250B48" w:rsidRDefault="00964B88" w:rsidP="00F53820">
            <w:pPr>
              <w:ind w:left="0" w:firstLine="0"/>
            </w:pPr>
            <w:r w:rsidRPr="00250B48">
              <w:t xml:space="preserve">Inflation rate </w:t>
            </w:r>
            <w:r w:rsidRPr="00250B48">
              <w:rPr>
                <w:vertAlign w:val="superscript"/>
              </w:rPr>
              <w:t>(d)</w:t>
            </w:r>
          </w:p>
        </w:tc>
        <w:tc>
          <w:tcPr>
            <w:tcW w:w="1133" w:type="dxa"/>
          </w:tcPr>
          <w:p w14:paraId="61440B0E" w14:textId="77777777" w:rsidR="00964B88" w:rsidRPr="00250B48" w:rsidRDefault="00964B88" w:rsidP="00F53820">
            <w:pPr>
              <w:cnfStyle w:val="000000000000" w:firstRow="0" w:lastRow="0" w:firstColumn="0" w:lastColumn="0" w:oddVBand="0" w:evenVBand="0" w:oddHBand="0" w:evenHBand="0" w:firstRowFirstColumn="0" w:firstRowLastColumn="0" w:lastRowFirstColumn="0" w:lastRowLastColumn="0"/>
            </w:pPr>
            <w:r w:rsidRPr="00250B48">
              <w:t>1.1</w:t>
            </w:r>
          </w:p>
        </w:tc>
      </w:tr>
      <w:tr w:rsidR="00964B88" w:rsidRPr="00250B48" w14:paraId="7D011453" w14:textId="77777777" w:rsidTr="00F53820">
        <w:tc>
          <w:tcPr>
            <w:cnfStyle w:val="001000000000" w:firstRow="0" w:lastRow="0" w:firstColumn="1" w:lastColumn="0" w:oddVBand="0" w:evenVBand="0" w:oddHBand="0" w:evenHBand="0" w:firstRowFirstColumn="0" w:firstRowLastColumn="0" w:lastRowFirstColumn="0" w:lastRowLastColumn="0"/>
            <w:tcW w:w="6532" w:type="dxa"/>
            <w:shd w:val="clear" w:color="auto" w:fill="000000" w:themeFill="text1"/>
          </w:tcPr>
          <w:p w14:paraId="777A7E3D" w14:textId="77777777" w:rsidR="00964B88" w:rsidRPr="00250B48" w:rsidRDefault="00964B88" w:rsidP="00F53820">
            <w:pPr>
              <w:ind w:left="0" w:firstLine="0"/>
              <w:rPr>
                <w:i/>
              </w:rPr>
            </w:pPr>
            <w:r w:rsidRPr="00250B48">
              <w:rPr>
                <w:i/>
              </w:rPr>
              <w:t xml:space="preserve">Expected return on assets </w:t>
            </w:r>
            <w:r w:rsidRPr="00250B48">
              <w:rPr>
                <w:i/>
                <w:vertAlign w:val="superscript"/>
              </w:rPr>
              <w:t>(e)</w:t>
            </w:r>
          </w:p>
        </w:tc>
        <w:tc>
          <w:tcPr>
            <w:tcW w:w="1133" w:type="dxa"/>
            <w:shd w:val="clear" w:color="auto" w:fill="000000" w:themeFill="text1"/>
          </w:tcPr>
          <w:p w14:paraId="3149F321" w14:textId="77777777" w:rsidR="00964B88" w:rsidRPr="00250B48" w:rsidRDefault="00964B88" w:rsidP="00F53820">
            <w:pPr>
              <w:cnfStyle w:val="000000000000" w:firstRow="0" w:lastRow="0" w:firstColumn="0" w:lastColumn="0" w:oddVBand="0" w:evenVBand="0" w:oddHBand="0" w:evenHBand="0" w:firstRowFirstColumn="0" w:firstRowLastColumn="0" w:lastRowFirstColumn="0" w:lastRowLastColumn="0"/>
              <w:rPr>
                <w:i/>
              </w:rPr>
            </w:pPr>
          </w:p>
        </w:tc>
      </w:tr>
      <w:tr w:rsidR="00964B88" w:rsidRPr="00250B48" w14:paraId="54A03D89" w14:textId="77777777" w:rsidTr="00F53820">
        <w:tc>
          <w:tcPr>
            <w:cnfStyle w:val="001000000000" w:firstRow="0" w:lastRow="0" w:firstColumn="1" w:lastColumn="0" w:oddVBand="0" w:evenVBand="0" w:oddHBand="0" w:evenHBand="0" w:firstRowFirstColumn="0" w:firstRowLastColumn="0" w:lastRowFirstColumn="0" w:lastRowLastColumn="0"/>
            <w:tcW w:w="6532" w:type="dxa"/>
          </w:tcPr>
          <w:p w14:paraId="2D759E1A" w14:textId="77777777" w:rsidR="00964B88" w:rsidRPr="00250B48" w:rsidRDefault="00964B88" w:rsidP="00F53820">
            <w:pPr>
              <w:ind w:left="0" w:firstLine="0"/>
            </w:pPr>
            <w:r w:rsidRPr="00250B48">
              <w:t xml:space="preserve">Emergency Services and State Super </w:t>
            </w:r>
          </w:p>
        </w:tc>
        <w:tc>
          <w:tcPr>
            <w:tcW w:w="1133" w:type="dxa"/>
          </w:tcPr>
          <w:p w14:paraId="143F1F4B" w14:textId="77777777" w:rsidR="00964B88" w:rsidRPr="00250B48" w:rsidRDefault="00964B88" w:rsidP="00F53820">
            <w:pPr>
              <w:cnfStyle w:val="000000000000" w:firstRow="0" w:lastRow="0" w:firstColumn="0" w:lastColumn="0" w:oddVBand="0" w:evenVBand="0" w:oddHBand="0" w:evenHBand="0" w:firstRowFirstColumn="0" w:firstRowLastColumn="0" w:lastRowFirstColumn="0" w:lastRowLastColumn="0"/>
            </w:pPr>
            <w:r w:rsidRPr="00250B48">
              <w:t>7.</w:t>
            </w:r>
            <w:r>
              <w:t>6</w:t>
            </w:r>
          </w:p>
        </w:tc>
      </w:tr>
      <w:tr w:rsidR="00964B88" w:rsidRPr="00250B48" w14:paraId="233ED0C7" w14:textId="77777777" w:rsidTr="00F53820">
        <w:tc>
          <w:tcPr>
            <w:cnfStyle w:val="001000000000" w:firstRow="0" w:lastRow="0" w:firstColumn="1" w:lastColumn="0" w:oddVBand="0" w:evenVBand="0" w:oddHBand="0" w:evenHBand="0" w:firstRowFirstColumn="0" w:firstRowLastColumn="0" w:lastRowFirstColumn="0" w:lastRowLastColumn="0"/>
            <w:tcW w:w="6532" w:type="dxa"/>
          </w:tcPr>
          <w:p w14:paraId="2265A0F0" w14:textId="77777777" w:rsidR="00964B88" w:rsidRPr="00250B48" w:rsidRDefault="00964B88" w:rsidP="00F53820">
            <w:pPr>
              <w:ind w:left="0" w:firstLine="0"/>
            </w:pPr>
            <w:r w:rsidRPr="00250B48">
              <w:t>Health Super Fund Defined Benefit Scheme</w:t>
            </w:r>
          </w:p>
        </w:tc>
        <w:tc>
          <w:tcPr>
            <w:tcW w:w="1133" w:type="dxa"/>
          </w:tcPr>
          <w:p w14:paraId="2FDBEDCE" w14:textId="77777777" w:rsidR="00964B88" w:rsidRPr="00250B48" w:rsidRDefault="00964B88" w:rsidP="00F53820">
            <w:pPr>
              <w:cnfStyle w:val="000000000000" w:firstRow="0" w:lastRow="0" w:firstColumn="0" w:lastColumn="0" w:oddVBand="0" w:evenVBand="0" w:oddHBand="0" w:evenHBand="0" w:firstRowFirstColumn="0" w:firstRowLastColumn="0" w:lastRowFirstColumn="0" w:lastRowLastColumn="0"/>
            </w:pPr>
            <w:r w:rsidRPr="00250B48">
              <w:t>5.0</w:t>
            </w:r>
          </w:p>
        </w:tc>
      </w:tr>
      <w:tr w:rsidR="00964B88" w:rsidRPr="00250B48" w14:paraId="6039B98B" w14:textId="77777777" w:rsidTr="00F53820">
        <w:tc>
          <w:tcPr>
            <w:cnfStyle w:val="001000000000" w:firstRow="0" w:lastRow="0" w:firstColumn="1" w:lastColumn="0" w:oddVBand="0" w:evenVBand="0" w:oddHBand="0" w:evenHBand="0" w:firstRowFirstColumn="0" w:firstRowLastColumn="0" w:lastRowFirstColumn="0" w:lastRowLastColumn="0"/>
            <w:tcW w:w="6532" w:type="dxa"/>
          </w:tcPr>
          <w:p w14:paraId="3BDC2D12" w14:textId="77777777" w:rsidR="00964B88" w:rsidRPr="00250B48" w:rsidRDefault="00964B88" w:rsidP="00F53820">
            <w:pPr>
              <w:ind w:left="0" w:firstLine="0"/>
            </w:pPr>
            <w:r w:rsidRPr="00250B48">
              <w:t xml:space="preserve">Constitutionally protected schemes </w:t>
            </w:r>
            <w:r w:rsidRPr="00250B48">
              <w:rPr>
                <w:vertAlign w:val="superscript"/>
              </w:rPr>
              <w:t>(f)</w:t>
            </w:r>
            <w:r w:rsidRPr="00250B48">
              <w:t xml:space="preserve"> </w:t>
            </w:r>
          </w:p>
        </w:tc>
        <w:tc>
          <w:tcPr>
            <w:tcW w:w="1133" w:type="dxa"/>
          </w:tcPr>
          <w:p w14:paraId="08B9F006" w14:textId="77777777" w:rsidR="00964B88" w:rsidRPr="00250B48" w:rsidRDefault="00964B88" w:rsidP="00F53820">
            <w:pPr>
              <w:cnfStyle w:val="000000000000" w:firstRow="0" w:lastRow="0" w:firstColumn="0" w:lastColumn="0" w:oddVBand="0" w:evenVBand="0" w:oddHBand="0" w:evenHBand="0" w:firstRowFirstColumn="0" w:firstRowLastColumn="0" w:lastRowFirstColumn="0" w:lastRowLastColumn="0"/>
            </w:pPr>
            <w:r w:rsidRPr="00250B48">
              <w:t>n.a.</w:t>
            </w:r>
          </w:p>
        </w:tc>
      </w:tr>
    </w:tbl>
    <w:p w14:paraId="218FFF83" w14:textId="77777777" w:rsidR="00964B88" w:rsidRPr="00250B48" w:rsidRDefault="00964B88" w:rsidP="00F53820">
      <w:pPr>
        <w:pStyle w:val="Note"/>
      </w:pPr>
      <w:r w:rsidRPr="00250B48">
        <w:t>Notes:</w:t>
      </w:r>
    </w:p>
    <w:p w14:paraId="2C49FB4A" w14:textId="77777777" w:rsidR="00964B88" w:rsidRPr="00250B48" w:rsidRDefault="00964B88" w:rsidP="00F53820">
      <w:pPr>
        <w:pStyle w:val="Note"/>
      </w:pPr>
      <w:r w:rsidRPr="00250B48">
        <w:t>(a)</w:t>
      </w:r>
      <w:r w:rsidRPr="00250B48">
        <w:tab/>
        <w:t>All rates are nominal annual rates and are applicable to all the listed schemes.</w:t>
      </w:r>
    </w:p>
    <w:p w14:paraId="2D3A104A" w14:textId="77777777" w:rsidR="00964B88" w:rsidRPr="00250B48" w:rsidRDefault="00964B88" w:rsidP="00F53820">
      <w:pPr>
        <w:pStyle w:val="Note"/>
      </w:pPr>
      <w:r w:rsidRPr="00250B48">
        <w:t>(b)</w:t>
      </w:r>
      <w:r w:rsidRPr="00250B48">
        <w:tab/>
        <w:t>The discount rate is based on a long-term fixed interest Commonwealth bond rate. The rate stated above is an annual effective rate, gross of tax.</w:t>
      </w:r>
    </w:p>
    <w:p w14:paraId="278FA886" w14:textId="77777777" w:rsidR="00964B88" w:rsidRPr="00D87D22" w:rsidRDefault="00964B88" w:rsidP="00F53820">
      <w:pPr>
        <w:pStyle w:val="Note"/>
      </w:pPr>
      <w:r w:rsidRPr="00250B48">
        <w:t>(c)</w:t>
      </w:r>
      <w:r w:rsidRPr="00250B48">
        <w:tab/>
        <w:t>Based on the historical relationship between price and wage inflation, wages growth is assumed to be 1.5 per cent higher than price</w:t>
      </w:r>
      <w:r w:rsidRPr="00D87D22">
        <w:t xml:space="preserve"> inflation.</w:t>
      </w:r>
    </w:p>
    <w:p w14:paraId="4D40D4A7" w14:textId="77777777" w:rsidR="00964B88" w:rsidRDefault="00964B88" w:rsidP="00F53820">
      <w:pPr>
        <w:pStyle w:val="Note"/>
      </w:pPr>
      <w:r w:rsidRPr="00D87D22">
        <w:t>(d)</w:t>
      </w:r>
      <w:r w:rsidRPr="00D87D22">
        <w:tab/>
        <w:t xml:space="preserve">The superannuation assumptions are determined in accordance with Australian accounting standard </w:t>
      </w:r>
      <w:r w:rsidRPr="005A0320">
        <w:t>AASB 119</w:t>
      </w:r>
      <w:r w:rsidRPr="00812D30">
        <w:rPr>
          <w:i w:val="0"/>
        </w:rPr>
        <w:t xml:space="preserve"> Employee Benefits</w:t>
      </w:r>
      <w:r>
        <w:t>,</w:t>
      </w:r>
      <w:r w:rsidRPr="00D87D22">
        <w:t xml:space="preserve"> which requires that the discount rate be based on Commonwealth bond yields. To ensure consistency with the market-based discount rate, the inflation rate assumed by the actuary reflects market expectations of price inflation</w:t>
      </w:r>
      <w:r>
        <w:t>,</w:t>
      </w:r>
      <w:r w:rsidRPr="00D87D22">
        <w:t xml:space="preserve"> as implied by the relationship between the yields on nominal and inflation linked Commonwealth bonds. Therefore, these assumptions differ from the key economic assumptions in this </w:t>
      </w:r>
      <w:r>
        <w:t>chapter,</w:t>
      </w:r>
      <w:r w:rsidRPr="00D87D22">
        <w:t xml:space="preserve"> which reflect the expected change in consumer prices in Melbourne and movements in wages and salaries in the Victorian labour market.</w:t>
      </w:r>
    </w:p>
    <w:p w14:paraId="4B2AD871" w14:textId="77777777" w:rsidR="00964B88" w:rsidRPr="00D87D22" w:rsidRDefault="00964B88" w:rsidP="00F53820">
      <w:pPr>
        <w:pStyle w:val="Note"/>
      </w:pPr>
      <w:r w:rsidRPr="00D87D22">
        <w:t>(e)</w:t>
      </w:r>
      <w:r w:rsidRPr="00D87D22">
        <w:tab/>
        <w:t>The expected return on assets stated is gross of tax. Estimated tax payments are explicitly allowed for in the calculation process.</w:t>
      </w:r>
    </w:p>
    <w:p w14:paraId="45BE55B8" w14:textId="77777777" w:rsidR="00964B88" w:rsidRDefault="00964B88" w:rsidP="00F53820">
      <w:pPr>
        <w:pStyle w:val="Note"/>
      </w:pPr>
      <w:r w:rsidRPr="00D87D22">
        <w:t>(f)</w:t>
      </w:r>
      <w:r w:rsidRPr="00D87D22">
        <w:tab/>
        <w:t>Pensions payable from constitutionally protected schemes are paid from the Consolidated Fund. These schemes hold no assets so there is no expected return on assets.</w:t>
      </w:r>
    </w:p>
    <w:p w14:paraId="31EB588C" w14:textId="77777777" w:rsidR="00964B88" w:rsidRPr="00D87D22" w:rsidRDefault="00964B88" w:rsidP="00F53820"/>
    <w:p w14:paraId="2CB0D17F" w14:textId="77777777" w:rsidR="00964B88" w:rsidRPr="00CA5EBD" w:rsidRDefault="00964B88" w:rsidP="00F53820">
      <w:bookmarkStart w:id="90" w:name="_Toc496606576"/>
      <w:bookmarkStart w:id="91" w:name="_Toc530147962"/>
      <w:r w:rsidRPr="00CA5EBD">
        <w:br w:type="page"/>
      </w:r>
    </w:p>
    <w:p w14:paraId="1661B86D" w14:textId="77777777" w:rsidR="00964B88" w:rsidRPr="00177EBC" w:rsidRDefault="00964B88" w:rsidP="00964B88">
      <w:pPr>
        <w:pStyle w:val="Heading3"/>
        <w:numPr>
          <w:ilvl w:val="2"/>
          <w:numId w:val="22"/>
        </w:numPr>
        <w:tabs>
          <w:tab w:val="clear" w:pos="7711"/>
          <w:tab w:val="left" w:pos="850"/>
          <w:tab w:val="right" w:pos="7710"/>
        </w:tabs>
        <w:spacing w:after="60"/>
        <w:rPr>
          <w:lang w:val="en-US"/>
        </w:rPr>
      </w:pPr>
      <w:r w:rsidRPr="004E4D8E">
        <w:lastRenderedPageBreak/>
        <w:t>Grant</w:t>
      </w:r>
      <w:r>
        <w:t xml:space="preserve"> expense</w:t>
      </w:r>
      <w:r>
        <w:tab/>
        <w:t>($ million)</w:t>
      </w:r>
      <w:bookmarkEnd w:id="90"/>
      <w:bookmarkEnd w:id="91"/>
    </w:p>
    <w:tbl>
      <w:tblPr>
        <w:tblStyle w:val="DTFTable"/>
        <w:tblW w:w="7768" w:type="dxa"/>
        <w:tblLayout w:type="fixed"/>
        <w:tblLook w:val="06E0" w:firstRow="1" w:lastRow="1" w:firstColumn="1" w:lastColumn="0" w:noHBand="1" w:noVBand="1"/>
      </w:tblPr>
      <w:tblGrid>
        <w:gridCol w:w="3518"/>
        <w:gridCol w:w="197"/>
        <w:gridCol w:w="653"/>
        <w:gridCol w:w="850"/>
        <w:gridCol w:w="850"/>
        <w:gridCol w:w="850"/>
        <w:gridCol w:w="850"/>
      </w:tblGrid>
      <w:tr w:rsidR="00964B88" w14:paraId="2466FC10"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3DECE56B" w14:textId="77777777" w:rsidR="00964B88" w:rsidRDefault="00964B88"/>
        </w:tc>
        <w:tc>
          <w:tcPr>
            <w:tcW w:w="850" w:type="dxa"/>
            <w:gridSpan w:val="2"/>
          </w:tcPr>
          <w:p w14:paraId="442A2013"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1F1D4974"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4197A4BB"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71977F9C"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5C07702B"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17799F79" w14:textId="77777777">
        <w:tc>
          <w:tcPr>
            <w:cnfStyle w:val="001000000000" w:firstRow="0" w:lastRow="0" w:firstColumn="1" w:lastColumn="0" w:oddVBand="0" w:evenVBand="0" w:oddHBand="0" w:evenHBand="0" w:firstRowFirstColumn="0" w:firstRowLastColumn="0" w:lastRowFirstColumn="0" w:lastRowLastColumn="0"/>
            <w:tcW w:w="3518" w:type="dxa"/>
          </w:tcPr>
          <w:p w14:paraId="1DE0AE82" w14:textId="77777777" w:rsidR="00964B88" w:rsidRDefault="00964B88">
            <w:r>
              <w:rPr>
                <w:b/>
              </w:rPr>
              <w:t>Current grant expense</w:t>
            </w:r>
          </w:p>
        </w:tc>
        <w:tc>
          <w:tcPr>
            <w:tcW w:w="850" w:type="dxa"/>
            <w:gridSpan w:val="2"/>
          </w:tcPr>
          <w:p w14:paraId="4F9369A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548D68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65ACEF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54C3807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B25780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BD23B5D" w14:textId="77777777">
        <w:tc>
          <w:tcPr>
            <w:cnfStyle w:val="001000000000" w:firstRow="0" w:lastRow="0" w:firstColumn="1" w:lastColumn="0" w:oddVBand="0" w:evenVBand="0" w:oddHBand="0" w:evenHBand="0" w:firstRowFirstColumn="0" w:firstRowLastColumn="0" w:lastRowFirstColumn="0" w:lastRowLastColumn="0"/>
            <w:tcW w:w="3518" w:type="dxa"/>
          </w:tcPr>
          <w:p w14:paraId="2FE7A805" w14:textId="77777777" w:rsidR="00964B88" w:rsidRDefault="00964B88">
            <w:r>
              <w:t>Commonwealth Government</w:t>
            </w:r>
            <w:r>
              <w:rPr>
                <w:vertAlign w:val="superscript"/>
              </w:rPr>
              <w:t xml:space="preserve"> (a)</w:t>
            </w:r>
          </w:p>
        </w:tc>
        <w:tc>
          <w:tcPr>
            <w:tcW w:w="850" w:type="dxa"/>
            <w:gridSpan w:val="2"/>
          </w:tcPr>
          <w:p w14:paraId="65259118" w14:textId="77777777" w:rsidR="00964B88" w:rsidRDefault="00964B88">
            <w:pPr>
              <w:cnfStyle w:val="000000000000" w:firstRow="0" w:lastRow="0" w:firstColumn="0" w:lastColumn="0" w:oddVBand="0" w:evenVBand="0" w:oddHBand="0" w:evenHBand="0" w:firstRowFirstColumn="0" w:firstRowLastColumn="0" w:lastRowFirstColumn="0" w:lastRowLastColumn="0"/>
            </w:pPr>
            <w:r>
              <w:t>1 696</w:t>
            </w:r>
          </w:p>
        </w:tc>
        <w:tc>
          <w:tcPr>
            <w:tcW w:w="850" w:type="dxa"/>
          </w:tcPr>
          <w:p w14:paraId="6D3C3848" w14:textId="77777777" w:rsidR="00964B88" w:rsidRDefault="00964B88">
            <w:pPr>
              <w:cnfStyle w:val="000000000000" w:firstRow="0" w:lastRow="0" w:firstColumn="0" w:lastColumn="0" w:oddVBand="0" w:evenVBand="0" w:oddHBand="0" w:evenHBand="0" w:firstRowFirstColumn="0" w:firstRowLastColumn="0" w:lastRowFirstColumn="0" w:lastRowLastColumn="0"/>
            </w:pPr>
            <w:r>
              <w:t>1 614</w:t>
            </w:r>
          </w:p>
        </w:tc>
        <w:tc>
          <w:tcPr>
            <w:tcW w:w="850" w:type="dxa"/>
          </w:tcPr>
          <w:p w14:paraId="3A4817F2" w14:textId="77777777" w:rsidR="00964B88" w:rsidRDefault="00964B88">
            <w:pPr>
              <w:cnfStyle w:val="000000000000" w:firstRow="0" w:lastRow="0" w:firstColumn="0" w:lastColumn="0" w:oddVBand="0" w:evenVBand="0" w:oddHBand="0" w:evenHBand="0" w:firstRowFirstColumn="0" w:firstRowLastColumn="0" w:lastRowFirstColumn="0" w:lastRowLastColumn="0"/>
            </w:pPr>
            <w:r>
              <w:t>2 959</w:t>
            </w:r>
          </w:p>
        </w:tc>
        <w:tc>
          <w:tcPr>
            <w:tcW w:w="850" w:type="dxa"/>
          </w:tcPr>
          <w:p w14:paraId="7ACB6711" w14:textId="77777777" w:rsidR="00964B88" w:rsidRDefault="00964B88">
            <w:pPr>
              <w:cnfStyle w:val="000000000000" w:firstRow="0" w:lastRow="0" w:firstColumn="0" w:lastColumn="0" w:oddVBand="0" w:evenVBand="0" w:oddHBand="0" w:evenHBand="0" w:firstRowFirstColumn="0" w:firstRowLastColumn="0" w:lastRowFirstColumn="0" w:lastRowLastColumn="0"/>
            </w:pPr>
            <w:r>
              <w:t>3 038</w:t>
            </w:r>
          </w:p>
        </w:tc>
        <w:tc>
          <w:tcPr>
            <w:tcW w:w="850" w:type="dxa"/>
          </w:tcPr>
          <w:p w14:paraId="683DF44E" w14:textId="77777777" w:rsidR="00964B88" w:rsidRDefault="00964B88">
            <w:pPr>
              <w:cnfStyle w:val="000000000000" w:firstRow="0" w:lastRow="0" w:firstColumn="0" w:lastColumn="0" w:oddVBand="0" w:evenVBand="0" w:oddHBand="0" w:evenHBand="0" w:firstRowFirstColumn="0" w:firstRowLastColumn="0" w:lastRowFirstColumn="0" w:lastRowLastColumn="0"/>
            </w:pPr>
            <w:r>
              <w:t>3 033</w:t>
            </w:r>
          </w:p>
        </w:tc>
      </w:tr>
      <w:tr w:rsidR="00964B88" w14:paraId="34B4BC90" w14:textId="77777777" w:rsidTr="00D95F31">
        <w:tc>
          <w:tcPr>
            <w:cnfStyle w:val="001000000000" w:firstRow="0" w:lastRow="0" w:firstColumn="1" w:lastColumn="0" w:oddVBand="0" w:evenVBand="0" w:oddHBand="0" w:evenHBand="0" w:firstRowFirstColumn="0" w:firstRowLastColumn="0" w:lastRowFirstColumn="0" w:lastRowLastColumn="0"/>
            <w:tcW w:w="3715" w:type="dxa"/>
            <w:gridSpan w:val="2"/>
          </w:tcPr>
          <w:p w14:paraId="3B3C2F42" w14:textId="77777777" w:rsidR="00964B88" w:rsidRDefault="00964B88">
            <w:r>
              <w:t>Local government (including grants for on</w:t>
            </w:r>
            <w:r>
              <w:noBreakHyphen/>
              <w:t>passing)</w:t>
            </w:r>
          </w:p>
        </w:tc>
        <w:tc>
          <w:tcPr>
            <w:tcW w:w="653" w:type="dxa"/>
          </w:tcPr>
          <w:p w14:paraId="0EEDD3F7" w14:textId="77777777" w:rsidR="00964B88" w:rsidRDefault="00964B88">
            <w:pPr>
              <w:cnfStyle w:val="000000000000" w:firstRow="0" w:lastRow="0" w:firstColumn="0" w:lastColumn="0" w:oddVBand="0" w:evenVBand="0" w:oddHBand="0" w:evenHBand="0" w:firstRowFirstColumn="0" w:firstRowLastColumn="0" w:lastRowFirstColumn="0" w:lastRowLastColumn="0"/>
            </w:pPr>
            <w:r>
              <w:t>692</w:t>
            </w:r>
          </w:p>
        </w:tc>
        <w:tc>
          <w:tcPr>
            <w:tcW w:w="850" w:type="dxa"/>
          </w:tcPr>
          <w:p w14:paraId="54E96E2A" w14:textId="77777777" w:rsidR="00964B88" w:rsidRDefault="00964B88">
            <w:pPr>
              <w:cnfStyle w:val="000000000000" w:firstRow="0" w:lastRow="0" w:firstColumn="0" w:lastColumn="0" w:oddVBand="0" w:evenVBand="0" w:oddHBand="0" w:evenHBand="0" w:firstRowFirstColumn="0" w:firstRowLastColumn="0" w:lastRowFirstColumn="0" w:lastRowLastColumn="0"/>
            </w:pPr>
            <w:r>
              <w:t>757</w:t>
            </w:r>
          </w:p>
        </w:tc>
        <w:tc>
          <w:tcPr>
            <w:tcW w:w="850" w:type="dxa"/>
          </w:tcPr>
          <w:p w14:paraId="1A342D62" w14:textId="77777777" w:rsidR="00964B88" w:rsidRDefault="00964B88">
            <w:pPr>
              <w:cnfStyle w:val="000000000000" w:firstRow="0" w:lastRow="0" w:firstColumn="0" w:lastColumn="0" w:oddVBand="0" w:evenVBand="0" w:oddHBand="0" w:evenHBand="0" w:firstRowFirstColumn="0" w:firstRowLastColumn="0" w:lastRowFirstColumn="0" w:lastRowLastColumn="0"/>
            </w:pPr>
            <w:r>
              <w:t>742</w:t>
            </w:r>
          </w:p>
        </w:tc>
        <w:tc>
          <w:tcPr>
            <w:tcW w:w="850" w:type="dxa"/>
          </w:tcPr>
          <w:p w14:paraId="5EBDC032" w14:textId="77777777" w:rsidR="00964B88" w:rsidRDefault="00964B88">
            <w:pPr>
              <w:cnfStyle w:val="000000000000" w:firstRow="0" w:lastRow="0" w:firstColumn="0" w:lastColumn="0" w:oddVBand="0" w:evenVBand="0" w:oddHBand="0" w:evenHBand="0" w:firstRowFirstColumn="0" w:firstRowLastColumn="0" w:lastRowFirstColumn="0" w:lastRowLastColumn="0"/>
            </w:pPr>
            <w:r>
              <w:t>650</w:t>
            </w:r>
          </w:p>
        </w:tc>
        <w:tc>
          <w:tcPr>
            <w:tcW w:w="850" w:type="dxa"/>
          </w:tcPr>
          <w:p w14:paraId="308335D3" w14:textId="77777777" w:rsidR="00964B88" w:rsidRDefault="00964B88">
            <w:pPr>
              <w:cnfStyle w:val="000000000000" w:firstRow="0" w:lastRow="0" w:firstColumn="0" w:lastColumn="0" w:oddVBand="0" w:evenVBand="0" w:oddHBand="0" w:evenHBand="0" w:firstRowFirstColumn="0" w:firstRowLastColumn="0" w:lastRowFirstColumn="0" w:lastRowLastColumn="0"/>
            </w:pPr>
            <w:r>
              <w:t>628</w:t>
            </w:r>
          </w:p>
        </w:tc>
      </w:tr>
      <w:tr w:rsidR="00964B88" w14:paraId="6483F896" w14:textId="77777777">
        <w:tc>
          <w:tcPr>
            <w:cnfStyle w:val="001000000000" w:firstRow="0" w:lastRow="0" w:firstColumn="1" w:lastColumn="0" w:oddVBand="0" w:evenVBand="0" w:oddHBand="0" w:evenHBand="0" w:firstRowFirstColumn="0" w:firstRowLastColumn="0" w:lastRowFirstColumn="0" w:lastRowLastColumn="0"/>
            <w:tcW w:w="3518" w:type="dxa"/>
          </w:tcPr>
          <w:p w14:paraId="14B2C325" w14:textId="77777777" w:rsidR="00964B88" w:rsidRDefault="00964B88">
            <w:r>
              <w:t>Private sector and not</w:t>
            </w:r>
            <w:r>
              <w:noBreakHyphen/>
              <w:t>for</w:t>
            </w:r>
            <w:r>
              <w:noBreakHyphen/>
              <w:t>profit for on</w:t>
            </w:r>
            <w:r>
              <w:noBreakHyphen/>
              <w:t>passing</w:t>
            </w:r>
          </w:p>
        </w:tc>
        <w:tc>
          <w:tcPr>
            <w:tcW w:w="850" w:type="dxa"/>
            <w:gridSpan w:val="2"/>
          </w:tcPr>
          <w:p w14:paraId="28F52C53" w14:textId="77777777" w:rsidR="00964B88" w:rsidRDefault="00964B88">
            <w:pPr>
              <w:cnfStyle w:val="000000000000" w:firstRow="0" w:lastRow="0" w:firstColumn="0" w:lastColumn="0" w:oddVBand="0" w:evenVBand="0" w:oddHBand="0" w:evenHBand="0" w:firstRowFirstColumn="0" w:firstRowLastColumn="0" w:lastRowFirstColumn="0" w:lastRowLastColumn="0"/>
            </w:pPr>
            <w:r>
              <w:t>3 627</w:t>
            </w:r>
          </w:p>
        </w:tc>
        <w:tc>
          <w:tcPr>
            <w:tcW w:w="850" w:type="dxa"/>
          </w:tcPr>
          <w:p w14:paraId="60B2235F" w14:textId="77777777" w:rsidR="00964B88" w:rsidRDefault="00964B88">
            <w:pPr>
              <w:cnfStyle w:val="000000000000" w:firstRow="0" w:lastRow="0" w:firstColumn="0" w:lastColumn="0" w:oddVBand="0" w:evenVBand="0" w:oddHBand="0" w:evenHBand="0" w:firstRowFirstColumn="0" w:firstRowLastColumn="0" w:lastRowFirstColumn="0" w:lastRowLastColumn="0"/>
            </w:pPr>
            <w:r>
              <w:t>3 580</w:t>
            </w:r>
          </w:p>
        </w:tc>
        <w:tc>
          <w:tcPr>
            <w:tcW w:w="850" w:type="dxa"/>
          </w:tcPr>
          <w:p w14:paraId="2D03EEB2" w14:textId="77777777" w:rsidR="00964B88" w:rsidRDefault="00964B88">
            <w:pPr>
              <w:cnfStyle w:val="000000000000" w:firstRow="0" w:lastRow="0" w:firstColumn="0" w:lastColumn="0" w:oddVBand="0" w:evenVBand="0" w:oddHBand="0" w:evenHBand="0" w:firstRowFirstColumn="0" w:firstRowLastColumn="0" w:lastRowFirstColumn="0" w:lastRowLastColumn="0"/>
            </w:pPr>
            <w:r>
              <w:t>3 867</w:t>
            </w:r>
          </w:p>
        </w:tc>
        <w:tc>
          <w:tcPr>
            <w:tcW w:w="850" w:type="dxa"/>
          </w:tcPr>
          <w:p w14:paraId="0AE8EDD2" w14:textId="77777777" w:rsidR="00964B88" w:rsidRDefault="00964B88">
            <w:pPr>
              <w:cnfStyle w:val="000000000000" w:firstRow="0" w:lastRow="0" w:firstColumn="0" w:lastColumn="0" w:oddVBand="0" w:evenVBand="0" w:oddHBand="0" w:evenHBand="0" w:firstRowFirstColumn="0" w:firstRowLastColumn="0" w:lastRowFirstColumn="0" w:lastRowLastColumn="0"/>
            </w:pPr>
            <w:r>
              <w:t>4 102</w:t>
            </w:r>
          </w:p>
        </w:tc>
        <w:tc>
          <w:tcPr>
            <w:tcW w:w="850" w:type="dxa"/>
          </w:tcPr>
          <w:p w14:paraId="24F84BE3" w14:textId="77777777" w:rsidR="00964B88" w:rsidRDefault="00964B88">
            <w:pPr>
              <w:cnfStyle w:val="000000000000" w:firstRow="0" w:lastRow="0" w:firstColumn="0" w:lastColumn="0" w:oddVBand="0" w:evenVBand="0" w:oddHBand="0" w:evenHBand="0" w:firstRowFirstColumn="0" w:firstRowLastColumn="0" w:lastRowFirstColumn="0" w:lastRowLastColumn="0"/>
            </w:pPr>
            <w:r>
              <w:t>4 343</w:t>
            </w:r>
          </w:p>
        </w:tc>
      </w:tr>
      <w:tr w:rsidR="00964B88" w14:paraId="5A4322C8" w14:textId="77777777">
        <w:tc>
          <w:tcPr>
            <w:cnfStyle w:val="001000000000" w:firstRow="0" w:lastRow="0" w:firstColumn="1" w:lastColumn="0" w:oddVBand="0" w:evenVBand="0" w:oddHBand="0" w:evenHBand="0" w:firstRowFirstColumn="0" w:firstRowLastColumn="0" w:lastRowFirstColumn="0" w:lastRowLastColumn="0"/>
            <w:tcW w:w="3518" w:type="dxa"/>
          </w:tcPr>
          <w:p w14:paraId="35E48A61" w14:textId="77777777" w:rsidR="00964B88" w:rsidRDefault="00964B88">
            <w:r>
              <w:t>Other private sector and not</w:t>
            </w:r>
            <w:r>
              <w:noBreakHyphen/>
              <w:t>for</w:t>
            </w:r>
            <w:r>
              <w:noBreakHyphen/>
              <w:t>profit</w:t>
            </w:r>
          </w:p>
        </w:tc>
        <w:tc>
          <w:tcPr>
            <w:tcW w:w="850" w:type="dxa"/>
            <w:gridSpan w:val="2"/>
          </w:tcPr>
          <w:p w14:paraId="1B9D76B2" w14:textId="77777777" w:rsidR="00964B88" w:rsidRDefault="00964B88">
            <w:pPr>
              <w:cnfStyle w:val="000000000000" w:firstRow="0" w:lastRow="0" w:firstColumn="0" w:lastColumn="0" w:oddVBand="0" w:evenVBand="0" w:oddHBand="0" w:evenHBand="0" w:firstRowFirstColumn="0" w:firstRowLastColumn="0" w:lastRowFirstColumn="0" w:lastRowLastColumn="0"/>
            </w:pPr>
            <w:r>
              <w:t>2 637</w:t>
            </w:r>
          </w:p>
        </w:tc>
        <w:tc>
          <w:tcPr>
            <w:tcW w:w="850" w:type="dxa"/>
          </w:tcPr>
          <w:p w14:paraId="02DF3AC6" w14:textId="77777777" w:rsidR="00964B88" w:rsidRDefault="00964B88">
            <w:pPr>
              <w:cnfStyle w:val="000000000000" w:firstRow="0" w:lastRow="0" w:firstColumn="0" w:lastColumn="0" w:oddVBand="0" w:evenVBand="0" w:oddHBand="0" w:evenHBand="0" w:firstRowFirstColumn="0" w:firstRowLastColumn="0" w:lastRowFirstColumn="0" w:lastRowLastColumn="0"/>
            </w:pPr>
            <w:r>
              <w:t>2 637</w:t>
            </w:r>
          </w:p>
        </w:tc>
        <w:tc>
          <w:tcPr>
            <w:tcW w:w="850" w:type="dxa"/>
          </w:tcPr>
          <w:p w14:paraId="48DE6292" w14:textId="77777777" w:rsidR="00964B88" w:rsidRDefault="00964B88">
            <w:pPr>
              <w:cnfStyle w:val="000000000000" w:firstRow="0" w:lastRow="0" w:firstColumn="0" w:lastColumn="0" w:oddVBand="0" w:evenVBand="0" w:oddHBand="0" w:evenHBand="0" w:firstRowFirstColumn="0" w:firstRowLastColumn="0" w:lastRowFirstColumn="0" w:lastRowLastColumn="0"/>
            </w:pPr>
            <w:r>
              <w:t>2 872</w:t>
            </w:r>
          </w:p>
        </w:tc>
        <w:tc>
          <w:tcPr>
            <w:tcW w:w="850" w:type="dxa"/>
          </w:tcPr>
          <w:p w14:paraId="16784E11" w14:textId="77777777" w:rsidR="00964B88" w:rsidRDefault="00964B88">
            <w:pPr>
              <w:cnfStyle w:val="000000000000" w:firstRow="0" w:lastRow="0" w:firstColumn="0" w:lastColumn="0" w:oddVBand="0" w:evenVBand="0" w:oddHBand="0" w:evenHBand="0" w:firstRowFirstColumn="0" w:firstRowLastColumn="0" w:lastRowFirstColumn="0" w:lastRowLastColumn="0"/>
            </w:pPr>
            <w:r>
              <w:t>3 062</w:t>
            </w:r>
          </w:p>
        </w:tc>
        <w:tc>
          <w:tcPr>
            <w:tcW w:w="850" w:type="dxa"/>
          </w:tcPr>
          <w:p w14:paraId="2057902F" w14:textId="77777777" w:rsidR="00964B88" w:rsidRDefault="00964B88">
            <w:pPr>
              <w:cnfStyle w:val="000000000000" w:firstRow="0" w:lastRow="0" w:firstColumn="0" w:lastColumn="0" w:oddVBand="0" w:evenVBand="0" w:oddHBand="0" w:evenHBand="0" w:firstRowFirstColumn="0" w:firstRowLastColumn="0" w:lastRowFirstColumn="0" w:lastRowLastColumn="0"/>
            </w:pPr>
            <w:r>
              <w:t>3 284</w:t>
            </w:r>
          </w:p>
        </w:tc>
      </w:tr>
      <w:tr w:rsidR="00964B88" w14:paraId="78F64335" w14:textId="77777777">
        <w:tc>
          <w:tcPr>
            <w:cnfStyle w:val="001000000000" w:firstRow="0" w:lastRow="0" w:firstColumn="1" w:lastColumn="0" w:oddVBand="0" w:evenVBand="0" w:oddHBand="0" w:evenHBand="0" w:firstRowFirstColumn="0" w:firstRowLastColumn="0" w:lastRowFirstColumn="0" w:lastRowLastColumn="0"/>
            <w:tcW w:w="3518" w:type="dxa"/>
          </w:tcPr>
          <w:p w14:paraId="5C9A25FA" w14:textId="77777777" w:rsidR="00964B88" w:rsidRDefault="00964B88">
            <w:r>
              <w:t>Grants within the Victorian Government</w:t>
            </w:r>
          </w:p>
        </w:tc>
        <w:tc>
          <w:tcPr>
            <w:tcW w:w="850" w:type="dxa"/>
            <w:gridSpan w:val="2"/>
          </w:tcPr>
          <w:p w14:paraId="20AFC110" w14:textId="77777777" w:rsidR="00964B88" w:rsidRDefault="00964B88">
            <w:pPr>
              <w:cnfStyle w:val="000000000000" w:firstRow="0" w:lastRow="0" w:firstColumn="0" w:lastColumn="0" w:oddVBand="0" w:evenVBand="0" w:oddHBand="0" w:evenHBand="0" w:firstRowFirstColumn="0" w:firstRowLastColumn="0" w:lastRowFirstColumn="0" w:lastRowLastColumn="0"/>
            </w:pPr>
            <w:r>
              <w:t>3 877</w:t>
            </w:r>
          </w:p>
        </w:tc>
        <w:tc>
          <w:tcPr>
            <w:tcW w:w="850" w:type="dxa"/>
          </w:tcPr>
          <w:p w14:paraId="118E431B" w14:textId="77777777" w:rsidR="00964B88" w:rsidRDefault="00964B88">
            <w:pPr>
              <w:cnfStyle w:val="000000000000" w:firstRow="0" w:lastRow="0" w:firstColumn="0" w:lastColumn="0" w:oddVBand="0" w:evenVBand="0" w:oddHBand="0" w:evenHBand="0" w:firstRowFirstColumn="0" w:firstRowLastColumn="0" w:lastRowFirstColumn="0" w:lastRowLastColumn="0"/>
            </w:pPr>
            <w:r>
              <w:t>3 980</w:t>
            </w:r>
          </w:p>
        </w:tc>
        <w:tc>
          <w:tcPr>
            <w:tcW w:w="850" w:type="dxa"/>
          </w:tcPr>
          <w:p w14:paraId="19B11071" w14:textId="77777777" w:rsidR="00964B88" w:rsidRDefault="00964B88">
            <w:pPr>
              <w:cnfStyle w:val="000000000000" w:firstRow="0" w:lastRow="0" w:firstColumn="0" w:lastColumn="0" w:oddVBand="0" w:evenVBand="0" w:oddHBand="0" w:evenHBand="0" w:firstRowFirstColumn="0" w:firstRowLastColumn="0" w:lastRowFirstColumn="0" w:lastRowLastColumn="0"/>
            </w:pPr>
            <w:r>
              <w:t>3 934</w:t>
            </w:r>
          </w:p>
        </w:tc>
        <w:tc>
          <w:tcPr>
            <w:tcW w:w="850" w:type="dxa"/>
          </w:tcPr>
          <w:p w14:paraId="38D08A48" w14:textId="77777777" w:rsidR="00964B88" w:rsidRDefault="00964B88">
            <w:pPr>
              <w:cnfStyle w:val="000000000000" w:firstRow="0" w:lastRow="0" w:firstColumn="0" w:lastColumn="0" w:oddVBand="0" w:evenVBand="0" w:oddHBand="0" w:evenHBand="0" w:firstRowFirstColumn="0" w:firstRowLastColumn="0" w:lastRowFirstColumn="0" w:lastRowLastColumn="0"/>
            </w:pPr>
            <w:r>
              <w:t>3 995</w:t>
            </w:r>
          </w:p>
        </w:tc>
        <w:tc>
          <w:tcPr>
            <w:tcW w:w="850" w:type="dxa"/>
          </w:tcPr>
          <w:p w14:paraId="3355ADB8" w14:textId="77777777" w:rsidR="00964B88" w:rsidRDefault="00964B88">
            <w:pPr>
              <w:cnfStyle w:val="000000000000" w:firstRow="0" w:lastRow="0" w:firstColumn="0" w:lastColumn="0" w:oddVBand="0" w:evenVBand="0" w:oddHBand="0" w:evenHBand="0" w:firstRowFirstColumn="0" w:firstRowLastColumn="0" w:lastRowFirstColumn="0" w:lastRowLastColumn="0"/>
            </w:pPr>
            <w:r>
              <w:t>4 094</w:t>
            </w:r>
          </w:p>
        </w:tc>
      </w:tr>
      <w:tr w:rsidR="00964B88" w14:paraId="3F85EC98"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1A7D4084" w14:textId="77777777" w:rsidR="00964B88" w:rsidRDefault="00964B88">
            <w:r>
              <w:t>Grants to other state governments</w:t>
            </w:r>
          </w:p>
        </w:tc>
        <w:tc>
          <w:tcPr>
            <w:tcW w:w="850" w:type="dxa"/>
            <w:gridSpan w:val="2"/>
            <w:tcBorders>
              <w:bottom w:val="single" w:sz="6" w:space="0" w:color="auto"/>
            </w:tcBorders>
          </w:tcPr>
          <w:p w14:paraId="5220CFF5" w14:textId="77777777" w:rsidR="00964B88" w:rsidRDefault="00964B88">
            <w:pPr>
              <w:cnfStyle w:val="000000000000" w:firstRow="0" w:lastRow="0" w:firstColumn="0" w:lastColumn="0" w:oddVBand="0" w:evenVBand="0" w:oddHBand="0" w:evenHBand="0" w:firstRowFirstColumn="0" w:firstRowLastColumn="0" w:lastRowFirstColumn="0" w:lastRowLastColumn="0"/>
            </w:pPr>
            <w:r>
              <w:t>21</w:t>
            </w:r>
          </w:p>
        </w:tc>
        <w:tc>
          <w:tcPr>
            <w:tcW w:w="850" w:type="dxa"/>
            <w:tcBorders>
              <w:bottom w:val="single" w:sz="6" w:space="0" w:color="auto"/>
            </w:tcBorders>
          </w:tcPr>
          <w:p w14:paraId="4FD6D932" w14:textId="77777777" w:rsidR="00964B88" w:rsidRDefault="00964B88">
            <w:pPr>
              <w:cnfStyle w:val="000000000000" w:firstRow="0" w:lastRow="0" w:firstColumn="0" w:lastColumn="0" w:oddVBand="0" w:evenVBand="0" w:oddHBand="0" w:evenHBand="0" w:firstRowFirstColumn="0" w:firstRowLastColumn="0" w:lastRowFirstColumn="0" w:lastRowLastColumn="0"/>
            </w:pPr>
            <w:r>
              <w:t>21</w:t>
            </w:r>
          </w:p>
        </w:tc>
        <w:tc>
          <w:tcPr>
            <w:tcW w:w="850" w:type="dxa"/>
            <w:tcBorders>
              <w:bottom w:val="single" w:sz="6" w:space="0" w:color="auto"/>
            </w:tcBorders>
          </w:tcPr>
          <w:p w14:paraId="00574249" w14:textId="77777777" w:rsidR="00964B88" w:rsidRDefault="00964B88">
            <w:pPr>
              <w:cnfStyle w:val="000000000000" w:firstRow="0" w:lastRow="0" w:firstColumn="0" w:lastColumn="0" w:oddVBand="0" w:evenVBand="0" w:oddHBand="0" w:evenHBand="0" w:firstRowFirstColumn="0" w:firstRowLastColumn="0" w:lastRowFirstColumn="0" w:lastRowLastColumn="0"/>
            </w:pPr>
            <w:r>
              <w:t>21</w:t>
            </w:r>
          </w:p>
        </w:tc>
        <w:tc>
          <w:tcPr>
            <w:tcW w:w="850" w:type="dxa"/>
            <w:tcBorders>
              <w:bottom w:val="single" w:sz="6" w:space="0" w:color="auto"/>
            </w:tcBorders>
          </w:tcPr>
          <w:p w14:paraId="2E96AC4F" w14:textId="77777777" w:rsidR="00964B88" w:rsidRDefault="00964B88">
            <w:pPr>
              <w:cnfStyle w:val="000000000000" w:firstRow="0" w:lastRow="0" w:firstColumn="0" w:lastColumn="0" w:oddVBand="0" w:evenVBand="0" w:oddHBand="0" w:evenHBand="0" w:firstRowFirstColumn="0" w:firstRowLastColumn="0" w:lastRowFirstColumn="0" w:lastRowLastColumn="0"/>
            </w:pPr>
            <w:r>
              <w:t>21</w:t>
            </w:r>
          </w:p>
        </w:tc>
        <w:tc>
          <w:tcPr>
            <w:tcW w:w="850" w:type="dxa"/>
            <w:tcBorders>
              <w:bottom w:val="single" w:sz="6" w:space="0" w:color="auto"/>
            </w:tcBorders>
          </w:tcPr>
          <w:p w14:paraId="655D189B" w14:textId="77777777" w:rsidR="00964B88" w:rsidRDefault="00964B88">
            <w:pPr>
              <w:cnfStyle w:val="000000000000" w:firstRow="0" w:lastRow="0" w:firstColumn="0" w:lastColumn="0" w:oddVBand="0" w:evenVBand="0" w:oddHBand="0" w:evenHBand="0" w:firstRowFirstColumn="0" w:firstRowLastColumn="0" w:lastRowFirstColumn="0" w:lastRowLastColumn="0"/>
            </w:pPr>
            <w:r>
              <w:t>21</w:t>
            </w:r>
          </w:p>
        </w:tc>
      </w:tr>
      <w:tr w:rsidR="00964B88" w14:paraId="786D2239"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6" w:space="0" w:color="auto"/>
            </w:tcBorders>
          </w:tcPr>
          <w:p w14:paraId="0FD2477B" w14:textId="77777777" w:rsidR="00964B88" w:rsidRDefault="00964B88">
            <w:r>
              <w:rPr>
                <w:b/>
              </w:rPr>
              <w:t>Total current grant expense</w:t>
            </w:r>
          </w:p>
        </w:tc>
        <w:tc>
          <w:tcPr>
            <w:tcW w:w="850" w:type="dxa"/>
            <w:gridSpan w:val="2"/>
            <w:tcBorders>
              <w:top w:val="single" w:sz="6" w:space="0" w:color="auto"/>
              <w:bottom w:val="single" w:sz="6" w:space="0" w:color="auto"/>
            </w:tcBorders>
          </w:tcPr>
          <w:p w14:paraId="110CFF5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12 551</w:t>
            </w:r>
          </w:p>
        </w:tc>
        <w:tc>
          <w:tcPr>
            <w:tcW w:w="850" w:type="dxa"/>
            <w:tcBorders>
              <w:top w:val="single" w:sz="6" w:space="0" w:color="auto"/>
              <w:bottom w:val="single" w:sz="6" w:space="0" w:color="auto"/>
            </w:tcBorders>
          </w:tcPr>
          <w:p w14:paraId="3AAD902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12 590</w:t>
            </w:r>
          </w:p>
        </w:tc>
        <w:tc>
          <w:tcPr>
            <w:tcW w:w="850" w:type="dxa"/>
            <w:tcBorders>
              <w:top w:val="single" w:sz="6" w:space="0" w:color="auto"/>
              <w:bottom w:val="single" w:sz="6" w:space="0" w:color="auto"/>
            </w:tcBorders>
          </w:tcPr>
          <w:p w14:paraId="2F7F8A7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14 395</w:t>
            </w:r>
          </w:p>
        </w:tc>
        <w:tc>
          <w:tcPr>
            <w:tcW w:w="850" w:type="dxa"/>
            <w:tcBorders>
              <w:top w:val="single" w:sz="6" w:space="0" w:color="auto"/>
              <w:bottom w:val="single" w:sz="6" w:space="0" w:color="auto"/>
            </w:tcBorders>
          </w:tcPr>
          <w:p w14:paraId="4AF106A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14 869</w:t>
            </w:r>
          </w:p>
        </w:tc>
        <w:tc>
          <w:tcPr>
            <w:tcW w:w="850" w:type="dxa"/>
            <w:tcBorders>
              <w:top w:val="single" w:sz="6" w:space="0" w:color="auto"/>
              <w:bottom w:val="single" w:sz="6" w:space="0" w:color="auto"/>
            </w:tcBorders>
          </w:tcPr>
          <w:p w14:paraId="1B99DAD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15 403</w:t>
            </w:r>
          </w:p>
        </w:tc>
      </w:tr>
      <w:tr w:rsidR="00964B88" w14:paraId="3C5076F0"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0DC6E6C9" w14:textId="77777777" w:rsidR="00964B88" w:rsidRDefault="00964B88">
            <w:r>
              <w:rPr>
                <w:b/>
              </w:rPr>
              <w:t>Capital grant expense</w:t>
            </w:r>
          </w:p>
        </w:tc>
        <w:tc>
          <w:tcPr>
            <w:tcW w:w="850" w:type="dxa"/>
            <w:gridSpan w:val="2"/>
            <w:tcBorders>
              <w:top w:val="single" w:sz="6" w:space="0" w:color="auto"/>
            </w:tcBorders>
          </w:tcPr>
          <w:p w14:paraId="22906D1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19B5A41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6864913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7523F82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7FF3855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8805CB0" w14:textId="77777777" w:rsidTr="00D95F31">
        <w:tc>
          <w:tcPr>
            <w:cnfStyle w:val="001000000000" w:firstRow="0" w:lastRow="0" w:firstColumn="1" w:lastColumn="0" w:oddVBand="0" w:evenVBand="0" w:oddHBand="0" w:evenHBand="0" w:firstRowFirstColumn="0" w:firstRowLastColumn="0" w:lastRowFirstColumn="0" w:lastRowLastColumn="0"/>
            <w:tcW w:w="3715" w:type="dxa"/>
            <w:gridSpan w:val="2"/>
          </w:tcPr>
          <w:p w14:paraId="75EF9E8A" w14:textId="77777777" w:rsidR="00964B88" w:rsidRDefault="00964B88">
            <w:r>
              <w:t>Local government (including grants for on</w:t>
            </w:r>
            <w:r>
              <w:noBreakHyphen/>
              <w:t>passing)</w:t>
            </w:r>
          </w:p>
        </w:tc>
        <w:tc>
          <w:tcPr>
            <w:tcW w:w="653" w:type="dxa"/>
          </w:tcPr>
          <w:p w14:paraId="04A20DAC" w14:textId="77777777" w:rsidR="00964B88" w:rsidRDefault="00964B88">
            <w:pPr>
              <w:cnfStyle w:val="000000000000" w:firstRow="0" w:lastRow="0" w:firstColumn="0" w:lastColumn="0" w:oddVBand="0" w:evenVBand="0" w:oddHBand="0" w:evenHBand="0" w:firstRowFirstColumn="0" w:firstRowLastColumn="0" w:lastRowFirstColumn="0" w:lastRowLastColumn="0"/>
            </w:pPr>
            <w:r>
              <w:t>110</w:t>
            </w:r>
          </w:p>
        </w:tc>
        <w:tc>
          <w:tcPr>
            <w:tcW w:w="850" w:type="dxa"/>
          </w:tcPr>
          <w:p w14:paraId="57F32493" w14:textId="77777777" w:rsidR="00964B88" w:rsidRDefault="00964B88">
            <w:pPr>
              <w:cnfStyle w:val="000000000000" w:firstRow="0" w:lastRow="0" w:firstColumn="0" w:lastColumn="0" w:oddVBand="0" w:evenVBand="0" w:oddHBand="0" w:evenHBand="0" w:firstRowFirstColumn="0" w:firstRowLastColumn="0" w:lastRowFirstColumn="0" w:lastRowLastColumn="0"/>
            </w:pPr>
            <w:r>
              <w:t>136</w:t>
            </w:r>
          </w:p>
        </w:tc>
        <w:tc>
          <w:tcPr>
            <w:tcW w:w="850" w:type="dxa"/>
          </w:tcPr>
          <w:p w14:paraId="25CEF1DF" w14:textId="77777777" w:rsidR="00964B88" w:rsidRDefault="00964B88">
            <w:pPr>
              <w:cnfStyle w:val="000000000000" w:firstRow="0" w:lastRow="0" w:firstColumn="0" w:lastColumn="0" w:oddVBand="0" w:evenVBand="0" w:oddHBand="0" w:evenHBand="0" w:firstRowFirstColumn="0" w:firstRowLastColumn="0" w:lastRowFirstColumn="0" w:lastRowLastColumn="0"/>
            </w:pPr>
            <w:r>
              <w:t>194</w:t>
            </w:r>
          </w:p>
        </w:tc>
        <w:tc>
          <w:tcPr>
            <w:tcW w:w="850" w:type="dxa"/>
          </w:tcPr>
          <w:p w14:paraId="0F21C305" w14:textId="77777777" w:rsidR="00964B88" w:rsidRDefault="00964B88">
            <w:pPr>
              <w:cnfStyle w:val="000000000000" w:firstRow="0" w:lastRow="0" w:firstColumn="0" w:lastColumn="0" w:oddVBand="0" w:evenVBand="0" w:oddHBand="0" w:evenHBand="0" w:firstRowFirstColumn="0" w:firstRowLastColumn="0" w:lastRowFirstColumn="0" w:lastRowLastColumn="0"/>
            </w:pPr>
            <w:r>
              <w:t>213</w:t>
            </w:r>
          </w:p>
        </w:tc>
        <w:tc>
          <w:tcPr>
            <w:tcW w:w="850" w:type="dxa"/>
          </w:tcPr>
          <w:p w14:paraId="1D43437A" w14:textId="77777777" w:rsidR="00964B88" w:rsidRDefault="00964B88">
            <w:pPr>
              <w:cnfStyle w:val="000000000000" w:firstRow="0" w:lastRow="0" w:firstColumn="0" w:lastColumn="0" w:oddVBand="0" w:evenVBand="0" w:oddHBand="0" w:evenHBand="0" w:firstRowFirstColumn="0" w:firstRowLastColumn="0" w:lastRowFirstColumn="0" w:lastRowLastColumn="0"/>
            </w:pPr>
            <w:r>
              <w:t>334</w:t>
            </w:r>
          </w:p>
        </w:tc>
      </w:tr>
      <w:tr w:rsidR="00964B88" w14:paraId="5C1915FD" w14:textId="77777777">
        <w:tc>
          <w:tcPr>
            <w:cnfStyle w:val="001000000000" w:firstRow="0" w:lastRow="0" w:firstColumn="1" w:lastColumn="0" w:oddVBand="0" w:evenVBand="0" w:oddHBand="0" w:evenHBand="0" w:firstRowFirstColumn="0" w:firstRowLastColumn="0" w:lastRowFirstColumn="0" w:lastRowLastColumn="0"/>
            <w:tcW w:w="3518" w:type="dxa"/>
          </w:tcPr>
          <w:p w14:paraId="2F709CB6" w14:textId="77777777" w:rsidR="00964B88" w:rsidRDefault="00964B88">
            <w:r>
              <w:t>Private sector and not</w:t>
            </w:r>
            <w:r>
              <w:noBreakHyphen/>
              <w:t>for</w:t>
            </w:r>
            <w:r>
              <w:noBreakHyphen/>
              <w:t>profit on</w:t>
            </w:r>
            <w:r>
              <w:noBreakHyphen/>
              <w:t>passing</w:t>
            </w:r>
          </w:p>
        </w:tc>
        <w:tc>
          <w:tcPr>
            <w:tcW w:w="850" w:type="dxa"/>
            <w:gridSpan w:val="2"/>
          </w:tcPr>
          <w:p w14:paraId="0E38C49E" w14:textId="77777777" w:rsidR="00964B88" w:rsidRDefault="00964B88">
            <w:pPr>
              <w:cnfStyle w:val="000000000000" w:firstRow="0" w:lastRow="0" w:firstColumn="0" w:lastColumn="0" w:oddVBand="0" w:evenVBand="0" w:oddHBand="0" w:evenHBand="0" w:firstRowFirstColumn="0" w:firstRowLastColumn="0" w:lastRowFirstColumn="0" w:lastRowLastColumn="0"/>
            </w:pPr>
            <w:r>
              <w:t>236</w:t>
            </w:r>
          </w:p>
        </w:tc>
        <w:tc>
          <w:tcPr>
            <w:tcW w:w="850" w:type="dxa"/>
          </w:tcPr>
          <w:p w14:paraId="32DB945A" w14:textId="77777777" w:rsidR="00964B88" w:rsidRDefault="00964B88">
            <w:pPr>
              <w:cnfStyle w:val="000000000000" w:firstRow="0" w:lastRow="0" w:firstColumn="0" w:lastColumn="0" w:oddVBand="0" w:evenVBand="0" w:oddHBand="0" w:evenHBand="0" w:firstRowFirstColumn="0" w:firstRowLastColumn="0" w:lastRowFirstColumn="0" w:lastRowLastColumn="0"/>
            </w:pPr>
            <w:r>
              <w:t>252</w:t>
            </w:r>
          </w:p>
        </w:tc>
        <w:tc>
          <w:tcPr>
            <w:tcW w:w="850" w:type="dxa"/>
          </w:tcPr>
          <w:p w14:paraId="2CD707F4" w14:textId="77777777" w:rsidR="00964B88" w:rsidRDefault="00964B88">
            <w:pPr>
              <w:cnfStyle w:val="000000000000" w:firstRow="0" w:lastRow="0" w:firstColumn="0" w:lastColumn="0" w:oddVBand="0" w:evenVBand="0" w:oddHBand="0" w:evenHBand="0" w:firstRowFirstColumn="0" w:firstRowLastColumn="0" w:lastRowFirstColumn="0" w:lastRowLastColumn="0"/>
            </w:pPr>
            <w:r>
              <w:t>274</w:t>
            </w:r>
          </w:p>
        </w:tc>
        <w:tc>
          <w:tcPr>
            <w:tcW w:w="850" w:type="dxa"/>
          </w:tcPr>
          <w:p w14:paraId="5058EB83" w14:textId="77777777" w:rsidR="00964B88" w:rsidRDefault="00964B88">
            <w:pPr>
              <w:cnfStyle w:val="000000000000" w:firstRow="0" w:lastRow="0" w:firstColumn="0" w:lastColumn="0" w:oddVBand="0" w:evenVBand="0" w:oddHBand="0" w:evenHBand="0" w:firstRowFirstColumn="0" w:firstRowLastColumn="0" w:lastRowFirstColumn="0" w:lastRowLastColumn="0"/>
            </w:pPr>
            <w:r>
              <w:t>219</w:t>
            </w:r>
          </w:p>
        </w:tc>
        <w:tc>
          <w:tcPr>
            <w:tcW w:w="850" w:type="dxa"/>
          </w:tcPr>
          <w:p w14:paraId="7E4FF28D" w14:textId="77777777" w:rsidR="00964B88" w:rsidRDefault="00964B88">
            <w:pPr>
              <w:cnfStyle w:val="000000000000" w:firstRow="0" w:lastRow="0" w:firstColumn="0" w:lastColumn="0" w:oddVBand="0" w:evenVBand="0" w:oddHBand="0" w:evenHBand="0" w:firstRowFirstColumn="0" w:firstRowLastColumn="0" w:lastRowFirstColumn="0" w:lastRowLastColumn="0"/>
            </w:pPr>
            <w:r>
              <w:t>174</w:t>
            </w:r>
          </w:p>
        </w:tc>
      </w:tr>
      <w:tr w:rsidR="00964B88" w14:paraId="25A6FE82" w14:textId="77777777">
        <w:tc>
          <w:tcPr>
            <w:cnfStyle w:val="001000000000" w:firstRow="0" w:lastRow="0" w:firstColumn="1" w:lastColumn="0" w:oddVBand="0" w:evenVBand="0" w:oddHBand="0" w:evenHBand="0" w:firstRowFirstColumn="0" w:firstRowLastColumn="0" w:lastRowFirstColumn="0" w:lastRowLastColumn="0"/>
            <w:tcW w:w="3518" w:type="dxa"/>
          </w:tcPr>
          <w:p w14:paraId="496D7409" w14:textId="77777777" w:rsidR="00964B88" w:rsidRDefault="00964B88">
            <w:r>
              <w:t>Other private sector and not</w:t>
            </w:r>
            <w:r>
              <w:noBreakHyphen/>
              <w:t>for</w:t>
            </w:r>
            <w:r>
              <w:noBreakHyphen/>
              <w:t>profit</w:t>
            </w:r>
          </w:p>
        </w:tc>
        <w:tc>
          <w:tcPr>
            <w:tcW w:w="850" w:type="dxa"/>
            <w:gridSpan w:val="2"/>
          </w:tcPr>
          <w:p w14:paraId="0709510B" w14:textId="77777777" w:rsidR="00964B88" w:rsidRDefault="00964B88">
            <w:pPr>
              <w:cnfStyle w:val="000000000000" w:firstRow="0" w:lastRow="0" w:firstColumn="0" w:lastColumn="0" w:oddVBand="0" w:evenVBand="0" w:oddHBand="0" w:evenHBand="0" w:firstRowFirstColumn="0" w:firstRowLastColumn="0" w:lastRowFirstColumn="0" w:lastRowLastColumn="0"/>
            </w:pPr>
            <w:r>
              <w:t>14</w:t>
            </w:r>
          </w:p>
        </w:tc>
        <w:tc>
          <w:tcPr>
            <w:tcW w:w="850" w:type="dxa"/>
          </w:tcPr>
          <w:p w14:paraId="0B76C953" w14:textId="77777777" w:rsidR="00964B88" w:rsidRDefault="00964B88">
            <w:pPr>
              <w:cnfStyle w:val="000000000000" w:firstRow="0" w:lastRow="0" w:firstColumn="0" w:lastColumn="0" w:oddVBand="0" w:evenVBand="0" w:oddHBand="0" w:evenHBand="0" w:firstRowFirstColumn="0" w:firstRowLastColumn="0" w:lastRowFirstColumn="0" w:lastRowLastColumn="0"/>
            </w:pPr>
            <w:r>
              <w:t>14</w:t>
            </w:r>
          </w:p>
        </w:tc>
        <w:tc>
          <w:tcPr>
            <w:tcW w:w="850" w:type="dxa"/>
          </w:tcPr>
          <w:p w14:paraId="67161CB6"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c>
          <w:tcPr>
            <w:tcW w:w="850" w:type="dxa"/>
          </w:tcPr>
          <w:p w14:paraId="56586EB9"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c>
          <w:tcPr>
            <w:tcW w:w="850" w:type="dxa"/>
          </w:tcPr>
          <w:p w14:paraId="199C8BAC"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r>
      <w:tr w:rsidR="00964B88" w14:paraId="0AFE7FF9" w14:textId="77777777">
        <w:tc>
          <w:tcPr>
            <w:cnfStyle w:val="001000000000" w:firstRow="0" w:lastRow="0" w:firstColumn="1" w:lastColumn="0" w:oddVBand="0" w:evenVBand="0" w:oddHBand="0" w:evenHBand="0" w:firstRowFirstColumn="0" w:firstRowLastColumn="0" w:lastRowFirstColumn="0" w:lastRowLastColumn="0"/>
            <w:tcW w:w="3518" w:type="dxa"/>
          </w:tcPr>
          <w:p w14:paraId="127E7D79" w14:textId="77777777" w:rsidR="00964B88" w:rsidRDefault="00964B88">
            <w:r>
              <w:t>Grants within the Victorian Government</w:t>
            </w:r>
          </w:p>
        </w:tc>
        <w:tc>
          <w:tcPr>
            <w:tcW w:w="850" w:type="dxa"/>
            <w:gridSpan w:val="2"/>
          </w:tcPr>
          <w:p w14:paraId="19A03FEF" w14:textId="77777777" w:rsidR="00964B88" w:rsidRDefault="00964B88">
            <w:pPr>
              <w:cnfStyle w:val="000000000000" w:firstRow="0" w:lastRow="0" w:firstColumn="0" w:lastColumn="0" w:oddVBand="0" w:evenVBand="0" w:oddHBand="0" w:evenHBand="0" w:firstRowFirstColumn="0" w:firstRowLastColumn="0" w:lastRowFirstColumn="0" w:lastRowLastColumn="0"/>
            </w:pPr>
            <w:r>
              <w:t>17</w:t>
            </w:r>
          </w:p>
        </w:tc>
        <w:tc>
          <w:tcPr>
            <w:tcW w:w="850" w:type="dxa"/>
          </w:tcPr>
          <w:p w14:paraId="33C17769" w14:textId="77777777" w:rsidR="00964B88" w:rsidRDefault="00964B88">
            <w:pPr>
              <w:cnfStyle w:val="000000000000" w:firstRow="0" w:lastRow="0" w:firstColumn="0" w:lastColumn="0" w:oddVBand="0" w:evenVBand="0" w:oddHBand="0" w:evenHBand="0" w:firstRowFirstColumn="0" w:firstRowLastColumn="0" w:lastRowFirstColumn="0" w:lastRowLastColumn="0"/>
            </w:pPr>
            <w:r>
              <w:t>17</w:t>
            </w:r>
          </w:p>
        </w:tc>
        <w:tc>
          <w:tcPr>
            <w:tcW w:w="850" w:type="dxa"/>
          </w:tcPr>
          <w:p w14:paraId="200ECAD7"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c>
          <w:tcPr>
            <w:tcW w:w="850" w:type="dxa"/>
          </w:tcPr>
          <w:p w14:paraId="72886FD2"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Pr>
          <w:p w14:paraId="7736C3B2"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046820C6"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6080341E" w14:textId="77777777" w:rsidR="00964B88" w:rsidRDefault="00964B88">
            <w:r>
              <w:t>Other grants</w:t>
            </w:r>
          </w:p>
        </w:tc>
        <w:tc>
          <w:tcPr>
            <w:tcW w:w="850" w:type="dxa"/>
            <w:gridSpan w:val="2"/>
            <w:tcBorders>
              <w:bottom w:val="single" w:sz="6" w:space="0" w:color="auto"/>
            </w:tcBorders>
          </w:tcPr>
          <w:p w14:paraId="315C59BC" w14:textId="77777777" w:rsidR="00964B88" w:rsidRDefault="00964B88">
            <w:pPr>
              <w:cnfStyle w:val="000000000000" w:firstRow="0" w:lastRow="0" w:firstColumn="0" w:lastColumn="0" w:oddVBand="0" w:evenVBand="0" w:oddHBand="0" w:evenHBand="0" w:firstRowFirstColumn="0" w:firstRowLastColumn="0" w:lastRowFirstColumn="0" w:lastRowLastColumn="0"/>
            </w:pPr>
            <w:r>
              <w:t>5</w:t>
            </w:r>
          </w:p>
        </w:tc>
        <w:tc>
          <w:tcPr>
            <w:tcW w:w="850" w:type="dxa"/>
            <w:tcBorders>
              <w:bottom w:val="single" w:sz="6" w:space="0" w:color="auto"/>
            </w:tcBorders>
          </w:tcPr>
          <w:p w14:paraId="3EEB5E49" w14:textId="77777777" w:rsidR="00964B88" w:rsidRDefault="00964B88">
            <w:pPr>
              <w:cnfStyle w:val="000000000000" w:firstRow="0" w:lastRow="0" w:firstColumn="0" w:lastColumn="0" w:oddVBand="0" w:evenVBand="0" w:oddHBand="0" w:evenHBand="0" w:firstRowFirstColumn="0" w:firstRowLastColumn="0" w:lastRowFirstColumn="0" w:lastRowLastColumn="0"/>
            </w:pPr>
            <w:r>
              <w:t>5</w:t>
            </w:r>
          </w:p>
        </w:tc>
        <w:tc>
          <w:tcPr>
            <w:tcW w:w="850" w:type="dxa"/>
            <w:tcBorders>
              <w:bottom w:val="single" w:sz="6" w:space="0" w:color="auto"/>
            </w:tcBorders>
          </w:tcPr>
          <w:p w14:paraId="668CD9F4"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449251C3"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3C5783C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6CD8EE81"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6" w:space="0" w:color="auto"/>
            </w:tcBorders>
          </w:tcPr>
          <w:p w14:paraId="29BE027B" w14:textId="77777777" w:rsidR="00964B88" w:rsidRDefault="00964B88">
            <w:r>
              <w:rPr>
                <w:b/>
              </w:rPr>
              <w:t>Total capital grant expense</w:t>
            </w:r>
          </w:p>
        </w:tc>
        <w:tc>
          <w:tcPr>
            <w:tcW w:w="850" w:type="dxa"/>
            <w:gridSpan w:val="2"/>
            <w:tcBorders>
              <w:top w:val="single" w:sz="6" w:space="0" w:color="auto"/>
              <w:bottom w:val="single" w:sz="6" w:space="0" w:color="auto"/>
            </w:tcBorders>
          </w:tcPr>
          <w:p w14:paraId="7971E52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383</w:t>
            </w:r>
          </w:p>
        </w:tc>
        <w:tc>
          <w:tcPr>
            <w:tcW w:w="850" w:type="dxa"/>
            <w:tcBorders>
              <w:top w:val="single" w:sz="6" w:space="0" w:color="auto"/>
              <w:bottom w:val="single" w:sz="6" w:space="0" w:color="auto"/>
            </w:tcBorders>
          </w:tcPr>
          <w:p w14:paraId="2170D30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424</w:t>
            </w:r>
          </w:p>
        </w:tc>
        <w:tc>
          <w:tcPr>
            <w:tcW w:w="850" w:type="dxa"/>
            <w:tcBorders>
              <w:top w:val="single" w:sz="6" w:space="0" w:color="auto"/>
              <w:bottom w:val="single" w:sz="6" w:space="0" w:color="auto"/>
            </w:tcBorders>
          </w:tcPr>
          <w:p w14:paraId="005D511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474</w:t>
            </w:r>
          </w:p>
        </w:tc>
        <w:tc>
          <w:tcPr>
            <w:tcW w:w="850" w:type="dxa"/>
            <w:tcBorders>
              <w:top w:val="single" w:sz="6" w:space="0" w:color="auto"/>
              <w:bottom w:val="single" w:sz="6" w:space="0" w:color="auto"/>
            </w:tcBorders>
          </w:tcPr>
          <w:p w14:paraId="16FCE87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437</w:t>
            </w:r>
          </w:p>
        </w:tc>
        <w:tc>
          <w:tcPr>
            <w:tcW w:w="850" w:type="dxa"/>
            <w:tcBorders>
              <w:top w:val="single" w:sz="6" w:space="0" w:color="auto"/>
              <w:bottom w:val="single" w:sz="6" w:space="0" w:color="auto"/>
            </w:tcBorders>
          </w:tcPr>
          <w:p w14:paraId="7F6F533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511</w:t>
            </w:r>
          </w:p>
        </w:tc>
      </w:tr>
      <w:tr w:rsidR="00964B88" w14:paraId="10292AEC"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5942C8D1" w14:textId="77777777" w:rsidR="00964B88" w:rsidRDefault="00964B88">
            <w:r>
              <w:t>Total grant expense</w:t>
            </w:r>
          </w:p>
        </w:tc>
        <w:tc>
          <w:tcPr>
            <w:tcW w:w="850" w:type="dxa"/>
            <w:gridSpan w:val="2"/>
          </w:tcPr>
          <w:p w14:paraId="721EE0CD" w14:textId="77777777" w:rsidR="00964B88" w:rsidRDefault="00964B88">
            <w:pPr>
              <w:cnfStyle w:val="010000000000" w:firstRow="0" w:lastRow="1" w:firstColumn="0" w:lastColumn="0" w:oddVBand="0" w:evenVBand="0" w:oddHBand="0" w:evenHBand="0" w:firstRowFirstColumn="0" w:firstRowLastColumn="0" w:lastRowFirstColumn="0" w:lastRowLastColumn="0"/>
            </w:pPr>
            <w:r>
              <w:t>12 934</w:t>
            </w:r>
          </w:p>
        </w:tc>
        <w:tc>
          <w:tcPr>
            <w:tcW w:w="850" w:type="dxa"/>
          </w:tcPr>
          <w:p w14:paraId="25A30160" w14:textId="77777777" w:rsidR="00964B88" w:rsidRDefault="00964B88">
            <w:pPr>
              <w:cnfStyle w:val="010000000000" w:firstRow="0" w:lastRow="1" w:firstColumn="0" w:lastColumn="0" w:oddVBand="0" w:evenVBand="0" w:oddHBand="0" w:evenHBand="0" w:firstRowFirstColumn="0" w:firstRowLastColumn="0" w:lastRowFirstColumn="0" w:lastRowLastColumn="0"/>
            </w:pPr>
            <w:r>
              <w:t>13 015</w:t>
            </w:r>
          </w:p>
        </w:tc>
        <w:tc>
          <w:tcPr>
            <w:tcW w:w="850" w:type="dxa"/>
          </w:tcPr>
          <w:p w14:paraId="79787EBD" w14:textId="77777777" w:rsidR="00964B88" w:rsidRDefault="00964B88">
            <w:pPr>
              <w:cnfStyle w:val="010000000000" w:firstRow="0" w:lastRow="1" w:firstColumn="0" w:lastColumn="0" w:oddVBand="0" w:evenVBand="0" w:oddHBand="0" w:evenHBand="0" w:firstRowFirstColumn="0" w:firstRowLastColumn="0" w:lastRowFirstColumn="0" w:lastRowLastColumn="0"/>
            </w:pPr>
            <w:r>
              <w:t>14 869</w:t>
            </w:r>
          </w:p>
        </w:tc>
        <w:tc>
          <w:tcPr>
            <w:tcW w:w="850" w:type="dxa"/>
          </w:tcPr>
          <w:p w14:paraId="1EA301B6" w14:textId="77777777" w:rsidR="00964B88" w:rsidRDefault="00964B88">
            <w:pPr>
              <w:cnfStyle w:val="010000000000" w:firstRow="0" w:lastRow="1" w:firstColumn="0" w:lastColumn="0" w:oddVBand="0" w:evenVBand="0" w:oddHBand="0" w:evenHBand="0" w:firstRowFirstColumn="0" w:firstRowLastColumn="0" w:lastRowFirstColumn="0" w:lastRowLastColumn="0"/>
            </w:pPr>
            <w:r>
              <w:t>15 306</w:t>
            </w:r>
          </w:p>
        </w:tc>
        <w:tc>
          <w:tcPr>
            <w:tcW w:w="850" w:type="dxa"/>
          </w:tcPr>
          <w:p w14:paraId="6E857011" w14:textId="77777777" w:rsidR="00964B88" w:rsidRDefault="00964B88">
            <w:pPr>
              <w:cnfStyle w:val="010000000000" w:firstRow="0" w:lastRow="1" w:firstColumn="0" w:lastColumn="0" w:oddVBand="0" w:evenVBand="0" w:oddHBand="0" w:evenHBand="0" w:firstRowFirstColumn="0" w:firstRowLastColumn="0" w:lastRowFirstColumn="0" w:lastRowLastColumn="0"/>
            </w:pPr>
            <w:r>
              <w:t>15 915</w:t>
            </w:r>
          </w:p>
        </w:tc>
      </w:tr>
    </w:tbl>
    <w:p w14:paraId="16606532" w14:textId="77777777" w:rsidR="00964B88" w:rsidRPr="00697AD9" w:rsidRDefault="00964B88" w:rsidP="00F53820">
      <w:pPr>
        <w:spacing w:before="20"/>
        <w:ind w:left="284" w:hanging="284"/>
        <w:contextualSpacing/>
        <w:rPr>
          <w:rFonts w:asciiTheme="majorHAnsi" w:hAnsiTheme="majorHAnsi"/>
          <w:i/>
          <w:spacing w:val="-2"/>
          <w:sz w:val="14"/>
        </w:rPr>
      </w:pPr>
      <w:r>
        <w:rPr>
          <w:rFonts w:asciiTheme="majorHAnsi" w:hAnsiTheme="majorHAnsi"/>
          <w:i/>
          <w:spacing w:val="-2"/>
          <w:sz w:val="14"/>
        </w:rPr>
        <w:t>Note</w:t>
      </w:r>
      <w:r w:rsidRPr="00697AD9">
        <w:rPr>
          <w:rFonts w:asciiTheme="majorHAnsi" w:hAnsiTheme="majorHAnsi"/>
          <w:i/>
          <w:spacing w:val="-2"/>
          <w:sz w:val="14"/>
        </w:rPr>
        <w:t>:</w:t>
      </w:r>
    </w:p>
    <w:p w14:paraId="0B16F141" w14:textId="77777777" w:rsidR="00964B88" w:rsidRDefault="00964B88" w:rsidP="00F53820">
      <w:pPr>
        <w:spacing w:before="20"/>
        <w:ind w:left="284" w:hanging="284"/>
        <w:contextualSpacing/>
        <w:rPr>
          <w:rFonts w:asciiTheme="majorHAnsi" w:hAnsiTheme="majorHAnsi"/>
          <w:i/>
          <w:spacing w:val="-2"/>
          <w:sz w:val="14"/>
        </w:rPr>
      </w:pPr>
      <w:r w:rsidRPr="00697AD9">
        <w:rPr>
          <w:rFonts w:asciiTheme="majorHAnsi" w:hAnsiTheme="majorHAnsi"/>
          <w:i/>
          <w:spacing w:val="-2"/>
          <w:sz w:val="14"/>
        </w:rPr>
        <w:t>(a)</w:t>
      </w:r>
      <w:r w:rsidRPr="00697AD9">
        <w:rPr>
          <w:rFonts w:asciiTheme="majorHAnsi" w:hAnsiTheme="majorHAnsi"/>
          <w:i/>
          <w:spacing w:val="-2"/>
          <w:sz w:val="14"/>
        </w:rPr>
        <w:tab/>
      </w:r>
      <w:r w:rsidRPr="005F1DEA">
        <w:rPr>
          <w:rFonts w:asciiTheme="majorHAnsi" w:hAnsiTheme="majorHAnsi"/>
          <w:i/>
          <w:spacing w:val="-2"/>
          <w:sz w:val="14"/>
        </w:rPr>
        <w:t>The increase in Commonwealth grant expense in 2020-21 is largely driven by the State’s contribution to the National Disability Insurance Scheme (NDIS).</w:t>
      </w:r>
    </w:p>
    <w:p w14:paraId="0A320609" w14:textId="77777777" w:rsidR="00964B88" w:rsidRDefault="00964B88" w:rsidP="00F53820"/>
    <w:p w14:paraId="3C1E3C52" w14:textId="77777777" w:rsidR="00964B88" w:rsidRDefault="00964B88" w:rsidP="00F53820"/>
    <w:p w14:paraId="6EFCE057" w14:textId="77777777" w:rsidR="00964B88" w:rsidRPr="00911D89" w:rsidRDefault="00964B88" w:rsidP="00F53820">
      <w:bookmarkStart w:id="92" w:name="_Toc496606577"/>
      <w:bookmarkStart w:id="93" w:name="_Toc530147963"/>
      <w:r w:rsidRPr="00911D89">
        <w:br w:type="page"/>
      </w:r>
    </w:p>
    <w:p w14:paraId="76375F8A" w14:textId="77777777" w:rsidR="00964B88" w:rsidRPr="00177EBC" w:rsidRDefault="00964B88" w:rsidP="00964B88">
      <w:pPr>
        <w:pStyle w:val="Heading3"/>
        <w:numPr>
          <w:ilvl w:val="2"/>
          <w:numId w:val="22"/>
        </w:numPr>
        <w:tabs>
          <w:tab w:val="clear" w:pos="7711"/>
          <w:tab w:val="left" w:pos="850"/>
          <w:tab w:val="right" w:pos="7710"/>
        </w:tabs>
        <w:spacing w:after="60"/>
        <w:rPr>
          <w:lang w:val="en-US"/>
        </w:rPr>
      </w:pPr>
      <w:r>
        <w:lastRenderedPageBreak/>
        <w:t xml:space="preserve">Other </w:t>
      </w:r>
      <w:r w:rsidRPr="004E4D8E">
        <w:t>operating</w:t>
      </w:r>
      <w:r>
        <w:t xml:space="preserve"> expenses </w:t>
      </w:r>
      <w:r>
        <w:tab/>
        <w:t>($ million)</w:t>
      </w:r>
      <w:bookmarkEnd w:id="92"/>
      <w:bookmarkEnd w:id="93"/>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36155F07"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45592DBD" w14:textId="77777777" w:rsidR="00964B88" w:rsidRDefault="00964B88"/>
        </w:tc>
        <w:tc>
          <w:tcPr>
            <w:tcW w:w="850" w:type="dxa"/>
          </w:tcPr>
          <w:p w14:paraId="093C8833"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7241CC83"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614FC27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4BE31E7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6314F55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6DF41D53" w14:textId="77777777">
        <w:tc>
          <w:tcPr>
            <w:cnfStyle w:val="001000000000" w:firstRow="0" w:lastRow="0" w:firstColumn="1" w:lastColumn="0" w:oddVBand="0" w:evenVBand="0" w:oddHBand="0" w:evenHBand="0" w:firstRowFirstColumn="0" w:firstRowLastColumn="0" w:lastRowFirstColumn="0" w:lastRowLastColumn="0"/>
            <w:tcW w:w="3518" w:type="dxa"/>
          </w:tcPr>
          <w:p w14:paraId="6CEB6782" w14:textId="77777777" w:rsidR="00964B88" w:rsidRDefault="00964B88">
            <w:r>
              <w:t>Purchase of supplies and consumables</w:t>
            </w:r>
            <w:r>
              <w:rPr>
                <w:vertAlign w:val="superscript"/>
              </w:rPr>
              <w:t xml:space="preserve"> (a)</w:t>
            </w:r>
          </w:p>
        </w:tc>
        <w:tc>
          <w:tcPr>
            <w:tcW w:w="850" w:type="dxa"/>
          </w:tcPr>
          <w:p w14:paraId="1DEEC982" w14:textId="77777777" w:rsidR="00964B88" w:rsidRDefault="00964B88">
            <w:pPr>
              <w:cnfStyle w:val="000000000000" w:firstRow="0" w:lastRow="0" w:firstColumn="0" w:lastColumn="0" w:oddVBand="0" w:evenVBand="0" w:oddHBand="0" w:evenHBand="0" w:firstRowFirstColumn="0" w:firstRowLastColumn="0" w:lastRowFirstColumn="0" w:lastRowLastColumn="0"/>
            </w:pPr>
            <w:r>
              <w:t>5 811</w:t>
            </w:r>
          </w:p>
        </w:tc>
        <w:tc>
          <w:tcPr>
            <w:tcW w:w="850" w:type="dxa"/>
          </w:tcPr>
          <w:p w14:paraId="6CB54DA0" w14:textId="77777777" w:rsidR="00964B88" w:rsidRDefault="00964B88">
            <w:pPr>
              <w:cnfStyle w:val="000000000000" w:firstRow="0" w:lastRow="0" w:firstColumn="0" w:lastColumn="0" w:oddVBand="0" w:evenVBand="0" w:oddHBand="0" w:evenHBand="0" w:firstRowFirstColumn="0" w:firstRowLastColumn="0" w:lastRowFirstColumn="0" w:lastRowLastColumn="0"/>
            </w:pPr>
            <w:r>
              <w:t>5 600</w:t>
            </w:r>
          </w:p>
        </w:tc>
        <w:tc>
          <w:tcPr>
            <w:tcW w:w="850" w:type="dxa"/>
          </w:tcPr>
          <w:p w14:paraId="026FE552" w14:textId="77777777" w:rsidR="00964B88" w:rsidRDefault="00964B88">
            <w:pPr>
              <w:cnfStyle w:val="000000000000" w:firstRow="0" w:lastRow="0" w:firstColumn="0" w:lastColumn="0" w:oddVBand="0" w:evenVBand="0" w:oddHBand="0" w:evenHBand="0" w:firstRowFirstColumn="0" w:firstRowLastColumn="0" w:lastRowFirstColumn="0" w:lastRowLastColumn="0"/>
            </w:pPr>
            <w:r>
              <w:t>5 652</w:t>
            </w:r>
          </w:p>
        </w:tc>
        <w:tc>
          <w:tcPr>
            <w:tcW w:w="850" w:type="dxa"/>
          </w:tcPr>
          <w:p w14:paraId="19BD2760" w14:textId="77777777" w:rsidR="00964B88" w:rsidRDefault="00964B88">
            <w:pPr>
              <w:cnfStyle w:val="000000000000" w:firstRow="0" w:lastRow="0" w:firstColumn="0" w:lastColumn="0" w:oddVBand="0" w:evenVBand="0" w:oddHBand="0" w:evenHBand="0" w:firstRowFirstColumn="0" w:firstRowLastColumn="0" w:lastRowFirstColumn="0" w:lastRowLastColumn="0"/>
            </w:pPr>
            <w:r>
              <w:t>5 746</w:t>
            </w:r>
          </w:p>
        </w:tc>
        <w:tc>
          <w:tcPr>
            <w:tcW w:w="850" w:type="dxa"/>
          </w:tcPr>
          <w:p w14:paraId="089C4447" w14:textId="77777777" w:rsidR="00964B88" w:rsidRDefault="00964B88">
            <w:pPr>
              <w:cnfStyle w:val="000000000000" w:firstRow="0" w:lastRow="0" w:firstColumn="0" w:lastColumn="0" w:oddVBand="0" w:evenVBand="0" w:oddHBand="0" w:evenHBand="0" w:firstRowFirstColumn="0" w:firstRowLastColumn="0" w:lastRowFirstColumn="0" w:lastRowLastColumn="0"/>
            </w:pPr>
            <w:r>
              <w:t>6 581</w:t>
            </w:r>
          </w:p>
        </w:tc>
      </w:tr>
      <w:tr w:rsidR="00964B88" w14:paraId="50177271" w14:textId="77777777">
        <w:tc>
          <w:tcPr>
            <w:cnfStyle w:val="001000000000" w:firstRow="0" w:lastRow="0" w:firstColumn="1" w:lastColumn="0" w:oddVBand="0" w:evenVBand="0" w:oddHBand="0" w:evenHBand="0" w:firstRowFirstColumn="0" w:firstRowLastColumn="0" w:lastRowFirstColumn="0" w:lastRowLastColumn="0"/>
            <w:tcW w:w="3518" w:type="dxa"/>
          </w:tcPr>
          <w:p w14:paraId="4915E892" w14:textId="77777777" w:rsidR="00964B88" w:rsidRDefault="00964B88">
            <w:r>
              <w:t>Cost of goods sold</w:t>
            </w:r>
          </w:p>
        </w:tc>
        <w:tc>
          <w:tcPr>
            <w:tcW w:w="850" w:type="dxa"/>
          </w:tcPr>
          <w:p w14:paraId="688806C6" w14:textId="77777777" w:rsidR="00964B88" w:rsidRDefault="00964B88">
            <w:pPr>
              <w:cnfStyle w:val="000000000000" w:firstRow="0" w:lastRow="0" w:firstColumn="0" w:lastColumn="0" w:oddVBand="0" w:evenVBand="0" w:oddHBand="0" w:evenHBand="0" w:firstRowFirstColumn="0" w:firstRowLastColumn="0" w:lastRowFirstColumn="0" w:lastRowLastColumn="0"/>
            </w:pPr>
            <w:r>
              <w:t>31</w:t>
            </w:r>
          </w:p>
        </w:tc>
        <w:tc>
          <w:tcPr>
            <w:tcW w:w="850" w:type="dxa"/>
          </w:tcPr>
          <w:p w14:paraId="4578BCAF" w14:textId="77777777" w:rsidR="00964B88" w:rsidRDefault="00964B88">
            <w:pPr>
              <w:cnfStyle w:val="000000000000" w:firstRow="0" w:lastRow="0" w:firstColumn="0" w:lastColumn="0" w:oddVBand="0" w:evenVBand="0" w:oddHBand="0" w:evenHBand="0" w:firstRowFirstColumn="0" w:firstRowLastColumn="0" w:lastRowFirstColumn="0" w:lastRowLastColumn="0"/>
            </w:pPr>
            <w:r>
              <w:t>31</w:t>
            </w:r>
          </w:p>
        </w:tc>
        <w:tc>
          <w:tcPr>
            <w:tcW w:w="850" w:type="dxa"/>
          </w:tcPr>
          <w:p w14:paraId="43EB6ED9" w14:textId="77777777" w:rsidR="00964B88" w:rsidRDefault="00964B88">
            <w:pPr>
              <w:cnfStyle w:val="000000000000" w:firstRow="0" w:lastRow="0" w:firstColumn="0" w:lastColumn="0" w:oddVBand="0" w:evenVBand="0" w:oddHBand="0" w:evenHBand="0" w:firstRowFirstColumn="0" w:firstRowLastColumn="0" w:lastRowFirstColumn="0" w:lastRowLastColumn="0"/>
            </w:pPr>
            <w:r>
              <w:t>31</w:t>
            </w:r>
          </w:p>
        </w:tc>
        <w:tc>
          <w:tcPr>
            <w:tcW w:w="850" w:type="dxa"/>
          </w:tcPr>
          <w:p w14:paraId="3A085C8A" w14:textId="77777777" w:rsidR="00964B88" w:rsidRDefault="00964B88">
            <w:pPr>
              <w:cnfStyle w:val="000000000000" w:firstRow="0" w:lastRow="0" w:firstColumn="0" w:lastColumn="0" w:oddVBand="0" w:evenVBand="0" w:oddHBand="0" w:evenHBand="0" w:firstRowFirstColumn="0" w:firstRowLastColumn="0" w:lastRowFirstColumn="0" w:lastRowLastColumn="0"/>
            </w:pPr>
            <w:r>
              <w:t>32</w:t>
            </w:r>
          </w:p>
        </w:tc>
        <w:tc>
          <w:tcPr>
            <w:tcW w:w="850" w:type="dxa"/>
          </w:tcPr>
          <w:p w14:paraId="6DD2EE93" w14:textId="77777777" w:rsidR="00964B88" w:rsidRDefault="00964B88">
            <w:pPr>
              <w:cnfStyle w:val="000000000000" w:firstRow="0" w:lastRow="0" w:firstColumn="0" w:lastColumn="0" w:oddVBand="0" w:evenVBand="0" w:oddHBand="0" w:evenHBand="0" w:firstRowFirstColumn="0" w:firstRowLastColumn="0" w:lastRowFirstColumn="0" w:lastRowLastColumn="0"/>
            </w:pPr>
            <w:r>
              <w:t>33</w:t>
            </w:r>
          </w:p>
        </w:tc>
      </w:tr>
      <w:tr w:rsidR="00964B88" w14:paraId="122A2AE4" w14:textId="77777777">
        <w:tc>
          <w:tcPr>
            <w:cnfStyle w:val="001000000000" w:firstRow="0" w:lastRow="0" w:firstColumn="1" w:lastColumn="0" w:oddVBand="0" w:evenVBand="0" w:oddHBand="0" w:evenHBand="0" w:firstRowFirstColumn="0" w:firstRowLastColumn="0" w:lastRowFirstColumn="0" w:lastRowLastColumn="0"/>
            <w:tcW w:w="3518" w:type="dxa"/>
          </w:tcPr>
          <w:p w14:paraId="2E8E2867" w14:textId="77777777" w:rsidR="00964B88" w:rsidRDefault="00964B88">
            <w:r>
              <w:t>Finance expenses and fees</w:t>
            </w:r>
          </w:p>
        </w:tc>
        <w:tc>
          <w:tcPr>
            <w:tcW w:w="850" w:type="dxa"/>
          </w:tcPr>
          <w:p w14:paraId="1EB0B89C" w14:textId="77777777" w:rsidR="00964B88" w:rsidRDefault="00964B88">
            <w:pPr>
              <w:cnfStyle w:val="000000000000" w:firstRow="0" w:lastRow="0" w:firstColumn="0" w:lastColumn="0" w:oddVBand="0" w:evenVBand="0" w:oddHBand="0" w:evenHBand="0" w:firstRowFirstColumn="0" w:firstRowLastColumn="0" w:lastRowFirstColumn="0" w:lastRowLastColumn="0"/>
            </w:pPr>
            <w:r>
              <w:t>33</w:t>
            </w:r>
          </w:p>
        </w:tc>
        <w:tc>
          <w:tcPr>
            <w:tcW w:w="850" w:type="dxa"/>
          </w:tcPr>
          <w:p w14:paraId="7CA6ED31" w14:textId="77777777" w:rsidR="00964B88" w:rsidRDefault="00964B88">
            <w:pPr>
              <w:cnfStyle w:val="000000000000" w:firstRow="0" w:lastRow="0" w:firstColumn="0" w:lastColumn="0" w:oddVBand="0" w:evenVBand="0" w:oddHBand="0" w:evenHBand="0" w:firstRowFirstColumn="0" w:firstRowLastColumn="0" w:lastRowFirstColumn="0" w:lastRowLastColumn="0"/>
            </w:pPr>
            <w:r>
              <w:t>41</w:t>
            </w:r>
          </w:p>
        </w:tc>
        <w:tc>
          <w:tcPr>
            <w:tcW w:w="850" w:type="dxa"/>
          </w:tcPr>
          <w:p w14:paraId="2AE67DAB" w14:textId="77777777" w:rsidR="00964B88" w:rsidRDefault="00964B88">
            <w:pPr>
              <w:cnfStyle w:val="000000000000" w:firstRow="0" w:lastRow="0" w:firstColumn="0" w:lastColumn="0" w:oddVBand="0" w:evenVBand="0" w:oddHBand="0" w:evenHBand="0" w:firstRowFirstColumn="0" w:firstRowLastColumn="0" w:lastRowFirstColumn="0" w:lastRowLastColumn="0"/>
            </w:pPr>
            <w:r>
              <w:t>41</w:t>
            </w:r>
          </w:p>
        </w:tc>
        <w:tc>
          <w:tcPr>
            <w:tcW w:w="850" w:type="dxa"/>
          </w:tcPr>
          <w:p w14:paraId="676FCF2D" w14:textId="77777777" w:rsidR="00964B88" w:rsidRDefault="00964B88">
            <w:pPr>
              <w:cnfStyle w:val="000000000000" w:firstRow="0" w:lastRow="0" w:firstColumn="0" w:lastColumn="0" w:oddVBand="0" w:evenVBand="0" w:oddHBand="0" w:evenHBand="0" w:firstRowFirstColumn="0" w:firstRowLastColumn="0" w:lastRowFirstColumn="0" w:lastRowLastColumn="0"/>
            </w:pPr>
            <w:r>
              <w:t>42</w:t>
            </w:r>
          </w:p>
        </w:tc>
        <w:tc>
          <w:tcPr>
            <w:tcW w:w="850" w:type="dxa"/>
          </w:tcPr>
          <w:p w14:paraId="476BEB2E" w14:textId="77777777" w:rsidR="00964B88" w:rsidRDefault="00964B88">
            <w:pPr>
              <w:cnfStyle w:val="000000000000" w:firstRow="0" w:lastRow="0" w:firstColumn="0" w:lastColumn="0" w:oddVBand="0" w:evenVBand="0" w:oddHBand="0" w:evenHBand="0" w:firstRowFirstColumn="0" w:firstRowLastColumn="0" w:lastRowFirstColumn="0" w:lastRowLastColumn="0"/>
            </w:pPr>
            <w:r>
              <w:t>42</w:t>
            </w:r>
          </w:p>
        </w:tc>
      </w:tr>
      <w:tr w:rsidR="00964B88" w14:paraId="698A30A7" w14:textId="77777777">
        <w:tc>
          <w:tcPr>
            <w:cnfStyle w:val="001000000000" w:firstRow="0" w:lastRow="0" w:firstColumn="1" w:lastColumn="0" w:oddVBand="0" w:evenVBand="0" w:oddHBand="0" w:evenHBand="0" w:firstRowFirstColumn="0" w:firstRowLastColumn="0" w:lastRowFirstColumn="0" w:lastRowLastColumn="0"/>
            <w:tcW w:w="3518" w:type="dxa"/>
          </w:tcPr>
          <w:p w14:paraId="76BC24DF" w14:textId="77777777" w:rsidR="00964B88" w:rsidRDefault="00964B88">
            <w:r>
              <w:t>Purchase of services</w:t>
            </w:r>
            <w:r>
              <w:rPr>
                <w:vertAlign w:val="superscript"/>
              </w:rPr>
              <w:t xml:space="preserve"> (a)(b)</w:t>
            </w:r>
          </w:p>
        </w:tc>
        <w:tc>
          <w:tcPr>
            <w:tcW w:w="850" w:type="dxa"/>
          </w:tcPr>
          <w:p w14:paraId="2ADF7A1F" w14:textId="77777777" w:rsidR="00964B88" w:rsidRDefault="00964B88">
            <w:pPr>
              <w:cnfStyle w:val="000000000000" w:firstRow="0" w:lastRow="0" w:firstColumn="0" w:lastColumn="0" w:oddVBand="0" w:evenVBand="0" w:oddHBand="0" w:evenHBand="0" w:firstRowFirstColumn="0" w:firstRowLastColumn="0" w:lastRowFirstColumn="0" w:lastRowLastColumn="0"/>
            </w:pPr>
            <w:r>
              <w:t>12 926</w:t>
            </w:r>
          </w:p>
        </w:tc>
        <w:tc>
          <w:tcPr>
            <w:tcW w:w="850" w:type="dxa"/>
          </w:tcPr>
          <w:p w14:paraId="5A5CBB85" w14:textId="77777777" w:rsidR="00964B88" w:rsidRDefault="00964B88">
            <w:pPr>
              <w:cnfStyle w:val="000000000000" w:firstRow="0" w:lastRow="0" w:firstColumn="0" w:lastColumn="0" w:oddVBand="0" w:evenVBand="0" w:oddHBand="0" w:evenHBand="0" w:firstRowFirstColumn="0" w:firstRowLastColumn="0" w:lastRowFirstColumn="0" w:lastRowLastColumn="0"/>
            </w:pPr>
            <w:r>
              <w:t>13 619</w:t>
            </w:r>
          </w:p>
        </w:tc>
        <w:tc>
          <w:tcPr>
            <w:tcW w:w="850" w:type="dxa"/>
          </w:tcPr>
          <w:p w14:paraId="3292C95D" w14:textId="77777777" w:rsidR="00964B88" w:rsidRDefault="00964B88">
            <w:pPr>
              <w:cnfStyle w:val="000000000000" w:firstRow="0" w:lastRow="0" w:firstColumn="0" w:lastColumn="0" w:oddVBand="0" w:evenVBand="0" w:oddHBand="0" w:evenHBand="0" w:firstRowFirstColumn="0" w:firstRowLastColumn="0" w:lastRowFirstColumn="0" w:lastRowLastColumn="0"/>
            </w:pPr>
            <w:r>
              <w:t>12 846</w:t>
            </w:r>
          </w:p>
        </w:tc>
        <w:tc>
          <w:tcPr>
            <w:tcW w:w="850" w:type="dxa"/>
          </w:tcPr>
          <w:p w14:paraId="4443CBC7" w14:textId="77777777" w:rsidR="00964B88" w:rsidRDefault="00964B88">
            <w:pPr>
              <w:cnfStyle w:val="000000000000" w:firstRow="0" w:lastRow="0" w:firstColumn="0" w:lastColumn="0" w:oddVBand="0" w:evenVBand="0" w:oddHBand="0" w:evenHBand="0" w:firstRowFirstColumn="0" w:firstRowLastColumn="0" w:lastRowFirstColumn="0" w:lastRowLastColumn="0"/>
            </w:pPr>
            <w:r>
              <w:t>12 260</w:t>
            </w:r>
          </w:p>
        </w:tc>
        <w:tc>
          <w:tcPr>
            <w:tcW w:w="850" w:type="dxa"/>
          </w:tcPr>
          <w:p w14:paraId="77ED66B5" w14:textId="77777777" w:rsidR="00964B88" w:rsidRDefault="00964B88">
            <w:pPr>
              <w:cnfStyle w:val="000000000000" w:firstRow="0" w:lastRow="0" w:firstColumn="0" w:lastColumn="0" w:oddVBand="0" w:evenVBand="0" w:oddHBand="0" w:evenHBand="0" w:firstRowFirstColumn="0" w:firstRowLastColumn="0" w:lastRowFirstColumn="0" w:lastRowLastColumn="0"/>
            </w:pPr>
            <w:r>
              <w:t>12 169</w:t>
            </w:r>
          </w:p>
        </w:tc>
      </w:tr>
      <w:tr w:rsidR="00964B88" w14:paraId="747F4DA0" w14:textId="77777777">
        <w:tc>
          <w:tcPr>
            <w:cnfStyle w:val="001000000000" w:firstRow="0" w:lastRow="0" w:firstColumn="1" w:lastColumn="0" w:oddVBand="0" w:evenVBand="0" w:oddHBand="0" w:evenHBand="0" w:firstRowFirstColumn="0" w:firstRowLastColumn="0" w:lastRowFirstColumn="0" w:lastRowLastColumn="0"/>
            <w:tcW w:w="3518" w:type="dxa"/>
          </w:tcPr>
          <w:p w14:paraId="75795D18" w14:textId="77777777" w:rsidR="00964B88" w:rsidRDefault="00964B88">
            <w:r>
              <w:t>Insurance claims expense</w:t>
            </w:r>
          </w:p>
        </w:tc>
        <w:tc>
          <w:tcPr>
            <w:tcW w:w="850" w:type="dxa"/>
          </w:tcPr>
          <w:p w14:paraId="4BF5472C" w14:textId="77777777" w:rsidR="00964B88" w:rsidRDefault="00964B88">
            <w:pPr>
              <w:cnfStyle w:val="000000000000" w:firstRow="0" w:lastRow="0" w:firstColumn="0" w:lastColumn="0" w:oddVBand="0" w:evenVBand="0" w:oddHBand="0" w:evenHBand="0" w:firstRowFirstColumn="0" w:firstRowLastColumn="0" w:lastRowFirstColumn="0" w:lastRowLastColumn="0"/>
            </w:pPr>
            <w:r>
              <w:t>263</w:t>
            </w:r>
          </w:p>
        </w:tc>
        <w:tc>
          <w:tcPr>
            <w:tcW w:w="850" w:type="dxa"/>
          </w:tcPr>
          <w:p w14:paraId="1BB83ABA" w14:textId="77777777" w:rsidR="00964B88" w:rsidRDefault="00964B88">
            <w:pPr>
              <w:cnfStyle w:val="000000000000" w:firstRow="0" w:lastRow="0" w:firstColumn="0" w:lastColumn="0" w:oddVBand="0" w:evenVBand="0" w:oddHBand="0" w:evenHBand="0" w:firstRowFirstColumn="0" w:firstRowLastColumn="0" w:lastRowFirstColumn="0" w:lastRowLastColumn="0"/>
            </w:pPr>
            <w:r>
              <w:t>265</w:t>
            </w:r>
          </w:p>
        </w:tc>
        <w:tc>
          <w:tcPr>
            <w:tcW w:w="850" w:type="dxa"/>
          </w:tcPr>
          <w:p w14:paraId="05B1BFF3" w14:textId="77777777" w:rsidR="00964B88" w:rsidRDefault="00964B88">
            <w:pPr>
              <w:cnfStyle w:val="000000000000" w:firstRow="0" w:lastRow="0" w:firstColumn="0" w:lastColumn="0" w:oddVBand="0" w:evenVBand="0" w:oddHBand="0" w:evenHBand="0" w:firstRowFirstColumn="0" w:firstRowLastColumn="0" w:lastRowFirstColumn="0" w:lastRowLastColumn="0"/>
            </w:pPr>
            <w:r>
              <w:t>265</w:t>
            </w:r>
          </w:p>
        </w:tc>
        <w:tc>
          <w:tcPr>
            <w:tcW w:w="850" w:type="dxa"/>
          </w:tcPr>
          <w:p w14:paraId="0F1D809B" w14:textId="77777777" w:rsidR="00964B88" w:rsidRDefault="00964B88">
            <w:pPr>
              <w:cnfStyle w:val="000000000000" w:firstRow="0" w:lastRow="0" w:firstColumn="0" w:lastColumn="0" w:oddVBand="0" w:evenVBand="0" w:oddHBand="0" w:evenHBand="0" w:firstRowFirstColumn="0" w:firstRowLastColumn="0" w:lastRowFirstColumn="0" w:lastRowLastColumn="0"/>
            </w:pPr>
            <w:r>
              <w:t>270</w:t>
            </w:r>
          </w:p>
        </w:tc>
        <w:tc>
          <w:tcPr>
            <w:tcW w:w="850" w:type="dxa"/>
          </w:tcPr>
          <w:p w14:paraId="79DB7E0A" w14:textId="77777777" w:rsidR="00964B88" w:rsidRDefault="00964B88">
            <w:pPr>
              <w:cnfStyle w:val="000000000000" w:firstRow="0" w:lastRow="0" w:firstColumn="0" w:lastColumn="0" w:oddVBand="0" w:evenVBand="0" w:oddHBand="0" w:evenHBand="0" w:firstRowFirstColumn="0" w:firstRowLastColumn="0" w:lastRowFirstColumn="0" w:lastRowLastColumn="0"/>
            </w:pPr>
            <w:r>
              <w:t>274</w:t>
            </w:r>
          </w:p>
        </w:tc>
      </w:tr>
      <w:tr w:rsidR="00964B88" w14:paraId="21C7351A" w14:textId="77777777">
        <w:tc>
          <w:tcPr>
            <w:cnfStyle w:val="001000000000" w:firstRow="0" w:lastRow="0" w:firstColumn="1" w:lastColumn="0" w:oddVBand="0" w:evenVBand="0" w:oddHBand="0" w:evenHBand="0" w:firstRowFirstColumn="0" w:firstRowLastColumn="0" w:lastRowFirstColumn="0" w:lastRowLastColumn="0"/>
            <w:tcW w:w="3518" w:type="dxa"/>
          </w:tcPr>
          <w:p w14:paraId="52D1E70A" w14:textId="77777777" w:rsidR="00964B88" w:rsidRDefault="00964B88">
            <w:r>
              <w:t>Maintenance</w:t>
            </w:r>
          </w:p>
        </w:tc>
        <w:tc>
          <w:tcPr>
            <w:tcW w:w="850" w:type="dxa"/>
          </w:tcPr>
          <w:p w14:paraId="59994478" w14:textId="77777777" w:rsidR="00964B88" w:rsidRDefault="00964B88">
            <w:pPr>
              <w:cnfStyle w:val="000000000000" w:firstRow="0" w:lastRow="0" w:firstColumn="0" w:lastColumn="0" w:oddVBand="0" w:evenVBand="0" w:oddHBand="0" w:evenHBand="0" w:firstRowFirstColumn="0" w:firstRowLastColumn="0" w:lastRowFirstColumn="0" w:lastRowLastColumn="0"/>
            </w:pPr>
            <w:r>
              <w:t>964</w:t>
            </w:r>
          </w:p>
        </w:tc>
        <w:tc>
          <w:tcPr>
            <w:tcW w:w="850" w:type="dxa"/>
          </w:tcPr>
          <w:p w14:paraId="67E4A7A0" w14:textId="77777777" w:rsidR="00964B88" w:rsidRDefault="00964B88">
            <w:pPr>
              <w:cnfStyle w:val="000000000000" w:firstRow="0" w:lastRow="0" w:firstColumn="0" w:lastColumn="0" w:oddVBand="0" w:evenVBand="0" w:oddHBand="0" w:evenHBand="0" w:firstRowFirstColumn="0" w:firstRowLastColumn="0" w:lastRowFirstColumn="0" w:lastRowLastColumn="0"/>
            </w:pPr>
            <w:r>
              <w:t>1 095</w:t>
            </w:r>
          </w:p>
        </w:tc>
        <w:tc>
          <w:tcPr>
            <w:tcW w:w="850" w:type="dxa"/>
          </w:tcPr>
          <w:p w14:paraId="49FFA4E1" w14:textId="77777777" w:rsidR="00964B88" w:rsidRDefault="00964B88">
            <w:pPr>
              <w:cnfStyle w:val="000000000000" w:firstRow="0" w:lastRow="0" w:firstColumn="0" w:lastColumn="0" w:oddVBand="0" w:evenVBand="0" w:oddHBand="0" w:evenHBand="0" w:firstRowFirstColumn="0" w:firstRowLastColumn="0" w:lastRowFirstColumn="0" w:lastRowLastColumn="0"/>
            </w:pPr>
            <w:r>
              <w:t>1 012</w:t>
            </w:r>
          </w:p>
        </w:tc>
        <w:tc>
          <w:tcPr>
            <w:tcW w:w="850" w:type="dxa"/>
          </w:tcPr>
          <w:p w14:paraId="6F6519F6" w14:textId="77777777" w:rsidR="00964B88" w:rsidRDefault="00964B88">
            <w:pPr>
              <w:cnfStyle w:val="000000000000" w:firstRow="0" w:lastRow="0" w:firstColumn="0" w:lastColumn="0" w:oddVBand="0" w:evenVBand="0" w:oddHBand="0" w:evenHBand="0" w:firstRowFirstColumn="0" w:firstRowLastColumn="0" w:lastRowFirstColumn="0" w:lastRowLastColumn="0"/>
            </w:pPr>
            <w:r>
              <w:t>914</w:t>
            </w:r>
          </w:p>
        </w:tc>
        <w:tc>
          <w:tcPr>
            <w:tcW w:w="850" w:type="dxa"/>
          </w:tcPr>
          <w:p w14:paraId="14A1E47C" w14:textId="77777777" w:rsidR="00964B88" w:rsidRDefault="00964B88">
            <w:pPr>
              <w:cnfStyle w:val="000000000000" w:firstRow="0" w:lastRow="0" w:firstColumn="0" w:lastColumn="0" w:oddVBand="0" w:evenVBand="0" w:oddHBand="0" w:evenHBand="0" w:firstRowFirstColumn="0" w:firstRowLastColumn="0" w:lastRowFirstColumn="0" w:lastRowLastColumn="0"/>
            </w:pPr>
            <w:r>
              <w:t>927</w:t>
            </w:r>
          </w:p>
        </w:tc>
      </w:tr>
      <w:tr w:rsidR="00964B88" w14:paraId="7CC944B1" w14:textId="77777777">
        <w:tc>
          <w:tcPr>
            <w:cnfStyle w:val="001000000000" w:firstRow="0" w:lastRow="0" w:firstColumn="1" w:lastColumn="0" w:oddVBand="0" w:evenVBand="0" w:oddHBand="0" w:evenHBand="0" w:firstRowFirstColumn="0" w:firstRowLastColumn="0" w:lastRowFirstColumn="0" w:lastRowLastColumn="0"/>
            <w:tcW w:w="3518" w:type="dxa"/>
          </w:tcPr>
          <w:p w14:paraId="724CE7EE" w14:textId="77777777" w:rsidR="00964B88" w:rsidRDefault="00964B88">
            <w:r>
              <w:t>Short term and low value lease expense</w:t>
            </w:r>
          </w:p>
        </w:tc>
        <w:tc>
          <w:tcPr>
            <w:tcW w:w="850" w:type="dxa"/>
          </w:tcPr>
          <w:p w14:paraId="0B6A8C3A" w14:textId="77777777" w:rsidR="00964B88" w:rsidRDefault="00964B88">
            <w:pPr>
              <w:cnfStyle w:val="000000000000" w:firstRow="0" w:lastRow="0" w:firstColumn="0" w:lastColumn="0" w:oddVBand="0" w:evenVBand="0" w:oddHBand="0" w:evenHBand="0" w:firstRowFirstColumn="0" w:firstRowLastColumn="0" w:lastRowFirstColumn="0" w:lastRowLastColumn="0"/>
            </w:pPr>
            <w:r>
              <w:t>79</w:t>
            </w:r>
          </w:p>
        </w:tc>
        <w:tc>
          <w:tcPr>
            <w:tcW w:w="850" w:type="dxa"/>
          </w:tcPr>
          <w:p w14:paraId="11923CCE" w14:textId="77777777" w:rsidR="00964B88" w:rsidRDefault="00964B88">
            <w:pPr>
              <w:cnfStyle w:val="000000000000" w:firstRow="0" w:lastRow="0" w:firstColumn="0" w:lastColumn="0" w:oddVBand="0" w:evenVBand="0" w:oddHBand="0" w:evenHBand="0" w:firstRowFirstColumn="0" w:firstRowLastColumn="0" w:lastRowFirstColumn="0" w:lastRowLastColumn="0"/>
            </w:pPr>
            <w:r>
              <w:t>84</w:t>
            </w:r>
          </w:p>
        </w:tc>
        <w:tc>
          <w:tcPr>
            <w:tcW w:w="850" w:type="dxa"/>
          </w:tcPr>
          <w:p w14:paraId="32335300" w14:textId="77777777" w:rsidR="00964B88" w:rsidRDefault="00964B88">
            <w:pPr>
              <w:cnfStyle w:val="000000000000" w:firstRow="0" w:lastRow="0" w:firstColumn="0" w:lastColumn="0" w:oddVBand="0" w:evenVBand="0" w:oddHBand="0" w:evenHBand="0" w:firstRowFirstColumn="0" w:firstRowLastColumn="0" w:lastRowFirstColumn="0" w:lastRowLastColumn="0"/>
            </w:pPr>
            <w:r>
              <w:t>74</w:t>
            </w:r>
          </w:p>
        </w:tc>
        <w:tc>
          <w:tcPr>
            <w:tcW w:w="850" w:type="dxa"/>
          </w:tcPr>
          <w:p w14:paraId="7603E842" w14:textId="77777777" w:rsidR="00964B88" w:rsidRDefault="00964B88">
            <w:pPr>
              <w:cnfStyle w:val="000000000000" w:firstRow="0" w:lastRow="0" w:firstColumn="0" w:lastColumn="0" w:oddVBand="0" w:evenVBand="0" w:oddHBand="0" w:evenHBand="0" w:firstRowFirstColumn="0" w:firstRowLastColumn="0" w:lastRowFirstColumn="0" w:lastRowLastColumn="0"/>
            </w:pPr>
            <w:r>
              <w:t>76</w:t>
            </w:r>
          </w:p>
        </w:tc>
        <w:tc>
          <w:tcPr>
            <w:tcW w:w="850" w:type="dxa"/>
          </w:tcPr>
          <w:p w14:paraId="0EF23433" w14:textId="77777777" w:rsidR="00964B88" w:rsidRDefault="00964B88">
            <w:pPr>
              <w:cnfStyle w:val="000000000000" w:firstRow="0" w:lastRow="0" w:firstColumn="0" w:lastColumn="0" w:oddVBand="0" w:evenVBand="0" w:oddHBand="0" w:evenHBand="0" w:firstRowFirstColumn="0" w:firstRowLastColumn="0" w:lastRowFirstColumn="0" w:lastRowLastColumn="0"/>
            </w:pPr>
            <w:r>
              <w:t>75</w:t>
            </w:r>
          </w:p>
        </w:tc>
      </w:tr>
      <w:tr w:rsidR="00964B88" w14:paraId="5BA69324"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505D3508" w14:textId="77777777" w:rsidR="00964B88" w:rsidRDefault="00964B88">
            <w:r>
              <w:t>Other</w:t>
            </w:r>
          </w:p>
        </w:tc>
        <w:tc>
          <w:tcPr>
            <w:tcW w:w="850" w:type="dxa"/>
            <w:tcBorders>
              <w:bottom w:val="single" w:sz="6" w:space="0" w:color="auto"/>
            </w:tcBorders>
          </w:tcPr>
          <w:p w14:paraId="22C86221" w14:textId="77777777" w:rsidR="00964B88" w:rsidRDefault="00964B88">
            <w:pPr>
              <w:cnfStyle w:val="000000000000" w:firstRow="0" w:lastRow="0" w:firstColumn="0" w:lastColumn="0" w:oddVBand="0" w:evenVBand="0" w:oddHBand="0" w:evenHBand="0" w:firstRowFirstColumn="0" w:firstRowLastColumn="0" w:lastRowFirstColumn="0" w:lastRowLastColumn="0"/>
            </w:pPr>
            <w:r>
              <w:t>847</w:t>
            </w:r>
          </w:p>
        </w:tc>
        <w:tc>
          <w:tcPr>
            <w:tcW w:w="850" w:type="dxa"/>
            <w:tcBorders>
              <w:bottom w:val="single" w:sz="6" w:space="0" w:color="auto"/>
            </w:tcBorders>
          </w:tcPr>
          <w:p w14:paraId="7C6946E1" w14:textId="77777777" w:rsidR="00964B88" w:rsidRDefault="00964B88">
            <w:pPr>
              <w:cnfStyle w:val="000000000000" w:firstRow="0" w:lastRow="0" w:firstColumn="0" w:lastColumn="0" w:oddVBand="0" w:evenVBand="0" w:oddHBand="0" w:evenHBand="0" w:firstRowFirstColumn="0" w:firstRowLastColumn="0" w:lastRowFirstColumn="0" w:lastRowLastColumn="0"/>
            </w:pPr>
            <w:r>
              <w:t>850</w:t>
            </w:r>
          </w:p>
        </w:tc>
        <w:tc>
          <w:tcPr>
            <w:tcW w:w="850" w:type="dxa"/>
            <w:tcBorders>
              <w:bottom w:val="single" w:sz="6" w:space="0" w:color="auto"/>
            </w:tcBorders>
          </w:tcPr>
          <w:p w14:paraId="6DD11D19" w14:textId="77777777" w:rsidR="00964B88" w:rsidRDefault="00964B88">
            <w:pPr>
              <w:cnfStyle w:val="000000000000" w:firstRow="0" w:lastRow="0" w:firstColumn="0" w:lastColumn="0" w:oddVBand="0" w:evenVBand="0" w:oddHBand="0" w:evenHBand="0" w:firstRowFirstColumn="0" w:firstRowLastColumn="0" w:lastRowFirstColumn="0" w:lastRowLastColumn="0"/>
            </w:pPr>
            <w:r>
              <w:t>859</w:t>
            </w:r>
          </w:p>
        </w:tc>
        <w:tc>
          <w:tcPr>
            <w:tcW w:w="850" w:type="dxa"/>
            <w:tcBorders>
              <w:bottom w:val="single" w:sz="6" w:space="0" w:color="auto"/>
            </w:tcBorders>
          </w:tcPr>
          <w:p w14:paraId="0A562F90" w14:textId="77777777" w:rsidR="00964B88" w:rsidRDefault="00964B88">
            <w:pPr>
              <w:cnfStyle w:val="000000000000" w:firstRow="0" w:lastRow="0" w:firstColumn="0" w:lastColumn="0" w:oddVBand="0" w:evenVBand="0" w:oddHBand="0" w:evenHBand="0" w:firstRowFirstColumn="0" w:firstRowLastColumn="0" w:lastRowFirstColumn="0" w:lastRowLastColumn="0"/>
            </w:pPr>
            <w:r>
              <w:t>809</w:t>
            </w:r>
          </w:p>
        </w:tc>
        <w:tc>
          <w:tcPr>
            <w:tcW w:w="850" w:type="dxa"/>
            <w:tcBorders>
              <w:bottom w:val="single" w:sz="6" w:space="0" w:color="auto"/>
            </w:tcBorders>
          </w:tcPr>
          <w:p w14:paraId="276B54F2" w14:textId="77777777" w:rsidR="00964B88" w:rsidRDefault="00964B88">
            <w:pPr>
              <w:cnfStyle w:val="000000000000" w:firstRow="0" w:lastRow="0" w:firstColumn="0" w:lastColumn="0" w:oddVBand="0" w:evenVBand="0" w:oddHBand="0" w:evenHBand="0" w:firstRowFirstColumn="0" w:firstRowLastColumn="0" w:lastRowFirstColumn="0" w:lastRowLastColumn="0"/>
            </w:pPr>
            <w:r>
              <w:t>828</w:t>
            </w:r>
          </w:p>
        </w:tc>
      </w:tr>
      <w:tr w:rsidR="00964B88" w14:paraId="6715493B"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2067B402" w14:textId="77777777" w:rsidR="00964B88" w:rsidRDefault="00964B88">
            <w:r>
              <w:t>Total other operating expenses</w:t>
            </w:r>
          </w:p>
        </w:tc>
        <w:tc>
          <w:tcPr>
            <w:tcW w:w="850" w:type="dxa"/>
          </w:tcPr>
          <w:p w14:paraId="457161BB" w14:textId="77777777" w:rsidR="00964B88" w:rsidRDefault="00964B88">
            <w:pPr>
              <w:cnfStyle w:val="010000000000" w:firstRow="0" w:lastRow="1" w:firstColumn="0" w:lastColumn="0" w:oddVBand="0" w:evenVBand="0" w:oddHBand="0" w:evenHBand="0" w:firstRowFirstColumn="0" w:firstRowLastColumn="0" w:lastRowFirstColumn="0" w:lastRowLastColumn="0"/>
            </w:pPr>
            <w:r>
              <w:t>20 955</w:t>
            </w:r>
          </w:p>
        </w:tc>
        <w:tc>
          <w:tcPr>
            <w:tcW w:w="850" w:type="dxa"/>
          </w:tcPr>
          <w:p w14:paraId="29BF14D5" w14:textId="77777777" w:rsidR="00964B88" w:rsidRDefault="00964B88">
            <w:pPr>
              <w:cnfStyle w:val="010000000000" w:firstRow="0" w:lastRow="1" w:firstColumn="0" w:lastColumn="0" w:oddVBand="0" w:evenVBand="0" w:oddHBand="0" w:evenHBand="0" w:firstRowFirstColumn="0" w:firstRowLastColumn="0" w:lastRowFirstColumn="0" w:lastRowLastColumn="0"/>
            </w:pPr>
            <w:r>
              <w:t>21 584</w:t>
            </w:r>
          </w:p>
        </w:tc>
        <w:tc>
          <w:tcPr>
            <w:tcW w:w="850" w:type="dxa"/>
          </w:tcPr>
          <w:p w14:paraId="228EF750" w14:textId="77777777" w:rsidR="00964B88" w:rsidRDefault="00964B88">
            <w:pPr>
              <w:cnfStyle w:val="010000000000" w:firstRow="0" w:lastRow="1" w:firstColumn="0" w:lastColumn="0" w:oddVBand="0" w:evenVBand="0" w:oddHBand="0" w:evenHBand="0" w:firstRowFirstColumn="0" w:firstRowLastColumn="0" w:lastRowFirstColumn="0" w:lastRowLastColumn="0"/>
            </w:pPr>
            <w:r>
              <w:t>20 779</w:t>
            </w:r>
          </w:p>
        </w:tc>
        <w:tc>
          <w:tcPr>
            <w:tcW w:w="850" w:type="dxa"/>
          </w:tcPr>
          <w:p w14:paraId="61B279EC" w14:textId="77777777" w:rsidR="00964B88" w:rsidRDefault="00964B88">
            <w:pPr>
              <w:cnfStyle w:val="010000000000" w:firstRow="0" w:lastRow="1" w:firstColumn="0" w:lastColumn="0" w:oddVBand="0" w:evenVBand="0" w:oddHBand="0" w:evenHBand="0" w:firstRowFirstColumn="0" w:firstRowLastColumn="0" w:lastRowFirstColumn="0" w:lastRowLastColumn="0"/>
            </w:pPr>
            <w:r>
              <w:t>20 149</w:t>
            </w:r>
          </w:p>
        </w:tc>
        <w:tc>
          <w:tcPr>
            <w:tcW w:w="850" w:type="dxa"/>
          </w:tcPr>
          <w:p w14:paraId="16FC45FA" w14:textId="77777777" w:rsidR="00964B88" w:rsidRDefault="00964B88">
            <w:pPr>
              <w:cnfStyle w:val="010000000000" w:firstRow="0" w:lastRow="1" w:firstColumn="0" w:lastColumn="0" w:oddVBand="0" w:evenVBand="0" w:oddHBand="0" w:evenHBand="0" w:firstRowFirstColumn="0" w:firstRowLastColumn="0" w:lastRowFirstColumn="0" w:lastRowLastColumn="0"/>
            </w:pPr>
            <w:r>
              <w:t>20 929</w:t>
            </w:r>
          </w:p>
        </w:tc>
      </w:tr>
    </w:tbl>
    <w:p w14:paraId="36A74C3A" w14:textId="77777777" w:rsidR="00964B88" w:rsidRPr="00697AD9" w:rsidRDefault="00964B88" w:rsidP="00F53820">
      <w:pPr>
        <w:pStyle w:val="Note"/>
      </w:pPr>
      <w:r w:rsidRPr="00697AD9">
        <w:t>Notes:</w:t>
      </w:r>
    </w:p>
    <w:p w14:paraId="4B242735" w14:textId="77777777" w:rsidR="00964B88" w:rsidRDefault="00964B88" w:rsidP="00F53820">
      <w:pPr>
        <w:pStyle w:val="Note"/>
      </w:pPr>
      <w:r>
        <w:t>(</w:t>
      </w:r>
      <w:r w:rsidRPr="00697AD9">
        <w:t>a)</w:t>
      </w:r>
      <w:r w:rsidRPr="00697AD9">
        <w:tab/>
      </w:r>
      <w:r>
        <w:t xml:space="preserve">The following two tables break down the </w:t>
      </w:r>
      <w:r w:rsidRPr="00697AD9">
        <w:t xml:space="preserve">purchase of supplies and consumables and </w:t>
      </w:r>
      <w:r>
        <w:t>the purchase of services.</w:t>
      </w:r>
    </w:p>
    <w:p w14:paraId="450109CD" w14:textId="77777777" w:rsidR="00964B88" w:rsidRDefault="00964B88" w:rsidP="00F53820">
      <w:pPr>
        <w:pStyle w:val="Note"/>
      </w:pPr>
      <w:r w:rsidRPr="00556322">
        <w:t>(b)</w:t>
      </w:r>
      <w:r w:rsidRPr="00556322">
        <w:tab/>
      </w:r>
      <w:r w:rsidRPr="005F1DEA">
        <w:t>The reduction in the purchase of services in 2020-21 is partly driven by the State’s existing expenditure on disability services, including payments to disability service providers, being allocated towards the State’s contribution to the NDIS. These services will be funded by the NDIS.</w:t>
      </w:r>
    </w:p>
    <w:p w14:paraId="53E1C661" w14:textId="77777777" w:rsidR="00964B88" w:rsidRPr="00911D89" w:rsidRDefault="00964B88" w:rsidP="00D95F31"/>
    <w:p w14:paraId="178446F7" w14:textId="77777777" w:rsidR="00964B88" w:rsidRDefault="00964B88" w:rsidP="00F53820">
      <w:pPr>
        <w:pStyle w:val="TableHeading"/>
      </w:pPr>
      <w:r>
        <w:t>Purchase of supplies and consumables</w:t>
      </w:r>
      <w:r>
        <w:tab/>
        <w:t>($ million)</w:t>
      </w:r>
    </w:p>
    <w:tbl>
      <w:tblPr>
        <w:tblStyle w:val="DTFTable"/>
        <w:tblW w:w="7768" w:type="dxa"/>
        <w:tblLayout w:type="fixed"/>
        <w:tblLook w:val="06E0" w:firstRow="1" w:lastRow="1" w:firstColumn="1" w:lastColumn="0" w:noHBand="1" w:noVBand="1"/>
      </w:tblPr>
      <w:tblGrid>
        <w:gridCol w:w="3573"/>
        <w:gridCol w:w="795"/>
        <w:gridCol w:w="850"/>
        <w:gridCol w:w="850"/>
        <w:gridCol w:w="850"/>
        <w:gridCol w:w="850"/>
      </w:tblGrid>
      <w:tr w:rsidR="00964B88" w14:paraId="458BCF6D"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73" w:type="dxa"/>
          </w:tcPr>
          <w:p w14:paraId="48A32F65" w14:textId="77777777" w:rsidR="00964B88" w:rsidRDefault="00964B88"/>
        </w:tc>
        <w:tc>
          <w:tcPr>
            <w:tcW w:w="795" w:type="dxa"/>
          </w:tcPr>
          <w:p w14:paraId="375E2257"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3158259E"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1DA7F93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50106C2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2111DE5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73FD87EF" w14:textId="77777777">
        <w:tc>
          <w:tcPr>
            <w:cnfStyle w:val="001000000000" w:firstRow="0" w:lastRow="0" w:firstColumn="1" w:lastColumn="0" w:oddVBand="0" w:evenVBand="0" w:oddHBand="0" w:evenHBand="0" w:firstRowFirstColumn="0" w:firstRowLastColumn="0" w:lastRowFirstColumn="0" w:lastRowLastColumn="0"/>
            <w:tcW w:w="3573" w:type="dxa"/>
          </w:tcPr>
          <w:p w14:paraId="1FA1734C" w14:textId="77777777" w:rsidR="00964B88" w:rsidRDefault="00964B88">
            <w:r>
              <w:t>Medicinal pharmacy and medical supplies</w:t>
            </w:r>
          </w:p>
        </w:tc>
        <w:tc>
          <w:tcPr>
            <w:tcW w:w="795" w:type="dxa"/>
          </w:tcPr>
          <w:p w14:paraId="0FD0F744" w14:textId="77777777" w:rsidR="00964B88" w:rsidRDefault="00964B88">
            <w:pPr>
              <w:cnfStyle w:val="000000000000" w:firstRow="0" w:lastRow="0" w:firstColumn="0" w:lastColumn="0" w:oddVBand="0" w:evenVBand="0" w:oddHBand="0" w:evenHBand="0" w:firstRowFirstColumn="0" w:firstRowLastColumn="0" w:lastRowFirstColumn="0" w:lastRowLastColumn="0"/>
            </w:pPr>
            <w:r>
              <w:t>1 613</w:t>
            </w:r>
          </w:p>
        </w:tc>
        <w:tc>
          <w:tcPr>
            <w:tcW w:w="850" w:type="dxa"/>
          </w:tcPr>
          <w:p w14:paraId="5EAA9836" w14:textId="77777777" w:rsidR="00964B88" w:rsidRDefault="00964B88">
            <w:pPr>
              <w:cnfStyle w:val="000000000000" w:firstRow="0" w:lastRow="0" w:firstColumn="0" w:lastColumn="0" w:oddVBand="0" w:evenVBand="0" w:oddHBand="0" w:evenHBand="0" w:firstRowFirstColumn="0" w:firstRowLastColumn="0" w:lastRowFirstColumn="0" w:lastRowLastColumn="0"/>
            </w:pPr>
            <w:r>
              <w:t>1 627</w:t>
            </w:r>
          </w:p>
        </w:tc>
        <w:tc>
          <w:tcPr>
            <w:tcW w:w="850" w:type="dxa"/>
          </w:tcPr>
          <w:p w14:paraId="519E2569" w14:textId="77777777" w:rsidR="00964B88" w:rsidRDefault="00964B88">
            <w:pPr>
              <w:cnfStyle w:val="000000000000" w:firstRow="0" w:lastRow="0" w:firstColumn="0" w:lastColumn="0" w:oddVBand="0" w:evenVBand="0" w:oddHBand="0" w:evenHBand="0" w:firstRowFirstColumn="0" w:firstRowLastColumn="0" w:lastRowFirstColumn="0" w:lastRowLastColumn="0"/>
            </w:pPr>
            <w:r>
              <w:t>1 644</w:t>
            </w:r>
          </w:p>
        </w:tc>
        <w:tc>
          <w:tcPr>
            <w:tcW w:w="850" w:type="dxa"/>
          </w:tcPr>
          <w:p w14:paraId="3B0E0629" w14:textId="77777777" w:rsidR="00964B88" w:rsidRDefault="00964B88">
            <w:pPr>
              <w:cnfStyle w:val="000000000000" w:firstRow="0" w:lastRow="0" w:firstColumn="0" w:lastColumn="0" w:oddVBand="0" w:evenVBand="0" w:oddHBand="0" w:evenHBand="0" w:firstRowFirstColumn="0" w:firstRowLastColumn="0" w:lastRowFirstColumn="0" w:lastRowLastColumn="0"/>
            </w:pPr>
            <w:r>
              <w:t>1 650</w:t>
            </w:r>
          </w:p>
        </w:tc>
        <w:tc>
          <w:tcPr>
            <w:tcW w:w="850" w:type="dxa"/>
          </w:tcPr>
          <w:p w14:paraId="240F24A5" w14:textId="77777777" w:rsidR="00964B88" w:rsidRDefault="00964B88">
            <w:pPr>
              <w:cnfStyle w:val="000000000000" w:firstRow="0" w:lastRow="0" w:firstColumn="0" w:lastColumn="0" w:oddVBand="0" w:evenVBand="0" w:oddHBand="0" w:evenHBand="0" w:firstRowFirstColumn="0" w:firstRowLastColumn="0" w:lastRowFirstColumn="0" w:lastRowLastColumn="0"/>
            </w:pPr>
            <w:r>
              <w:t>1 656</w:t>
            </w:r>
          </w:p>
        </w:tc>
      </w:tr>
      <w:tr w:rsidR="00964B88" w14:paraId="2A2F212A" w14:textId="77777777">
        <w:tc>
          <w:tcPr>
            <w:cnfStyle w:val="001000000000" w:firstRow="0" w:lastRow="0" w:firstColumn="1" w:lastColumn="0" w:oddVBand="0" w:evenVBand="0" w:oddHBand="0" w:evenHBand="0" w:firstRowFirstColumn="0" w:firstRowLastColumn="0" w:lastRowFirstColumn="0" w:lastRowLastColumn="0"/>
            <w:tcW w:w="3573" w:type="dxa"/>
          </w:tcPr>
          <w:p w14:paraId="6054CC4A" w14:textId="77777777" w:rsidR="00964B88" w:rsidRDefault="00964B88">
            <w:r>
              <w:t>Office supplies and consumables</w:t>
            </w:r>
          </w:p>
        </w:tc>
        <w:tc>
          <w:tcPr>
            <w:tcW w:w="795" w:type="dxa"/>
          </w:tcPr>
          <w:p w14:paraId="302E2573" w14:textId="77777777" w:rsidR="00964B88" w:rsidRDefault="00964B88">
            <w:pPr>
              <w:cnfStyle w:val="000000000000" w:firstRow="0" w:lastRow="0" w:firstColumn="0" w:lastColumn="0" w:oddVBand="0" w:evenVBand="0" w:oddHBand="0" w:evenHBand="0" w:firstRowFirstColumn="0" w:firstRowLastColumn="0" w:lastRowFirstColumn="0" w:lastRowLastColumn="0"/>
            </w:pPr>
            <w:r>
              <w:t>191</w:t>
            </w:r>
          </w:p>
        </w:tc>
        <w:tc>
          <w:tcPr>
            <w:tcW w:w="850" w:type="dxa"/>
          </w:tcPr>
          <w:p w14:paraId="755F7C33" w14:textId="77777777" w:rsidR="00964B88" w:rsidRDefault="00964B88">
            <w:pPr>
              <w:cnfStyle w:val="000000000000" w:firstRow="0" w:lastRow="0" w:firstColumn="0" w:lastColumn="0" w:oddVBand="0" w:evenVBand="0" w:oddHBand="0" w:evenHBand="0" w:firstRowFirstColumn="0" w:firstRowLastColumn="0" w:lastRowFirstColumn="0" w:lastRowLastColumn="0"/>
            </w:pPr>
            <w:r>
              <w:t>195</w:t>
            </w:r>
          </w:p>
        </w:tc>
        <w:tc>
          <w:tcPr>
            <w:tcW w:w="850" w:type="dxa"/>
          </w:tcPr>
          <w:p w14:paraId="6B2C9F0B" w14:textId="77777777" w:rsidR="00964B88" w:rsidRDefault="00964B88">
            <w:pPr>
              <w:cnfStyle w:val="000000000000" w:firstRow="0" w:lastRow="0" w:firstColumn="0" w:lastColumn="0" w:oddVBand="0" w:evenVBand="0" w:oddHBand="0" w:evenHBand="0" w:firstRowFirstColumn="0" w:firstRowLastColumn="0" w:lastRowFirstColumn="0" w:lastRowLastColumn="0"/>
            </w:pPr>
            <w:r>
              <w:t>212</w:t>
            </w:r>
          </w:p>
        </w:tc>
        <w:tc>
          <w:tcPr>
            <w:tcW w:w="850" w:type="dxa"/>
          </w:tcPr>
          <w:p w14:paraId="29DE6634" w14:textId="77777777" w:rsidR="00964B88" w:rsidRDefault="00964B88">
            <w:pPr>
              <w:cnfStyle w:val="000000000000" w:firstRow="0" w:lastRow="0" w:firstColumn="0" w:lastColumn="0" w:oddVBand="0" w:evenVBand="0" w:oddHBand="0" w:evenHBand="0" w:firstRowFirstColumn="0" w:firstRowLastColumn="0" w:lastRowFirstColumn="0" w:lastRowLastColumn="0"/>
            </w:pPr>
            <w:r>
              <w:t>218</w:t>
            </w:r>
          </w:p>
        </w:tc>
        <w:tc>
          <w:tcPr>
            <w:tcW w:w="850" w:type="dxa"/>
          </w:tcPr>
          <w:p w14:paraId="5403A072" w14:textId="77777777" w:rsidR="00964B88" w:rsidRDefault="00964B88">
            <w:pPr>
              <w:cnfStyle w:val="000000000000" w:firstRow="0" w:lastRow="0" w:firstColumn="0" w:lastColumn="0" w:oddVBand="0" w:evenVBand="0" w:oddHBand="0" w:evenHBand="0" w:firstRowFirstColumn="0" w:firstRowLastColumn="0" w:lastRowFirstColumn="0" w:lastRowLastColumn="0"/>
            </w:pPr>
            <w:r>
              <w:t>221</w:t>
            </w:r>
          </w:p>
        </w:tc>
      </w:tr>
      <w:tr w:rsidR="00964B88" w14:paraId="72A3ED5B" w14:textId="77777777">
        <w:tc>
          <w:tcPr>
            <w:cnfStyle w:val="001000000000" w:firstRow="0" w:lastRow="0" w:firstColumn="1" w:lastColumn="0" w:oddVBand="0" w:evenVBand="0" w:oddHBand="0" w:evenHBand="0" w:firstRowFirstColumn="0" w:firstRowLastColumn="0" w:lastRowFirstColumn="0" w:lastRowLastColumn="0"/>
            <w:tcW w:w="3573" w:type="dxa"/>
          </w:tcPr>
          <w:p w14:paraId="6D180360" w14:textId="77777777" w:rsidR="00964B88" w:rsidRDefault="00964B88">
            <w:r>
              <w:t>Specialised operational supplies and consumables</w:t>
            </w:r>
          </w:p>
        </w:tc>
        <w:tc>
          <w:tcPr>
            <w:tcW w:w="795" w:type="dxa"/>
          </w:tcPr>
          <w:p w14:paraId="4D465FC7" w14:textId="77777777" w:rsidR="00964B88" w:rsidRDefault="00964B88">
            <w:pPr>
              <w:cnfStyle w:val="000000000000" w:firstRow="0" w:lastRow="0" w:firstColumn="0" w:lastColumn="0" w:oddVBand="0" w:evenVBand="0" w:oddHBand="0" w:evenHBand="0" w:firstRowFirstColumn="0" w:firstRowLastColumn="0" w:lastRowFirstColumn="0" w:lastRowLastColumn="0"/>
            </w:pPr>
            <w:r>
              <w:t>153</w:t>
            </w:r>
          </w:p>
        </w:tc>
        <w:tc>
          <w:tcPr>
            <w:tcW w:w="850" w:type="dxa"/>
          </w:tcPr>
          <w:p w14:paraId="1FD53055" w14:textId="77777777" w:rsidR="00964B88" w:rsidRDefault="00964B88">
            <w:pPr>
              <w:cnfStyle w:val="000000000000" w:firstRow="0" w:lastRow="0" w:firstColumn="0" w:lastColumn="0" w:oddVBand="0" w:evenVBand="0" w:oddHBand="0" w:evenHBand="0" w:firstRowFirstColumn="0" w:firstRowLastColumn="0" w:lastRowFirstColumn="0" w:lastRowLastColumn="0"/>
            </w:pPr>
            <w:r>
              <w:t>155</w:t>
            </w:r>
          </w:p>
        </w:tc>
        <w:tc>
          <w:tcPr>
            <w:tcW w:w="850" w:type="dxa"/>
          </w:tcPr>
          <w:p w14:paraId="50ABFAF4" w14:textId="77777777" w:rsidR="00964B88" w:rsidRDefault="00964B88">
            <w:pPr>
              <w:cnfStyle w:val="000000000000" w:firstRow="0" w:lastRow="0" w:firstColumn="0" w:lastColumn="0" w:oddVBand="0" w:evenVBand="0" w:oddHBand="0" w:evenHBand="0" w:firstRowFirstColumn="0" w:firstRowLastColumn="0" w:lastRowFirstColumn="0" w:lastRowLastColumn="0"/>
            </w:pPr>
            <w:r>
              <w:t>157</w:t>
            </w:r>
          </w:p>
        </w:tc>
        <w:tc>
          <w:tcPr>
            <w:tcW w:w="850" w:type="dxa"/>
          </w:tcPr>
          <w:p w14:paraId="70C746D1" w14:textId="77777777" w:rsidR="00964B88" w:rsidRDefault="00964B88">
            <w:pPr>
              <w:cnfStyle w:val="000000000000" w:firstRow="0" w:lastRow="0" w:firstColumn="0" w:lastColumn="0" w:oddVBand="0" w:evenVBand="0" w:oddHBand="0" w:evenHBand="0" w:firstRowFirstColumn="0" w:firstRowLastColumn="0" w:lastRowFirstColumn="0" w:lastRowLastColumn="0"/>
            </w:pPr>
            <w:r>
              <w:t>152</w:t>
            </w:r>
          </w:p>
        </w:tc>
        <w:tc>
          <w:tcPr>
            <w:tcW w:w="850" w:type="dxa"/>
          </w:tcPr>
          <w:p w14:paraId="27F4BA83" w14:textId="77777777" w:rsidR="00964B88" w:rsidRDefault="00964B88">
            <w:pPr>
              <w:cnfStyle w:val="000000000000" w:firstRow="0" w:lastRow="0" w:firstColumn="0" w:lastColumn="0" w:oddVBand="0" w:evenVBand="0" w:oddHBand="0" w:evenHBand="0" w:firstRowFirstColumn="0" w:firstRowLastColumn="0" w:lastRowFirstColumn="0" w:lastRowLastColumn="0"/>
            </w:pPr>
            <w:r>
              <w:t>154</w:t>
            </w:r>
          </w:p>
        </w:tc>
      </w:tr>
      <w:tr w:rsidR="00964B88" w14:paraId="37680E0C" w14:textId="77777777" w:rsidTr="00F53820">
        <w:tc>
          <w:tcPr>
            <w:cnfStyle w:val="001000000000" w:firstRow="0" w:lastRow="0" w:firstColumn="1" w:lastColumn="0" w:oddVBand="0" w:evenVBand="0" w:oddHBand="0" w:evenHBand="0" w:firstRowFirstColumn="0" w:firstRowLastColumn="0" w:lastRowFirstColumn="0" w:lastRowLastColumn="0"/>
            <w:tcW w:w="3573" w:type="dxa"/>
            <w:tcBorders>
              <w:bottom w:val="single" w:sz="6" w:space="0" w:color="auto"/>
            </w:tcBorders>
          </w:tcPr>
          <w:p w14:paraId="15D5BDFD" w14:textId="77777777" w:rsidR="00964B88" w:rsidRDefault="00964B88">
            <w:r>
              <w:t>Other purchase of supplies and consumables</w:t>
            </w:r>
          </w:p>
        </w:tc>
        <w:tc>
          <w:tcPr>
            <w:tcW w:w="795" w:type="dxa"/>
            <w:tcBorders>
              <w:bottom w:val="single" w:sz="6" w:space="0" w:color="auto"/>
            </w:tcBorders>
          </w:tcPr>
          <w:p w14:paraId="43E64530" w14:textId="77777777" w:rsidR="00964B88" w:rsidRDefault="00964B88">
            <w:pPr>
              <w:cnfStyle w:val="000000000000" w:firstRow="0" w:lastRow="0" w:firstColumn="0" w:lastColumn="0" w:oddVBand="0" w:evenVBand="0" w:oddHBand="0" w:evenHBand="0" w:firstRowFirstColumn="0" w:firstRowLastColumn="0" w:lastRowFirstColumn="0" w:lastRowLastColumn="0"/>
            </w:pPr>
            <w:r>
              <w:t>3 854</w:t>
            </w:r>
          </w:p>
        </w:tc>
        <w:tc>
          <w:tcPr>
            <w:tcW w:w="850" w:type="dxa"/>
            <w:tcBorders>
              <w:bottom w:val="single" w:sz="6" w:space="0" w:color="auto"/>
            </w:tcBorders>
          </w:tcPr>
          <w:p w14:paraId="73F917B4" w14:textId="77777777" w:rsidR="00964B88" w:rsidRDefault="00964B88">
            <w:pPr>
              <w:cnfStyle w:val="000000000000" w:firstRow="0" w:lastRow="0" w:firstColumn="0" w:lastColumn="0" w:oddVBand="0" w:evenVBand="0" w:oddHBand="0" w:evenHBand="0" w:firstRowFirstColumn="0" w:firstRowLastColumn="0" w:lastRowFirstColumn="0" w:lastRowLastColumn="0"/>
            </w:pPr>
            <w:r>
              <w:t>3 623</w:t>
            </w:r>
          </w:p>
        </w:tc>
        <w:tc>
          <w:tcPr>
            <w:tcW w:w="850" w:type="dxa"/>
            <w:tcBorders>
              <w:bottom w:val="single" w:sz="6" w:space="0" w:color="auto"/>
            </w:tcBorders>
          </w:tcPr>
          <w:p w14:paraId="360F495B" w14:textId="77777777" w:rsidR="00964B88" w:rsidRDefault="00964B88">
            <w:pPr>
              <w:cnfStyle w:val="000000000000" w:firstRow="0" w:lastRow="0" w:firstColumn="0" w:lastColumn="0" w:oddVBand="0" w:evenVBand="0" w:oddHBand="0" w:evenHBand="0" w:firstRowFirstColumn="0" w:firstRowLastColumn="0" w:lastRowFirstColumn="0" w:lastRowLastColumn="0"/>
            </w:pPr>
            <w:r>
              <w:t>3 638</w:t>
            </w:r>
          </w:p>
        </w:tc>
        <w:tc>
          <w:tcPr>
            <w:tcW w:w="850" w:type="dxa"/>
            <w:tcBorders>
              <w:bottom w:val="single" w:sz="6" w:space="0" w:color="auto"/>
            </w:tcBorders>
          </w:tcPr>
          <w:p w14:paraId="037DF05E" w14:textId="77777777" w:rsidR="00964B88" w:rsidRDefault="00964B88">
            <w:pPr>
              <w:cnfStyle w:val="000000000000" w:firstRow="0" w:lastRow="0" w:firstColumn="0" w:lastColumn="0" w:oddVBand="0" w:evenVBand="0" w:oddHBand="0" w:evenHBand="0" w:firstRowFirstColumn="0" w:firstRowLastColumn="0" w:lastRowFirstColumn="0" w:lastRowLastColumn="0"/>
            </w:pPr>
            <w:r>
              <w:t>3 726</w:t>
            </w:r>
          </w:p>
        </w:tc>
        <w:tc>
          <w:tcPr>
            <w:tcW w:w="850" w:type="dxa"/>
            <w:tcBorders>
              <w:bottom w:val="single" w:sz="6" w:space="0" w:color="auto"/>
            </w:tcBorders>
          </w:tcPr>
          <w:p w14:paraId="117B047E" w14:textId="77777777" w:rsidR="00964B88" w:rsidRDefault="00964B88">
            <w:pPr>
              <w:cnfStyle w:val="000000000000" w:firstRow="0" w:lastRow="0" w:firstColumn="0" w:lastColumn="0" w:oddVBand="0" w:evenVBand="0" w:oddHBand="0" w:evenHBand="0" w:firstRowFirstColumn="0" w:firstRowLastColumn="0" w:lastRowFirstColumn="0" w:lastRowLastColumn="0"/>
            </w:pPr>
            <w:r>
              <w:t>4 550</w:t>
            </w:r>
          </w:p>
        </w:tc>
      </w:tr>
      <w:tr w:rsidR="00964B88" w14:paraId="243EEABD"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2DEFA5A5" w14:textId="77777777" w:rsidR="00964B88" w:rsidRDefault="00964B88">
            <w:r>
              <w:t>Total purchase of supplies and consumables</w:t>
            </w:r>
          </w:p>
        </w:tc>
        <w:tc>
          <w:tcPr>
            <w:tcW w:w="795" w:type="dxa"/>
          </w:tcPr>
          <w:p w14:paraId="5DB28920" w14:textId="77777777" w:rsidR="00964B88" w:rsidRDefault="00964B88">
            <w:pPr>
              <w:cnfStyle w:val="010000000000" w:firstRow="0" w:lastRow="1" w:firstColumn="0" w:lastColumn="0" w:oddVBand="0" w:evenVBand="0" w:oddHBand="0" w:evenHBand="0" w:firstRowFirstColumn="0" w:firstRowLastColumn="0" w:lastRowFirstColumn="0" w:lastRowLastColumn="0"/>
            </w:pPr>
            <w:r>
              <w:t>5 811</w:t>
            </w:r>
          </w:p>
        </w:tc>
        <w:tc>
          <w:tcPr>
            <w:tcW w:w="850" w:type="dxa"/>
          </w:tcPr>
          <w:p w14:paraId="254376D4" w14:textId="77777777" w:rsidR="00964B88" w:rsidRDefault="00964B88">
            <w:pPr>
              <w:cnfStyle w:val="010000000000" w:firstRow="0" w:lastRow="1" w:firstColumn="0" w:lastColumn="0" w:oddVBand="0" w:evenVBand="0" w:oddHBand="0" w:evenHBand="0" w:firstRowFirstColumn="0" w:firstRowLastColumn="0" w:lastRowFirstColumn="0" w:lastRowLastColumn="0"/>
            </w:pPr>
            <w:r>
              <w:t>5 600</w:t>
            </w:r>
          </w:p>
        </w:tc>
        <w:tc>
          <w:tcPr>
            <w:tcW w:w="850" w:type="dxa"/>
          </w:tcPr>
          <w:p w14:paraId="28327391" w14:textId="77777777" w:rsidR="00964B88" w:rsidRDefault="00964B88">
            <w:pPr>
              <w:cnfStyle w:val="010000000000" w:firstRow="0" w:lastRow="1" w:firstColumn="0" w:lastColumn="0" w:oddVBand="0" w:evenVBand="0" w:oddHBand="0" w:evenHBand="0" w:firstRowFirstColumn="0" w:firstRowLastColumn="0" w:lastRowFirstColumn="0" w:lastRowLastColumn="0"/>
            </w:pPr>
            <w:r>
              <w:t>5 652</w:t>
            </w:r>
          </w:p>
        </w:tc>
        <w:tc>
          <w:tcPr>
            <w:tcW w:w="850" w:type="dxa"/>
          </w:tcPr>
          <w:p w14:paraId="32883F45" w14:textId="77777777" w:rsidR="00964B88" w:rsidRDefault="00964B88">
            <w:pPr>
              <w:cnfStyle w:val="010000000000" w:firstRow="0" w:lastRow="1" w:firstColumn="0" w:lastColumn="0" w:oddVBand="0" w:evenVBand="0" w:oddHBand="0" w:evenHBand="0" w:firstRowFirstColumn="0" w:firstRowLastColumn="0" w:lastRowFirstColumn="0" w:lastRowLastColumn="0"/>
            </w:pPr>
            <w:r>
              <w:t>5 746</w:t>
            </w:r>
          </w:p>
        </w:tc>
        <w:tc>
          <w:tcPr>
            <w:tcW w:w="850" w:type="dxa"/>
          </w:tcPr>
          <w:p w14:paraId="2FEFF962" w14:textId="77777777" w:rsidR="00964B88" w:rsidRDefault="00964B88">
            <w:pPr>
              <w:cnfStyle w:val="010000000000" w:firstRow="0" w:lastRow="1" w:firstColumn="0" w:lastColumn="0" w:oddVBand="0" w:evenVBand="0" w:oddHBand="0" w:evenHBand="0" w:firstRowFirstColumn="0" w:firstRowLastColumn="0" w:lastRowFirstColumn="0" w:lastRowLastColumn="0"/>
            </w:pPr>
            <w:r>
              <w:t>6 581</w:t>
            </w:r>
          </w:p>
        </w:tc>
      </w:tr>
    </w:tbl>
    <w:p w14:paraId="1CC008BD" w14:textId="77777777" w:rsidR="00964B88" w:rsidRPr="00911D89" w:rsidRDefault="00964B88" w:rsidP="00F53820"/>
    <w:p w14:paraId="0E1BF75B" w14:textId="77777777" w:rsidR="00964B88" w:rsidRDefault="00964B88" w:rsidP="00F53820">
      <w:pPr>
        <w:pStyle w:val="TableHeading"/>
      </w:pPr>
      <w:r>
        <w:t>Purchase of services</w:t>
      </w:r>
      <w:r>
        <w:ta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3A4C6CC0"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61ED167A" w14:textId="77777777" w:rsidR="00964B88" w:rsidRDefault="00964B88"/>
        </w:tc>
        <w:tc>
          <w:tcPr>
            <w:tcW w:w="850" w:type="dxa"/>
          </w:tcPr>
          <w:p w14:paraId="5F843DE7"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6F47C339"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2F1948A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7805450C"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7D36CC6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273AE061" w14:textId="77777777">
        <w:tc>
          <w:tcPr>
            <w:cnfStyle w:val="001000000000" w:firstRow="0" w:lastRow="0" w:firstColumn="1" w:lastColumn="0" w:oddVBand="0" w:evenVBand="0" w:oddHBand="0" w:evenHBand="0" w:firstRowFirstColumn="0" w:firstRowLastColumn="0" w:lastRowFirstColumn="0" w:lastRowLastColumn="0"/>
            <w:tcW w:w="3518" w:type="dxa"/>
          </w:tcPr>
          <w:p w14:paraId="20F4D9CB" w14:textId="77777777" w:rsidR="00964B88" w:rsidRDefault="00964B88">
            <w:r>
              <w:t>Service contracts</w:t>
            </w:r>
            <w:r>
              <w:rPr>
                <w:vertAlign w:val="superscript"/>
              </w:rPr>
              <w:t xml:space="preserve"> (a)</w:t>
            </w:r>
          </w:p>
        </w:tc>
        <w:tc>
          <w:tcPr>
            <w:tcW w:w="850" w:type="dxa"/>
          </w:tcPr>
          <w:p w14:paraId="6C5404A1" w14:textId="77777777" w:rsidR="00964B88" w:rsidRDefault="00964B88">
            <w:pPr>
              <w:cnfStyle w:val="000000000000" w:firstRow="0" w:lastRow="0" w:firstColumn="0" w:lastColumn="0" w:oddVBand="0" w:evenVBand="0" w:oddHBand="0" w:evenHBand="0" w:firstRowFirstColumn="0" w:firstRowLastColumn="0" w:lastRowFirstColumn="0" w:lastRowLastColumn="0"/>
            </w:pPr>
            <w:r>
              <w:t>7 861</w:t>
            </w:r>
          </w:p>
        </w:tc>
        <w:tc>
          <w:tcPr>
            <w:tcW w:w="850" w:type="dxa"/>
          </w:tcPr>
          <w:p w14:paraId="6E42840E" w14:textId="77777777" w:rsidR="00964B88" w:rsidRDefault="00964B88">
            <w:pPr>
              <w:cnfStyle w:val="000000000000" w:firstRow="0" w:lastRow="0" w:firstColumn="0" w:lastColumn="0" w:oddVBand="0" w:evenVBand="0" w:oddHBand="0" w:evenHBand="0" w:firstRowFirstColumn="0" w:firstRowLastColumn="0" w:lastRowFirstColumn="0" w:lastRowLastColumn="0"/>
            </w:pPr>
            <w:r>
              <w:t>8 090</w:t>
            </w:r>
          </w:p>
        </w:tc>
        <w:tc>
          <w:tcPr>
            <w:tcW w:w="850" w:type="dxa"/>
          </w:tcPr>
          <w:p w14:paraId="08D0F8C3" w14:textId="77777777" w:rsidR="00964B88" w:rsidRDefault="00964B88">
            <w:pPr>
              <w:cnfStyle w:val="000000000000" w:firstRow="0" w:lastRow="0" w:firstColumn="0" w:lastColumn="0" w:oddVBand="0" w:evenVBand="0" w:oddHBand="0" w:evenHBand="0" w:firstRowFirstColumn="0" w:firstRowLastColumn="0" w:lastRowFirstColumn="0" w:lastRowLastColumn="0"/>
            </w:pPr>
            <w:r>
              <w:t>7 584</w:t>
            </w:r>
          </w:p>
        </w:tc>
        <w:tc>
          <w:tcPr>
            <w:tcW w:w="850" w:type="dxa"/>
          </w:tcPr>
          <w:p w14:paraId="53E40510" w14:textId="77777777" w:rsidR="00964B88" w:rsidRDefault="00964B88">
            <w:pPr>
              <w:cnfStyle w:val="000000000000" w:firstRow="0" w:lastRow="0" w:firstColumn="0" w:lastColumn="0" w:oddVBand="0" w:evenVBand="0" w:oddHBand="0" w:evenHBand="0" w:firstRowFirstColumn="0" w:firstRowLastColumn="0" w:lastRowFirstColumn="0" w:lastRowLastColumn="0"/>
            </w:pPr>
            <w:r>
              <w:t>7 501</w:t>
            </w:r>
          </w:p>
        </w:tc>
        <w:tc>
          <w:tcPr>
            <w:tcW w:w="850" w:type="dxa"/>
          </w:tcPr>
          <w:p w14:paraId="6DA327CD" w14:textId="77777777" w:rsidR="00964B88" w:rsidRDefault="00964B88">
            <w:pPr>
              <w:cnfStyle w:val="000000000000" w:firstRow="0" w:lastRow="0" w:firstColumn="0" w:lastColumn="0" w:oddVBand="0" w:evenVBand="0" w:oddHBand="0" w:evenHBand="0" w:firstRowFirstColumn="0" w:firstRowLastColumn="0" w:lastRowFirstColumn="0" w:lastRowLastColumn="0"/>
            </w:pPr>
            <w:r>
              <w:t>7 475</w:t>
            </w:r>
          </w:p>
        </w:tc>
      </w:tr>
      <w:tr w:rsidR="00964B88" w14:paraId="5DEA4522" w14:textId="77777777">
        <w:tc>
          <w:tcPr>
            <w:cnfStyle w:val="001000000000" w:firstRow="0" w:lastRow="0" w:firstColumn="1" w:lastColumn="0" w:oddVBand="0" w:evenVBand="0" w:oddHBand="0" w:evenHBand="0" w:firstRowFirstColumn="0" w:firstRowLastColumn="0" w:lastRowFirstColumn="0" w:lastRowLastColumn="0"/>
            <w:tcW w:w="3518" w:type="dxa"/>
          </w:tcPr>
          <w:p w14:paraId="18BEBB4A" w14:textId="77777777" w:rsidR="00964B88" w:rsidRDefault="00964B88">
            <w:r>
              <w:t>Accommodation/occupancy</w:t>
            </w:r>
          </w:p>
        </w:tc>
        <w:tc>
          <w:tcPr>
            <w:tcW w:w="850" w:type="dxa"/>
          </w:tcPr>
          <w:p w14:paraId="6823B563" w14:textId="77777777" w:rsidR="00964B88" w:rsidRDefault="00964B88">
            <w:pPr>
              <w:cnfStyle w:val="000000000000" w:firstRow="0" w:lastRow="0" w:firstColumn="0" w:lastColumn="0" w:oddVBand="0" w:evenVBand="0" w:oddHBand="0" w:evenHBand="0" w:firstRowFirstColumn="0" w:firstRowLastColumn="0" w:lastRowFirstColumn="0" w:lastRowLastColumn="0"/>
            </w:pPr>
            <w:r>
              <w:t>735</w:t>
            </w:r>
          </w:p>
        </w:tc>
        <w:tc>
          <w:tcPr>
            <w:tcW w:w="850" w:type="dxa"/>
          </w:tcPr>
          <w:p w14:paraId="3CF276F3" w14:textId="77777777" w:rsidR="00964B88" w:rsidRDefault="00964B88">
            <w:pPr>
              <w:cnfStyle w:val="000000000000" w:firstRow="0" w:lastRow="0" w:firstColumn="0" w:lastColumn="0" w:oddVBand="0" w:evenVBand="0" w:oddHBand="0" w:evenHBand="0" w:firstRowFirstColumn="0" w:firstRowLastColumn="0" w:lastRowFirstColumn="0" w:lastRowLastColumn="0"/>
            </w:pPr>
            <w:r>
              <w:t>762</w:t>
            </w:r>
          </w:p>
        </w:tc>
        <w:tc>
          <w:tcPr>
            <w:tcW w:w="850" w:type="dxa"/>
          </w:tcPr>
          <w:p w14:paraId="3CCA15E7" w14:textId="77777777" w:rsidR="00964B88" w:rsidRDefault="00964B88">
            <w:pPr>
              <w:cnfStyle w:val="000000000000" w:firstRow="0" w:lastRow="0" w:firstColumn="0" w:lastColumn="0" w:oddVBand="0" w:evenVBand="0" w:oddHBand="0" w:evenHBand="0" w:firstRowFirstColumn="0" w:firstRowLastColumn="0" w:lastRowFirstColumn="0" w:lastRowLastColumn="0"/>
            </w:pPr>
            <w:r>
              <w:t>753</w:t>
            </w:r>
          </w:p>
        </w:tc>
        <w:tc>
          <w:tcPr>
            <w:tcW w:w="850" w:type="dxa"/>
          </w:tcPr>
          <w:p w14:paraId="2FB71FA7" w14:textId="77777777" w:rsidR="00964B88" w:rsidRDefault="00964B88">
            <w:pPr>
              <w:cnfStyle w:val="000000000000" w:firstRow="0" w:lastRow="0" w:firstColumn="0" w:lastColumn="0" w:oddVBand="0" w:evenVBand="0" w:oddHBand="0" w:evenHBand="0" w:firstRowFirstColumn="0" w:firstRowLastColumn="0" w:lastRowFirstColumn="0" w:lastRowLastColumn="0"/>
            </w:pPr>
            <w:r>
              <w:t>748</w:t>
            </w:r>
          </w:p>
        </w:tc>
        <w:tc>
          <w:tcPr>
            <w:tcW w:w="850" w:type="dxa"/>
          </w:tcPr>
          <w:p w14:paraId="1F461041" w14:textId="77777777" w:rsidR="00964B88" w:rsidRDefault="00964B88">
            <w:pPr>
              <w:cnfStyle w:val="000000000000" w:firstRow="0" w:lastRow="0" w:firstColumn="0" w:lastColumn="0" w:oddVBand="0" w:evenVBand="0" w:oddHBand="0" w:evenHBand="0" w:firstRowFirstColumn="0" w:firstRowLastColumn="0" w:lastRowFirstColumn="0" w:lastRowLastColumn="0"/>
            </w:pPr>
            <w:r>
              <w:t>750</w:t>
            </w:r>
          </w:p>
        </w:tc>
      </w:tr>
      <w:tr w:rsidR="00964B88" w14:paraId="6EACEE82" w14:textId="77777777">
        <w:tc>
          <w:tcPr>
            <w:cnfStyle w:val="001000000000" w:firstRow="0" w:lastRow="0" w:firstColumn="1" w:lastColumn="0" w:oddVBand="0" w:evenVBand="0" w:oddHBand="0" w:evenHBand="0" w:firstRowFirstColumn="0" w:firstRowLastColumn="0" w:lastRowFirstColumn="0" w:lastRowLastColumn="0"/>
            <w:tcW w:w="3518" w:type="dxa"/>
          </w:tcPr>
          <w:p w14:paraId="7F6B1A0A" w14:textId="77777777" w:rsidR="00964B88" w:rsidRDefault="00964B88">
            <w:r>
              <w:t>Medical and client care services</w:t>
            </w:r>
          </w:p>
        </w:tc>
        <w:tc>
          <w:tcPr>
            <w:tcW w:w="850" w:type="dxa"/>
          </w:tcPr>
          <w:p w14:paraId="4AD2F907" w14:textId="77777777" w:rsidR="00964B88" w:rsidRDefault="00964B88">
            <w:pPr>
              <w:cnfStyle w:val="000000000000" w:firstRow="0" w:lastRow="0" w:firstColumn="0" w:lastColumn="0" w:oddVBand="0" w:evenVBand="0" w:oddHBand="0" w:evenHBand="0" w:firstRowFirstColumn="0" w:firstRowLastColumn="0" w:lastRowFirstColumn="0" w:lastRowLastColumn="0"/>
            </w:pPr>
            <w:r>
              <w:t>408</w:t>
            </w:r>
          </w:p>
        </w:tc>
        <w:tc>
          <w:tcPr>
            <w:tcW w:w="850" w:type="dxa"/>
          </w:tcPr>
          <w:p w14:paraId="1AA86414" w14:textId="77777777" w:rsidR="00964B88" w:rsidRDefault="00964B88">
            <w:pPr>
              <w:cnfStyle w:val="000000000000" w:firstRow="0" w:lastRow="0" w:firstColumn="0" w:lastColumn="0" w:oddVBand="0" w:evenVBand="0" w:oddHBand="0" w:evenHBand="0" w:firstRowFirstColumn="0" w:firstRowLastColumn="0" w:lastRowFirstColumn="0" w:lastRowLastColumn="0"/>
            </w:pPr>
            <w:r>
              <w:t>409</w:t>
            </w:r>
          </w:p>
        </w:tc>
        <w:tc>
          <w:tcPr>
            <w:tcW w:w="850" w:type="dxa"/>
          </w:tcPr>
          <w:p w14:paraId="49140145" w14:textId="77777777" w:rsidR="00964B88" w:rsidRDefault="00964B88">
            <w:pPr>
              <w:cnfStyle w:val="000000000000" w:firstRow="0" w:lastRow="0" w:firstColumn="0" w:lastColumn="0" w:oddVBand="0" w:evenVBand="0" w:oddHBand="0" w:evenHBand="0" w:firstRowFirstColumn="0" w:firstRowLastColumn="0" w:lastRowFirstColumn="0" w:lastRowLastColumn="0"/>
            </w:pPr>
            <w:r>
              <w:t>410</w:t>
            </w:r>
          </w:p>
        </w:tc>
        <w:tc>
          <w:tcPr>
            <w:tcW w:w="850" w:type="dxa"/>
          </w:tcPr>
          <w:p w14:paraId="1F81A223" w14:textId="77777777" w:rsidR="00964B88" w:rsidRDefault="00964B88">
            <w:pPr>
              <w:cnfStyle w:val="000000000000" w:firstRow="0" w:lastRow="0" w:firstColumn="0" w:lastColumn="0" w:oddVBand="0" w:evenVBand="0" w:oddHBand="0" w:evenHBand="0" w:firstRowFirstColumn="0" w:firstRowLastColumn="0" w:lastRowFirstColumn="0" w:lastRowLastColumn="0"/>
            </w:pPr>
            <w:r>
              <w:t>409</w:t>
            </w:r>
          </w:p>
        </w:tc>
        <w:tc>
          <w:tcPr>
            <w:tcW w:w="850" w:type="dxa"/>
          </w:tcPr>
          <w:p w14:paraId="4B35EC09" w14:textId="77777777" w:rsidR="00964B88" w:rsidRDefault="00964B88">
            <w:pPr>
              <w:cnfStyle w:val="000000000000" w:firstRow="0" w:lastRow="0" w:firstColumn="0" w:lastColumn="0" w:oddVBand="0" w:evenVBand="0" w:oddHBand="0" w:evenHBand="0" w:firstRowFirstColumn="0" w:firstRowLastColumn="0" w:lastRowFirstColumn="0" w:lastRowLastColumn="0"/>
            </w:pPr>
            <w:r>
              <w:t>399</w:t>
            </w:r>
          </w:p>
        </w:tc>
      </w:tr>
      <w:tr w:rsidR="00964B88" w14:paraId="14D96481" w14:textId="77777777">
        <w:tc>
          <w:tcPr>
            <w:cnfStyle w:val="001000000000" w:firstRow="0" w:lastRow="0" w:firstColumn="1" w:lastColumn="0" w:oddVBand="0" w:evenVBand="0" w:oddHBand="0" w:evenHBand="0" w:firstRowFirstColumn="0" w:firstRowLastColumn="0" w:lastRowFirstColumn="0" w:lastRowLastColumn="0"/>
            <w:tcW w:w="3518" w:type="dxa"/>
          </w:tcPr>
          <w:p w14:paraId="7B46D7E0" w14:textId="77777777" w:rsidR="00964B88" w:rsidRDefault="00964B88">
            <w:r>
              <w:t>Staff related expenses (non</w:t>
            </w:r>
            <w:r>
              <w:noBreakHyphen/>
              <w:t>labour related)</w:t>
            </w:r>
          </w:p>
        </w:tc>
        <w:tc>
          <w:tcPr>
            <w:tcW w:w="850" w:type="dxa"/>
          </w:tcPr>
          <w:p w14:paraId="67D4A6E1" w14:textId="77777777" w:rsidR="00964B88" w:rsidRDefault="00964B88">
            <w:pPr>
              <w:cnfStyle w:val="000000000000" w:firstRow="0" w:lastRow="0" w:firstColumn="0" w:lastColumn="0" w:oddVBand="0" w:evenVBand="0" w:oddHBand="0" w:evenHBand="0" w:firstRowFirstColumn="0" w:firstRowLastColumn="0" w:lastRowFirstColumn="0" w:lastRowLastColumn="0"/>
            </w:pPr>
            <w:r>
              <w:t>289</w:t>
            </w:r>
          </w:p>
        </w:tc>
        <w:tc>
          <w:tcPr>
            <w:tcW w:w="850" w:type="dxa"/>
          </w:tcPr>
          <w:p w14:paraId="64130557" w14:textId="77777777" w:rsidR="00964B88" w:rsidRDefault="00964B88">
            <w:pPr>
              <w:cnfStyle w:val="000000000000" w:firstRow="0" w:lastRow="0" w:firstColumn="0" w:lastColumn="0" w:oddVBand="0" w:evenVBand="0" w:oddHBand="0" w:evenHBand="0" w:firstRowFirstColumn="0" w:firstRowLastColumn="0" w:lastRowFirstColumn="0" w:lastRowLastColumn="0"/>
            </w:pPr>
            <w:r>
              <w:t>312</w:t>
            </w:r>
          </w:p>
        </w:tc>
        <w:tc>
          <w:tcPr>
            <w:tcW w:w="850" w:type="dxa"/>
          </w:tcPr>
          <w:p w14:paraId="48C0C142" w14:textId="77777777" w:rsidR="00964B88" w:rsidRDefault="00964B88">
            <w:pPr>
              <w:cnfStyle w:val="000000000000" w:firstRow="0" w:lastRow="0" w:firstColumn="0" w:lastColumn="0" w:oddVBand="0" w:evenVBand="0" w:oddHBand="0" w:evenHBand="0" w:firstRowFirstColumn="0" w:firstRowLastColumn="0" w:lastRowFirstColumn="0" w:lastRowLastColumn="0"/>
            </w:pPr>
            <w:r>
              <w:t>282</w:t>
            </w:r>
          </w:p>
        </w:tc>
        <w:tc>
          <w:tcPr>
            <w:tcW w:w="850" w:type="dxa"/>
          </w:tcPr>
          <w:p w14:paraId="25C2D4F9" w14:textId="77777777" w:rsidR="00964B88" w:rsidRDefault="00964B88">
            <w:pPr>
              <w:cnfStyle w:val="000000000000" w:firstRow="0" w:lastRow="0" w:firstColumn="0" w:lastColumn="0" w:oddVBand="0" w:evenVBand="0" w:oddHBand="0" w:evenHBand="0" w:firstRowFirstColumn="0" w:firstRowLastColumn="0" w:lastRowFirstColumn="0" w:lastRowLastColumn="0"/>
            </w:pPr>
            <w:r>
              <w:t>280</w:t>
            </w:r>
          </w:p>
        </w:tc>
        <w:tc>
          <w:tcPr>
            <w:tcW w:w="850" w:type="dxa"/>
          </w:tcPr>
          <w:p w14:paraId="3E711FAF" w14:textId="77777777" w:rsidR="00964B88" w:rsidRDefault="00964B88">
            <w:pPr>
              <w:cnfStyle w:val="000000000000" w:firstRow="0" w:lastRow="0" w:firstColumn="0" w:lastColumn="0" w:oddVBand="0" w:evenVBand="0" w:oddHBand="0" w:evenHBand="0" w:firstRowFirstColumn="0" w:firstRowLastColumn="0" w:lastRowFirstColumn="0" w:lastRowLastColumn="0"/>
            </w:pPr>
            <w:r>
              <w:t>288</w:t>
            </w:r>
          </w:p>
        </w:tc>
      </w:tr>
      <w:tr w:rsidR="00964B88" w14:paraId="7692CF03"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72F159DD" w14:textId="77777777" w:rsidR="00964B88" w:rsidRDefault="00964B88">
            <w:r>
              <w:t>Other purchase of services</w:t>
            </w:r>
          </w:p>
        </w:tc>
        <w:tc>
          <w:tcPr>
            <w:tcW w:w="850" w:type="dxa"/>
            <w:tcBorders>
              <w:bottom w:val="single" w:sz="6" w:space="0" w:color="auto"/>
            </w:tcBorders>
          </w:tcPr>
          <w:p w14:paraId="30116B8C" w14:textId="77777777" w:rsidR="00964B88" w:rsidRDefault="00964B88">
            <w:pPr>
              <w:cnfStyle w:val="000000000000" w:firstRow="0" w:lastRow="0" w:firstColumn="0" w:lastColumn="0" w:oddVBand="0" w:evenVBand="0" w:oddHBand="0" w:evenHBand="0" w:firstRowFirstColumn="0" w:firstRowLastColumn="0" w:lastRowFirstColumn="0" w:lastRowLastColumn="0"/>
            </w:pPr>
            <w:r>
              <w:t>3 633</w:t>
            </w:r>
          </w:p>
        </w:tc>
        <w:tc>
          <w:tcPr>
            <w:tcW w:w="850" w:type="dxa"/>
            <w:tcBorders>
              <w:bottom w:val="single" w:sz="6" w:space="0" w:color="auto"/>
            </w:tcBorders>
          </w:tcPr>
          <w:p w14:paraId="2757A1DE" w14:textId="77777777" w:rsidR="00964B88" w:rsidRDefault="00964B88">
            <w:pPr>
              <w:cnfStyle w:val="000000000000" w:firstRow="0" w:lastRow="0" w:firstColumn="0" w:lastColumn="0" w:oddVBand="0" w:evenVBand="0" w:oddHBand="0" w:evenHBand="0" w:firstRowFirstColumn="0" w:firstRowLastColumn="0" w:lastRowFirstColumn="0" w:lastRowLastColumn="0"/>
            </w:pPr>
            <w:r>
              <w:t>4 045</w:t>
            </w:r>
          </w:p>
        </w:tc>
        <w:tc>
          <w:tcPr>
            <w:tcW w:w="850" w:type="dxa"/>
            <w:tcBorders>
              <w:bottom w:val="single" w:sz="6" w:space="0" w:color="auto"/>
            </w:tcBorders>
          </w:tcPr>
          <w:p w14:paraId="67E98A7A" w14:textId="77777777" w:rsidR="00964B88" w:rsidRDefault="00964B88">
            <w:pPr>
              <w:cnfStyle w:val="000000000000" w:firstRow="0" w:lastRow="0" w:firstColumn="0" w:lastColumn="0" w:oddVBand="0" w:evenVBand="0" w:oddHBand="0" w:evenHBand="0" w:firstRowFirstColumn="0" w:firstRowLastColumn="0" w:lastRowFirstColumn="0" w:lastRowLastColumn="0"/>
            </w:pPr>
            <w:r>
              <w:t>3 817</w:t>
            </w:r>
          </w:p>
        </w:tc>
        <w:tc>
          <w:tcPr>
            <w:tcW w:w="850" w:type="dxa"/>
            <w:tcBorders>
              <w:bottom w:val="single" w:sz="6" w:space="0" w:color="auto"/>
            </w:tcBorders>
          </w:tcPr>
          <w:p w14:paraId="05725971" w14:textId="77777777" w:rsidR="00964B88" w:rsidRDefault="00964B88">
            <w:pPr>
              <w:cnfStyle w:val="000000000000" w:firstRow="0" w:lastRow="0" w:firstColumn="0" w:lastColumn="0" w:oddVBand="0" w:evenVBand="0" w:oddHBand="0" w:evenHBand="0" w:firstRowFirstColumn="0" w:firstRowLastColumn="0" w:lastRowFirstColumn="0" w:lastRowLastColumn="0"/>
            </w:pPr>
            <w:r>
              <w:t>3 322</w:t>
            </w:r>
          </w:p>
        </w:tc>
        <w:tc>
          <w:tcPr>
            <w:tcW w:w="850" w:type="dxa"/>
            <w:tcBorders>
              <w:bottom w:val="single" w:sz="6" w:space="0" w:color="auto"/>
            </w:tcBorders>
          </w:tcPr>
          <w:p w14:paraId="0EDE05D7" w14:textId="77777777" w:rsidR="00964B88" w:rsidRDefault="00964B88">
            <w:pPr>
              <w:cnfStyle w:val="000000000000" w:firstRow="0" w:lastRow="0" w:firstColumn="0" w:lastColumn="0" w:oddVBand="0" w:evenVBand="0" w:oddHBand="0" w:evenHBand="0" w:firstRowFirstColumn="0" w:firstRowLastColumn="0" w:lastRowFirstColumn="0" w:lastRowLastColumn="0"/>
            </w:pPr>
            <w:r>
              <w:t>3 257</w:t>
            </w:r>
          </w:p>
        </w:tc>
      </w:tr>
      <w:tr w:rsidR="00964B88" w14:paraId="2B5CA315"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791C91FC" w14:textId="77777777" w:rsidR="00964B88" w:rsidRDefault="00964B88">
            <w:r>
              <w:t>Total purchase of services</w:t>
            </w:r>
          </w:p>
        </w:tc>
        <w:tc>
          <w:tcPr>
            <w:tcW w:w="850" w:type="dxa"/>
          </w:tcPr>
          <w:p w14:paraId="58195FF7" w14:textId="77777777" w:rsidR="00964B88" w:rsidRDefault="00964B88">
            <w:pPr>
              <w:cnfStyle w:val="010000000000" w:firstRow="0" w:lastRow="1" w:firstColumn="0" w:lastColumn="0" w:oddVBand="0" w:evenVBand="0" w:oddHBand="0" w:evenHBand="0" w:firstRowFirstColumn="0" w:firstRowLastColumn="0" w:lastRowFirstColumn="0" w:lastRowLastColumn="0"/>
            </w:pPr>
            <w:r>
              <w:t>12 926</w:t>
            </w:r>
          </w:p>
        </w:tc>
        <w:tc>
          <w:tcPr>
            <w:tcW w:w="850" w:type="dxa"/>
          </w:tcPr>
          <w:p w14:paraId="60836477" w14:textId="77777777" w:rsidR="00964B88" w:rsidRDefault="00964B88">
            <w:pPr>
              <w:cnfStyle w:val="010000000000" w:firstRow="0" w:lastRow="1" w:firstColumn="0" w:lastColumn="0" w:oddVBand="0" w:evenVBand="0" w:oddHBand="0" w:evenHBand="0" w:firstRowFirstColumn="0" w:firstRowLastColumn="0" w:lastRowFirstColumn="0" w:lastRowLastColumn="0"/>
            </w:pPr>
            <w:r>
              <w:t>13 619</w:t>
            </w:r>
          </w:p>
        </w:tc>
        <w:tc>
          <w:tcPr>
            <w:tcW w:w="850" w:type="dxa"/>
          </w:tcPr>
          <w:p w14:paraId="2BB20BFD" w14:textId="77777777" w:rsidR="00964B88" w:rsidRDefault="00964B88">
            <w:pPr>
              <w:cnfStyle w:val="010000000000" w:firstRow="0" w:lastRow="1" w:firstColumn="0" w:lastColumn="0" w:oddVBand="0" w:evenVBand="0" w:oddHBand="0" w:evenHBand="0" w:firstRowFirstColumn="0" w:firstRowLastColumn="0" w:lastRowFirstColumn="0" w:lastRowLastColumn="0"/>
            </w:pPr>
            <w:r>
              <w:t>12 846</w:t>
            </w:r>
          </w:p>
        </w:tc>
        <w:tc>
          <w:tcPr>
            <w:tcW w:w="850" w:type="dxa"/>
          </w:tcPr>
          <w:p w14:paraId="6882ABD2" w14:textId="77777777" w:rsidR="00964B88" w:rsidRDefault="00964B88">
            <w:pPr>
              <w:cnfStyle w:val="010000000000" w:firstRow="0" w:lastRow="1" w:firstColumn="0" w:lastColumn="0" w:oddVBand="0" w:evenVBand="0" w:oddHBand="0" w:evenHBand="0" w:firstRowFirstColumn="0" w:firstRowLastColumn="0" w:lastRowFirstColumn="0" w:lastRowLastColumn="0"/>
            </w:pPr>
            <w:r>
              <w:t>12 260</w:t>
            </w:r>
          </w:p>
        </w:tc>
        <w:tc>
          <w:tcPr>
            <w:tcW w:w="850" w:type="dxa"/>
          </w:tcPr>
          <w:p w14:paraId="780678FE" w14:textId="77777777" w:rsidR="00964B88" w:rsidRDefault="00964B88">
            <w:pPr>
              <w:cnfStyle w:val="010000000000" w:firstRow="0" w:lastRow="1" w:firstColumn="0" w:lastColumn="0" w:oddVBand="0" w:evenVBand="0" w:oddHBand="0" w:evenHBand="0" w:firstRowFirstColumn="0" w:firstRowLastColumn="0" w:lastRowFirstColumn="0" w:lastRowLastColumn="0"/>
            </w:pPr>
            <w:r>
              <w:t>12 169</w:t>
            </w:r>
          </w:p>
        </w:tc>
      </w:tr>
    </w:tbl>
    <w:p w14:paraId="1BE92B62" w14:textId="77777777" w:rsidR="00964B88" w:rsidRPr="00697AD9" w:rsidRDefault="00964B88" w:rsidP="00F53820">
      <w:pPr>
        <w:pStyle w:val="Note"/>
      </w:pPr>
      <w:r>
        <w:t>Note</w:t>
      </w:r>
      <w:r w:rsidRPr="00697AD9">
        <w:t>:</w:t>
      </w:r>
    </w:p>
    <w:p w14:paraId="5B31FE68" w14:textId="77777777" w:rsidR="00964B88" w:rsidRDefault="00964B88" w:rsidP="00F53820">
      <w:pPr>
        <w:pStyle w:val="Note"/>
      </w:pPr>
      <w:r w:rsidRPr="00697AD9">
        <w:t>(a)</w:t>
      </w:r>
      <w:r w:rsidRPr="00697AD9">
        <w:tab/>
      </w:r>
      <w:r w:rsidRPr="0095755C">
        <w:t xml:space="preserve">The reduction in </w:t>
      </w:r>
      <w:r>
        <w:t>service contracts in 2020-21 is</w:t>
      </w:r>
      <w:r w:rsidRPr="0095755C">
        <w:t xml:space="preserve"> largely </w:t>
      </w:r>
      <w:r>
        <w:t>due to</w:t>
      </w:r>
      <w:r w:rsidRPr="0095755C">
        <w:t xml:space="preserve"> the State</w:t>
      </w:r>
      <w:r>
        <w:t>’</w:t>
      </w:r>
      <w:r w:rsidRPr="0095755C">
        <w:t>s existing expenditure on disability services, including payments to disability service providers, being allocated towards the State</w:t>
      </w:r>
      <w:r>
        <w:t>’</w:t>
      </w:r>
      <w:r w:rsidRPr="0095755C">
        <w:t xml:space="preserve">s contribution to the </w:t>
      </w:r>
      <w:r>
        <w:t>NDIS.</w:t>
      </w:r>
      <w:r w:rsidRPr="0095755C">
        <w:t xml:space="preserve"> These services will be funded by the NDIS.</w:t>
      </w:r>
    </w:p>
    <w:p w14:paraId="27F9B147" w14:textId="77777777" w:rsidR="00964B88" w:rsidRDefault="00964B88" w:rsidP="00F53820">
      <w:pPr>
        <w:keepLines w:val="0"/>
        <w:rPr>
          <w:rFonts w:asciiTheme="majorHAnsi" w:eastAsiaTheme="majorEastAsia" w:hAnsiTheme="majorHAnsi" w:cstheme="majorBidi"/>
          <w:b/>
          <w:bCs/>
          <w:spacing w:val="-2"/>
          <w:sz w:val="20"/>
          <w:szCs w:val="26"/>
        </w:rPr>
      </w:pPr>
      <w:bookmarkStart w:id="94" w:name="_Toc496606578"/>
      <w:r>
        <w:br w:type="page"/>
      </w:r>
    </w:p>
    <w:p w14:paraId="3112ADF0" w14:textId="77777777" w:rsidR="00964B88" w:rsidRDefault="00964B88" w:rsidP="00964B88">
      <w:pPr>
        <w:pStyle w:val="Heading3"/>
        <w:numPr>
          <w:ilvl w:val="2"/>
          <w:numId w:val="22"/>
        </w:numPr>
        <w:tabs>
          <w:tab w:val="clear" w:pos="7711"/>
          <w:tab w:val="left" w:pos="850"/>
          <w:tab w:val="right" w:pos="7710"/>
        </w:tabs>
        <w:spacing w:after="60"/>
      </w:pPr>
      <w:bookmarkStart w:id="95" w:name="_Toc530147964"/>
      <w:r>
        <w:lastRenderedPageBreak/>
        <w:t xml:space="preserve">Total expenses by classification of the functions of government and by portfolio </w:t>
      </w:r>
      <w:r w:rsidRPr="004E4D8E">
        <w:t>department</w:t>
      </w:r>
      <w:bookmarkEnd w:id="94"/>
      <w:bookmarkEnd w:id="95"/>
    </w:p>
    <w:p w14:paraId="34A78C0E" w14:textId="77777777" w:rsidR="00964B88" w:rsidRDefault="00964B88" w:rsidP="00F53820">
      <w:pPr>
        <w:pStyle w:val="TableHeading"/>
      </w:pPr>
      <w:r>
        <w:t xml:space="preserve">Expenses by classification of the functions of government </w:t>
      </w:r>
      <w:r>
        <w:rPr>
          <w:vertAlign w:val="superscript"/>
        </w:rPr>
        <w:t>(a)</w:t>
      </w:r>
      <w:r>
        <w:ta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432B17D0"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1AB4D3F3" w14:textId="77777777" w:rsidR="00964B88" w:rsidRDefault="00964B88"/>
        </w:tc>
        <w:tc>
          <w:tcPr>
            <w:tcW w:w="850" w:type="dxa"/>
          </w:tcPr>
          <w:p w14:paraId="2633C31B"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2AD0B4A2"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23AE6BD1"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756AF6E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238F152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6BBC1052" w14:textId="77777777">
        <w:tc>
          <w:tcPr>
            <w:cnfStyle w:val="001000000000" w:firstRow="0" w:lastRow="0" w:firstColumn="1" w:lastColumn="0" w:oddVBand="0" w:evenVBand="0" w:oddHBand="0" w:evenHBand="0" w:firstRowFirstColumn="0" w:firstRowLastColumn="0" w:lastRowFirstColumn="0" w:lastRowLastColumn="0"/>
            <w:tcW w:w="3518" w:type="dxa"/>
          </w:tcPr>
          <w:p w14:paraId="673D6B90" w14:textId="77777777" w:rsidR="00964B88" w:rsidRDefault="00964B88">
            <w:r>
              <w:t>General public services</w:t>
            </w:r>
          </w:p>
        </w:tc>
        <w:tc>
          <w:tcPr>
            <w:tcW w:w="850" w:type="dxa"/>
          </w:tcPr>
          <w:p w14:paraId="3A546DD2" w14:textId="77777777" w:rsidR="00964B88" w:rsidRDefault="00964B88">
            <w:pPr>
              <w:cnfStyle w:val="000000000000" w:firstRow="0" w:lastRow="0" w:firstColumn="0" w:lastColumn="0" w:oddVBand="0" w:evenVBand="0" w:oddHBand="0" w:evenHBand="0" w:firstRowFirstColumn="0" w:firstRowLastColumn="0" w:lastRowFirstColumn="0" w:lastRowLastColumn="0"/>
            </w:pPr>
            <w:r>
              <w:t>3 821</w:t>
            </w:r>
          </w:p>
        </w:tc>
        <w:tc>
          <w:tcPr>
            <w:tcW w:w="850" w:type="dxa"/>
          </w:tcPr>
          <w:p w14:paraId="5405EA74" w14:textId="77777777" w:rsidR="00964B88" w:rsidRDefault="00964B88">
            <w:pPr>
              <w:cnfStyle w:val="000000000000" w:firstRow="0" w:lastRow="0" w:firstColumn="0" w:lastColumn="0" w:oddVBand="0" w:evenVBand="0" w:oddHBand="0" w:evenHBand="0" w:firstRowFirstColumn="0" w:firstRowLastColumn="0" w:lastRowFirstColumn="0" w:lastRowLastColumn="0"/>
            </w:pPr>
            <w:r>
              <w:t>3 621</w:t>
            </w:r>
          </w:p>
        </w:tc>
        <w:tc>
          <w:tcPr>
            <w:tcW w:w="850" w:type="dxa"/>
          </w:tcPr>
          <w:p w14:paraId="020043D4" w14:textId="77777777" w:rsidR="00964B88" w:rsidRDefault="00964B88">
            <w:pPr>
              <w:cnfStyle w:val="000000000000" w:firstRow="0" w:lastRow="0" w:firstColumn="0" w:lastColumn="0" w:oddVBand="0" w:evenVBand="0" w:oddHBand="0" w:evenHBand="0" w:firstRowFirstColumn="0" w:firstRowLastColumn="0" w:lastRowFirstColumn="0" w:lastRowLastColumn="0"/>
            </w:pPr>
            <w:r>
              <w:t>3 578</w:t>
            </w:r>
          </w:p>
        </w:tc>
        <w:tc>
          <w:tcPr>
            <w:tcW w:w="850" w:type="dxa"/>
          </w:tcPr>
          <w:p w14:paraId="5F36CDC4" w14:textId="77777777" w:rsidR="00964B88" w:rsidRDefault="00964B88">
            <w:pPr>
              <w:cnfStyle w:val="000000000000" w:firstRow="0" w:lastRow="0" w:firstColumn="0" w:lastColumn="0" w:oddVBand="0" w:evenVBand="0" w:oddHBand="0" w:evenHBand="0" w:firstRowFirstColumn="0" w:firstRowLastColumn="0" w:lastRowFirstColumn="0" w:lastRowLastColumn="0"/>
            </w:pPr>
            <w:r>
              <w:t>3 670</w:t>
            </w:r>
          </w:p>
        </w:tc>
        <w:tc>
          <w:tcPr>
            <w:tcW w:w="850" w:type="dxa"/>
          </w:tcPr>
          <w:p w14:paraId="5480C96C" w14:textId="77777777" w:rsidR="00964B88" w:rsidRDefault="00964B88">
            <w:pPr>
              <w:cnfStyle w:val="000000000000" w:firstRow="0" w:lastRow="0" w:firstColumn="0" w:lastColumn="0" w:oddVBand="0" w:evenVBand="0" w:oddHBand="0" w:evenHBand="0" w:firstRowFirstColumn="0" w:firstRowLastColumn="0" w:lastRowFirstColumn="0" w:lastRowLastColumn="0"/>
            </w:pPr>
            <w:r>
              <w:t>3 774</w:t>
            </w:r>
          </w:p>
        </w:tc>
      </w:tr>
      <w:tr w:rsidR="00964B88" w14:paraId="190B75A9" w14:textId="77777777">
        <w:tc>
          <w:tcPr>
            <w:cnfStyle w:val="001000000000" w:firstRow="0" w:lastRow="0" w:firstColumn="1" w:lastColumn="0" w:oddVBand="0" w:evenVBand="0" w:oddHBand="0" w:evenHBand="0" w:firstRowFirstColumn="0" w:firstRowLastColumn="0" w:lastRowFirstColumn="0" w:lastRowLastColumn="0"/>
            <w:tcW w:w="3518" w:type="dxa"/>
          </w:tcPr>
          <w:p w14:paraId="28CAFCB2" w14:textId="77777777" w:rsidR="00964B88" w:rsidRDefault="00964B88">
            <w:r>
              <w:t>Public order and safety</w:t>
            </w:r>
          </w:p>
        </w:tc>
        <w:tc>
          <w:tcPr>
            <w:tcW w:w="850" w:type="dxa"/>
          </w:tcPr>
          <w:p w14:paraId="0E4D0984" w14:textId="77777777" w:rsidR="00964B88" w:rsidRDefault="00964B88">
            <w:pPr>
              <w:cnfStyle w:val="000000000000" w:firstRow="0" w:lastRow="0" w:firstColumn="0" w:lastColumn="0" w:oddVBand="0" w:evenVBand="0" w:oddHBand="0" w:evenHBand="0" w:firstRowFirstColumn="0" w:firstRowLastColumn="0" w:lastRowFirstColumn="0" w:lastRowLastColumn="0"/>
            </w:pPr>
            <w:r>
              <w:t>8 611</w:t>
            </w:r>
          </w:p>
        </w:tc>
        <w:tc>
          <w:tcPr>
            <w:tcW w:w="850" w:type="dxa"/>
          </w:tcPr>
          <w:p w14:paraId="3C72C00E" w14:textId="77777777" w:rsidR="00964B88" w:rsidRDefault="00964B88">
            <w:pPr>
              <w:cnfStyle w:val="000000000000" w:firstRow="0" w:lastRow="0" w:firstColumn="0" w:lastColumn="0" w:oddVBand="0" w:evenVBand="0" w:oddHBand="0" w:evenHBand="0" w:firstRowFirstColumn="0" w:firstRowLastColumn="0" w:lastRowFirstColumn="0" w:lastRowLastColumn="0"/>
            </w:pPr>
            <w:r>
              <w:t>8 640</w:t>
            </w:r>
          </w:p>
        </w:tc>
        <w:tc>
          <w:tcPr>
            <w:tcW w:w="850" w:type="dxa"/>
          </w:tcPr>
          <w:p w14:paraId="193EAE48" w14:textId="77777777" w:rsidR="00964B88" w:rsidRDefault="00964B88">
            <w:pPr>
              <w:cnfStyle w:val="000000000000" w:firstRow="0" w:lastRow="0" w:firstColumn="0" w:lastColumn="0" w:oddVBand="0" w:evenVBand="0" w:oddHBand="0" w:evenHBand="0" w:firstRowFirstColumn="0" w:firstRowLastColumn="0" w:lastRowFirstColumn="0" w:lastRowLastColumn="0"/>
            </w:pPr>
            <w:r>
              <w:t>8 751</w:t>
            </w:r>
          </w:p>
        </w:tc>
        <w:tc>
          <w:tcPr>
            <w:tcW w:w="850" w:type="dxa"/>
          </w:tcPr>
          <w:p w14:paraId="14B0C7CA" w14:textId="77777777" w:rsidR="00964B88" w:rsidRDefault="00964B88">
            <w:pPr>
              <w:cnfStyle w:val="000000000000" w:firstRow="0" w:lastRow="0" w:firstColumn="0" w:lastColumn="0" w:oddVBand="0" w:evenVBand="0" w:oddHBand="0" w:evenHBand="0" w:firstRowFirstColumn="0" w:firstRowLastColumn="0" w:lastRowFirstColumn="0" w:lastRowLastColumn="0"/>
            </w:pPr>
            <w:r>
              <w:t>8 844</w:t>
            </w:r>
          </w:p>
        </w:tc>
        <w:tc>
          <w:tcPr>
            <w:tcW w:w="850" w:type="dxa"/>
          </w:tcPr>
          <w:p w14:paraId="5CED5CBC" w14:textId="77777777" w:rsidR="00964B88" w:rsidRDefault="00964B88">
            <w:pPr>
              <w:cnfStyle w:val="000000000000" w:firstRow="0" w:lastRow="0" w:firstColumn="0" w:lastColumn="0" w:oddVBand="0" w:evenVBand="0" w:oddHBand="0" w:evenHBand="0" w:firstRowFirstColumn="0" w:firstRowLastColumn="0" w:lastRowFirstColumn="0" w:lastRowLastColumn="0"/>
            </w:pPr>
            <w:r>
              <w:t>8 939</w:t>
            </w:r>
          </w:p>
        </w:tc>
      </w:tr>
      <w:tr w:rsidR="00964B88" w14:paraId="647A2DAA" w14:textId="77777777">
        <w:tc>
          <w:tcPr>
            <w:cnfStyle w:val="001000000000" w:firstRow="0" w:lastRow="0" w:firstColumn="1" w:lastColumn="0" w:oddVBand="0" w:evenVBand="0" w:oddHBand="0" w:evenHBand="0" w:firstRowFirstColumn="0" w:firstRowLastColumn="0" w:lastRowFirstColumn="0" w:lastRowLastColumn="0"/>
            <w:tcW w:w="3518" w:type="dxa"/>
          </w:tcPr>
          <w:p w14:paraId="67AD944E" w14:textId="77777777" w:rsidR="00964B88" w:rsidRDefault="00964B88">
            <w:r>
              <w:t>Economic affairs</w:t>
            </w:r>
            <w:r>
              <w:rPr>
                <w:vertAlign w:val="superscript"/>
              </w:rPr>
              <w:t xml:space="preserve"> (b)</w:t>
            </w:r>
          </w:p>
        </w:tc>
        <w:tc>
          <w:tcPr>
            <w:tcW w:w="850" w:type="dxa"/>
          </w:tcPr>
          <w:p w14:paraId="091F7238" w14:textId="77777777" w:rsidR="00964B88" w:rsidRDefault="00964B88">
            <w:pPr>
              <w:cnfStyle w:val="000000000000" w:firstRow="0" w:lastRow="0" w:firstColumn="0" w:lastColumn="0" w:oddVBand="0" w:evenVBand="0" w:oddHBand="0" w:evenHBand="0" w:firstRowFirstColumn="0" w:firstRowLastColumn="0" w:lastRowFirstColumn="0" w:lastRowLastColumn="0"/>
            </w:pPr>
            <w:r>
              <w:t>1 991</w:t>
            </w:r>
          </w:p>
        </w:tc>
        <w:tc>
          <w:tcPr>
            <w:tcW w:w="850" w:type="dxa"/>
          </w:tcPr>
          <w:p w14:paraId="166D87D1" w14:textId="77777777" w:rsidR="00964B88" w:rsidRDefault="00964B88">
            <w:pPr>
              <w:cnfStyle w:val="000000000000" w:firstRow="0" w:lastRow="0" w:firstColumn="0" w:lastColumn="0" w:oddVBand="0" w:evenVBand="0" w:oddHBand="0" w:evenHBand="0" w:firstRowFirstColumn="0" w:firstRowLastColumn="0" w:lastRowFirstColumn="0" w:lastRowLastColumn="0"/>
            </w:pPr>
            <w:r>
              <w:t>2 237</w:t>
            </w:r>
          </w:p>
        </w:tc>
        <w:tc>
          <w:tcPr>
            <w:tcW w:w="850" w:type="dxa"/>
          </w:tcPr>
          <w:p w14:paraId="03001C9E" w14:textId="77777777" w:rsidR="00964B88" w:rsidRDefault="00964B88">
            <w:pPr>
              <w:cnfStyle w:val="000000000000" w:firstRow="0" w:lastRow="0" w:firstColumn="0" w:lastColumn="0" w:oddVBand="0" w:evenVBand="0" w:oddHBand="0" w:evenHBand="0" w:firstRowFirstColumn="0" w:firstRowLastColumn="0" w:lastRowFirstColumn="0" w:lastRowLastColumn="0"/>
            </w:pPr>
            <w:r>
              <w:t>1 415</w:t>
            </w:r>
          </w:p>
        </w:tc>
        <w:tc>
          <w:tcPr>
            <w:tcW w:w="850" w:type="dxa"/>
          </w:tcPr>
          <w:p w14:paraId="36569C03" w14:textId="77777777" w:rsidR="00964B88" w:rsidRDefault="00964B88">
            <w:pPr>
              <w:cnfStyle w:val="000000000000" w:firstRow="0" w:lastRow="0" w:firstColumn="0" w:lastColumn="0" w:oddVBand="0" w:evenVBand="0" w:oddHBand="0" w:evenHBand="0" w:firstRowFirstColumn="0" w:firstRowLastColumn="0" w:lastRowFirstColumn="0" w:lastRowLastColumn="0"/>
            </w:pPr>
            <w:r>
              <w:t>1 176</w:t>
            </w:r>
          </w:p>
        </w:tc>
        <w:tc>
          <w:tcPr>
            <w:tcW w:w="850" w:type="dxa"/>
          </w:tcPr>
          <w:p w14:paraId="33ABE4ED" w14:textId="77777777" w:rsidR="00964B88" w:rsidRDefault="00964B88">
            <w:pPr>
              <w:cnfStyle w:val="000000000000" w:firstRow="0" w:lastRow="0" w:firstColumn="0" w:lastColumn="0" w:oddVBand="0" w:evenVBand="0" w:oddHBand="0" w:evenHBand="0" w:firstRowFirstColumn="0" w:firstRowLastColumn="0" w:lastRowFirstColumn="0" w:lastRowLastColumn="0"/>
            </w:pPr>
            <w:r>
              <w:t>1 079</w:t>
            </w:r>
          </w:p>
        </w:tc>
      </w:tr>
      <w:tr w:rsidR="00964B88" w14:paraId="5B6EA942" w14:textId="77777777">
        <w:tc>
          <w:tcPr>
            <w:cnfStyle w:val="001000000000" w:firstRow="0" w:lastRow="0" w:firstColumn="1" w:lastColumn="0" w:oddVBand="0" w:evenVBand="0" w:oddHBand="0" w:evenHBand="0" w:firstRowFirstColumn="0" w:firstRowLastColumn="0" w:lastRowFirstColumn="0" w:lastRowLastColumn="0"/>
            <w:tcW w:w="3518" w:type="dxa"/>
          </w:tcPr>
          <w:p w14:paraId="3E36BD3B" w14:textId="77777777" w:rsidR="00964B88" w:rsidRDefault="00964B88">
            <w:r>
              <w:t>Environmental protection</w:t>
            </w:r>
          </w:p>
        </w:tc>
        <w:tc>
          <w:tcPr>
            <w:tcW w:w="850" w:type="dxa"/>
          </w:tcPr>
          <w:p w14:paraId="55065E8B" w14:textId="77777777" w:rsidR="00964B88" w:rsidRDefault="00964B88">
            <w:pPr>
              <w:cnfStyle w:val="000000000000" w:firstRow="0" w:lastRow="0" w:firstColumn="0" w:lastColumn="0" w:oddVBand="0" w:evenVBand="0" w:oddHBand="0" w:evenHBand="0" w:firstRowFirstColumn="0" w:firstRowLastColumn="0" w:lastRowFirstColumn="0" w:lastRowLastColumn="0"/>
            </w:pPr>
            <w:r>
              <w:t>840</w:t>
            </w:r>
          </w:p>
        </w:tc>
        <w:tc>
          <w:tcPr>
            <w:tcW w:w="850" w:type="dxa"/>
          </w:tcPr>
          <w:p w14:paraId="7065D9BA" w14:textId="77777777" w:rsidR="00964B88" w:rsidRDefault="00964B88">
            <w:pPr>
              <w:cnfStyle w:val="000000000000" w:firstRow="0" w:lastRow="0" w:firstColumn="0" w:lastColumn="0" w:oddVBand="0" w:evenVBand="0" w:oddHBand="0" w:evenHBand="0" w:firstRowFirstColumn="0" w:firstRowLastColumn="0" w:lastRowFirstColumn="0" w:lastRowLastColumn="0"/>
            </w:pPr>
            <w:r>
              <w:t>866</w:t>
            </w:r>
          </w:p>
        </w:tc>
        <w:tc>
          <w:tcPr>
            <w:tcW w:w="850" w:type="dxa"/>
          </w:tcPr>
          <w:p w14:paraId="0E5EAF9B" w14:textId="77777777" w:rsidR="00964B88" w:rsidRDefault="00964B88">
            <w:pPr>
              <w:cnfStyle w:val="000000000000" w:firstRow="0" w:lastRow="0" w:firstColumn="0" w:lastColumn="0" w:oddVBand="0" w:evenVBand="0" w:oddHBand="0" w:evenHBand="0" w:firstRowFirstColumn="0" w:firstRowLastColumn="0" w:lastRowFirstColumn="0" w:lastRowLastColumn="0"/>
            </w:pPr>
            <w:r>
              <w:t>795</w:t>
            </w:r>
          </w:p>
        </w:tc>
        <w:tc>
          <w:tcPr>
            <w:tcW w:w="850" w:type="dxa"/>
          </w:tcPr>
          <w:p w14:paraId="61838AAC" w14:textId="77777777" w:rsidR="00964B88" w:rsidRDefault="00964B88">
            <w:pPr>
              <w:cnfStyle w:val="000000000000" w:firstRow="0" w:lastRow="0" w:firstColumn="0" w:lastColumn="0" w:oddVBand="0" w:evenVBand="0" w:oddHBand="0" w:evenHBand="0" w:firstRowFirstColumn="0" w:firstRowLastColumn="0" w:lastRowFirstColumn="0" w:lastRowLastColumn="0"/>
            </w:pPr>
            <w:r>
              <w:t>753</w:t>
            </w:r>
          </w:p>
        </w:tc>
        <w:tc>
          <w:tcPr>
            <w:tcW w:w="850" w:type="dxa"/>
          </w:tcPr>
          <w:p w14:paraId="0E6BDFA0" w14:textId="77777777" w:rsidR="00964B88" w:rsidRDefault="00964B88">
            <w:pPr>
              <w:cnfStyle w:val="000000000000" w:firstRow="0" w:lastRow="0" w:firstColumn="0" w:lastColumn="0" w:oddVBand="0" w:evenVBand="0" w:oddHBand="0" w:evenHBand="0" w:firstRowFirstColumn="0" w:firstRowLastColumn="0" w:lastRowFirstColumn="0" w:lastRowLastColumn="0"/>
            </w:pPr>
            <w:r>
              <w:t>675</w:t>
            </w:r>
          </w:p>
        </w:tc>
      </w:tr>
      <w:tr w:rsidR="00964B88" w14:paraId="3D83FD93" w14:textId="77777777">
        <w:tc>
          <w:tcPr>
            <w:cnfStyle w:val="001000000000" w:firstRow="0" w:lastRow="0" w:firstColumn="1" w:lastColumn="0" w:oddVBand="0" w:evenVBand="0" w:oddHBand="0" w:evenHBand="0" w:firstRowFirstColumn="0" w:firstRowLastColumn="0" w:lastRowFirstColumn="0" w:lastRowLastColumn="0"/>
            <w:tcW w:w="3518" w:type="dxa"/>
          </w:tcPr>
          <w:p w14:paraId="3F60224B" w14:textId="77777777" w:rsidR="00964B88" w:rsidRDefault="00964B88">
            <w:r>
              <w:t>Housing and community amenities</w:t>
            </w:r>
          </w:p>
        </w:tc>
        <w:tc>
          <w:tcPr>
            <w:tcW w:w="850" w:type="dxa"/>
          </w:tcPr>
          <w:p w14:paraId="66105E80" w14:textId="77777777" w:rsidR="00964B88" w:rsidRDefault="00964B88">
            <w:pPr>
              <w:cnfStyle w:val="000000000000" w:firstRow="0" w:lastRow="0" w:firstColumn="0" w:lastColumn="0" w:oddVBand="0" w:evenVBand="0" w:oddHBand="0" w:evenHBand="0" w:firstRowFirstColumn="0" w:firstRowLastColumn="0" w:lastRowFirstColumn="0" w:lastRowLastColumn="0"/>
            </w:pPr>
            <w:r>
              <w:t>2 083</w:t>
            </w:r>
          </w:p>
        </w:tc>
        <w:tc>
          <w:tcPr>
            <w:tcW w:w="850" w:type="dxa"/>
          </w:tcPr>
          <w:p w14:paraId="1D064ABD" w14:textId="77777777" w:rsidR="00964B88" w:rsidRDefault="00964B88">
            <w:pPr>
              <w:cnfStyle w:val="000000000000" w:firstRow="0" w:lastRow="0" w:firstColumn="0" w:lastColumn="0" w:oddVBand="0" w:evenVBand="0" w:oddHBand="0" w:evenHBand="0" w:firstRowFirstColumn="0" w:firstRowLastColumn="0" w:lastRowFirstColumn="0" w:lastRowLastColumn="0"/>
            </w:pPr>
            <w:r>
              <w:t>2 214</w:t>
            </w:r>
          </w:p>
        </w:tc>
        <w:tc>
          <w:tcPr>
            <w:tcW w:w="850" w:type="dxa"/>
          </w:tcPr>
          <w:p w14:paraId="156E0044" w14:textId="77777777" w:rsidR="00964B88" w:rsidRDefault="00964B88">
            <w:pPr>
              <w:cnfStyle w:val="000000000000" w:firstRow="0" w:lastRow="0" w:firstColumn="0" w:lastColumn="0" w:oddVBand="0" w:evenVBand="0" w:oddHBand="0" w:evenHBand="0" w:firstRowFirstColumn="0" w:firstRowLastColumn="0" w:lastRowFirstColumn="0" w:lastRowLastColumn="0"/>
            </w:pPr>
            <w:r>
              <w:t>2 325</w:t>
            </w:r>
          </w:p>
        </w:tc>
        <w:tc>
          <w:tcPr>
            <w:tcW w:w="850" w:type="dxa"/>
          </w:tcPr>
          <w:p w14:paraId="380CEEBF" w14:textId="77777777" w:rsidR="00964B88" w:rsidRDefault="00964B88">
            <w:pPr>
              <w:cnfStyle w:val="000000000000" w:firstRow="0" w:lastRow="0" w:firstColumn="0" w:lastColumn="0" w:oddVBand="0" w:evenVBand="0" w:oddHBand="0" w:evenHBand="0" w:firstRowFirstColumn="0" w:firstRowLastColumn="0" w:lastRowFirstColumn="0" w:lastRowLastColumn="0"/>
            </w:pPr>
            <w:r>
              <w:t>2 268</w:t>
            </w:r>
          </w:p>
        </w:tc>
        <w:tc>
          <w:tcPr>
            <w:tcW w:w="850" w:type="dxa"/>
          </w:tcPr>
          <w:p w14:paraId="632FD825" w14:textId="77777777" w:rsidR="00964B88" w:rsidRDefault="00964B88">
            <w:pPr>
              <w:cnfStyle w:val="000000000000" w:firstRow="0" w:lastRow="0" w:firstColumn="0" w:lastColumn="0" w:oddVBand="0" w:evenVBand="0" w:oddHBand="0" w:evenHBand="0" w:firstRowFirstColumn="0" w:firstRowLastColumn="0" w:lastRowFirstColumn="0" w:lastRowLastColumn="0"/>
            </w:pPr>
            <w:r>
              <w:t>2 289</w:t>
            </w:r>
          </w:p>
        </w:tc>
      </w:tr>
      <w:tr w:rsidR="00964B88" w14:paraId="226EAE2C" w14:textId="77777777">
        <w:tc>
          <w:tcPr>
            <w:cnfStyle w:val="001000000000" w:firstRow="0" w:lastRow="0" w:firstColumn="1" w:lastColumn="0" w:oddVBand="0" w:evenVBand="0" w:oddHBand="0" w:evenHBand="0" w:firstRowFirstColumn="0" w:firstRowLastColumn="0" w:lastRowFirstColumn="0" w:lastRowLastColumn="0"/>
            <w:tcW w:w="3518" w:type="dxa"/>
          </w:tcPr>
          <w:p w14:paraId="0BA3CD18" w14:textId="77777777" w:rsidR="00964B88" w:rsidRDefault="00964B88">
            <w:r>
              <w:t>Health</w:t>
            </w:r>
          </w:p>
        </w:tc>
        <w:tc>
          <w:tcPr>
            <w:tcW w:w="850" w:type="dxa"/>
          </w:tcPr>
          <w:p w14:paraId="25FFB948" w14:textId="77777777" w:rsidR="00964B88" w:rsidRDefault="00964B88">
            <w:pPr>
              <w:cnfStyle w:val="000000000000" w:firstRow="0" w:lastRow="0" w:firstColumn="0" w:lastColumn="0" w:oddVBand="0" w:evenVBand="0" w:oddHBand="0" w:evenHBand="0" w:firstRowFirstColumn="0" w:firstRowLastColumn="0" w:lastRowFirstColumn="0" w:lastRowLastColumn="0"/>
            </w:pPr>
            <w:r>
              <w:t>20 977</w:t>
            </w:r>
          </w:p>
        </w:tc>
        <w:tc>
          <w:tcPr>
            <w:tcW w:w="850" w:type="dxa"/>
          </w:tcPr>
          <w:p w14:paraId="5E73D566" w14:textId="77777777" w:rsidR="00964B88" w:rsidRDefault="00964B88">
            <w:pPr>
              <w:cnfStyle w:val="000000000000" w:firstRow="0" w:lastRow="0" w:firstColumn="0" w:lastColumn="0" w:oddVBand="0" w:evenVBand="0" w:oddHBand="0" w:evenHBand="0" w:firstRowFirstColumn="0" w:firstRowLastColumn="0" w:lastRowFirstColumn="0" w:lastRowLastColumn="0"/>
            </w:pPr>
            <w:r>
              <w:t>21 007</w:t>
            </w:r>
          </w:p>
        </w:tc>
        <w:tc>
          <w:tcPr>
            <w:tcW w:w="850" w:type="dxa"/>
          </w:tcPr>
          <w:p w14:paraId="1CCE8685" w14:textId="77777777" w:rsidR="00964B88" w:rsidRDefault="00964B88">
            <w:pPr>
              <w:cnfStyle w:val="000000000000" w:firstRow="0" w:lastRow="0" w:firstColumn="0" w:lastColumn="0" w:oddVBand="0" w:evenVBand="0" w:oddHBand="0" w:evenHBand="0" w:firstRowFirstColumn="0" w:firstRowLastColumn="0" w:lastRowFirstColumn="0" w:lastRowLastColumn="0"/>
            </w:pPr>
            <w:r>
              <w:t>22 003</w:t>
            </w:r>
          </w:p>
        </w:tc>
        <w:tc>
          <w:tcPr>
            <w:tcW w:w="850" w:type="dxa"/>
          </w:tcPr>
          <w:p w14:paraId="3A0B5556" w14:textId="77777777" w:rsidR="00964B88" w:rsidRDefault="00964B88">
            <w:pPr>
              <w:cnfStyle w:val="000000000000" w:firstRow="0" w:lastRow="0" w:firstColumn="0" w:lastColumn="0" w:oddVBand="0" w:evenVBand="0" w:oddHBand="0" w:evenHBand="0" w:firstRowFirstColumn="0" w:firstRowLastColumn="0" w:lastRowFirstColumn="0" w:lastRowLastColumn="0"/>
            </w:pPr>
            <w:r>
              <w:t>22 291</w:t>
            </w:r>
          </w:p>
        </w:tc>
        <w:tc>
          <w:tcPr>
            <w:tcW w:w="850" w:type="dxa"/>
          </w:tcPr>
          <w:p w14:paraId="5FD5A6D9" w14:textId="77777777" w:rsidR="00964B88" w:rsidRDefault="00964B88">
            <w:pPr>
              <w:cnfStyle w:val="000000000000" w:firstRow="0" w:lastRow="0" w:firstColumn="0" w:lastColumn="0" w:oddVBand="0" w:evenVBand="0" w:oddHBand="0" w:evenHBand="0" w:firstRowFirstColumn="0" w:firstRowLastColumn="0" w:lastRowFirstColumn="0" w:lastRowLastColumn="0"/>
            </w:pPr>
            <w:r>
              <w:t>23 310</w:t>
            </w:r>
          </w:p>
        </w:tc>
      </w:tr>
      <w:tr w:rsidR="00964B88" w14:paraId="1386EDFB" w14:textId="77777777">
        <w:tc>
          <w:tcPr>
            <w:cnfStyle w:val="001000000000" w:firstRow="0" w:lastRow="0" w:firstColumn="1" w:lastColumn="0" w:oddVBand="0" w:evenVBand="0" w:oddHBand="0" w:evenHBand="0" w:firstRowFirstColumn="0" w:firstRowLastColumn="0" w:lastRowFirstColumn="0" w:lastRowLastColumn="0"/>
            <w:tcW w:w="3518" w:type="dxa"/>
          </w:tcPr>
          <w:p w14:paraId="0B1C9193" w14:textId="77777777" w:rsidR="00964B88" w:rsidRDefault="00964B88">
            <w:r>
              <w:t>Recreation, culture and religion</w:t>
            </w:r>
          </w:p>
        </w:tc>
        <w:tc>
          <w:tcPr>
            <w:tcW w:w="850" w:type="dxa"/>
          </w:tcPr>
          <w:p w14:paraId="620961BB" w14:textId="77777777" w:rsidR="00964B88" w:rsidRDefault="00964B88">
            <w:pPr>
              <w:cnfStyle w:val="000000000000" w:firstRow="0" w:lastRow="0" w:firstColumn="0" w:lastColumn="0" w:oddVBand="0" w:evenVBand="0" w:oddHBand="0" w:evenHBand="0" w:firstRowFirstColumn="0" w:firstRowLastColumn="0" w:lastRowFirstColumn="0" w:lastRowLastColumn="0"/>
            </w:pPr>
            <w:r>
              <w:t>927</w:t>
            </w:r>
          </w:p>
        </w:tc>
        <w:tc>
          <w:tcPr>
            <w:tcW w:w="850" w:type="dxa"/>
          </w:tcPr>
          <w:p w14:paraId="1CF73F04" w14:textId="77777777" w:rsidR="00964B88" w:rsidRDefault="00964B88">
            <w:pPr>
              <w:cnfStyle w:val="000000000000" w:firstRow="0" w:lastRow="0" w:firstColumn="0" w:lastColumn="0" w:oddVBand="0" w:evenVBand="0" w:oddHBand="0" w:evenHBand="0" w:firstRowFirstColumn="0" w:firstRowLastColumn="0" w:lastRowFirstColumn="0" w:lastRowLastColumn="0"/>
            </w:pPr>
            <w:r>
              <w:t>892</w:t>
            </w:r>
          </w:p>
        </w:tc>
        <w:tc>
          <w:tcPr>
            <w:tcW w:w="850" w:type="dxa"/>
          </w:tcPr>
          <w:p w14:paraId="54394E80" w14:textId="77777777" w:rsidR="00964B88" w:rsidRDefault="00964B88">
            <w:pPr>
              <w:cnfStyle w:val="000000000000" w:firstRow="0" w:lastRow="0" w:firstColumn="0" w:lastColumn="0" w:oddVBand="0" w:evenVBand="0" w:oddHBand="0" w:evenHBand="0" w:firstRowFirstColumn="0" w:firstRowLastColumn="0" w:lastRowFirstColumn="0" w:lastRowLastColumn="0"/>
            </w:pPr>
            <w:r>
              <w:t>1 026</w:t>
            </w:r>
          </w:p>
        </w:tc>
        <w:tc>
          <w:tcPr>
            <w:tcW w:w="850" w:type="dxa"/>
          </w:tcPr>
          <w:p w14:paraId="35855A5E" w14:textId="77777777" w:rsidR="00964B88" w:rsidRDefault="00964B88">
            <w:pPr>
              <w:cnfStyle w:val="000000000000" w:firstRow="0" w:lastRow="0" w:firstColumn="0" w:lastColumn="0" w:oddVBand="0" w:evenVBand="0" w:oddHBand="0" w:evenHBand="0" w:firstRowFirstColumn="0" w:firstRowLastColumn="0" w:lastRowFirstColumn="0" w:lastRowLastColumn="0"/>
            </w:pPr>
            <w:r>
              <w:t>734</w:t>
            </w:r>
          </w:p>
        </w:tc>
        <w:tc>
          <w:tcPr>
            <w:tcW w:w="850" w:type="dxa"/>
          </w:tcPr>
          <w:p w14:paraId="57E8A821" w14:textId="77777777" w:rsidR="00964B88" w:rsidRDefault="00964B88">
            <w:pPr>
              <w:cnfStyle w:val="000000000000" w:firstRow="0" w:lastRow="0" w:firstColumn="0" w:lastColumn="0" w:oddVBand="0" w:evenVBand="0" w:oddHBand="0" w:evenHBand="0" w:firstRowFirstColumn="0" w:firstRowLastColumn="0" w:lastRowFirstColumn="0" w:lastRowLastColumn="0"/>
            </w:pPr>
            <w:r>
              <w:t>648</w:t>
            </w:r>
          </w:p>
        </w:tc>
      </w:tr>
      <w:tr w:rsidR="00964B88" w14:paraId="41BCB81C" w14:textId="77777777">
        <w:tc>
          <w:tcPr>
            <w:cnfStyle w:val="001000000000" w:firstRow="0" w:lastRow="0" w:firstColumn="1" w:lastColumn="0" w:oddVBand="0" w:evenVBand="0" w:oddHBand="0" w:evenHBand="0" w:firstRowFirstColumn="0" w:firstRowLastColumn="0" w:lastRowFirstColumn="0" w:lastRowLastColumn="0"/>
            <w:tcW w:w="3518" w:type="dxa"/>
          </w:tcPr>
          <w:p w14:paraId="3A64708E" w14:textId="77777777" w:rsidR="00964B88" w:rsidRDefault="00964B88">
            <w:r>
              <w:t>Education</w:t>
            </w:r>
          </w:p>
        </w:tc>
        <w:tc>
          <w:tcPr>
            <w:tcW w:w="850" w:type="dxa"/>
          </w:tcPr>
          <w:p w14:paraId="3A3EBE2B" w14:textId="77777777" w:rsidR="00964B88" w:rsidRDefault="00964B88">
            <w:pPr>
              <w:cnfStyle w:val="000000000000" w:firstRow="0" w:lastRow="0" w:firstColumn="0" w:lastColumn="0" w:oddVBand="0" w:evenVBand="0" w:oddHBand="0" w:evenHBand="0" w:firstRowFirstColumn="0" w:firstRowLastColumn="0" w:lastRowFirstColumn="0" w:lastRowLastColumn="0"/>
            </w:pPr>
            <w:r>
              <w:t>16 939</w:t>
            </w:r>
          </w:p>
        </w:tc>
        <w:tc>
          <w:tcPr>
            <w:tcW w:w="850" w:type="dxa"/>
          </w:tcPr>
          <w:p w14:paraId="14125582" w14:textId="77777777" w:rsidR="00964B88" w:rsidRDefault="00964B88">
            <w:pPr>
              <w:cnfStyle w:val="000000000000" w:firstRow="0" w:lastRow="0" w:firstColumn="0" w:lastColumn="0" w:oddVBand="0" w:evenVBand="0" w:oddHBand="0" w:evenHBand="0" w:firstRowFirstColumn="0" w:firstRowLastColumn="0" w:lastRowFirstColumn="0" w:lastRowLastColumn="0"/>
            </w:pPr>
            <w:r>
              <w:t>16 906</w:t>
            </w:r>
          </w:p>
        </w:tc>
        <w:tc>
          <w:tcPr>
            <w:tcW w:w="850" w:type="dxa"/>
          </w:tcPr>
          <w:p w14:paraId="1E67268F" w14:textId="77777777" w:rsidR="00964B88" w:rsidRDefault="00964B88">
            <w:pPr>
              <w:cnfStyle w:val="000000000000" w:firstRow="0" w:lastRow="0" w:firstColumn="0" w:lastColumn="0" w:oddVBand="0" w:evenVBand="0" w:oddHBand="0" w:evenHBand="0" w:firstRowFirstColumn="0" w:firstRowLastColumn="0" w:lastRowFirstColumn="0" w:lastRowLastColumn="0"/>
            </w:pPr>
            <w:r>
              <w:t>17 650</w:t>
            </w:r>
          </w:p>
        </w:tc>
        <w:tc>
          <w:tcPr>
            <w:tcW w:w="850" w:type="dxa"/>
          </w:tcPr>
          <w:p w14:paraId="763EF69D" w14:textId="77777777" w:rsidR="00964B88" w:rsidRDefault="00964B88">
            <w:pPr>
              <w:cnfStyle w:val="000000000000" w:firstRow="0" w:lastRow="0" w:firstColumn="0" w:lastColumn="0" w:oddVBand="0" w:evenVBand="0" w:oddHBand="0" w:evenHBand="0" w:firstRowFirstColumn="0" w:firstRowLastColumn="0" w:lastRowFirstColumn="0" w:lastRowLastColumn="0"/>
            </w:pPr>
            <w:r>
              <w:t>18 870</w:t>
            </w:r>
          </w:p>
        </w:tc>
        <w:tc>
          <w:tcPr>
            <w:tcW w:w="850" w:type="dxa"/>
          </w:tcPr>
          <w:p w14:paraId="6887EDDA" w14:textId="77777777" w:rsidR="00964B88" w:rsidRDefault="00964B88">
            <w:pPr>
              <w:cnfStyle w:val="000000000000" w:firstRow="0" w:lastRow="0" w:firstColumn="0" w:lastColumn="0" w:oddVBand="0" w:evenVBand="0" w:oddHBand="0" w:evenHBand="0" w:firstRowFirstColumn="0" w:firstRowLastColumn="0" w:lastRowFirstColumn="0" w:lastRowLastColumn="0"/>
            </w:pPr>
            <w:r>
              <w:t>20 160</w:t>
            </w:r>
          </w:p>
        </w:tc>
      </w:tr>
      <w:tr w:rsidR="00964B88" w14:paraId="789DD3C0" w14:textId="77777777">
        <w:tc>
          <w:tcPr>
            <w:cnfStyle w:val="001000000000" w:firstRow="0" w:lastRow="0" w:firstColumn="1" w:lastColumn="0" w:oddVBand="0" w:evenVBand="0" w:oddHBand="0" w:evenHBand="0" w:firstRowFirstColumn="0" w:firstRowLastColumn="0" w:lastRowFirstColumn="0" w:lastRowLastColumn="0"/>
            <w:tcW w:w="3518" w:type="dxa"/>
          </w:tcPr>
          <w:p w14:paraId="7FEFE3EF" w14:textId="77777777" w:rsidR="00964B88" w:rsidRDefault="00964B88">
            <w:r>
              <w:t>Social protection</w:t>
            </w:r>
            <w:r>
              <w:rPr>
                <w:vertAlign w:val="superscript"/>
              </w:rPr>
              <w:t xml:space="preserve"> (c)</w:t>
            </w:r>
          </w:p>
        </w:tc>
        <w:tc>
          <w:tcPr>
            <w:tcW w:w="850" w:type="dxa"/>
          </w:tcPr>
          <w:p w14:paraId="310838E4" w14:textId="77777777" w:rsidR="00964B88" w:rsidRDefault="00964B88">
            <w:pPr>
              <w:cnfStyle w:val="000000000000" w:firstRow="0" w:lastRow="0" w:firstColumn="0" w:lastColumn="0" w:oddVBand="0" w:evenVBand="0" w:oddHBand="0" w:evenHBand="0" w:firstRowFirstColumn="0" w:firstRowLastColumn="0" w:lastRowFirstColumn="0" w:lastRowLastColumn="0"/>
            </w:pPr>
            <w:r>
              <w:t>5 535</w:t>
            </w:r>
          </w:p>
        </w:tc>
        <w:tc>
          <w:tcPr>
            <w:tcW w:w="850" w:type="dxa"/>
          </w:tcPr>
          <w:p w14:paraId="237B606A" w14:textId="77777777" w:rsidR="00964B88" w:rsidRDefault="00964B88">
            <w:pPr>
              <w:cnfStyle w:val="000000000000" w:firstRow="0" w:lastRow="0" w:firstColumn="0" w:lastColumn="0" w:oddVBand="0" w:evenVBand="0" w:oddHBand="0" w:evenHBand="0" w:firstRowFirstColumn="0" w:firstRowLastColumn="0" w:lastRowFirstColumn="0" w:lastRowLastColumn="0"/>
            </w:pPr>
            <w:r>
              <w:t>5 606</w:t>
            </w:r>
          </w:p>
        </w:tc>
        <w:tc>
          <w:tcPr>
            <w:tcW w:w="850" w:type="dxa"/>
          </w:tcPr>
          <w:p w14:paraId="4F2E9753" w14:textId="77777777" w:rsidR="00964B88" w:rsidRDefault="00964B88">
            <w:pPr>
              <w:cnfStyle w:val="000000000000" w:firstRow="0" w:lastRow="0" w:firstColumn="0" w:lastColumn="0" w:oddVBand="0" w:evenVBand="0" w:oddHBand="0" w:evenHBand="0" w:firstRowFirstColumn="0" w:firstRowLastColumn="0" w:lastRowFirstColumn="0" w:lastRowLastColumn="0"/>
            </w:pPr>
            <w:r>
              <w:t>6 452</w:t>
            </w:r>
          </w:p>
        </w:tc>
        <w:tc>
          <w:tcPr>
            <w:tcW w:w="850" w:type="dxa"/>
          </w:tcPr>
          <w:p w14:paraId="49703CAB" w14:textId="77777777" w:rsidR="00964B88" w:rsidRDefault="00964B88">
            <w:pPr>
              <w:cnfStyle w:val="000000000000" w:firstRow="0" w:lastRow="0" w:firstColumn="0" w:lastColumn="0" w:oddVBand="0" w:evenVBand="0" w:oddHBand="0" w:evenHBand="0" w:firstRowFirstColumn="0" w:firstRowLastColumn="0" w:lastRowFirstColumn="0" w:lastRowLastColumn="0"/>
            </w:pPr>
            <w:r>
              <w:t>6 486</w:t>
            </w:r>
          </w:p>
        </w:tc>
        <w:tc>
          <w:tcPr>
            <w:tcW w:w="850" w:type="dxa"/>
          </w:tcPr>
          <w:p w14:paraId="71D44D13" w14:textId="77777777" w:rsidR="00964B88" w:rsidRDefault="00964B88">
            <w:pPr>
              <w:cnfStyle w:val="000000000000" w:firstRow="0" w:lastRow="0" w:firstColumn="0" w:lastColumn="0" w:oddVBand="0" w:evenVBand="0" w:oddHBand="0" w:evenHBand="0" w:firstRowFirstColumn="0" w:firstRowLastColumn="0" w:lastRowFirstColumn="0" w:lastRowLastColumn="0"/>
            </w:pPr>
            <w:r>
              <w:t>6 605</w:t>
            </w:r>
          </w:p>
        </w:tc>
      </w:tr>
      <w:tr w:rsidR="00964B88" w14:paraId="0A125DBC" w14:textId="77777777">
        <w:tc>
          <w:tcPr>
            <w:cnfStyle w:val="001000000000" w:firstRow="0" w:lastRow="0" w:firstColumn="1" w:lastColumn="0" w:oddVBand="0" w:evenVBand="0" w:oddHBand="0" w:evenHBand="0" w:firstRowFirstColumn="0" w:firstRowLastColumn="0" w:lastRowFirstColumn="0" w:lastRowLastColumn="0"/>
            <w:tcW w:w="3518" w:type="dxa"/>
          </w:tcPr>
          <w:p w14:paraId="59D164B5" w14:textId="77777777" w:rsidR="00964B88" w:rsidRDefault="00964B88">
            <w:r>
              <w:t>Transport</w:t>
            </w:r>
          </w:p>
        </w:tc>
        <w:tc>
          <w:tcPr>
            <w:tcW w:w="850" w:type="dxa"/>
          </w:tcPr>
          <w:p w14:paraId="51116C9D" w14:textId="77777777" w:rsidR="00964B88" w:rsidRDefault="00964B88">
            <w:pPr>
              <w:cnfStyle w:val="000000000000" w:firstRow="0" w:lastRow="0" w:firstColumn="0" w:lastColumn="0" w:oddVBand="0" w:evenVBand="0" w:oddHBand="0" w:evenHBand="0" w:firstRowFirstColumn="0" w:firstRowLastColumn="0" w:lastRowFirstColumn="0" w:lastRowLastColumn="0"/>
            </w:pPr>
            <w:r>
              <w:t>9 164</w:t>
            </w:r>
          </w:p>
        </w:tc>
        <w:tc>
          <w:tcPr>
            <w:tcW w:w="850" w:type="dxa"/>
          </w:tcPr>
          <w:p w14:paraId="24809C5A" w14:textId="77777777" w:rsidR="00964B88" w:rsidRDefault="00964B88">
            <w:pPr>
              <w:cnfStyle w:val="000000000000" w:firstRow="0" w:lastRow="0" w:firstColumn="0" w:lastColumn="0" w:oddVBand="0" w:evenVBand="0" w:oddHBand="0" w:evenHBand="0" w:firstRowFirstColumn="0" w:firstRowLastColumn="0" w:lastRowFirstColumn="0" w:lastRowLastColumn="0"/>
            </w:pPr>
            <w:r>
              <w:t>9 312</w:t>
            </w:r>
          </w:p>
        </w:tc>
        <w:tc>
          <w:tcPr>
            <w:tcW w:w="850" w:type="dxa"/>
          </w:tcPr>
          <w:p w14:paraId="74FAEFF3" w14:textId="77777777" w:rsidR="00964B88" w:rsidRDefault="00964B88">
            <w:pPr>
              <w:cnfStyle w:val="000000000000" w:firstRow="0" w:lastRow="0" w:firstColumn="0" w:lastColumn="0" w:oddVBand="0" w:evenVBand="0" w:oddHBand="0" w:evenHBand="0" w:firstRowFirstColumn="0" w:firstRowLastColumn="0" w:lastRowFirstColumn="0" w:lastRowLastColumn="0"/>
            </w:pPr>
            <w:r>
              <w:t>9 345</w:t>
            </w:r>
          </w:p>
        </w:tc>
        <w:tc>
          <w:tcPr>
            <w:tcW w:w="850" w:type="dxa"/>
          </w:tcPr>
          <w:p w14:paraId="59D43383" w14:textId="77777777" w:rsidR="00964B88" w:rsidRDefault="00964B88">
            <w:pPr>
              <w:cnfStyle w:val="000000000000" w:firstRow="0" w:lastRow="0" w:firstColumn="0" w:lastColumn="0" w:oddVBand="0" w:evenVBand="0" w:oddHBand="0" w:evenHBand="0" w:firstRowFirstColumn="0" w:firstRowLastColumn="0" w:lastRowFirstColumn="0" w:lastRowLastColumn="0"/>
            </w:pPr>
            <w:r>
              <w:t>8 967</w:t>
            </w:r>
          </w:p>
        </w:tc>
        <w:tc>
          <w:tcPr>
            <w:tcW w:w="850" w:type="dxa"/>
          </w:tcPr>
          <w:p w14:paraId="3CC91AB5" w14:textId="77777777" w:rsidR="00964B88" w:rsidRDefault="00964B88">
            <w:pPr>
              <w:cnfStyle w:val="000000000000" w:firstRow="0" w:lastRow="0" w:firstColumn="0" w:lastColumn="0" w:oddVBand="0" w:evenVBand="0" w:oddHBand="0" w:evenHBand="0" w:firstRowFirstColumn="0" w:firstRowLastColumn="0" w:lastRowFirstColumn="0" w:lastRowLastColumn="0"/>
            </w:pPr>
            <w:r>
              <w:t>9 402</w:t>
            </w:r>
          </w:p>
        </w:tc>
      </w:tr>
      <w:tr w:rsidR="00964B88" w14:paraId="4255D1F9"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7DA2AFD0" w14:textId="77777777" w:rsidR="00964B88" w:rsidRDefault="00964B88">
            <w:r>
              <w:t>Not allocated by purpose</w:t>
            </w:r>
            <w:r>
              <w:rPr>
                <w:vertAlign w:val="superscript"/>
              </w:rPr>
              <w:t xml:space="preserve"> (d)</w:t>
            </w:r>
          </w:p>
        </w:tc>
        <w:tc>
          <w:tcPr>
            <w:tcW w:w="850" w:type="dxa"/>
            <w:tcBorders>
              <w:bottom w:val="single" w:sz="6" w:space="0" w:color="auto"/>
            </w:tcBorders>
          </w:tcPr>
          <w:p w14:paraId="653FB971" w14:textId="77777777" w:rsidR="00964B88" w:rsidRDefault="00964B88">
            <w:pPr>
              <w:cnfStyle w:val="000000000000" w:firstRow="0" w:lastRow="0" w:firstColumn="0" w:lastColumn="0" w:oddVBand="0" w:evenVBand="0" w:oddHBand="0" w:evenHBand="0" w:firstRowFirstColumn="0" w:firstRowLastColumn="0" w:lastRowFirstColumn="0" w:lastRowLastColumn="0"/>
            </w:pPr>
            <w:r>
              <w:t>(907)</w:t>
            </w:r>
          </w:p>
        </w:tc>
        <w:tc>
          <w:tcPr>
            <w:tcW w:w="850" w:type="dxa"/>
            <w:tcBorders>
              <w:bottom w:val="single" w:sz="6" w:space="0" w:color="auto"/>
            </w:tcBorders>
          </w:tcPr>
          <w:p w14:paraId="58BA200E" w14:textId="77777777" w:rsidR="00964B88" w:rsidRDefault="00964B88">
            <w:pPr>
              <w:cnfStyle w:val="000000000000" w:firstRow="0" w:lastRow="0" w:firstColumn="0" w:lastColumn="0" w:oddVBand="0" w:evenVBand="0" w:oddHBand="0" w:evenHBand="0" w:firstRowFirstColumn="0" w:firstRowLastColumn="0" w:lastRowFirstColumn="0" w:lastRowLastColumn="0"/>
            </w:pPr>
            <w:r>
              <w:t>(968)</w:t>
            </w:r>
          </w:p>
        </w:tc>
        <w:tc>
          <w:tcPr>
            <w:tcW w:w="850" w:type="dxa"/>
            <w:tcBorders>
              <w:bottom w:val="single" w:sz="6" w:space="0" w:color="auto"/>
            </w:tcBorders>
          </w:tcPr>
          <w:p w14:paraId="776CAA86" w14:textId="77777777" w:rsidR="00964B88" w:rsidRDefault="00964B88">
            <w:pPr>
              <w:cnfStyle w:val="000000000000" w:firstRow="0" w:lastRow="0" w:firstColumn="0" w:lastColumn="0" w:oddVBand="0" w:evenVBand="0" w:oddHBand="0" w:evenHBand="0" w:firstRowFirstColumn="0" w:firstRowLastColumn="0" w:lastRowFirstColumn="0" w:lastRowLastColumn="0"/>
            </w:pPr>
            <w:r>
              <w:t>(46)</w:t>
            </w:r>
          </w:p>
        </w:tc>
        <w:tc>
          <w:tcPr>
            <w:tcW w:w="850" w:type="dxa"/>
            <w:tcBorders>
              <w:bottom w:val="single" w:sz="6" w:space="0" w:color="auto"/>
            </w:tcBorders>
          </w:tcPr>
          <w:p w14:paraId="1ED6D709" w14:textId="77777777" w:rsidR="00964B88" w:rsidRDefault="00964B88">
            <w:pPr>
              <w:cnfStyle w:val="000000000000" w:firstRow="0" w:lastRow="0" w:firstColumn="0" w:lastColumn="0" w:oddVBand="0" w:evenVBand="0" w:oddHBand="0" w:evenHBand="0" w:firstRowFirstColumn="0" w:firstRowLastColumn="0" w:lastRowFirstColumn="0" w:lastRowLastColumn="0"/>
            </w:pPr>
            <w:r>
              <w:t>360</w:t>
            </w:r>
          </w:p>
        </w:tc>
        <w:tc>
          <w:tcPr>
            <w:tcW w:w="850" w:type="dxa"/>
            <w:tcBorders>
              <w:bottom w:val="single" w:sz="6" w:space="0" w:color="auto"/>
            </w:tcBorders>
          </w:tcPr>
          <w:p w14:paraId="33042D97" w14:textId="77777777" w:rsidR="00964B88" w:rsidRDefault="00964B88">
            <w:pPr>
              <w:cnfStyle w:val="000000000000" w:firstRow="0" w:lastRow="0" w:firstColumn="0" w:lastColumn="0" w:oddVBand="0" w:evenVBand="0" w:oddHBand="0" w:evenHBand="0" w:firstRowFirstColumn="0" w:firstRowLastColumn="0" w:lastRowFirstColumn="0" w:lastRowLastColumn="0"/>
            </w:pPr>
            <w:r>
              <w:t>787</w:t>
            </w:r>
          </w:p>
        </w:tc>
      </w:tr>
      <w:tr w:rsidR="00964B88" w14:paraId="71279E83"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7165084F" w14:textId="77777777" w:rsidR="00964B88" w:rsidRDefault="00964B88">
            <w:r>
              <w:t>Total expenses by the classification of the functions of government</w:t>
            </w:r>
          </w:p>
        </w:tc>
        <w:tc>
          <w:tcPr>
            <w:tcW w:w="850" w:type="dxa"/>
          </w:tcPr>
          <w:p w14:paraId="4BFCAA25" w14:textId="77777777" w:rsidR="00964B88" w:rsidRDefault="00964B88">
            <w:pPr>
              <w:cnfStyle w:val="010000000000" w:firstRow="0" w:lastRow="1" w:firstColumn="0" w:lastColumn="0" w:oddVBand="0" w:evenVBand="0" w:oddHBand="0" w:evenHBand="0" w:firstRowFirstColumn="0" w:firstRowLastColumn="0" w:lastRowFirstColumn="0" w:lastRowLastColumn="0"/>
            </w:pPr>
            <w:r>
              <w:t>69 982</w:t>
            </w:r>
          </w:p>
        </w:tc>
        <w:tc>
          <w:tcPr>
            <w:tcW w:w="850" w:type="dxa"/>
          </w:tcPr>
          <w:p w14:paraId="37183990" w14:textId="77777777" w:rsidR="00964B88" w:rsidRDefault="00964B88">
            <w:pPr>
              <w:cnfStyle w:val="010000000000" w:firstRow="0" w:lastRow="1" w:firstColumn="0" w:lastColumn="0" w:oddVBand="0" w:evenVBand="0" w:oddHBand="0" w:evenHBand="0" w:firstRowFirstColumn="0" w:firstRowLastColumn="0" w:lastRowFirstColumn="0" w:lastRowLastColumn="0"/>
            </w:pPr>
            <w:r>
              <w:t>70 333</w:t>
            </w:r>
          </w:p>
        </w:tc>
        <w:tc>
          <w:tcPr>
            <w:tcW w:w="850" w:type="dxa"/>
          </w:tcPr>
          <w:p w14:paraId="37652746" w14:textId="77777777" w:rsidR="00964B88" w:rsidRDefault="00964B88">
            <w:pPr>
              <w:cnfStyle w:val="010000000000" w:firstRow="0" w:lastRow="1" w:firstColumn="0" w:lastColumn="0" w:oddVBand="0" w:evenVBand="0" w:oddHBand="0" w:evenHBand="0" w:firstRowFirstColumn="0" w:firstRowLastColumn="0" w:lastRowFirstColumn="0" w:lastRowLastColumn="0"/>
            </w:pPr>
            <w:r>
              <w:t>73 295</w:t>
            </w:r>
          </w:p>
        </w:tc>
        <w:tc>
          <w:tcPr>
            <w:tcW w:w="850" w:type="dxa"/>
          </w:tcPr>
          <w:p w14:paraId="3EA079BA" w14:textId="77777777" w:rsidR="00964B88" w:rsidRDefault="00964B88">
            <w:pPr>
              <w:cnfStyle w:val="010000000000" w:firstRow="0" w:lastRow="1" w:firstColumn="0" w:lastColumn="0" w:oddVBand="0" w:evenVBand="0" w:oddHBand="0" w:evenHBand="0" w:firstRowFirstColumn="0" w:firstRowLastColumn="0" w:lastRowFirstColumn="0" w:lastRowLastColumn="0"/>
            </w:pPr>
            <w:r>
              <w:t>74 419</w:t>
            </w:r>
          </w:p>
        </w:tc>
        <w:tc>
          <w:tcPr>
            <w:tcW w:w="850" w:type="dxa"/>
          </w:tcPr>
          <w:p w14:paraId="2D6AB17C" w14:textId="77777777" w:rsidR="00964B88" w:rsidRDefault="00964B88">
            <w:pPr>
              <w:cnfStyle w:val="010000000000" w:firstRow="0" w:lastRow="1" w:firstColumn="0" w:lastColumn="0" w:oddVBand="0" w:evenVBand="0" w:oddHBand="0" w:evenHBand="0" w:firstRowFirstColumn="0" w:firstRowLastColumn="0" w:lastRowFirstColumn="0" w:lastRowLastColumn="0"/>
            </w:pPr>
            <w:r>
              <w:t>77 668</w:t>
            </w:r>
          </w:p>
        </w:tc>
      </w:tr>
    </w:tbl>
    <w:p w14:paraId="17F8F7D6" w14:textId="77777777" w:rsidR="00964B88" w:rsidRPr="00F647E0" w:rsidRDefault="00964B88" w:rsidP="00F53820">
      <w:pPr>
        <w:pStyle w:val="Note"/>
        <w:rPr>
          <w:bCs/>
          <w:lang w:val="en-US"/>
        </w:rPr>
      </w:pPr>
      <w:r>
        <w:fldChar w:fldCharType="begin"/>
      </w:r>
      <w:r>
        <w:instrText xml:space="preserve"> LINK Excel.Sheet.12 "\\\\PDCPTPRDFIL01\\DTFDATA02$\\SECURED\\Rawdata\\Eco_Statement\\2018-19\\Financial Statements\\VES COFOG\\Eco_EFS_COFOG.xlsx" Expenses!Total_expenses_by_COFOG \f 4 \r \* MERGEFORMAT \Id 1589 </w:instrText>
      </w:r>
      <w:r>
        <w:fldChar w:fldCharType="end"/>
      </w:r>
      <w:r w:rsidRPr="00697AD9">
        <w:t>Note</w:t>
      </w:r>
      <w:r>
        <w:t>s</w:t>
      </w:r>
      <w:r w:rsidRPr="00697AD9">
        <w:t>:</w:t>
      </w:r>
    </w:p>
    <w:p w14:paraId="4548841D" w14:textId="77777777" w:rsidR="00964B88" w:rsidRDefault="00964B88" w:rsidP="00F53820">
      <w:pPr>
        <w:pStyle w:val="Note"/>
      </w:pPr>
      <w:r>
        <w:t>(a)</w:t>
      </w:r>
      <w:r>
        <w:tab/>
        <w:t xml:space="preserve">The </w:t>
      </w:r>
      <w:r w:rsidRPr="005A0320">
        <w:rPr>
          <w:i w:val="0"/>
        </w:rPr>
        <w:t>2019-20 Budget</w:t>
      </w:r>
      <w:r w:rsidRPr="003554FC">
        <w:t xml:space="preserve"> figures have been re</w:t>
      </w:r>
      <w:r>
        <w:t>classified between different categories</w:t>
      </w:r>
      <w:r w:rsidRPr="003554FC">
        <w:t xml:space="preserve"> to reflect more current information.</w:t>
      </w:r>
    </w:p>
    <w:p w14:paraId="0A012F4B" w14:textId="77777777" w:rsidR="00964B88" w:rsidRPr="00C55DDF" w:rsidRDefault="00964B88" w:rsidP="00F53820">
      <w:pPr>
        <w:pStyle w:val="Note"/>
      </w:pPr>
      <w:r>
        <w:t>(b</w:t>
      </w:r>
      <w:r w:rsidRPr="00697AD9">
        <w:t>)</w:t>
      </w:r>
      <w:r w:rsidRPr="00697AD9">
        <w:tab/>
      </w:r>
      <w:r>
        <w:t xml:space="preserve">The decrease in the ‘Economic affairs’ classification over the forward estimates is driven by fixed-term and lapsing initiative funding provided in previous state budgets. </w:t>
      </w:r>
    </w:p>
    <w:p w14:paraId="6A801328" w14:textId="77777777" w:rsidR="00964B88" w:rsidRPr="00C55DDF" w:rsidRDefault="00964B88" w:rsidP="00F53820">
      <w:pPr>
        <w:pStyle w:val="Note"/>
      </w:pPr>
      <w:r>
        <w:t>(c</w:t>
      </w:r>
      <w:r w:rsidRPr="00697AD9">
        <w:t>)</w:t>
      </w:r>
      <w:r w:rsidRPr="00697AD9">
        <w:tab/>
        <w:t>Th</w:t>
      </w:r>
      <w:r>
        <w:t>e increase in the ‘Social Protection’ classification in 2020-21 is largely driven by the State’s contribution to the NDIS.</w:t>
      </w:r>
    </w:p>
    <w:p w14:paraId="4E6BC73D" w14:textId="77777777" w:rsidR="00964B88" w:rsidRDefault="00964B88" w:rsidP="00F53820">
      <w:pPr>
        <w:pStyle w:val="Note"/>
      </w:pPr>
      <w:r>
        <w:t>(d)</w:t>
      </w:r>
      <w:r>
        <w:tab/>
        <w:t>Mainly comprises the</w:t>
      </w:r>
      <w:r w:rsidRPr="00C55DDF">
        <w:t xml:space="preserve"> provision for future demand growth, departmental underspending, eliminated purchases of supplies and consumable</w:t>
      </w:r>
      <w:r>
        <w:t>s</w:t>
      </w:r>
      <w:r w:rsidRPr="00C55DDF">
        <w:t xml:space="preserve"> between </w:t>
      </w:r>
      <w:r>
        <w:t>g</w:t>
      </w:r>
      <w:r w:rsidRPr="00C55DDF">
        <w:t>overnment entities, and items not yet formalised at the time of publication.</w:t>
      </w:r>
    </w:p>
    <w:p w14:paraId="17C7439B" w14:textId="77777777" w:rsidR="00D95F31" w:rsidRPr="00D95F31" w:rsidRDefault="00D95F31" w:rsidP="00D95F31"/>
    <w:p w14:paraId="52795FFC" w14:textId="77777777" w:rsidR="00D95F31" w:rsidRPr="00D95F31" w:rsidRDefault="00D95F31" w:rsidP="00D95F31">
      <w:r w:rsidRPr="00D95F31">
        <w:br w:type="page"/>
      </w:r>
    </w:p>
    <w:p w14:paraId="156415C0" w14:textId="77777777" w:rsidR="00964B88" w:rsidRDefault="00964B88" w:rsidP="00F53820">
      <w:pPr>
        <w:pStyle w:val="TableHeading"/>
      </w:pPr>
      <w:r>
        <w:lastRenderedPageBreak/>
        <w:t>Total expenses by portfolio department</w:t>
      </w:r>
      <w:r>
        <w:tab/>
        <w:t>($ million)</w:t>
      </w:r>
    </w:p>
    <w:tbl>
      <w:tblPr>
        <w:tblStyle w:val="DTFTable"/>
        <w:tblW w:w="7768" w:type="dxa"/>
        <w:tblLayout w:type="fixed"/>
        <w:tblLook w:val="06E0" w:firstRow="1" w:lastRow="1" w:firstColumn="1" w:lastColumn="0" w:noHBand="1" w:noVBand="1"/>
      </w:tblPr>
      <w:tblGrid>
        <w:gridCol w:w="3518"/>
        <w:gridCol w:w="197"/>
        <w:gridCol w:w="142"/>
        <w:gridCol w:w="511"/>
        <w:gridCol w:w="850"/>
        <w:gridCol w:w="850"/>
        <w:gridCol w:w="850"/>
        <w:gridCol w:w="850"/>
      </w:tblGrid>
      <w:tr w:rsidR="00964B88" w14:paraId="5FD281BE"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3BA31A00" w14:textId="77777777" w:rsidR="00964B88" w:rsidRDefault="00964B88"/>
        </w:tc>
        <w:tc>
          <w:tcPr>
            <w:tcW w:w="850" w:type="dxa"/>
            <w:gridSpan w:val="3"/>
          </w:tcPr>
          <w:p w14:paraId="7B295520"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7BB3B8BD"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38C31E4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306D47C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6B66BFA1"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6EA53515" w14:textId="77777777">
        <w:tc>
          <w:tcPr>
            <w:cnfStyle w:val="001000000000" w:firstRow="0" w:lastRow="0" w:firstColumn="1" w:lastColumn="0" w:oddVBand="0" w:evenVBand="0" w:oddHBand="0" w:evenHBand="0" w:firstRowFirstColumn="0" w:firstRowLastColumn="0" w:lastRowFirstColumn="0" w:lastRowLastColumn="0"/>
            <w:tcW w:w="3518" w:type="dxa"/>
          </w:tcPr>
          <w:p w14:paraId="29C83269" w14:textId="77777777" w:rsidR="00964B88" w:rsidRDefault="00964B88">
            <w:r>
              <w:t>Education and Training</w:t>
            </w:r>
          </w:p>
        </w:tc>
        <w:tc>
          <w:tcPr>
            <w:tcW w:w="850" w:type="dxa"/>
            <w:gridSpan w:val="3"/>
          </w:tcPr>
          <w:p w14:paraId="0042BE90" w14:textId="77777777" w:rsidR="00964B88" w:rsidRDefault="00964B88">
            <w:pPr>
              <w:cnfStyle w:val="000000000000" w:firstRow="0" w:lastRow="0" w:firstColumn="0" w:lastColumn="0" w:oddVBand="0" w:evenVBand="0" w:oddHBand="0" w:evenHBand="0" w:firstRowFirstColumn="0" w:firstRowLastColumn="0" w:lastRowFirstColumn="0" w:lastRowLastColumn="0"/>
            </w:pPr>
            <w:r>
              <w:t>19 255</w:t>
            </w:r>
          </w:p>
        </w:tc>
        <w:tc>
          <w:tcPr>
            <w:tcW w:w="850" w:type="dxa"/>
          </w:tcPr>
          <w:p w14:paraId="1B955AAE" w14:textId="77777777" w:rsidR="00964B88" w:rsidRDefault="00964B88">
            <w:pPr>
              <w:cnfStyle w:val="000000000000" w:firstRow="0" w:lastRow="0" w:firstColumn="0" w:lastColumn="0" w:oddVBand="0" w:evenVBand="0" w:oddHBand="0" w:evenHBand="0" w:firstRowFirstColumn="0" w:firstRowLastColumn="0" w:lastRowFirstColumn="0" w:lastRowLastColumn="0"/>
            </w:pPr>
            <w:r>
              <w:t>19 477</w:t>
            </w:r>
          </w:p>
        </w:tc>
        <w:tc>
          <w:tcPr>
            <w:tcW w:w="850" w:type="dxa"/>
          </w:tcPr>
          <w:p w14:paraId="4BC479D0" w14:textId="77777777" w:rsidR="00964B88" w:rsidRDefault="00964B88">
            <w:pPr>
              <w:cnfStyle w:val="000000000000" w:firstRow="0" w:lastRow="0" w:firstColumn="0" w:lastColumn="0" w:oddVBand="0" w:evenVBand="0" w:oddHBand="0" w:evenHBand="0" w:firstRowFirstColumn="0" w:firstRowLastColumn="0" w:lastRowFirstColumn="0" w:lastRowLastColumn="0"/>
            </w:pPr>
            <w:r>
              <w:t>19 759</w:t>
            </w:r>
          </w:p>
        </w:tc>
        <w:tc>
          <w:tcPr>
            <w:tcW w:w="850" w:type="dxa"/>
          </w:tcPr>
          <w:p w14:paraId="4B81F60E" w14:textId="77777777" w:rsidR="00964B88" w:rsidRDefault="00964B88">
            <w:pPr>
              <w:cnfStyle w:val="000000000000" w:firstRow="0" w:lastRow="0" w:firstColumn="0" w:lastColumn="0" w:oddVBand="0" w:evenVBand="0" w:oddHBand="0" w:evenHBand="0" w:firstRowFirstColumn="0" w:firstRowLastColumn="0" w:lastRowFirstColumn="0" w:lastRowLastColumn="0"/>
            </w:pPr>
            <w:r>
              <w:t>20 153</w:t>
            </w:r>
          </w:p>
        </w:tc>
        <w:tc>
          <w:tcPr>
            <w:tcW w:w="850" w:type="dxa"/>
          </w:tcPr>
          <w:p w14:paraId="53C95A97" w14:textId="77777777" w:rsidR="00964B88" w:rsidRDefault="00964B88">
            <w:pPr>
              <w:cnfStyle w:val="000000000000" w:firstRow="0" w:lastRow="0" w:firstColumn="0" w:lastColumn="0" w:oddVBand="0" w:evenVBand="0" w:oddHBand="0" w:evenHBand="0" w:firstRowFirstColumn="0" w:firstRowLastColumn="0" w:lastRowFirstColumn="0" w:lastRowLastColumn="0"/>
            </w:pPr>
            <w:r>
              <w:t>20 783</w:t>
            </w:r>
          </w:p>
        </w:tc>
      </w:tr>
      <w:tr w:rsidR="00964B88" w14:paraId="28EFF336" w14:textId="77777777">
        <w:tc>
          <w:tcPr>
            <w:cnfStyle w:val="001000000000" w:firstRow="0" w:lastRow="0" w:firstColumn="1" w:lastColumn="0" w:oddVBand="0" w:evenVBand="0" w:oddHBand="0" w:evenHBand="0" w:firstRowFirstColumn="0" w:firstRowLastColumn="0" w:lastRowFirstColumn="0" w:lastRowLastColumn="0"/>
            <w:tcW w:w="3518" w:type="dxa"/>
          </w:tcPr>
          <w:p w14:paraId="52F26BDA" w14:textId="77777777" w:rsidR="00964B88" w:rsidRDefault="00964B88">
            <w:r>
              <w:t>Environment, Land, Water and Planning</w:t>
            </w:r>
          </w:p>
        </w:tc>
        <w:tc>
          <w:tcPr>
            <w:tcW w:w="850" w:type="dxa"/>
            <w:gridSpan w:val="3"/>
          </w:tcPr>
          <w:p w14:paraId="39206289" w14:textId="77777777" w:rsidR="00964B88" w:rsidRDefault="00964B88">
            <w:pPr>
              <w:cnfStyle w:val="000000000000" w:firstRow="0" w:lastRow="0" w:firstColumn="0" w:lastColumn="0" w:oddVBand="0" w:evenVBand="0" w:oddHBand="0" w:evenHBand="0" w:firstRowFirstColumn="0" w:firstRowLastColumn="0" w:lastRowFirstColumn="0" w:lastRowLastColumn="0"/>
            </w:pPr>
            <w:r>
              <w:t>3 472</w:t>
            </w:r>
          </w:p>
        </w:tc>
        <w:tc>
          <w:tcPr>
            <w:tcW w:w="850" w:type="dxa"/>
          </w:tcPr>
          <w:p w14:paraId="2A710188" w14:textId="77777777" w:rsidR="00964B88" w:rsidRDefault="00964B88">
            <w:pPr>
              <w:cnfStyle w:val="000000000000" w:firstRow="0" w:lastRow="0" w:firstColumn="0" w:lastColumn="0" w:oddVBand="0" w:evenVBand="0" w:oddHBand="0" w:evenHBand="0" w:firstRowFirstColumn="0" w:firstRowLastColumn="0" w:lastRowFirstColumn="0" w:lastRowLastColumn="0"/>
            </w:pPr>
            <w:r>
              <w:t>3 687</w:t>
            </w:r>
          </w:p>
        </w:tc>
        <w:tc>
          <w:tcPr>
            <w:tcW w:w="850" w:type="dxa"/>
          </w:tcPr>
          <w:p w14:paraId="4C547720" w14:textId="77777777" w:rsidR="00964B88" w:rsidRDefault="00964B88">
            <w:pPr>
              <w:cnfStyle w:val="000000000000" w:firstRow="0" w:lastRow="0" w:firstColumn="0" w:lastColumn="0" w:oddVBand="0" w:evenVBand="0" w:oddHBand="0" w:evenHBand="0" w:firstRowFirstColumn="0" w:firstRowLastColumn="0" w:lastRowFirstColumn="0" w:lastRowLastColumn="0"/>
            </w:pPr>
            <w:r>
              <w:t>3 348</w:t>
            </w:r>
          </w:p>
        </w:tc>
        <w:tc>
          <w:tcPr>
            <w:tcW w:w="850" w:type="dxa"/>
          </w:tcPr>
          <w:p w14:paraId="5F6AF3B8" w14:textId="77777777" w:rsidR="00964B88" w:rsidRDefault="00964B88">
            <w:pPr>
              <w:cnfStyle w:val="000000000000" w:firstRow="0" w:lastRow="0" w:firstColumn="0" w:lastColumn="0" w:oddVBand="0" w:evenVBand="0" w:oddHBand="0" w:evenHBand="0" w:firstRowFirstColumn="0" w:firstRowLastColumn="0" w:lastRowFirstColumn="0" w:lastRowLastColumn="0"/>
            </w:pPr>
            <w:r>
              <w:t>3 101</w:t>
            </w:r>
          </w:p>
        </w:tc>
        <w:tc>
          <w:tcPr>
            <w:tcW w:w="850" w:type="dxa"/>
          </w:tcPr>
          <w:p w14:paraId="2514C5AB" w14:textId="77777777" w:rsidR="00964B88" w:rsidRDefault="00964B88">
            <w:pPr>
              <w:cnfStyle w:val="000000000000" w:firstRow="0" w:lastRow="0" w:firstColumn="0" w:lastColumn="0" w:oddVBand="0" w:evenVBand="0" w:oddHBand="0" w:evenHBand="0" w:firstRowFirstColumn="0" w:firstRowLastColumn="0" w:lastRowFirstColumn="0" w:lastRowLastColumn="0"/>
            </w:pPr>
            <w:r>
              <w:t>2 991</w:t>
            </w:r>
          </w:p>
        </w:tc>
      </w:tr>
      <w:tr w:rsidR="00964B88" w14:paraId="3799DCF6" w14:textId="77777777">
        <w:tc>
          <w:tcPr>
            <w:cnfStyle w:val="001000000000" w:firstRow="0" w:lastRow="0" w:firstColumn="1" w:lastColumn="0" w:oddVBand="0" w:evenVBand="0" w:oddHBand="0" w:evenHBand="0" w:firstRowFirstColumn="0" w:firstRowLastColumn="0" w:lastRowFirstColumn="0" w:lastRowLastColumn="0"/>
            <w:tcW w:w="3518" w:type="dxa"/>
          </w:tcPr>
          <w:p w14:paraId="18521A0A" w14:textId="77777777" w:rsidR="00964B88" w:rsidRDefault="00964B88">
            <w:r>
              <w:t>Health and Human Services</w:t>
            </w:r>
          </w:p>
        </w:tc>
        <w:tc>
          <w:tcPr>
            <w:tcW w:w="850" w:type="dxa"/>
            <w:gridSpan w:val="3"/>
          </w:tcPr>
          <w:p w14:paraId="20BDA6AF" w14:textId="77777777" w:rsidR="00964B88" w:rsidRDefault="00964B88">
            <w:pPr>
              <w:cnfStyle w:val="000000000000" w:firstRow="0" w:lastRow="0" w:firstColumn="0" w:lastColumn="0" w:oddVBand="0" w:evenVBand="0" w:oddHBand="0" w:evenHBand="0" w:firstRowFirstColumn="0" w:firstRowLastColumn="0" w:lastRowFirstColumn="0" w:lastRowLastColumn="0"/>
            </w:pPr>
            <w:r>
              <w:t>27 923</w:t>
            </w:r>
          </w:p>
        </w:tc>
        <w:tc>
          <w:tcPr>
            <w:tcW w:w="850" w:type="dxa"/>
          </w:tcPr>
          <w:p w14:paraId="26B05221" w14:textId="77777777" w:rsidR="00964B88" w:rsidRDefault="00964B88">
            <w:pPr>
              <w:cnfStyle w:val="000000000000" w:firstRow="0" w:lastRow="0" w:firstColumn="0" w:lastColumn="0" w:oddVBand="0" w:evenVBand="0" w:oddHBand="0" w:evenHBand="0" w:firstRowFirstColumn="0" w:firstRowLastColumn="0" w:lastRowFirstColumn="0" w:lastRowLastColumn="0"/>
            </w:pPr>
            <w:r>
              <w:t>28 151</w:t>
            </w:r>
          </w:p>
        </w:tc>
        <w:tc>
          <w:tcPr>
            <w:tcW w:w="850" w:type="dxa"/>
          </w:tcPr>
          <w:p w14:paraId="554B8B90" w14:textId="77777777" w:rsidR="00964B88" w:rsidRDefault="00964B88">
            <w:pPr>
              <w:cnfStyle w:val="000000000000" w:firstRow="0" w:lastRow="0" w:firstColumn="0" w:lastColumn="0" w:oddVBand="0" w:evenVBand="0" w:oddHBand="0" w:evenHBand="0" w:firstRowFirstColumn="0" w:firstRowLastColumn="0" w:lastRowFirstColumn="0" w:lastRowLastColumn="0"/>
            </w:pPr>
            <w:r>
              <w:t>28 991</w:t>
            </w:r>
          </w:p>
        </w:tc>
        <w:tc>
          <w:tcPr>
            <w:tcW w:w="850" w:type="dxa"/>
          </w:tcPr>
          <w:p w14:paraId="4E35E968" w14:textId="77777777" w:rsidR="00964B88" w:rsidRDefault="00964B88">
            <w:pPr>
              <w:cnfStyle w:val="000000000000" w:firstRow="0" w:lastRow="0" w:firstColumn="0" w:lastColumn="0" w:oddVBand="0" w:evenVBand="0" w:oddHBand="0" w:evenHBand="0" w:firstRowFirstColumn="0" w:firstRowLastColumn="0" w:lastRowFirstColumn="0" w:lastRowLastColumn="0"/>
            </w:pPr>
            <w:r>
              <w:t>28 987</w:t>
            </w:r>
          </w:p>
        </w:tc>
        <w:tc>
          <w:tcPr>
            <w:tcW w:w="850" w:type="dxa"/>
          </w:tcPr>
          <w:p w14:paraId="0548094F" w14:textId="77777777" w:rsidR="00964B88" w:rsidRDefault="00964B88">
            <w:pPr>
              <w:cnfStyle w:val="000000000000" w:firstRow="0" w:lastRow="0" w:firstColumn="0" w:lastColumn="0" w:oddVBand="0" w:evenVBand="0" w:oddHBand="0" w:evenHBand="0" w:firstRowFirstColumn="0" w:firstRowLastColumn="0" w:lastRowFirstColumn="0" w:lastRowLastColumn="0"/>
            </w:pPr>
            <w:r>
              <w:t>29 503</w:t>
            </w:r>
          </w:p>
        </w:tc>
      </w:tr>
      <w:tr w:rsidR="00964B88" w14:paraId="1F4158F3" w14:textId="77777777">
        <w:tc>
          <w:tcPr>
            <w:cnfStyle w:val="001000000000" w:firstRow="0" w:lastRow="0" w:firstColumn="1" w:lastColumn="0" w:oddVBand="0" w:evenVBand="0" w:oddHBand="0" w:evenHBand="0" w:firstRowFirstColumn="0" w:firstRowLastColumn="0" w:lastRowFirstColumn="0" w:lastRowLastColumn="0"/>
            <w:tcW w:w="3518" w:type="dxa"/>
          </w:tcPr>
          <w:p w14:paraId="24BEAB3A" w14:textId="77777777" w:rsidR="00964B88" w:rsidRDefault="00964B88">
            <w:r>
              <w:t>Jobs, Precincts and Regions</w:t>
            </w:r>
          </w:p>
        </w:tc>
        <w:tc>
          <w:tcPr>
            <w:tcW w:w="850" w:type="dxa"/>
            <w:gridSpan w:val="3"/>
          </w:tcPr>
          <w:p w14:paraId="41BB8C17" w14:textId="77777777" w:rsidR="00964B88" w:rsidRDefault="00964B88">
            <w:pPr>
              <w:cnfStyle w:val="000000000000" w:firstRow="0" w:lastRow="0" w:firstColumn="0" w:lastColumn="0" w:oddVBand="0" w:evenVBand="0" w:oddHBand="0" w:evenHBand="0" w:firstRowFirstColumn="0" w:firstRowLastColumn="0" w:lastRowFirstColumn="0" w:lastRowLastColumn="0"/>
            </w:pPr>
            <w:r>
              <w:t>2 403</w:t>
            </w:r>
          </w:p>
        </w:tc>
        <w:tc>
          <w:tcPr>
            <w:tcW w:w="850" w:type="dxa"/>
          </w:tcPr>
          <w:p w14:paraId="52FA14CA" w14:textId="77777777" w:rsidR="00964B88" w:rsidRDefault="00964B88">
            <w:pPr>
              <w:cnfStyle w:val="000000000000" w:firstRow="0" w:lastRow="0" w:firstColumn="0" w:lastColumn="0" w:oddVBand="0" w:evenVBand="0" w:oddHBand="0" w:evenHBand="0" w:firstRowFirstColumn="0" w:firstRowLastColumn="0" w:lastRowFirstColumn="0" w:lastRowLastColumn="0"/>
            </w:pPr>
            <w:r>
              <w:t>2 574</w:t>
            </w:r>
          </w:p>
        </w:tc>
        <w:tc>
          <w:tcPr>
            <w:tcW w:w="850" w:type="dxa"/>
          </w:tcPr>
          <w:p w14:paraId="5EFC5954" w14:textId="77777777" w:rsidR="00964B88" w:rsidRDefault="00964B88">
            <w:pPr>
              <w:cnfStyle w:val="000000000000" w:firstRow="0" w:lastRow="0" w:firstColumn="0" w:lastColumn="0" w:oddVBand="0" w:evenVBand="0" w:oddHBand="0" w:evenHBand="0" w:firstRowFirstColumn="0" w:firstRowLastColumn="0" w:lastRowFirstColumn="0" w:lastRowLastColumn="0"/>
            </w:pPr>
            <w:r>
              <w:t>1 864</w:t>
            </w:r>
          </w:p>
        </w:tc>
        <w:tc>
          <w:tcPr>
            <w:tcW w:w="850" w:type="dxa"/>
          </w:tcPr>
          <w:p w14:paraId="11FBE474" w14:textId="77777777" w:rsidR="00964B88" w:rsidRDefault="00964B88">
            <w:pPr>
              <w:cnfStyle w:val="000000000000" w:firstRow="0" w:lastRow="0" w:firstColumn="0" w:lastColumn="0" w:oddVBand="0" w:evenVBand="0" w:oddHBand="0" w:evenHBand="0" w:firstRowFirstColumn="0" w:firstRowLastColumn="0" w:lastRowFirstColumn="0" w:lastRowLastColumn="0"/>
            </w:pPr>
            <w:r>
              <w:t>1 525</w:t>
            </w:r>
          </w:p>
        </w:tc>
        <w:tc>
          <w:tcPr>
            <w:tcW w:w="850" w:type="dxa"/>
          </w:tcPr>
          <w:p w14:paraId="0777F010" w14:textId="77777777" w:rsidR="00964B88" w:rsidRDefault="00964B88">
            <w:pPr>
              <w:cnfStyle w:val="000000000000" w:firstRow="0" w:lastRow="0" w:firstColumn="0" w:lastColumn="0" w:oddVBand="0" w:evenVBand="0" w:oddHBand="0" w:evenHBand="0" w:firstRowFirstColumn="0" w:firstRowLastColumn="0" w:lastRowFirstColumn="0" w:lastRowLastColumn="0"/>
            </w:pPr>
            <w:r>
              <w:t>1 399</w:t>
            </w:r>
          </w:p>
        </w:tc>
      </w:tr>
      <w:tr w:rsidR="00964B88" w14:paraId="56B5338E" w14:textId="77777777">
        <w:tc>
          <w:tcPr>
            <w:cnfStyle w:val="001000000000" w:firstRow="0" w:lastRow="0" w:firstColumn="1" w:lastColumn="0" w:oddVBand="0" w:evenVBand="0" w:oddHBand="0" w:evenHBand="0" w:firstRowFirstColumn="0" w:firstRowLastColumn="0" w:lastRowFirstColumn="0" w:lastRowLastColumn="0"/>
            <w:tcW w:w="3518" w:type="dxa"/>
          </w:tcPr>
          <w:p w14:paraId="28FE3287" w14:textId="77777777" w:rsidR="00964B88" w:rsidRDefault="00964B88">
            <w:r>
              <w:t>Justice and Community Safety</w:t>
            </w:r>
          </w:p>
        </w:tc>
        <w:tc>
          <w:tcPr>
            <w:tcW w:w="850" w:type="dxa"/>
            <w:gridSpan w:val="3"/>
          </w:tcPr>
          <w:p w14:paraId="3AE52D20" w14:textId="77777777" w:rsidR="00964B88" w:rsidRDefault="00964B88">
            <w:pPr>
              <w:cnfStyle w:val="000000000000" w:firstRow="0" w:lastRow="0" w:firstColumn="0" w:lastColumn="0" w:oddVBand="0" w:evenVBand="0" w:oddHBand="0" w:evenHBand="0" w:firstRowFirstColumn="0" w:firstRowLastColumn="0" w:lastRowFirstColumn="0" w:lastRowLastColumn="0"/>
            </w:pPr>
            <w:r>
              <w:t>8 047</w:t>
            </w:r>
          </w:p>
        </w:tc>
        <w:tc>
          <w:tcPr>
            <w:tcW w:w="850" w:type="dxa"/>
          </w:tcPr>
          <w:p w14:paraId="0500F46D" w14:textId="77777777" w:rsidR="00964B88" w:rsidRDefault="00964B88">
            <w:pPr>
              <w:cnfStyle w:val="000000000000" w:firstRow="0" w:lastRow="0" w:firstColumn="0" w:lastColumn="0" w:oddVBand="0" w:evenVBand="0" w:oddHBand="0" w:evenHBand="0" w:firstRowFirstColumn="0" w:firstRowLastColumn="0" w:lastRowFirstColumn="0" w:lastRowLastColumn="0"/>
            </w:pPr>
            <w:r>
              <w:t>8 225</w:t>
            </w:r>
          </w:p>
        </w:tc>
        <w:tc>
          <w:tcPr>
            <w:tcW w:w="850" w:type="dxa"/>
          </w:tcPr>
          <w:p w14:paraId="10ADBE3C" w14:textId="77777777" w:rsidR="00964B88" w:rsidRDefault="00964B88">
            <w:pPr>
              <w:cnfStyle w:val="000000000000" w:firstRow="0" w:lastRow="0" w:firstColumn="0" w:lastColumn="0" w:oddVBand="0" w:evenVBand="0" w:oddHBand="0" w:evenHBand="0" w:firstRowFirstColumn="0" w:firstRowLastColumn="0" w:lastRowFirstColumn="0" w:lastRowLastColumn="0"/>
            </w:pPr>
            <w:r>
              <w:t>8 271</w:t>
            </w:r>
          </w:p>
        </w:tc>
        <w:tc>
          <w:tcPr>
            <w:tcW w:w="850" w:type="dxa"/>
          </w:tcPr>
          <w:p w14:paraId="7467C5F5" w14:textId="77777777" w:rsidR="00964B88" w:rsidRDefault="00964B88">
            <w:pPr>
              <w:cnfStyle w:val="000000000000" w:firstRow="0" w:lastRow="0" w:firstColumn="0" w:lastColumn="0" w:oddVBand="0" w:evenVBand="0" w:oddHBand="0" w:evenHBand="0" w:firstRowFirstColumn="0" w:firstRowLastColumn="0" w:lastRowFirstColumn="0" w:lastRowLastColumn="0"/>
            </w:pPr>
            <w:r>
              <w:t>8 443</w:t>
            </w:r>
          </w:p>
        </w:tc>
        <w:tc>
          <w:tcPr>
            <w:tcW w:w="850" w:type="dxa"/>
          </w:tcPr>
          <w:p w14:paraId="4C2230C1" w14:textId="77777777" w:rsidR="00964B88" w:rsidRDefault="00964B88">
            <w:pPr>
              <w:cnfStyle w:val="000000000000" w:firstRow="0" w:lastRow="0" w:firstColumn="0" w:lastColumn="0" w:oddVBand="0" w:evenVBand="0" w:oddHBand="0" w:evenHBand="0" w:firstRowFirstColumn="0" w:firstRowLastColumn="0" w:lastRowFirstColumn="0" w:lastRowLastColumn="0"/>
            </w:pPr>
            <w:r>
              <w:t>8 521</w:t>
            </w:r>
          </w:p>
        </w:tc>
      </w:tr>
      <w:tr w:rsidR="00964B88" w14:paraId="0A66881D" w14:textId="77777777">
        <w:tc>
          <w:tcPr>
            <w:cnfStyle w:val="001000000000" w:firstRow="0" w:lastRow="0" w:firstColumn="1" w:lastColumn="0" w:oddVBand="0" w:evenVBand="0" w:oddHBand="0" w:evenHBand="0" w:firstRowFirstColumn="0" w:firstRowLastColumn="0" w:lastRowFirstColumn="0" w:lastRowLastColumn="0"/>
            <w:tcW w:w="3518" w:type="dxa"/>
          </w:tcPr>
          <w:p w14:paraId="0087A775" w14:textId="77777777" w:rsidR="00964B88" w:rsidRDefault="00964B88">
            <w:r>
              <w:t>Premier and Cabinet</w:t>
            </w:r>
          </w:p>
        </w:tc>
        <w:tc>
          <w:tcPr>
            <w:tcW w:w="850" w:type="dxa"/>
            <w:gridSpan w:val="3"/>
          </w:tcPr>
          <w:p w14:paraId="6F2FD0F3" w14:textId="77777777" w:rsidR="00964B88" w:rsidRDefault="00964B88">
            <w:pPr>
              <w:cnfStyle w:val="000000000000" w:firstRow="0" w:lastRow="0" w:firstColumn="0" w:lastColumn="0" w:oddVBand="0" w:evenVBand="0" w:oddHBand="0" w:evenHBand="0" w:firstRowFirstColumn="0" w:firstRowLastColumn="0" w:lastRowFirstColumn="0" w:lastRowLastColumn="0"/>
            </w:pPr>
            <w:r>
              <w:t>671</w:t>
            </w:r>
          </w:p>
        </w:tc>
        <w:tc>
          <w:tcPr>
            <w:tcW w:w="850" w:type="dxa"/>
          </w:tcPr>
          <w:p w14:paraId="186FE2E2" w14:textId="77777777" w:rsidR="00964B88" w:rsidRDefault="00964B88">
            <w:pPr>
              <w:cnfStyle w:val="000000000000" w:firstRow="0" w:lastRow="0" w:firstColumn="0" w:lastColumn="0" w:oddVBand="0" w:evenVBand="0" w:oddHBand="0" w:evenHBand="0" w:firstRowFirstColumn="0" w:firstRowLastColumn="0" w:lastRowFirstColumn="0" w:lastRowLastColumn="0"/>
            </w:pPr>
            <w:r>
              <w:t>712</w:t>
            </w:r>
          </w:p>
        </w:tc>
        <w:tc>
          <w:tcPr>
            <w:tcW w:w="850" w:type="dxa"/>
          </w:tcPr>
          <w:p w14:paraId="175FA6A3" w14:textId="77777777" w:rsidR="00964B88" w:rsidRDefault="00964B88">
            <w:pPr>
              <w:cnfStyle w:val="000000000000" w:firstRow="0" w:lastRow="0" w:firstColumn="0" w:lastColumn="0" w:oddVBand="0" w:evenVBand="0" w:oddHBand="0" w:evenHBand="0" w:firstRowFirstColumn="0" w:firstRowLastColumn="0" w:lastRowFirstColumn="0" w:lastRowLastColumn="0"/>
            </w:pPr>
            <w:r>
              <w:t>596</w:t>
            </w:r>
          </w:p>
        </w:tc>
        <w:tc>
          <w:tcPr>
            <w:tcW w:w="850" w:type="dxa"/>
          </w:tcPr>
          <w:p w14:paraId="4B8866F9" w14:textId="77777777" w:rsidR="00964B88" w:rsidRDefault="00964B88">
            <w:pPr>
              <w:cnfStyle w:val="000000000000" w:firstRow="0" w:lastRow="0" w:firstColumn="0" w:lastColumn="0" w:oddVBand="0" w:evenVBand="0" w:oddHBand="0" w:evenHBand="0" w:firstRowFirstColumn="0" w:firstRowLastColumn="0" w:lastRowFirstColumn="0" w:lastRowLastColumn="0"/>
            </w:pPr>
            <w:r>
              <w:t>490</w:t>
            </w:r>
          </w:p>
        </w:tc>
        <w:tc>
          <w:tcPr>
            <w:tcW w:w="850" w:type="dxa"/>
          </w:tcPr>
          <w:p w14:paraId="4AE33B4B" w14:textId="77777777" w:rsidR="00964B88" w:rsidRDefault="00964B88">
            <w:pPr>
              <w:cnfStyle w:val="000000000000" w:firstRow="0" w:lastRow="0" w:firstColumn="0" w:lastColumn="0" w:oddVBand="0" w:evenVBand="0" w:oddHBand="0" w:evenHBand="0" w:firstRowFirstColumn="0" w:firstRowLastColumn="0" w:lastRowFirstColumn="0" w:lastRowLastColumn="0"/>
            </w:pPr>
            <w:r>
              <w:t>576</w:t>
            </w:r>
          </w:p>
        </w:tc>
      </w:tr>
      <w:tr w:rsidR="00964B88" w14:paraId="53641401" w14:textId="77777777">
        <w:tc>
          <w:tcPr>
            <w:cnfStyle w:val="001000000000" w:firstRow="0" w:lastRow="0" w:firstColumn="1" w:lastColumn="0" w:oddVBand="0" w:evenVBand="0" w:oddHBand="0" w:evenHBand="0" w:firstRowFirstColumn="0" w:firstRowLastColumn="0" w:lastRowFirstColumn="0" w:lastRowLastColumn="0"/>
            <w:tcW w:w="3518" w:type="dxa"/>
          </w:tcPr>
          <w:p w14:paraId="1A80682D" w14:textId="77777777" w:rsidR="00964B88" w:rsidRDefault="00964B88">
            <w:r>
              <w:t>Transport</w:t>
            </w:r>
          </w:p>
        </w:tc>
        <w:tc>
          <w:tcPr>
            <w:tcW w:w="850" w:type="dxa"/>
            <w:gridSpan w:val="3"/>
          </w:tcPr>
          <w:p w14:paraId="4B293D32" w14:textId="77777777" w:rsidR="00964B88" w:rsidRDefault="00964B88">
            <w:pPr>
              <w:cnfStyle w:val="000000000000" w:firstRow="0" w:lastRow="0" w:firstColumn="0" w:lastColumn="0" w:oddVBand="0" w:evenVBand="0" w:oddHBand="0" w:evenHBand="0" w:firstRowFirstColumn="0" w:firstRowLastColumn="0" w:lastRowFirstColumn="0" w:lastRowLastColumn="0"/>
            </w:pPr>
            <w:r>
              <w:t>9 224</w:t>
            </w:r>
          </w:p>
        </w:tc>
        <w:tc>
          <w:tcPr>
            <w:tcW w:w="850" w:type="dxa"/>
          </w:tcPr>
          <w:p w14:paraId="081D7F82" w14:textId="77777777" w:rsidR="00964B88" w:rsidRDefault="00964B88">
            <w:pPr>
              <w:cnfStyle w:val="000000000000" w:firstRow="0" w:lastRow="0" w:firstColumn="0" w:lastColumn="0" w:oddVBand="0" w:evenVBand="0" w:oddHBand="0" w:evenHBand="0" w:firstRowFirstColumn="0" w:firstRowLastColumn="0" w:lastRowFirstColumn="0" w:lastRowLastColumn="0"/>
            </w:pPr>
            <w:r>
              <w:t>9 097</w:t>
            </w:r>
          </w:p>
        </w:tc>
        <w:tc>
          <w:tcPr>
            <w:tcW w:w="850" w:type="dxa"/>
          </w:tcPr>
          <w:p w14:paraId="6EB1579E" w14:textId="77777777" w:rsidR="00964B88" w:rsidRDefault="00964B88">
            <w:pPr>
              <w:cnfStyle w:val="000000000000" w:firstRow="0" w:lastRow="0" w:firstColumn="0" w:lastColumn="0" w:oddVBand="0" w:evenVBand="0" w:oddHBand="0" w:evenHBand="0" w:firstRowFirstColumn="0" w:firstRowLastColumn="0" w:lastRowFirstColumn="0" w:lastRowLastColumn="0"/>
            </w:pPr>
            <w:r>
              <w:t>9 242</w:t>
            </w:r>
          </w:p>
        </w:tc>
        <w:tc>
          <w:tcPr>
            <w:tcW w:w="850" w:type="dxa"/>
          </w:tcPr>
          <w:p w14:paraId="247B4DD9" w14:textId="77777777" w:rsidR="00964B88" w:rsidRDefault="00964B88">
            <w:pPr>
              <w:cnfStyle w:val="000000000000" w:firstRow="0" w:lastRow="0" w:firstColumn="0" w:lastColumn="0" w:oddVBand="0" w:evenVBand="0" w:oddHBand="0" w:evenHBand="0" w:firstRowFirstColumn="0" w:firstRowLastColumn="0" w:lastRowFirstColumn="0" w:lastRowLastColumn="0"/>
            </w:pPr>
            <w:r>
              <w:t>8 895</w:t>
            </w:r>
          </w:p>
        </w:tc>
        <w:tc>
          <w:tcPr>
            <w:tcW w:w="850" w:type="dxa"/>
          </w:tcPr>
          <w:p w14:paraId="296644A4" w14:textId="77777777" w:rsidR="00964B88" w:rsidRDefault="00964B88">
            <w:pPr>
              <w:cnfStyle w:val="000000000000" w:firstRow="0" w:lastRow="0" w:firstColumn="0" w:lastColumn="0" w:oddVBand="0" w:evenVBand="0" w:oddHBand="0" w:evenHBand="0" w:firstRowFirstColumn="0" w:firstRowLastColumn="0" w:lastRowFirstColumn="0" w:lastRowLastColumn="0"/>
            </w:pPr>
            <w:r>
              <w:t>9 284</w:t>
            </w:r>
          </w:p>
        </w:tc>
      </w:tr>
      <w:tr w:rsidR="00964B88" w14:paraId="740106F2" w14:textId="77777777">
        <w:tc>
          <w:tcPr>
            <w:cnfStyle w:val="001000000000" w:firstRow="0" w:lastRow="0" w:firstColumn="1" w:lastColumn="0" w:oddVBand="0" w:evenVBand="0" w:oddHBand="0" w:evenHBand="0" w:firstRowFirstColumn="0" w:firstRowLastColumn="0" w:lastRowFirstColumn="0" w:lastRowLastColumn="0"/>
            <w:tcW w:w="3518" w:type="dxa"/>
          </w:tcPr>
          <w:p w14:paraId="41604EB1" w14:textId="77777777" w:rsidR="00964B88" w:rsidRDefault="00964B88">
            <w:r>
              <w:t>Treasury and Finance</w:t>
            </w:r>
          </w:p>
        </w:tc>
        <w:tc>
          <w:tcPr>
            <w:tcW w:w="850" w:type="dxa"/>
            <w:gridSpan w:val="3"/>
          </w:tcPr>
          <w:p w14:paraId="26B7BE75" w14:textId="77777777" w:rsidR="00964B88" w:rsidRDefault="00964B88">
            <w:pPr>
              <w:cnfStyle w:val="000000000000" w:firstRow="0" w:lastRow="0" w:firstColumn="0" w:lastColumn="0" w:oddVBand="0" w:evenVBand="0" w:oddHBand="0" w:evenHBand="0" w:firstRowFirstColumn="0" w:firstRowLastColumn="0" w:lastRowFirstColumn="0" w:lastRowLastColumn="0"/>
            </w:pPr>
            <w:r>
              <w:t>7 764</w:t>
            </w:r>
          </w:p>
        </w:tc>
        <w:tc>
          <w:tcPr>
            <w:tcW w:w="850" w:type="dxa"/>
          </w:tcPr>
          <w:p w14:paraId="72126664" w14:textId="77777777" w:rsidR="00964B88" w:rsidRDefault="00964B88">
            <w:pPr>
              <w:cnfStyle w:val="000000000000" w:firstRow="0" w:lastRow="0" w:firstColumn="0" w:lastColumn="0" w:oddVBand="0" w:evenVBand="0" w:oddHBand="0" w:evenHBand="0" w:firstRowFirstColumn="0" w:firstRowLastColumn="0" w:lastRowFirstColumn="0" w:lastRowLastColumn="0"/>
            </w:pPr>
            <w:r>
              <w:t>7 572</w:t>
            </w:r>
          </w:p>
        </w:tc>
        <w:tc>
          <w:tcPr>
            <w:tcW w:w="850" w:type="dxa"/>
          </w:tcPr>
          <w:p w14:paraId="46EF0D01" w14:textId="77777777" w:rsidR="00964B88" w:rsidRDefault="00964B88">
            <w:pPr>
              <w:cnfStyle w:val="000000000000" w:firstRow="0" w:lastRow="0" w:firstColumn="0" w:lastColumn="0" w:oddVBand="0" w:evenVBand="0" w:oddHBand="0" w:evenHBand="0" w:firstRowFirstColumn="0" w:firstRowLastColumn="0" w:lastRowFirstColumn="0" w:lastRowLastColumn="0"/>
            </w:pPr>
            <w:r>
              <w:t>7 491</w:t>
            </w:r>
          </w:p>
        </w:tc>
        <w:tc>
          <w:tcPr>
            <w:tcW w:w="850" w:type="dxa"/>
          </w:tcPr>
          <w:p w14:paraId="5BD2B0CF" w14:textId="77777777" w:rsidR="00964B88" w:rsidRDefault="00964B88">
            <w:pPr>
              <w:cnfStyle w:val="000000000000" w:firstRow="0" w:lastRow="0" w:firstColumn="0" w:lastColumn="0" w:oddVBand="0" w:evenVBand="0" w:oddHBand="0" w:evenHBand="0" w:firstRowFirstColumn="0" w:firstRowLastColumn="0" w:lastRowFirstColumn="0" w:lastRowLastColumn="0"/>
            </w:pPr>
            <w:r>
              <w:t>7 707</w:t>
            </w:r>
          </w:p>
        </w:tc>
        <w:tc>
          <w:tcPr>
            <w:tcW w:w="850" w:type="dxa"/>
          </w:tcPr>
          <w:p w14:paraId="3CD5E00C" w14:textId="77777777" w:rsidR="00964B88" w:rsidRDefault="00964B88">
            <w:pPr>
              <w:cnfStyle w:val="000000000000" w:firstRow="0" w:lastRow="0" w:firstColumn="0" w:lastColumn="0" w:oddVBand="0" w:evenVBand="0" w:oddHBand="0" w:evenHBand="0" w:firstRowFirstColumn="0" w:firstRowLastColumn="0" w:lastRowFirstColumn="0" w:lastRowLastColumn="0"/>
            </w:pPr>
            <w:r>
              <w:t>7 913</w:t>
            </w:r>
          </w:p>
        </w:tc>
      </w:tr>
      <w:tr w:rsidR="00964B88" w14:paraId="620C2DD2" w14:textId="77777777">
        <w:tc>
          <w:tcPr>
            <w:cnfStyle w:val="001000000000" w:firstRow="0" w:lastRow="0" w:firstColumn="1" w:lastColumn="0" w:oddVBand="0" w:evenVBand="0" w:oddHBand="0" w:evenHBand="0" w:firstRowFirstColumn="0" w:firstRowLastColumn="0" w:lastRowFirstColumn="0" w:lastRowLastColumn="0"/>
            <w:tcW w:w="3518" w:type="dxa"/>
          </w:tcPr>
          <w:p w14:paraId="667462E7" w14:textId="77777777" w:rsidR="00964B88" w:rsidRDefault="00964B88">
            <w:r>
              <w:t>Parliament</w:t>
            </w:r>
          </w:p>
        </w:tc>
        <w:tc>
          <w:tcPr>
            <w:tcW w:w="850" w:type="dxa"/>
            <w:gridSpan w:val="3"/>
          </w:tcPr>
          <w:p w14:paraId="1A0334D3" w14:textId="77777777" w:rsidR="00964B88" w:rsidRDefault="00964B88">
            <w:pPr>
              <w:cnfStyle w:val="000000000000" w:firstRow="0" w:lastRow="0" w:firstColumn="0" w:lastColumn="0" w:oddVBand="0" w:evenVBand="0" w:oddHBand="0" w:evenHBand="0" w:firstRowFirstColumn="0" w:firstRowLastColumn="0" w:lastRowFirstColumn="0" w:lastRowLastColumn="0"/>
            </w:pPr>
            <w:r>
              <w:t>244</w:t>
            </w:r>
          </w:p>
        </w:tc>
        <w:tc>
          <w:tcPr>
            <w:tcW w:w="850" w:type="dxa"/>
          </w:tcPr>
          <w:p w14:paraId="080E54A1" w14:textId="77777777" w:rsidR="00964B88" w:rsidRDefault="00964B88">
            <w:pPr>
              <w:cnfStyle w:val="000000000000" w:firstRow="0" w:lastRow="0" w:firstColumn="0" w:lastColumn="0" w:oddVBand="0" w:evenVBand="0" w:oddHBand="0" w:evenHBand="0" w:firstRowFirstColumn="0" w:firstRowLastColumn="0" w:lastRowFirstColumn="0" w:lastRowLastColumn="0"/>
            </w:pPr>
            <w:r>
              <w:t>248</w:t>
            </w:r>
          </w:p>
        </w:tc>
        <w:tc>
          <w:tcPr>
            <w:tcW w:w="850" w:type="dxa"/>
          </w:tcPr>
          <w:p w14:paraId="28D14D07" w14:textId="77777777" w:rsidR="00964B88" w:rsidRDefault="00964B88">
            <w:pPr>
              <w:cnfStyle w:val="000000000000" w:firstRow="0" w:lastRow="0" w:firstColumn="0" w:lastColumn="0" w:oddVBand="0" w:evenVBand="0" w:oddHBand="0" w:evenHBand="0" w:firstRowFirstColumn="0" w:firstRowLastColumn="0" w:lastRowFirstColumn="0" w:lastRowLastColumn="0"/>
            </w:pPr>
            <w:r>
              <w:t>238</w:t>
            </w:r>
          </w:p>
        </w:tc>
        <w:tc>
          <w:tcPr>
            <w:tcW w:w="850" w:type="dxa"/>
          </w:tcPr>
          <w:p w14:paraId="0084C34A" w14:textId="77777777" w:rsidR="00964B88" w:rsidRDefault="00964B88">
            <w:pPr>
              <w:cnfStyle w:val="000000000000" w:firstRow="0" w:lastRow="0" w:firstColumn="0" w:lastColumn="0" w:oddVBand="0" w:evenVBand="0" w:oddHBand="0" w:evenHBand="0" w:firstRowFirstColumn="0" w:firstRowLastColumn="0" w:lastRowFirstColumn="0" w:lastRowLastColumn="0"/>
            </w:pPr>
            <w:r>
              <w:t>240</w:t>
            </w:r>
          </w:p>
        </w:tc>
        <w:tc>
          <w:tcPr>
            <w:tcW w:w="850" w:type="dxa"/>
          </w:tcPr>
          <w:p w14:paraId="004494C6" w14:textId="77777777" w:rsidR="00964B88" w:rsidRDefault="00964B88">
            <w:pPr>
              <w:cnfStyle w:val="000000000000" w:firstRow="0" w:lastRow="0" w:firstColumn="0" w:lastColumn="0" w:oddVBand="0" w:evenVBand="0" w:oddHBand="0" w:evenHBand="0" w:firstRowFirstColumn="0" w:firstRowLastColumn="0" w:lastRowFirstColumn="0" w:lastRowLastColumn="0"/>
            </w:pPr>
            <w:r>
              <w:t>244</w:t>
            </w:r>
          </w:p>
        </w:tc>
      </w:tr>
      <w:tr w:rsidR="00964B88" w14:paraId="1F0F1C95" w14:textId="77777777">
        <w:tc>
          <w:tcPr>
            <w:cnfStyle w:val="001000000000" w:firstRow="0" w:lastRow="0" w:firstColumn="1" w:lastColumn="0" w:oddVBand="0" w:evenVBand="0" w:oddHBand="0" w:evenHBand="0" w:firstRowFirstColumn="0" w:firstRowLastColumn="0" w:lastRowFirstColumn="0" w:lastRowLastColumn="0"/>
            <w:tcW w:w="3518" w:type="dxa"/>
          </w:tcPr>
          <w:p w14:paraId="0846B7FB" w14:textId="77777777" w:rsidR="00964B88" w:rsidRDefault="00964B88">
            <w:r>
              <w:t>Courts</w:t>
            </w:r>
          </w:p>
        </w:tc>
        <w:tc>
          <w:tcPr>
            <w:tcW w:w="850" w:type="dxa"/>
            <w:gridSpan w:val="3"/>
          </w:tcPr>
          <w:p w14:paraId="1C0CC85D" w14:textId="77777777" w:rsidR="00964B88" w:rsidRDefault="00964B88">
            <w:pPr>
              <w:cnfStyle w:val="000000000000" w:firstRow="0" w:lastRow="0" w:firstColumn="0" w:lastColumn="0" w:oddVBand="0" w:evenVBand="0" w:oddHBand="0" w:evenHBand="0" w:firstRowFirstColumn="0" w:firstRowLastColumn="0" w:lastRowFirstColumn="0" w:lastRowLastColumn="0"/>
            </w:pPr>
            <w:r>
              <w:t>710</w:t>
            </w:r>
          </w:p>
        </w:tc>
        <w:tc>
          <w:tcPr>
            <w:tcW w:w="850" w:type="dxa"/>
          </w:tcPr>
          <w:p w14:paraId="316F69C2" w14:textId="77777777" w:rsidR="00964B88" w:rsidRDefault="00964B88">
            <w:pPr>
              <w:cnfStyle w:val="000000000000" w:firstRow="0" w:lastRow="0" w:firstColumn="0" w:lastColumn="0" w:oddVBand="0" w:evenVBand="0" w:oddHBand="0" w:evenHBand="0" w:firstRowFirstColumn="0" w:firstRowLastColumn="0" w:lastRowFirstColumn="0" w:lastRowLastColumn="0"/>
            </w:pPr>
            <w:r>
              <w:t>718</w:t>
            </w:r>
          </w:p>
        </w:tc>
        <w:tc>
          <w:tcPr>
            <w:tcW w:w="850" w:type="dxa"/>
          </w:tcPr>
          <w:p w14:paraId="1A390661" w14:textId="77777777" w:rsidR="00964B88" w:rsidRDefault="00964B88">
            <w:pPr>
              <w:cnfStyle w:val="000000000000" w:firstRow="0" w:lastRow="0" w:firstColumn="0" w:lastColumn="0" w:oddVBand="0" w:evenVBand="0" w:oddHBand="0" w:evenHBand="0" w:firstRowFirstColumn="0" w:firstRowLastColumn="0" w:lastRowFirstColumn="0" w:lastRowLastColumn="0"/>
            </w:pPr>
            <w:r>
              <w:t>726</w:t>
            </w:r>
          </w:p>
        </w:tc>
        <w:tc>
          <w:tcPr>
            <w:tcW w:w="850" w:type="dxa"/>
          </w:tcPr>
          <w:p w14:paraId="18B674FB" w14:textId="77777777" w:rsidR="00964B88" w:rsidRDefault="00964B88">
            <w:pPr>
              <w:cnfStyle w:val="000000000000" w:firstRow="0" w:lastRow="0" w:firstColumn="0" w:lastColumn="0" w:oddVBand="0" w:evenVBand="0" w:oddHBand="0" w:evenHBand="0" w:firstRowFirstColumn="0" w:firstRowLastColumn="0" w:lastRowFirstColumn="0" w:lastRowLastColumn="0"/>
            </w:pPr>
            <w:r>
              <w:t>765</w:t>
            </w:r>
          </w:p>
        </w:tc>
        <w:tc>
          <w:tcPr>
            <w:tcW w:w="850" w:type="dxa"/>
          </w:tcPr>
          <w:p w14:paraId="2AB28E70" w14:textId="77777777" w:rsidR="00964B88" w:rsidRDefault="00964B88">
            <w:pPr>
              <w:cnfStyle w:val="000000000000" w:firstRow="0" w:lastRow="0" w:firstColumn="0" w:lastColumn="0" w:oddVBand="0" w:evenVBand="0" w:oddHBand="0" w:evenHBand="0" w:firstRowFirstColumn="0" w:firstRowLastColumn="0" w:lastRowFirstColumn="0" w:lastRowLastColumn="0"/>
            </w:pPr>
            <w:r>
              <w:t>769</w:t>
            </w:r>
          </w:p>
        </w:tc>
      </w:tr>
      <w:tr w:rsidR="00964B88" w14:paraId="79DA38D0" w14:textId="77777777" w:rsidTr="00D95F31">
        <w:tc>
          <w:tcPr>
            <w:cnfStyle w:val="001000000000" w:firstRow="0" w:lastRow="0" w:firstColumn="1" w:lastColumn="0" w:oddVBand="0" w:evenVBand="0" w:oddHBand="0" w:evenHBand="0" w:firstRowFirstColumn="0" w:firstRowLastColumn="0" w:lastRowFirstColumn="0" w:lastRowLastColumn="0"/>
            <w:tcW w:w="3715" w:type="dxa"/>
            <w:gridSpan w:val="2"/>
          </w:tcPr>
          <w:p w14:paraId="21C834F5" w14:textId="77777777" w:rsidR="00964B88" w:rsidRDefault="00964B88">
            <w:r>
              <w:t>Regulatory bodies and other part funded agencies</w:t>
            </w:r>
            <w:r>
              <w:rPr>
                <w:vertAlign w:val="superscript"/>
              </w:rPr>
              <w:t xml:space="preserve"> (a)</w:t>
            </w:r>
          </w:p>
        </w:tc>
        <w:tc>
          <w:tcPr>
            <w:tcW w:w="653" w:type="dxa"/>
            <w:gridSpan w:val="2"/>
          </w:tcPr>
          <w:p w14:paraId="18A450A8" w14:textId="77777777" w:rsidR="00964B88" w:rsidRDefault="00964B88">
            <w:pPr>
              <w:cnfStyle w:val="000000000000" w:firstRow="0" w:lastRow="0" w:firstColumn="0" w:lastColumn="0" w:oddVBand="0" w:evenVBand="0" w:oddHBand="0" w:evenHBand="0" w:firstRowFirstColumn="0" w:firstRowLastColumn="0" w:lastRowFirstColumn="0" w:lastRowLastColumn="0"/>
            </w:pPr>
            <w:r>
              <w:t>2 470</w:t>
            </w:r>
          </w:p>
        </w:tc>
        <w:tc>
          <w:tcPr>
            <w:tcW w:w="850" w:type="dxa"/>
          </w:tcPr>
          <w:p w14:paraId="72B6F29A" w14:textId="77777777" w:rsidR="00964B88" w:rsidRDefault="00964B88">
            <w:pPr>
              <w:cnfStyle w:val="000000000000" w:firstRow="0" w:lastRow="0" w:firstColumn="0" w:lastColumn="0" w:oddVBand="0" w:evenVBand="0" w:oddHBand="0" w:evenHBand="0" w:firstRowFirstColumn="0" w:firstRowLastColumn="0" w:lastRowFirstColumn="0" w:lastRowLastColumn="0"/>
            </w:pPr>
            <w:r>
              <w:t>2 614</w:t>
            </w:r>
          </w:p>
        </w:tc>
        <w:tc>
          <w:tcPr>
            <w:tcW w:w="850" w:type="dxa"/>
          </w:tcPr>
          <w:p w14:paraId="6F85F946" w14:textId="77777777" w:rsidR="00964B88" w:rsidRDefault="00964B88">
            <w:pPr>
              <w:cnfStyle w:val="000000000000" w:firstRow="0" w:lastRow="0" w:firstColumn="0" w:lastColumn="0" w:oddVBand="0" w:evenVBand="0" w:oddHBand="0" w:evenHBand="0" w:firstRowFirstColumn="0" w:firstRowLastColumn="0" w:lastRowFirstColumn="0" w:lastRowLastColumn="0"/>
            </w:pPr>
            <w:r>
              <w:t>2 577</w:t>
            </w:r>
          </w:p>
        </w:tc>
        <w:tc>
          <w:tcPr>
            <w:tcW w:w="850" w:type="dxa"/>
          </w:tcPr>
          <w:p w14:paraId="01B8F209" w14:textId="77777777" w:rsidR="00964B88" w:rsidRDefault="00964B88">
            <w:pPr>
              <w:cnfStyle w:val="000000000000" w:firstRow="0" w:lastRow="0" w:firstColumn="0" w:lastColumn="0" w:oddVBand="0" w:evenVBand="0" w:oddHBand="0" w:evenHBand="0" w:firstRowFirstColumn="0" w:firstRowLastColumn="0" w:lastRowFirstColumn="0" w:lastRowLastColumn="0"/>
            </w:pPr>
            <w:r>
              <w:t>2 439</w:t>
            </w:r>
          </w:p>
        </w:tc>
        <w:tc>
          <w:tcPr>
            <w:tcW w:w="850" w:type="dxa"/>
          </w:tcPr>
          <w:p w14:paraId="2F2A03A2" w14:textId="77777777" w:rsidR="00964B88" w:rsidRDefault="00964B88">
            <w:pPr>
              <w:cnfStyle w:val="000000000000" w:firstRow="0" w:lastRow="0" w:firstColumn="0" w:lastColumn="0" w:oddVBand="0" w:evenVBand="0" w:oddHBand="0" w:evenHBand="0" w:firstRowFirstColumn="0" w:firstRowLastColumn="0" w:lastRowFirstColumn="0" w:lastRowLastColumn="0"/>
            </w:pPr>
            <w:r>
              <w:t>2 403</w:t>
            </w:r>
          </w:p>
        </w:tc>
      </w:tr>
      <w:tr w:rsidR="00964B88" w14:paraId="6153EF30" w14:textId="77777777" w:rsidTr="00D95F31">
        <w:tc>
          <w:tcPr>
            <w:cnfStyle w:val="001000000000" w:firstRow="0" w:lastRow="0" w:firstColumn="1" w:lastColumn="0" w:oddVBand="0" w:evenVBand="0" w:oddHBand="0" w:evenHBand="0" w:firstRowFirstColumn="0" w:firstRowLastColumn="0" w:lastRowFirstColumn="0" w:lastRowLastColumn="0"/>
            <w:tcW w:w="3857" w:type="dxa"/>
            <w:gridSpan w:val="3"/>
            <w:tcBorders>
              <w:bottom w:val="single" w:sz="6" w:space="0" w:color="auto"/>
            </w:tcBorders>
          </w:tcPr>
          <w:p w14:paraId="43C28809" w14:textId="77777777" w:rsidR="00964B88" w:rsidRDefault="00964B88">
            <w:r>
              <w:t>Output contingencies not allocated to departments</w:t>
            </w:r>
            <w:r>
              <w:rPr>
                <w:vertAlign w:val="superscript"/>
              </w:rPr>
              <w:t xml:space="preserve"> (b)</w:t>
            </w:r>
          </w:p>
        </w:tc>
        <w:tc>
          <w:tcPr>
            <w:tcW w:w="511" w:type="dxa"/>
            <w:tcBorders>
              <w:bottom w:val="single" w:sz="6" w:space="0" w:color="auto"/>
            </w:tcBorders>
          </w:tcPr>
          <w:p w14:paraId="18E9A082" w14:textId="77777777" w:rsidR="00964B88" w:rsidRDefault="00964B88">
            <w:pPr>
              <w:cnfStyle w:val="000000000000" w:firstRow="0" w:lastRow="0" w:firstColumn="0" w:lastColumn="0" w:oddVBand="0" w:evenVBand="0" w:oddHBand="0" w:evenHBand="0" w:firstRowFirstColumn="0" w:firstRowLastColumn="0" w:lastRowFirstColumn="0" w:lastRowLastColumn="0"/>
            </w:pPr>
            <w:r>
              <w:t>1 187</w:t>
            </w:r>
          </w:p>
        </w:tc>
        <w:tc>
          <w:tcPr>
            <w:tcW w:w="850" w:type="dxa"/>
            <w:tcBorders>
              <w:bottom w:val="single" w:sz="6" w:space="0" w:color="auto"/>
            </w:tcBorders>
          </w:tcPr>
          <w:p w14:paraId="55BF4988" w14:textId="77777777" w:rsidR="00964B88" w:rsidRDefault="00964B88">
            <w:pPr>
              <w:cnfStyle w:val="000000000000" w:firstRow="0" w:lastRow="0" w:firstColumn="0" w:lastColumn="0" w:oddVBand="0" w:evenVBand="0" w:oddHBand="0" w:evenHBand="0" w:firstRowFirstColumn="0" w:firstRowLastColumn="0" w:lastRowFirstColumn="0" w:lastRowLastColumn="0"/>
            </w:pPr>
            <w:r>
              <w:t>837</w:t>
            </w:r>
          </w:p>
        </w:tc>
        <w:tc>
          <w:tcPr>
            <w:tcW w:w="850" w:type="dxa"/>
            <w:tcBorders>
              <w:bottom w:val="single" w:sz="6" w:space="0" w:color="auto"/>
            </w:tcBorders>
          </w:tcPr>
          <w:p w14:paraId="2674C9FD" w14:textId="77777777" w:rsidR="00964B88" w:rsidRDefault="00964B88">
            <w:pPr>
              <w:cnfStyle w:val="000000000000" w:firstRow="0" w:lastRow="0" w:firstColumn="0" w:lastColumn="0" w:oddVBand="0" w:evenVBand="0" w:oddHBand="0" w:evenHBand="0" w:firstRowFirstColumn="0" w:firstRowLastColumn="0" w:lastRowFirstColumn="0" w:lastRowLastColumn="0"/>
            </w:pPr>
            <w:r>
              <w:t>2 250</w:t>
            </w:r>
          </w:p>
        </w:tc>
        <w:tc>
          <w:tcPr>
            <w:tcW w:w="850" w:type="dxa"/>
            <w:tcBorders>
              <w:bottom w:val="single" w:sz="6" w:space="0" w:color="auto"/>
            </w:tcBorders>
          </w:tcPr>
          <w:p w14:paraId="6975B1BE" w14:textId="77777777" w:rsidR="00964B88" w:rsidRDefault="00964B88">
            <w:pPr>
              <w:cnfStyle w:val="000000000000" w:firstRow="0" w:lastRow="0" w:firstColumn="0" w:lastColumn="0" w:oddVBand="0" w:evenVBand="0" w:oddHBand="0" w:evenHBand="0" w:firstRowFirstColumn="0" w:firstRowLastColumn="0" w:lastRowFirstColumn="0" w:lastRowLastColumn="0"/>
            </w:pPr>
            <w:r>
              <w:t>3 770</w:t>
            </w:r>
          </w:p>
        </w:tc>
        <w:tc>
          <w:tcPr>
            <w:tcW w:w="850" w:type="dxa"/>
            <w:tcBorders>
              <w:bottom w:val="single" w:sz="6" w:space="0" w:color="auto"/>
            </w:tcBorders>
          </w:tcPr>
          <w:p w14:paraId="6330C720" w14:textId="77777777" w:rsidR="00964B88" w:rsidRDefault="00964B88">
            <w:pPr>
              <w:cnfStyle w:val="000000000000" w:firstRow="0" w:lastRow="0" w:firstColumn="0" w:lastColumn="0" w:oddVBand="0" w:evenVBand="0" w:oddHBand="0" w:evenHBand="0" w:firstRowFirstColumn="0" w:firstRowLastColumn="0" w:lastRowFirstColumn="0" w:lastRowLastColumn="0"/>
            </w:pPr>
            <w:r>
              <w:t>5 550</w:t>
            </w:r>
          </w:p>
        </w:tc>
      </w:tr>
      <w:tr w:rsidR="00964B88" w14:paraId="0B7D247A"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6C0BF919" w14:textId="77777777" w:rsidR="00964B88" w:rsidRDefault="00964B88">
            <w:r>
              <w:rPr>
                <w:b/>
              </w:rPr>
              <w:t>Total expenses by department</w:t>
            </w:r>
          </w:p>
        </w:tc>
        <w:tc>
          <w:tcPr>
            <w:tcW w:w="850" w:type="dxa"/>
            <w:gridSpan w:val="3"/>
            <w:tcBorders>
              <w:top w:val="single" w:sz="6" w:space="0" w:color="auto"/>
            </w:tcBorders>
          </w:tcPr>
          <w:p w14:paraId="22602D2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83 369</w:t>
            </w:r>
          </w:p>
        </w:tc>
        <w:tc>
          <w:tcPr>
            <w:tcW w:w="850" w:type="dxa"/>
            <w:tcBorders>
              <w:top w:val="single" w:sz="6" w:space="0" w:color="auto"/>
            </w:tcBorders>
          </w:tcPr>
          <w:p w14:paraId="5EB1927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83 912</w:t>
            </w:r>
          </w:p>
        </w:tc>
        <w:tc>
          <w:tcPr>
            <w:tcW w:w="850" w:type="dxa"/>
            <w:tcBorders>
              <w:top w:val="single" w:sz="6" w:space="0" w:color="auto"/>
            </w:tcBorders>
          </w:tcPr>
          <w:p w14:paraId="5D4D339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85 354</w:t>
            </w:r>
          </w:p>
        </w:tc>
        <w:tc>
          <w:tcPr>
            <w:tcW w:w="850" w:type="dxa"/>
            <w:tcBorders>
              <w:top w:val="single" w:sz="6" w:space="0" w:color="auto"/>
            </w:tcBorders>
          </w:tcPr>
          <w:p w14:paraId="75C085C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86 517</w:t>
            </w:r>
          </w:p>
        </w:tc>
        <w:tc>
          <w:tcPr>
            <w:tcW w:w="850" w:type="dxa"/>
            <w:tcBorders>
              <w:top w:val="single" w:sz="6" w:space="0" w:color="auto"/>
            </w:tcBorders>
          </w:tcPr>
          <w:p w14:paraId="75D8713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89 936</w:t>
            </w:r>
          </w:p>
        </w:tc>
      </w:tr>
      <w:tr w:rsidR="00964B88" w14:paraId="0D7D957F"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5AED24C6" w14:textId="77777777" w:rsidR="00964B88" w:rsidRDefault="00964B88">
            <w:r>
              <w:rPr>
                <w:i/>
              </w:rPr>
              <w:t>Less eliminations and adjustments</w:t>
            </w:r>
            <w:r>
              <w:rPr>
                <w:i/>
                <w:vertAlign w:val="superscript"/>
              </w:rPr>
              <w:t xml:space="preserve"> (c)</w:t>
            </w:r>
          </w:p>
        </w:tc>
        <w:tc>
          <w:tcPr>
            <w:tcW w:w="850" w:type="dxa"/>
            <w:gridSpan w:val="3"/>
            <w:tcBorders>
              <w:bottom w:val="single" w:sz="6" w:space="0" w:color="auto"/>
            </w:tcBorders>
          </w:tcPr>
          <w:p w14:paraId="56A8B292" w14:textId="77777777" w:rsidR="00964B88" w:rsidRDefault="00964B88">
            <w:pPr>
              <w:cnfStyle w:val="000000000000" w:firstRow="0" w:lastRow="0" w:firstColumn="0" w:lastColumn="0" w:oddVBand="0" w:evenVBand="0" w:oddHBand="0" w:evenHBand="0" w:firstRowFirstColumn="0" w:firstRowLastColumn="0" w:lastRowFirstColumn="0" w:lastRowLastColumn="0"/>
            </w:pPr>
            <w:r>
              <w:t>(13 387)</w:t>
            </w:r>
          </w:p>
        </w:tc>
        <w:tc>
          <w:tcPr>
            <w:tcW w:w="850" w:type="dxa"/>
            <w:tcBorders>
              <w:bottom w:val="single" w:sz="6" w:space="0" w:color="auto"/>
            </w:tcBorders>
          </w:tcPr>
          <w:p w14:paraId="20D7616F" w14:textId="77777777" w:rsidR="00964B88" w:rsidRDefault="00964B88">
            <w:pPr>
              <w:cnfStyle w:val="000000000000" w:firstRow="0" w:lastRow="0" w:firstColumn="0" w:lastColumn="0" w:oddVBand="0" w:evenVBand="0" w:oddHBand="0" w:evenHBand="0" w:firstRowFirstColumn="0" w:firstRowLastColumn="0" w:lastRowFirstColumn="0" w:lastRowLastColumn="0"/>
            </w:pPr>
            <w:r>
              <w:t>(13 579)</w:t>
            </w:r>
          </w:p>
        </w:tc>
        <w:tc>
          <w:tcPr>
            <w:tcW w:w="850" w:type="dxa"/>
            <w:tcBorders>
              <w:bottom w:val="single" w:sz="6" w:space="0" w:color="auto"/>
            </w:tcBorders>
          </w:tcPr>
          <w:p w14:paraId="01C1A35D" w14:textId="77777777" w:rsidR="00964B88" w:rsidRDefault="00964B88">
            <w:pPr>
              <w:cnfStyle w:val="000000000000" w:firstRow="0" w:lastRow="0" w:firstColumn="0" w:lastColumn="0" w:oddVBand="0" w:evenVBand="0" w:oddHBand="0" w:evenHBand="0" w:firstRowFirstColumn="0" w:firstRowLastColumn="0" w:lastRowFirstColumn="0" w:lastRowLastColumn="0"/>
            </w:pPr>
            <w:r>
              <w:t>(12 059)</w:t>
            </w:r>
          </w:p>
        </w:tc>
        <w:tc>
          <w:tcPr>
            <w:tcW w:w="850" w:type="dxa"/>
            <w:tcBorders>
              <w:bottom w:val="single" w:sz="6" w:space="0" w:color="auto"/>
            </w:tcBorders>
          </w:tcPr>
          <w:p w14:paraId="7CA4D78F" w14:textId="77777777" w:rsidR="00964B88" w:rsidRDefault="00964B88">
            <w:pPr>
              <w:cnfStyle w:val="000000000000" w:firstRow="0" w:lastRow="0" w:firstColumn="0" w:lastColumn="0" w:oddVBand="0" w:evenVBand="0" w:oddHBand="0" w:evenHBand="0" w:firstRowFirstColumn="0" w:firstRowLastColumn="0" w:lastRowFirstColumn="0" w:lastRowLastColumn="0"/>
            </w:pPr>
            <w:r>
              <w:t>(12 098)</w:t>
            </w:r>
          </w:p>
        </w:tc>
        <w:tc>
          <w:tcPr>
            <w:tcW w:w="850" w:type="dxa"/>
            <w:tcBorders>
              <w:bottom w:val="single" w:sz="6" w:space="0" w:color="auto"/>
            </w:tcBorders>
          </w:tcPr>
          <w:p w14:paraId="5AEE92AB" w14:textId="77777777" w:rsidR="00964B88" w:rsidRDefault="00964B88">
            <w:pPr>
              <w:cnfStyle w:val="000000000000" w:firstRow="0" w:lastRow="0" w:firstColumn="0" w:lastColumn="0" w:oddVBand="0" w:evenVBand="0" w:oddHBand="0" w:evenHBand="0" w:firstRowFirstColumn="0" w:firstRowLastColumn="0" w:lastRowFirstColumn="0" w:lastRowLastColumn="0"/>
            </w:pPr>
            <w:r>
              <w:t>(12 267)</w:t>
            </w:r>
          </w:p>
        </w:tc>
      </w:tr>
      <w:tr w:rsidR="00964B88" w14:paraId="1C8F647C"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25DCE7C7" w14:textId="77777777" w:rsidR="00964B88" w:rsidRDefault="00964B88">
            <w:r>
              <w:t>Total expenses</w:t>
            </w:r>
          </w:p>
        </w:tc>
        <w:tc>
          <w:tcPr>
            <w:tcW w:w="850" w:type="dxa"/>
            <w:gridSpan w:val="3"/>
          </w:tcPr>
          <w:p w14:paraId="26B49170" w14:textId="77777777" w:rsidR="00964B88" w:rsidRDefault="00964B88">
            <w:pPr>
              <w:cnfStyle w:val="010000000000" w:firstRow="0" w:lastRow="1" w:firstColumn="0" w:lastColumn="0" w:oddVBand="0" w:evenVBand="0" w:oddHBand="0" w:evenHBand="0" w:firstRowFirstColumn="0" w:firstRowLastColumn="0" w:lastRowFirstColumn="0" w:lastRowLastColumn="0"/>
            </w:pPr>
            <w:r>
              <w:t>69 982</w:t>
            </w:r>
          </w:p>
        </w:tc>
        <w:tc>
          <w:tcPr>
            <w:tcW w:w="850" w:type="dxa"/>
          </w:tcPr>
          <w:p w14:paraId="783C4ED9" w14:textId="77777777" w:rsidR="00964B88" w:rsidRDefault="00964B88">
            <w:pPr>
              <w:cnfStyle w:val="010000000000" w:firstRow="0" w:lastRow="1" w:firstColumn="0" w:lastColumn="0" w:oddVBand="0" w:evenVBand="0" w:oddHBand="0" w:evenHBand="0" w:firstRowFirstColumn="0" w:firstRowLastColumn="0" w:lastRowFirstColumn="0" w:lastRowLastColumn="0"/>
            </w:pPr>
            <w:r>
              <w:t>70 333</w:t>
            </w:r>
          </w:p>
        </w:tc>
        <w:tc>
          <w:tcPr>
            <w:tcW w:w="850" w:type="dxa"/>
          </w:tcPr>
          <w:p w14:paraId="3CA9E0E1" w14:textId="77777777" w:rsidR="00964B88" w:rsidRDefault="00964B88">
            <w:pPr>
              <w:cnfStyle w:val="010000000000" w:firstRow="0" w:lastRow="1" w:firstColumn="0" w:lastColumn="0" w:oddVBand="0" w:evenVBand="0" w:oddHBand="0" w:evenHBand="0" w:firstRowFirstColumn="0" w:firstRowLastColumn="0" w:lastRowFirstColumn="0" w:lastRowLastColumn="0"/>
            </w:pPr>
            <w:r>
              <w:t>73 295</w:t>
            </w:r>
          </w:p>
        </w:tc>
        <w:tc>
          <w:tcPr>
            <w:tcW w:w="850" w:type="dxa"/>
          </w:tcPr>
          <w:p w14:paraId="5C24EFED" w14:textId="77777777" w:rsidR="00964B88" w:rsidRDefault="00964B88">
            <w:pPr>
              <w:cnfStyle w:val="010000000000" w:firstRow="0" w:lastRow="1" w:firstColumn="0" w:lastColumn="0" w:oddVBand="0" w:evenVBand="0" w:oddHBand="0" w:evenHBand="0" w:firstRowFirstColumn="0" w:firstRowLastColumn="0" w:lastRowFirstColumn="0" w:lastRowLastColumn="0"/>
            </w:pPr>
            <w:r>
              <w:t>74 419</w:t>
            </w:r>
          </w:p>
        </w:tc>
        <w:tc>
          <w:tcPr>
            <w:tcW w:w="850" w:type="dxa"/>
          </w:tcPr>
          <w:p w14:paraId="10154F49" w14:textId="77777777" w:rsidR="00964B88" w:rsidRDefault="00964B88">
            <w:pPr>
              <w:cnfStyle w:val="010000000000" w:firstRow="0" w:lastRow="1" w:firstColumn="0" w:lastColumn="0" w:oddVBand="0" w:evenVBand="0" w:oddHBand="0" w:evenHBand="0" w:firstRowFirstColumn="0" w:firstRowLastColumn="0" w:lastRowFirstColumn="0" w:lastRowLastColumn="0"/>
            </w:pPr>
            <w:r>
              <w:t>77 668</w:t>
            </w:r>
          </w:p>
        </w:tc>
      </w:tr>
    </w:tbl>
    <w:p w14:paraId="440EAF08" w14:textId="77777777" w:rsidR="00964B88" w:rsidRDefault="00964B88" w:rsidP="00F53820">
      <w:pPr>
        <w:pStyle w:val="Note"/>
      </w:pPr>
      <w:r>
        <w:t>Notes:</w:t>
      </w:r>
    </w:p>
    <w:p w14:paraId="025D926A" w14:textId="77777777" w:rsidR="00964B88" w:rsidRDefault="00964B88" w:rsidP="00F53820">
      <w:pPr>
        <w:pStyle w:val="Note"/>
      </w:pPr>
      <w:r>
        <w:t>(a)</w:t>
      </w:r>
      <w:r>
        <w:tab/>
        <w:t>Other general government sector agencies not allocated to departmental portfolios.</w:t>
      </w:r>
    </w:p>
    <w:p w14:paraId="5AC68B14" w14:textId="77777777" w:rsidR="00964B88" w:rsidRDefault="00964B88" w:rsidP="00F53820">
      <w:pPr>
        <w:pStyle w:val="Note"/>
      </w:pPr>
      <w:r>
        <w:t>(b)</w:t>
      </w:r>
      <w:r>
        <w:tab/>
        <w:t>The following table provides a breakdown of the general government output contingencies not allocated to departments.</w:t>
      </w:r>
    </w:p>
    <w:p w14:paraId="0DD25C4E" w14:textId="77777777" w:rsidR="00964B88" w:rsidRDefault="00964B88" w:rsidP="00F53820">
      <w:pPr>
        <w:pStyle w:val="Note"/>
      </w:pPr>
      <w:r>
        <w:t>(c)</w:t>
      </w:r>
      <w:r>
        <w:tab/>
        <w:t>Mainly payroll tax, capital asset charge, departmental underspend estimates and inter-departmental transfers.</w:t>
      </w:r>
    </w:p>
    <w:p w14:paraId="5A2BE53D" w14:textId="77777777" w:rsidR="00D95F31" w:rsidRDefault="00D95F31" w:rsidP="00D95F31"/>
    <w:p w14:paraId="61064B3F" w14:textId="77777777" w:rsidR="00964B88" w:rsidRDefault="00964B88" w:rsidP="00F53820">
      <w:pPr>
        <w:pStyle w:val="TableHeading"/>
      </w:pPr>
      <w:r>
        <w:t>General government output contingencies not allocated to departments</w:t>
      </w:r>
      <w:r>
        <w:ta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420B9049"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498193EA" w14:textId="77777777" w:rsidR="00964B88" w:rsidRDefault="00964B88"/>
        </w:tc>
        <w:tc>
          <w:tcPr>
            <w:tcW w:w="850" w:type="dxa"/>
          </w:tcPr>
          <w:p w14:paraId="0B1464A8"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2866430B"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7626D7CE"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4B31FFBC"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582C998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4F86F57D" w14:textId="77777777">
        <w:tc>
          <w:tcPr>
            <w:cnfStyle w:val="001000000000" w:firstRow="0" w:lastRow="0" w:firstColumn="1" w:lastColumn="0" w:oddVBand="0" w:evenVBand="0" w:oddHBand="0" w:evenHBand="0" w:firstRowFirstColumn="0" w:firstRowLastColumn="0" w:lastRowFirstColumn="0" w:lastRowLastColumn="0"/>
            <w:tcW w:w="3518" w:type="dxa"/>
          </w:tcPr>
          <w:p w14:paraId="50AB2718" w14:textId="77777777" w:rsidR="00964B88" w:rsidRDefault="00964B88">
            <w:r>
              <w:t>Decisions made but not yet allocated</w:t>
            </w:r>
            <w:r>
              <w:rPr>
                <w:vertAlign w:val="superscript"/>
              </w:rPr>
              <w:t xml:space="preserve"> (a)</w:t>
            </w:r>
          </w:p>
        </w:tc>
        <w:tc>
          <w:tcPr>
            <w:tcW w:w="850" w:type="dxa"/>
          </w:tcPr>
          <w:p w14:paraId="5107B71C" w14:textId="77777777" w:rsidR="00964B88" w:rsidRDefault="00964B88">
            <w:pPr>
              <w:cnfStyle w:val="000000000000" w:firstRow="0" w:lastRow="0" w:firstColumn="0" w:lastColumn="0" w:oddVBand="0" w:evenVBand="0" w:oddHBand="0" w:evenHBand="0" w:firstRowFirstColumn="0" w:firstRowLastColumn="0" w:lastRowFirstColumn="0" w:lastRowLastColumn="0"/>
            </w:pPr>
            <w:r>
              <w:t>1 187</w:t>
            </w:r>
          </w:p>
        </w:tc>
        <w:tc>
          <w:tcPr>
            <w:tcW w:w="850" w:type="dxa"/>
          </w:tcPr>
          <w:p w14:paraId="30087C86" w14:textId="77777777" w:rsidR="00964B88" w:rsidRDefault="00964B88">
            <w:pPr>
              <w:cnfStyle w:val="000000000000" w:firstRow="0" w:lastRow="0" w:firstColumn="0" w:lastColumn="0" w:oddVBand="0" w:evenVBand="0" w:oddHBand="0" w:evenHBand="0" w:firstRowFirstColumn="0" w:firstRowLastColumn="0" w:lastRowFirstColumn="0" w:lastRowLastColumn="0"/>
            </w:pPr>
            <w:r>
              <w:t>787</w:t>
            </w:r>
          </w:p>
        </w:tc>
        <w:tc>
          <w:tcPr>
            <w:tcW w:w="850" w:type="dxa"/>
          </w:tcPr>
          <w:p w14:paraId="509DE1DE" w14:textId="77777777" w:rsidR="00964B88" w:rsidRDefault="00964B88">
            <w:pPr>
              <w:cnfStyle w:val="000000000000" w:firstRow="0" w:lastRow="0" w:firstColumn="0" w:lastColumn="0" w:oddVBand="0" w:evenVBand="0" w:oddHBand="0" w:evenHBand="0" w:firstRowFirstColumn="0" w:firstRowLastColumn="0" w:lastRowFirstColumn="0" w:lastRowLastColumn="0"/>
            </w:pPr>
            <w:r>
              <w:t>2 050</w:t>
            </w:r>
          </w:p>
        </w:tc>
        <w:tc>
          <w:tcPr>
            <w:tcW w:w="850" w:type="dxa"/>
          </w:tcPr>
          <w:p w14:paraId="53EEDC89" w14:textId="77777777" w:rsidR="00964B88" w:rsidRDefault="00964B88">
            <w:pPr>
              <w:cnfStyle w:val="000000000000" w:firstRow="0" w:lastRow="0" w:firstColumn="0" w:lastColumn="0" w:oddVBand="0" w:evenVBand="0" w:oddHBand="0" w:evenHBand="0" w:firstRowFirstColumn="0" w:firstRowLastColumn="0" w:lastRowFirstColumn="0" w:lastRowLastColumn="0"/>
            </w:pPr>
            <w:r>
              <w:t>3 170</w:t>
            </w:r>
          </w:p>
        </w:tc>
        <w:tc>
          <w:tcPr>
            <w:tcW w:w="850" w:type="dxa"/>
          </w:tcPr>
          <w:p w14:paraId="0D8F5A46" w14:textId="77777777" w:rsidR="00964B88" w:rsidRDefault="00964B88">
            <w:pPr>
              <w:cnfStyle w:val="000000000000" w:firstRow="0" w:lastRow="0" w:firstColumn="0" w:lastColumn="0" w:oddVBand="0" w:evenVBand="0" w:oddHBand="0" w:evenHBand="0" w:firstRowFirstColumn="0" w:firstRowLastColumn="0" w:lastRowFirstColumn="0" w:lastRowLastColumn="0"/>
            </w:pPr>
            <w:r>
              <w:t>4 650</w:t>
            </w:r>
          </w:p>
        </w:tc>
      </w:tr>
      <w:tr w:rsidR="00964B88" w14:paraId="5335E75E"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07848FE2" w14:textId="77777777" w:rsidR="00964B88" w:rsidRDefault="00964B88">
            <w:r>
              <w:t>Funding not allocated to specific purposes</w:t>
            </w:r>
            <w:r>
              <w:rPr>
                <w:vertAlign w:val="superscript"/>
              </w:rPr>
              <w:t xml:space="preserve"> (b)</w:t>
            </w:r>
          </w:p>
        </w:tc>
        <w:tc>
          <w:tcPr>
            <w:tcW w:w="850" w:type="dxa"/>
            <w:tcBorders>
              <w:bottom w:val="single" w:sz="6" w:space="0" w:color="auto"/>
            </w:tcBorders>
          </w:tcPr>
          <w:p w14:paraId="039091E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5C3A9C6B" w14:textId="77777777" w:rsidR="00964B88" w:rsidRDefault="00964B88">
            <w:pPr>
              <w:cnfStyle w:val="000000000000" w:firstRow="0" w:lastRow="0" w:firstColumn="0" w:lastColumn="0" w:oddVBand="0" w:evenVBand="0" w:oddHBand="0" w:evenHBand="0" w:firstRowFirstColumn="0" w:firstRowLastColumn="0" w:lastRowFirstColumn="0" w:lastRowLastColumn="0"/>
            </w:pPr>
            <w:r>
              <w:t>50</w:t>
            </w:r>
          </w:p>
        </w:tc>
        <w:tc>
          <w:tcPr>
            <w:tcW w:w="850" w:type="dxa"/>
            <w:tcBorders>
              <w:bottom w:val="single" w:sz="6" w:space="0" w:color="auto"/>
            </w:tcBorders>
          </w:tcPr>
          <w:p w14:paraId="4F8F899D" w14:textId="77777777" w:rsidR="00964B88" w:rsidRDefault="00964B88">
            <w:pPr>
              <w:cnfStyle w:val="000000000000" w:firstRow="0" w:lastRow="0" w:firstColumn="0" w:lastColumn="0" w:oddVBand="0" w:evenVBand="0" w:oddHBand="0" w:evenHBand="0" w:firstRowFirstColumn="0" w:firstRowLastColumn="0" w:lastRowFirstColumn="0" w:lastRowLastColumn="0"/>
            </w:pPr>
            <w:r>
              <w:t>200</w:t>
            </w:r>
          </w:p>
        </w:tc>
        <w:tc>
          <w:tcPr>
            <w:tcW w:w="850" w:type="dxa"/>
            <w:tcBorders>
              <w:bottom w:val="single" w:sz="6" w:space="0" w:color="auto"/>
            </w:tcBorders>
          </w:tcPr>
          <w:p w14:paraId="509F3695" w14:textId="77777777" w:rsidR="00964B88" w:rsidRDefault="00964B88">
            <w:pPr>
              <w:cnfStyle w:val="000000000000" w:firstRow="0" w:lastRow="0" w:firstColumn="0" w:lastColumn="0" w:oddVBand="0" w:evenVBand="0" w:oddHBand="0" w:evenHBand="0" w:firstRowFirstColumn="0" w:firstRowLastColumn="0" w:lastRowFirstColumn="0" w:lastRowLastColumn="0"/>
            </w:pPr>
            <w:r>
              <w:t>600</w:t>
            </w:r>
          </w:p>
        </w:tc>
        <w:tc>
          <w:tcPr>
            <w:tcW w:w="850" w:type="dxa"/>
            <w:tcBorders>
              <w:bottom w:val="single" w:sz="6" w:space="0" w:color="auto"/>
            </w:tcBorders>
          </w:tcPr>
          <w:p w14:paraId="06FDD736" w14:textId="77777777" w:rsidR="00964B88" w:rsidRDefault="00964B88">
            <w:pPr>
              <w:cnfStyle w:val="000000000000" w:firstRow="0" w:lastRow="0" w:firstColumn="0" w:lastColumn="0" w:oddVBand="0" w:evenVBand="0" w:oddHBand="0" w:evenHBand="0" w:firstRowFirstColumn="0" w:firstRowLastColumn="0" w:lastRowFirstColumn="0" w:lastRowLastColumn="0"/>
            </w:pPr>
            <w:r>
              <w:t>900</w:t>
            </w:r>
          </w:p>
        </w:tc>
      </w:tr>
      <w:tr w:rsidR="00964B88" w14:paraId="32B44145"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55F9D631" w14:textId="77777777" w:rsidR="00964B88" w:rsidRDefault="00964B88">
            <w:r>
              <w:t>Total general government output contingencies</w:t>
            </w:r>
          </w:p>
        </w:tc>
        <w:tc>
          <w:tcPr>
            <w:tcW w:w="850" w:type="dxa"/>
          </w:tcPr>
          <w:p w14:paraId="6C9AF5DB" w14:textId="77777777" w:rsidR="00964B88" w:rsidRDefault="00964B88">
            <w:pPr>
              <w:cnfStyle w:val="010000000000" w:firstRow="0" w:lastRow="1" w:firstColumn="0" w:lastColumn="0" w:oddVBand="0" w:evenVBand="0" w:oddHBand="0" w:evenHBand="0" w:firstRowFirstColumn="0" w:firstRowLastColumn="0" w:lastRowFirstColumn="0" w:lastRowLastColumn="0"/>
            </w:pPr>
            <w:r>
              <w:t>1 187</w:t>
            </w:r>
          </w:p>
        </w:tc>
        <w:tc>
          <w:tcPr>
            <w:tcW w:w="850" w:type="dxa"/>
          </w:tcPr>
          <w:p w14:paraId="0FD6CD85" w14:textId="77777777" w:rsidR="00964B88" w:rsidRDefault="00964B88">
            <w:pPr>
              <w:cnfStyle w:val="010000000000" w:firstRow="0" w:lastRow="1" w:firstColumn="0" w:lastColumn="0" w:oddVBand="0" w:evenVBand="0" w:oddHBand="0" w:evenHBand="0" w:firstRowFirstColumn="0" w:firstRowLastColumn="0" w:lastRowFirstColumn="0" w:lastRowLastColumn="0"/>
            </w:pPr>
            <w:r>
              <w:t>837</w:t>
            </w:r>
          </w:p>
        </w:tc>
        <w:tc>
          <w:tcPr>
            <w:tcW w:w="850" w:type="dxa"/>
          </w:tcPr>
          <w:p w14:paraId="3E971DA4" w14:textId="77777777" w:rsidR="00964B88" w:rsidRDefault="00964B88">
            <w:pPr>
              <w:cnfStyle w:val="010000000000" w:firstRow="0" w:lastRow="1" w:firstColumn="0" w:lastColumn="0" w:oddVBand="0" w:evenVBand="0" w:oddHBand="0" w:evenHBand="0" w:firstRowFirstColumn="0" w:firstRowLastColumn="0" w:lastRowFirstColumn="0" w:lastRowLastColumn="0"/>
            </w:pPr>
            <w:r>
              <w:t>2 250</w:t>
            </w:r>
          </w:p>
        </w:tc>
        <w:tc>
          <w:tcPr>
            <w:tcW w:w="850" w:type="dxa"/>
          </w:tcPr>
          <w:p w14:paraId="4658EA81" w14:textId="77777777" w:rsidR="00964B88" w:rsidRDefault="00964B88">
            <w:pPr>
              <w:cnfStyle w:val="010000000000" w:firstRow="0" w:lastRow="1" w:firstColumn="0" w:lastColumn="0" w:oddVBand="0" w:evenVBand="0" w:oddHBand="0" w:evenHBand="0" w:firstRowFirstColumn="0" w:firstRowLastColumn="0" w:lastRowFirstColumn="0" w:lastRowLastColumn="0"/>
            </w:pPr>
            <w:r>
              <w:t>3 770</w:t>
            </w:r>
          </w:p>
        </w:tc>
        <w:tc>
          <w:tcPr>
            <w:tcW w:w="850" w:type="dxa"/>
          </w:tcPr>
          <w:p w14:paraId="5C292D1B" w14:textId="77777777" w:rsidR="00964B88" w:rsidRDefault="00964B88">
            <w:pPr>
              <w:cnfStyle w:val="010000000000" w:firstRow="0" w:lastRow="1" w:firstColumn="0" w:lastColumn="0" w:oddVBand="0" w:evenVBand="0" w:oddHBand="0" w:evenHBand="0" w:firstRowFirstColumn="0" w:firstRowLastColumn="0" w:lastRowFirstColumn="0" w:lastRowLastColumn="0"/>
            </w:pPr>
            <w:r>
              <w:t>5 550</w:t>
            </w:r>
          </w:p>
        </w:tc>
      </w:tr>
    </w:tbl>
    <w:p w14:paraId="4838D373" w14:textId="77777777" w:rsidR="00964B88" w:rsidRPr="00697AD9" w:rsidRDefault="00964B88" w:rsidP="00F53820">
      <w:pPr>
        <w:pStyle w:val="Note"/>
      </w:pPr>
      <w:r w:rsidRPr="00697AD9">
        <w:t>Notes:</w:t>
      </w:r>
    </w:p>
    <w:p w14:paraId="4714C562" w14:textId="77777777" w:rsidR="00964B88" w:rsidRDefault="00964B88" w:rsidP="00F53820">
      <w:pPr>
        <w:pStyle w:val="Note"/>
      </w:pPr>
      <w:r w:rsidRPr="00697AD9">
        <w:t>(</w:t>
      </w:r>
      <w:r>
        <w:t>a)</w:t>
      </w:r>
      <w:r>
        <w:tab/>
        <w:t>Reflects existing Government policy decisions for which funding has yet to be allocated to departments; provisions not yet allocated to meet additional price and demand growth for health, disability services and education; and a provision for estimated depreciation expense associated with the general government unallocated asset contingency.</w:t>
      </w:r>
    </w:p>
    <w:p w14:paraId="02E51BF1" w14:textId="77777777" w:rsidR="00964B88" w:rsidRDefault="00964B88" w:rsidP="00F53820">
      <w:pPr>
        <w:pStyle w:val="Note"/>
      </w:pPr>
      <w:r>
        <w:t>(b)</w:t>
      </w:r>
      <w:r>
        <w:tab/>
        <w:t>An unallocated provision available to contribute to future Government policy decisions and commitments, including for decisions to extend lapsing programs across the budget and forward estimates.</w:t>
      </w:r>
    </w:p>
    <w:p w14:paraId="2A6DB023" w14:textId="77777777" w:rsidR="00964B88" w:rsidRDefault="00964B88" w:rsidP="00F53820">
      <w:pPr>
        <w:keepLines w:val="0"/>
      </w:pPr>
    </w:p>
    <w:p w14:paraId="4D0B0269" w14:textId="77777777" w:rsidR="00D95F31" w:rsidRPr="00D95F31" w:rsidRDefault="00D95F31" w:rsidP="00D95F31">
      <w:bookmarkStart w:id="96" w:name="_Toc496606579"/>
      <w:bookmarkStart w:id="97" w:name="_Toc530147965"/>
    </w:p>
    <w:p w14:paraId="3A6862DE" w14:textId="77777777" w:rsidR="00D95F31" w:rsidRDefault="00D95F31">
      <w:pPr>
        <w:keepLines w:val="0"/>
        <w:rPr>
          <w:rFonts w:asciiTheme="majorHAnsi" w:eastAsiaTheme="majorEastAsia" w:hAnsiTheme="majorHAnsi" w:cstheme="majorBidi"/>
          <w:b/>
          <w:bCs/>
          <w:spacing w:val="-2"/>
          <w:sz w:val="23"/>
          <w:szCs w:val="26"/>
        </w:rPr>
      </w:pPr>
      <w:r>
        <w:br w:type="page"/>
      </w:r>
    </w:p>
    <w:p w14:paraId="51A5A7A1" w14:textId="77777777" w:rsidR="00964B88" w:rsidRDefault="00964B88" w:rsidP="00964B88">
      <w:pPr>
        <w:pStyle w:val="Heading3"/>
        <w:numPr>
          <w:ilvl w:val="2"/>
          <w:numId w:val="22"/>
        </w:numPr>
        <w:tabs>
          <w:tab w:val="clear" w:pos="7711"/>
          <w:tab w:val="left" w:pos="850"/>
          <w:tab w:val="right" w:pos="7710"/>
        </w:tabs>
        <w:spacing w:after="60"/>
      </w:pPr>
      <w:r w:rsidRPr="004E4D8E">
        <w:lastRenderedPageBreak/>
        <w:t>Purchases</w:t>
      </w:r>
      <w:r>
        <w:t xml:space="preserve"> of non-financial assets by classification of the functions of government and by portfolio department</w:t>
      </w:r>
      <w:bookmarkEnd w:id="96"/>
      <w:bookmarkEnd w:id="97"/>
    </w:p>
    <w:p w14:paraId="5B1CA22E" w14:textId="77777777" w:rsidR="00964B88" w:rsidRDefault="00964B88" w:rsidP="00F53820">
      <w:pPr>
        <w:pStyle w:val="TableHeading"/>
      </w:pPr>
      <w:r>
        <w:t>Purchases of non-financial assets by classification of the functions of government</w:t>
      </w:r>
      <w:r w:rsidRPr="0050423F">
        <w:t xml:space="preserve"> </w:t>
      </w:r>
      <w:r w:rsidRPr="0050423F">
        <w:tab/>
      </w:r>
      <w:r>
        <w:t xml:space="preserve">($ million) </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01A9721A"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74869E9E" w14:textId="77777777" w:rsidR="00964B88" w:rsidRDefault="00964B88"/>
        </w:tc>
        <w:tc>
          <w:tcPr>
            <w:tcW w:w="850" w:type="dxa"/>
          </w:tcPr>
          <w:p w14:paraId="6B80006B"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289CEDCD"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275B9EB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00E5037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6CC2A10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334364DC" w14:textId="77777777">
        <w:tc>
          <w:tcPr>
            <w:cnfStyle w:val="001000000000" w:firstRow="0" w:lastRow="0" w:firstColumn="1" w:lastColumn="0" w:oddVBand="0" w:evenVBand="0" w:oddHBand="0" w:evenHBand="0" w:firstRowFirstColumn="0" w:firstRowLastColumn="0" w:lastRowFirstColumn="0" w:lastRowLastColumn="0"/>
            <w:tcW w:w="3518" w:type="dxa"/>
          </w:tcPr>
          <w:p w14:paraId="5C8B108E" w14:textId="77777777" w:rsidR="00964B88" w:rsidRDefault="00964B88">
            <w:r>
              <w:t>General public services</w:t>
            </w:r>
          </w:p>
        </w:tc>
        <w:tc>
          <w:tcPr>
            <w:tcW w:w="850" w:type="dxa"/>
          </w:tcPr>
          <w:p w14:paraId="5E0711DE" w14:textId="77777777" w:rsidR="00964B88" w:rsidRDefault="00964B88">
            <w:pPr>
              <w:cnfStyle w:val="000000000000" w:firstRow="0" w:lastRow="0" w:firstColumn="0" w:lastColumn="0" w:oddVBand="0" w:evenVBand="0" w:oddHBand="0" w:evenHBand="0" w:firstRowFirstColumn="0" w:firstRowLastColumn="0" w:lastRowFirstColumn="0" w:lastRowLastColumn="0"/>
            </w:pPr>
            <w:r>
              <w:t>47</w:t>
            </w:r>
          </w:p>
        </w:tc>
        <w:tc>
          <w:tcPr>
            <w:tcW w:w="850" w:type="dxa"/>
          </w:tcPr>
          <w:p w14:paraId="504567BC" w14:textId="77777777" w:rsidR="00964B88" w:rsidRDefault="00964B88">
            <w:pPr>
              <w:cnfStyle w:val="000000000000" w:firstRow="0" w:lastRow="0" w:firstColumn="0" w:lastColumn="0" w:oddVBand="0" w:evenVBand="0" w:oddHBand="0" w:evenHBand="0" w:firstRowFirstColumn="0" w:firstRowLastColumn="0" w:lastRowFirstColumn="0" w:lastRowLastColumn="0"/>
            </w:pPr>
            <w:r>
              <w:t>66</w:t>
            </w:r>
          </w:p>
        </w:tc>
        <w:tc>
          <w:tcPr>
            <w:tcW w:w="850" w:type="dxa"/>
          </w:tcPr>
          <w:p w14:paraId="11A97B54" w14:textId="77777777" w:rsidR="00964B88" w:rsidRDefault="00964B88">
            <w:pPr>
              <w:cnfStyle w:val="000000000000" w:firstRow="0" w:lastRow="0" w:firstColumn="0" w:lastColumn="0" w:oddVBand="0" w:evenVBand="0" w:oddHBand="0" w:evenHBand="0" w:firstRowFirstColumn="0" w:firstRowLastColumn="0" w:lastRowFirstColumn="0" w:lastRowLastColumn="0"/>
            </w:pPr>
            <w:r>
              <w:t>138</w:t>
            </w:r>
          </w:p>
        </w:tc>
        <w:tc>
          <w:tcPr>
            <w:tcW w:w="850" w:type="dxa"/>
          </w:tcPr>
          <w:p w14:paraId="2DED0BCD" w14:textId="77777777" w:rsidR="00964B88" w:rsidRDefault="00964B88">
            <w:pPr>
              <w:cnfStyle w:val="000000000000" w:firstRow="0" w:lastRow="0" w:firstColumn="0" w:lastColumn="0" w:oddVBand="0" w:evenVBand="0" w:oddHBand="0" w:evenHBand="0" w:firstRowFirstColumn="0" w:firstRowLastColumn="0" w:lastRowFirstColumn="0" w:lastRowLastColumn="0"/>
            </w:pPr>
            <w:r>
              <w:t>24</w:t>
            </w:r>
          </w:p>
        </w:tc>
        <w:tc>
          <w:tcPr>
            <w:tcW w:w="850" w:type="dxa"/>
          </w:tcPr>
          <w:p w14:paraId="79EA797B" w14:textId="77777777" w:rsidR="00964B88" w:rsidRDefault="00964B88">
            <w:pPr>
              <w:cnfStyle w:val="000000000000" w:firstRow="0" w:lastRow="0" w:firstColumn="0" w:lastColumn="0" w:oddVBand="0" w:evenVBand="0" w:oddHBand="0" w:evenHBand="0" w:firstRowFirstColumn="0" w:firstRowLastColumn="0" w:lastRowFirstColumn="0" w:lastRowLastColumn="0"/>
            </w:pPr>
            <w:r>
              <w:t>24</w:t>
            </w:r>
          </w:p>
        </w:tc>
      </w:tr>
      <w:tr w:rsidR="00964B88" w14:paraId="76963406" w14:textId="77777777">
        <w:tc>
          <w:tcPr>
            <w:cnfStyle w:val="001000000000" w:firstRow="0" w:lastRow="0" w:firstColumn="1" w:lastColumn="0" w:oddVBand="0" w:evenVBand="0" w:oddHBand="0" w:evenHBand="0" w:firstRowFirstColumn="0" w:firstRowLastColumn="0" w:lastRowFirstColumn="0" w:lastRowLastColumn="0"/>
            <w:tcW w:w="3518" w:type="dxa"/>
          </w:tcPr>
          <w:p w14:paraId="3B812B75" w14:textId="77777777" w:rsidR="00964B88" w:rsidRDefault="00964B88">
            <w:r>
              <w:t>Public order and safety</w:t>
            </w:r>
          </w:p>
        </w:tc>
        <w:tc>
          <w:tcPr>
            <w:tcW w:w="850" w:type="dxa"/>
          </w:tcPr>
          <w:p w14:paraId="656CF1AE" w14:textId="77777777" w:rsidR="00964B88" w:rsidRDefault="00964B88">
            <w:pPr>
              <w:cnfStyle w:val="000000000000" w:firstRow="0" w:lastRow="0" w:firstColumn="0" w:lastColumn="0" w:oddVBand="0" w:evenVBand="0" w:oddHBand="0" w:evenHBand="0" w:firstRowFirstColumn="0" w:firstRowLastColumn="0" w:lastRowFirstColumn="0" w:lastRowLastColumn="0"/>
            </w:pPr>
            <w:r>
              <w:t>1 658</w:t>
            </w:r>
          </w:p>
        </w:tc>
        <w:tc>
          <w:tcPr>
            <w:tcW w:w="850" w:type="dxa"/>
          </w:tcPr>
          <w:p w14:paraId="1F8099AC" w14:textId="77777777" w:rsidR="00964B88" w:rsidRDefault="00964B88">
            <w:pPr>
              <w:cnfStyle w:val="000000000000" w:firstRow="0" w:lastRow="0" w:firstColumn="0" w:lastColumn="0" w:oddVBand="0" w:evenVBand="0" w:oddHBand="0" w:evenHBand="0" w:firstRowFirstColumn="0" w:firstRowLastColumn="0" w:lastRowFirstColumn="0" w:lastRowLastColumn="0"/>
            </w:pPr>
            <w:r>
              <w:t>1 899</w:t>
            </w:r>
          </w:p>
        </w:tc>
        <w:tc>
          <w:tcPr>
            <w:tcW w:w="850" w:type="dxa"/>
          </w:tcPr>
          <w:p w14:paraId="23941FD2" w14:textId="77777777" w:rsidR="00964B88" w:rsidRDefault="00964B88">
            <w:pPr>
              <w:cnfStyle w:val="000000000000" w:firstRow="0" w:lastRow="0" w:firstColumn="0" w:lastColumn="0" w:oddVBand="0" w:evenVBand="0" w:oddHBand="0" w:evenHBand="0" w:firstRowFirstColumn="0" w:firstRowLastColumn="0" w:lastRowFirstColumn="0" w:lastRowLastColumn="0"/>
            </w:pPr>
            <w:r>
              <w:t>1 561</w:t>
            </w:r>
          </w:p>
        </w:tc>
        <w:tc>
          <w:tcPr>
            <w:tcW w:w="850" w:type="dxa"/>
          </w:tcPr>
          <w:p w14:paraId="049587F2" w14:textId="77777777" w:rsidR="00964B88" w:rsidRDefault="00964B88">
            <w:pPr>
              <w:cnfStyle w:val="000000000000" w:firstRow="0" w:lastRow="0" w:firstColumn="0" w:lastColumn="0" w:oddVBand="0" w:evenVBand="0" w:oddHBand="0" w:evenHBand="0" w:firstRowFirstColumn="0" w:firstRowLastColumn="0" w:lastRowFirstColumn="0" w:lastRowLastColumn="0"/>
            </w:pPr>
            <w:r>
              <w:t>768</w:t>
            </w:r>
          </w:p>
        </w:tc>
        <w:tc>
          <w:tcPr>
            <w:tcW w:w="850" w:type="dxa"/>
          </w:tcPr>
          <w:p w14:paraId="778CFB6B" w14:textId="77777777" w:rsidR="00964B88" w:rsidRDefault="00964B88">
            <w:pPr>
              <w:cnfStyle w:val="000000000000" w:firstRow="0" w:lastRow="0" w:firstColumn="0" w:lastColumn="0" w:oddVBand="0" w:evenVBand="0" w:oddHBand="0" w:evenHBand="0" w:firstRowFirstColumn="0" w:firstRowLastColumn="0" w:lastRowFirstColumn="0" w:lastRowLastColumn="0"/>
            </w:pPr>
            <w:r>
              <w:t>276</w:t>
            </w:r>
          </w:p>
        </w:tc>
      </w:tr>
      <w:tr w:rsidR="00964B88" w14:paraId="78DE048B" w14:textId="77777777">
        <w:tc>
          <w:tcPr>
            <w:cnfStyle w:val="001000000000" w:firstRow="0" w:lastRow="0" w:firstColumn="1" w:lastColumn="0" w:oddVBand="0" w:evenVBand="0" w:oddHBand="0" w:evenHBand="0" w:firstRowFirstColumn="0" w:firstRowLastColumn="0" w:lastRowFirstColumn="0" w:lastRowLastColumn="0"/>
            <w:tcW w:w="3518" w:type="dxa"/>
          </w:tcPr>
          <w:p w14:paraId="7B56C9A1" w14:textId="77777777" w:rsidR="00964B88" w:rsidRDefault="00964B88">
            <w:r>
              <w:t>Economic affairs</w:t>
            </w:r>
          </w:p>
        </w:tc>
        <w:tc>
          <w:tcPr>
            <w:tcW w:w="850" w:type="dxa"/>
          </w:tcPr>
          <w:p w14:paraId="4B8224A4" w14:textId="77777777" w:rsidR="00964B88" w:rsidRDefault="00964B88">
            <w:pPr>
              <w:cnfStyle w:val="000000000000" w:firstRow="0" w:lastRow="0" w:firstColumn="0" w:lastColumn="0" w:oddVBand="0" w:evenVBand="0" w:oddHBand="0" w:evenHBand="0" w:firstRowFirstColumn="0" w:firstRowLastColumn="0" w:lastRowFirstColumn="0" w:lastRowLastColumn="0"/>
            </w:pPr>
            <w:r>
              <w:t>67</w:t>
            </w:r>
          </w:p>
        </w:tc>
        <w:tc>
          <w:tcPr>
            <w:tcW w:w="850" w:type="dxa"/>
          </w:tcPr>
          <w:p w14:paraId="5AC48ADB" w14:textId="77777777" w:rsidR="00964B88" w:rsidRDefault="00964B88">
            <w:pPr>
              <w:cnfStyle w:val="000000000000" w:firstRow="0" w:lastRow="0" w:firstColumn="0" w:lastColumn="0" w:oddVBand="0" w:evenVBand="0" w:oddHBand="0" w:evenHBand="0" w:firstRowFirstColumn="0" w:firstRowLastColumn="0" w:lastRowFirstColumn="0" w:lastRowLastColumn="0"/>
            </w:pPr>
            <w:r>
              <w:t>98</w:t>
            </w:r>
          </w:p>
        </w:tc>
        <w:tc>
          <w:tcPr>
            <w:tcW w:w="850" w:type="dxa"/>
          </w:tcPr>
          <w:p w14:paraId="410FE740" w14:textId="77777777" w:rsidR="00964B88" w:rsidRDefault="00964B88">
            <w:pPr>
              <w:cnfStyle w:val="000000000000" w:firstRow="0" w:lastRow="0" w:firstColumn="0" w:lastColumn="0" w:oddVBand="0" w:evenVBand="0" w:oddHBand="0" w:evenHBand="0" w:firstRowFirstColumn="0" w:firstRowLastColumn="0" w:lastRowFirstColumn="0" w:lastRowLastColumn="0"/>
            </w:pPr>
            <w:r>
              <w:t>65</w:t>
            </w:r>
          </w:p>
        </w:tc>
        <w:tc>
          <w:tcPr>
            <w:tcW w:w="850" w:type="dxa"/>
          </w:tcPr>
          <w:p w14:paraId="1A27471D" w14:textId="77777777" w:rsidR="00964B88" w:rsidRDefault="00964B88">
            <w:pPr>
              <w:cnfStyle w:val="000000000000" w:firstRow="0" w:lastRow="0" w:firstColumn="0" w:lastColumn="0" w:oddVBand="0" w:evenVBand="0" w:oddHBand="0" w:evenHBand="0" w:firstRowFirstColumn="0" w:firstRowLastColumn="0" w:lastRowFirstColumn="0" w:lastRowLastColumn="0"/>
            </w:pPr>
            <w:r>
              <w:t>47</w:t>
            </w:r>
          </w:p>
        </w:tc>
        <w:tc>
          <w:tcPr>
            <w:tcW w:w="850" w:type="dxa"/>
          </w:tcPr>
          <w:p w14:paraId="6FDFD43C" w14:textId="77777777" w:rsidR="00964B88" w:rsidRDefault="00964B88">
            <w:pPr>
              <w:cnfStyle w:val="000000000000" w:firstRow="0" w:lastRow="0" w:firstColumn="0" w:lastColumn="0" w:oddVBand="0" w:evenVBand="0" w:oddHBand="0" w:evenHBand="0" w:firstRowFirstColumn="0" w:firstRowLastColumn="0" w:lastRowFirstColumn="0" w:lastRowLastColumn="0"/>
            </w:pPr>
            <w:r>
              <w:t>41</w:t>
            </w:r>
          </w:p>
        </w:tc>
      </w:tr>
      <w:tr w:rsidR="00964B88" w14:paraId="08F5293A" w14:textId="77777777">
        <w:tc>
          <w:tcPr>
            <w:cnfStyle w:val="001000000000" w:firstRow="0" w:lastRow="0" w:firstColumn="1" w:lastColumn="0" w:oddVBand="0" w:evenVBand="0" w:oddHBand="0" w:evenHBand="0" w:firstRowFirstColumn="0" w:firstRowLastColumn="0" w:lastRowFirstColumn="0" w:lastRowLastColumn="0"/>
            <w:tcW w:w="3518" w:type="dxa"/>
          </w:tcPr>
          <w:p w14:paraId="78614759" w14:textId="77777777" w:rsidR="00964B88" w:rsidRDefault="00964B88">
            <w:r>
              <w:t>Environmental protection</w:t>
            </w:r>
          </w:p>
        </w:tc>
        <w:tc>
          <w:tcPr>
            <w:tcW w:w="850" w:type="dxa"/>
          </w:tcPr>
          <w:p w14:paraId="46FB0F1A" w14:textId="77777777" w:rsidR="00964B88" w:rsidRDefault="00964B88">
            <w:pPr>
              <w:cnfStyle w:val="000000000000" w:firstRow="0" w:lastRow="0" w:firstColumn="0" w:lastColumn="0" w:oddVBand="0" w:evenVBand="0" w:oddHBand="0" w:evenHBand="0" w:firstRowFirstColumn="0" w:firstRowLastColumn="0" w:lastRowFirstColumn="0" w:lastRowLastColumn="0"/>
            </w:pPr>
            <w:r>
              <w:t>164</w:t>
            </w:r>
          </w:p>
        </w:tc>
        <w:tc>
          <w:tcPr>
            <w:tcW w:w="850" w:type="dxa"/>
          </w:tcPr>
          <w:p w14:paraId="287F3655" w14:textId="77777777" w:rsidR="00964B88" w:rsidRDefault="00964B88">
            <w:pPr>
              <w:cnfStyle w:val="000000000000" w:firstRow="0" w:lastRow="0" w:firstColumn="0" w:lastColumn="0" w:oddVBand="0" w:evenVBand="0" w:oddHBand="0" w:evenHBand="0" w:firstRowFirstColumn="0" w:firstRowLastColumn="0" w:lastRowFirstColumn="0" w:lastRowLastColumn="0"/>
            </w:pPr>
            <w:r>
              <w:t>170</w:t>
            </w:r>
          </w:p>
        </w:tc>
        <w:tc>
          <w:tcPr>
            <w:tcW w:w="850" w:type="dxa"/>
          </w:tcPr>
          <w:p w14:paraId="33542535" w14:textId="77777777" w:rsidR="00964B88" w:rsidRDefault="00964B88">
            <w:pPr>
              <w:cnfStyle w:val="000000000000" w:firstRow="0" w:lastRow="0" w:firstColumn="0" w:lastColumn="0" w:oddVBand="0" w:evenVBand="0" w:oddHBand="0" w:evenHBand="0" w:firstRowFirstColumn="0" w:firstRowLastColumn="0" w:lastRowFirstColumn="0" w:lastRowLastColumn="0"/>
            </w:pPr>
            <w:r>
              <w:t>87</w:t>
            </w:r>
          </w:p>
        </w:tc>
        <w:tc>
          <w:tcPr>
            <w:tcW w:w="850" w:type="dxa"/>
          </w:tcPr>
          <w:p w14:paraId="3E244349" w14:textId="77777777" w:rsidR="00964B88" w:rsidRDefault="00964B88">
            <w:pPr>
              <w:cnfStyle w:val="000000000000" w:firstRow="0" w:lastRow="0" w:firstColumn="0" w:lastColumn="0" w:oddVBand="0" w:evenVBand="0" w:oddHBand="0" w:evenHBand="0" w:firstRowFirstColumn="0" w:firstRowLastColumn="0" w:lastRowFirstColumn="0" w:lastRowLastColumn="0"/>
            </w:pPr>
            <w:r>
              <w:t>55</w:t>
            </w:r>
          </w:p>
        </w:tc>
        <w:tc>
          <w:tcPr>
            <w:tcW w:w="850" w:type="dxa"/>
          </w:tcPr>
          <w:p w14:paraId="103629FB" w14:textId="77777777" w:rsidR="00964B88" w:rsidRDefault="00964B88">
            <w:pPr>
              <w:cnfStyle w:val="000000000000" w:firstRow="0" w:lastRow="0" w:firstColumn="0" w:lastColumn="0" w:oddVBand="0" w:evenVBand="0" w:oddHBand="0" w:evenHBand="0" w:firstRowFirstColumn="0" w:firstRowLastColumn="0" w:lastRowFirstColumn="0" w:lastRowLastColumn="0"/>
            </w:pPr>
            <w:r>
              <w:t>64</w:t>
            </w:r>
          </w:p>
        </w:tc>
      </w:tr>
      <w:tr w:rsidR="00964B88" w14:paraId="7AF29A08" w14:textId="77777777">
        <w:tc>
          <w:tcPr>
            <w:cnfStyle w:val="001000000000" w:firstRow="0" w:lastRow="0" w:firstColumn="1" w:lastColumn="0" w:oddVBand="0" w:evenVBand="0" w:oddHBand="0" w:evenHBand="0" w:firstRowFirstColumn="0" w:firstRowLastColumn="0" w:lastRowFirstColumn="0" w:lastRowLastColumn="0"/>
            <w:tcW w:w="3518" w:type="dxa"/>
          </w:tcPr>
          <w:p w14:paraId="403B3B89" w14:textId="77777777" w:rsidR="00964B88" w:rsidRDefault="00964B88">
            <w:r>
              <w:t>Housing and community amenities</w:t>
            </w:r>
          </w:p>
        </w:tc>
        <w:tc>
          <w:tcPr>
            <w:tcW w:w="850" w:type="dxa"/>
          </w:tcPr>
          <w:p w14:paraId="3B67C9B7" w14:textId="77777777" w:rsidR="00964B88" w:rsidRDefault="00964B88">
            <w:pPr>
              <w:cnfStyle w:val="000000000000" w:firstRow="0" w:lastRow="0" w:firstColumn="0" w:lastColumn="0" w:oddVBand="0" w:evenVBand="0" w:oddHBand="0" w:evenHBand="0" w:firstRowFirstColumn="0" w:firstRowLastColumn="0" w:lastRowFirstColumn="0" w:lastRowLastColumn="0"/>
            </w:pPr>
            <w:r>
              <w:t>40</w:t>
            </w:r>
          </w:p>
        </w:tc>
        <w:tc>
          <w:tcPr>
            <w:tcW w:w="850" w:type="dxa"/>
          </w:tcPr>
          <w:p w14:paraId="17B24E3F" w14:textId="77777777" w:rsidR="00964B88" w:rsidRDefault="00964B88">
            <w:pPr>
              <w:cnfStyle w:val="000000000000" w:firstRow="0" w:lastRow="0" w:firstColumn="0" w:lastColumn="0" w:oddVBand="0" w:evenVBand="0" w:oddHBand="0" w:evenHBand="0" w:firstRowFirstColumn="0" w:firstRowLastColumn="0" w:lastRowFirstColumn="0" w:lastRowLastColumn="0"/>
            </w:pPr>
            <w:r>
              <w:t>35</w:t>
            </w:r>
          </w:p>
        </w:tc>
        <w:tc>
          <w:tcPr>
            <w:tcW w:w="850" w:type="dxa"/>
          </w:tcPr>
          <w:p w14:paraId="2E70756B" w14:textId="77777777" w:rsidR="00964B88" w:rsidRDefault="00964B88">
            <w:pPr>
              <w:cnfStyle w:val="000000000000" w:firstRow="0" w:lastRow="0" w:firstColumn="0" w:lastColumn="0" w:oddVBand="0" w:evenVBand="0" w:oddHBand="0" w:evenHBand="0" w:firstRowFirstColumn="0" w:firstRowLastColumn="0" w:lastRowFirstColumn="0" w:lastRowLastColumn="0"/>
            </w:pPr>
            <w:r>
              <w:t>146</w:t>
            </w:r>
          </w:p>
        </w:tc>
        <w:tc>
          <w:tcPr>
            <w:tcW w:w="850" w:type="dxa"/>
          </w:tcPr>
          <w:p w14:paraId="2B555BFE" w14:textId="77777777" w:rsidR="00964B88" w:rsidRDefault="00964B88">
            <w:pPr>
              <w:cnfStyle w:val="000000000000" w:firstRow="0" w:lastRow="0" w:firstColumn="0" w:lastColumn="0" w:oddVBand="0" w:evenVBand="0" w:oddHBand="0" w:evenHBand="0" w:firstRowFirstColumn="0" w:firstRowLastColumn="0" w:lastRowFirstColumn="0" w:lastRowLastColumn="0"/>
            </w:pPr>
            <w:r>
              <w:t>162</w:t>
            </w:r>
          </w:p>
        </w:tc>
        <w:tc>
          <w:tcPr>
            <w:tcW w:w="850" w:type="dxa"/>
          </w:tcPr>
          <w:p w14:paraId="04B6FC1D" w14:textId="77777777" w:rsidR="00964B88" w:rsidRDefault="00964B88">
            <w:pPr>
              <w:cnfStyle w:val="000000000000" w:firstRow="0" w:lastRow="0" w:firstColumn="0" w:lastColumn="0" w:oddVBand="0" w:evenVBand="0" w:oddHBand="0" w:evenHBand="0" w:firstRowFirstColumn="0" w:firstRowLastColumn="0" w:lastRowFirstColumn="0" w:lastRowLastColumn="0"/>
            </w:pPr>
            <w:r>
              <w:t>58</w:t>
            </w:r>
          </w:p>
        </w:tc>
      </w:tr>
      <w:tr w:rsidR="00964B88" w14:paraId="7C4D127B" w14:textId="77777777">
        <w:tc>
          <w:tcPr>
            <w:cnfStyle w:val="001000000000" w:firstRow="0" w:lastRow="0" w:firstColumn="1" w:lastColumn="0" w:oddVBand="0" w:evenVBand="0" w:oddHBand="0" w:evenHBand="0" w:firstRowFirstColumn="0" w:firstRowLastColumn="0" w:lastRowFirstColumn="0" w:lastRowLastColumn="0"/>
            <w:tcW w:w="3518" w:type="dxa"/>
          </w:tcPr>
          <w:p w14:paraId="480C1945" w14:textId="77777777" w:rsidR="00964B88" w:rsidRDefault="00964B88">
            <w:r>
              <w:t>Health</w:t>
            </w:r>
          </w:p>
        </w:tc>
        <w:tc>
          <w:tcPr>
            <w:tcW w:w="850" w:type="dxa"/>
          </w:tcPr>
          <w:p w14:paraId="1332495B" w14:textId="77777777" w:rsidR="00964B88" w:rsidRDefault="00964B88">
            <w:pPr>
              <w:cnfStyle w:val="000000000000" w:firstRow="0" w:lastRow="0" w:firstColumn="0" w:lastColumn="0" w:oddVBand="0" w:evenVBand="0" w:oddHBand="0" w:evenHBand="0" w:firstRowFirstColumn="0" w:firstRowLastColumn="0" w:lastRowFirstColumn="0" w:lastRowLastColumn="0"/>
            </w:pPr>
            <w:r>
              <w:t>966</w:t>
            </w:r>
          </w:p>
        </w:tc>
        <w:tc>
          <w:tcPr>
            <w:tcW w:w="850" w:type="dxa"/>
          </w:tcPr>
          <w:p w14:paraId="0B34E102" w14:textId="77777777" w:rsidR="00964B88" w:rsidRDefault="00964B88">
            <w:pPr>
              <w:cnfStyle w:val="000000000000" w:firstRow="0" w:lastRow="0" w:firstColumn="0" w:lastColumn="0" w:oddVBand="0" w:evenVBand="0" w:oddHBand="0" w:evenHBand="0" w:firstRowFirstColumn="0" w:firstRowLastColumn="0" w:lastRowFirstColumn="0" w:lastRowLastColumn="0"/>
            </w:pPr>
            <w:r>
              <w:t>1 021</w:t>
            </w:r>
          </w:p>
        </w:tc>
        <w:tc>
          <w:tcPr>
            <w:tcW w:w="850" w:type="dxa"/>
          </w:tcPr>
          <w:p w14:paraId="06A8BF01" w14:textId="77777777" w:rsidR="00964B88" w:rsidRDefault="00964B88">
            <w:pPr>
              <w:cnfStyle w:val="000000000000" w:firstRow="0" w:lastRow="0" w:firstColumn="0" w:lastColumn="0" w:oddVBand="0" w:evenVBand="0" w:oddHBand="0" w:evenHBand="0" w:firstRowFirstColumn="0" w:firstRowLastColumn="0" w:lastRowFirstColumn="0" w:lastRowLastColumn="0"/>
            </w:pPr>
            <w:r>
              <w:t>862</w:t>
            </w:r>
          </w:p>
        </w:tc>
        <w:tc>
          <w:tcPr>
            <w:tcW w:w="850" w:type="dxa"/>
          </w:tcPr>
          <w:p w14:paraId="12B44276" w14:textId="77777777" w:rsidR="00964B88" w:rsidRDefault="00964B88">
            <w:pPr>
              <w:cnfStyle w:val="000000000000" w:firstRow="0" w:lastRow="0" w:firstColumn="0" w:lastColumn="0" w:oddVBand="0" w:evenVBand="0" w:oddHBand="0" w:evenHBand="0" w:firstRowFirstColumn="0" w:firstRowLastColumn="0" w:lastRowFirstColumn="0" w:lastRowLastColumn="0"/>
            </w:pPr>
            <w:r>
              <w:t>647</w:t>
            </w:r>
          </w:p>
        </w:tc>
        <w:tc>
          <w:tcPr>
            <w:tcW w:w="850" w:type="dxa"/>
          </w:tcPr>
          <w:p w14:paraId="28666C14" w14:textId="77777777" w:rsidR="00964B88" w:rsidRDefault="00964B88">
            <w:pPr>
              <w:cnfStyle w:val="000000000000" w:firstRow="0" w:lastRow="0" w:firstColumn="0" w:lastColumn="0" w:oddVBand="0" w:evenVBand="0" w:oddHBand="0" w:evenHBand="0" w:firstRowFirstColumn="0" w:firstRowLastColumn="0" w:lastRowFirstColumn="0" w:lastRowLastColumn="0"/>
            </w:pPr>
            <w:r>
              <w:t>534</w:t>
            </w:r>
          </w:p>
        </w:tc>
      </w:tr>
      <w:tr w:rsidR="00964B88" w14:paraId="3B87DC38" w14:textId="77777777">
        <w:tc>
          <w:tcPr>
            <w:cnfStyle w:val="001000000000" w:firstRow="0" w:lastRow="0" w:firstColumn="1" w:lastColumn="0" w:oddVBand="0" w:evenVBand="0" w:oddHBand="0" w:evenHBand="0" w:firstRowFirstColumn="0" w:firstRowLastColumn="0" w:lastRowFirstColumn="0" w:lastRowLastColumn="0"/>
            <w:tcW w:w="3518" w:type="dxa"/>
          </w:tcPr>
          <w:p w14:paraId="33CAE302" w14:textId="77777777" w:rsidR="00964B88" w:rsidRDefault="00964B88">
            <w:r>
              <w:t>Recreation, culture and religion</w:t>
            </w:r>
          </w:p>
        </w:tc>
        <w:tc>
          <w:tcPr>
            <w:tcW w:w="850" w:type="dxa"/>
          </w:tcPr>
          <w:p w14:paraId="097393FA" w14:textId="77777777" w:rsidR="00964B88" w:rsidRDefault="00964B88">
            <w:pPr>
              <w:cnfStyle w:val="000000000000" w:firstRow="0" w:lastRow="0" w:firstColumn="0" w:lastColumn="0" w:oddVBand="0" w:evenVBand="0" w:oddHBand="0" w:evenHBand="0" w:firstRowFirstColumn="0" w:firstRowLastColumn="0" w:lastRowFirstColumn="0" w:lastRowLastColumn="0"/>
            </w:pPr>
            <w:r>
              <w:t>167</w:t>
            </w:r>
          </w:p>
        </w:tc>
        <w:tc>
          <w:tcPr>
            <w:tcW w:w="850" w:type="dxa"/>
          </w:tcPr>
          <w:p w14:paraId="3200A5E7" w14:textId="77777777" w:rsidR="00964B88" w:rsidRDefault="00964B88">
            <w:pPr>
              <w:cnfStyle w:val="000000000000" w:firstRow="0" w:lastRow="0" w:firstColumn="0" w:lastColumn="0" w:oddVBand="0" w:evenVBand="0" w:oddHBand="0" w:evenHBand="0" w:firstRowFirstColumn="0" w:firstRowLastColumn="0" w:lastRowFirstColumn="0" w:lastRowLastColumn="0"/>
            </w:pPr>
            <w:r>
              <w:t>164</w:t>
            </w:r>
          </w:p>
        </w:tc>
        <w:tc>
          <w:tcPr>
            <w:tcW w:w="850" w:type="dxa"/>
          </w:tcPr>
          <w:p w14:paraId="5DE95EB7" w14:textId="77777777" w:rsidR="00964B88" w:rsidRDefault="00964B88">
            <w:pPr>
              <w:cnfStyle w:val="000000000000" w:firstRow="0" w:lastRow="0" w:firstColumn="0" w:lastColumn="0" w:oddVBand="0" w:evenVBand="0" w:oddHBand="0" w:evenHBand="0" w:firstRowFirstColumn="0" w:firstRowLastColumn="0" w:lastRowFirstColumn="0" w:lastRowLastColumn="0"/>
            </w:pPr>
            <w:r>
              <w:t>135</w:t>
            </w:r>
          </w:p>
        </w:tc>
        <w:tc>
          <w:tcPr>
            <w:tcW w:w="850" w:type="dxa"/>
          </w:tcPr>
          <w:p w14:paraId="5CE37D7A" w14:textId="77777777" w:rsidR="00964B88" w:rsidRDefault="00964B88">
            <w:pPr>
              <w:cnfStyle w:val="000000000000" w:firstRow="0" w:lastRow="0" w:firstColumn="0" w:lastColumn="0" w:oddVBand="0" w:evenVBand="0" w:oddHBand="0" w:evenHBand="0" w:firstRowFirstColumn="0" w:firstRowLastColumn="0" w:lastRowFirstColumn="0" w:lastRowLastColumn="0"/>
            </w:pPr>
            <w:r>
              <w:t>144</w:t>
            </w:r>
          </w:p>
        </w:tc>
        <w:tc>
          <w:tcPr>
            <w:tcW w:w="850" w:type="dxa"/>
          </w:tcPr>
          <w:p w14:paraId="1E5199D9" w14:textId="77777777" w:rsidR="00964B88" w:rsidRDefault="00964B88">
            <w:pPr>
              <w:cnfStyle w:val="000000000000" w:firstRow="0" w:lastRow="0" w:firstColumn="0" w:lastColumn="0" w:oddVBand="0" w:evenVBand="0" w:oddHBand="0" w:evenHBand="0" w:firstRowFirstColumn="0" w:firstRowLastColumn="0" w:lastRowFirstColumn="0" w:lastRowLastColumn="0"/>
            </w:pPr>
            <w:r>
              <w:t>47</w:t>
            </w:r>
          </w:p>
        </w:tc>
      </w:tr>
      <w:tr w:rsidR="00964B88" w14:paraId="4C1ED195" w14:textId="77777777">
        <w:tc>
          <w:tcPr>
            <w:cnfStyle w:val="001000000000" w:firstRow="0" w:lastRow="0" w:firstColumn="1" w:lastColumn="0" w:oddVBand="0" w:evenVBand="0" w:oddHBand="0" w:evenHBand="0" w:firstRowFirstColumn="0" w:firstRowLastColumn="0" w:lastRowFirstColumn="0" w:lastRowLastColumn="0"/>
            <w:tcW w:w="3518" w:type="dxa"/>
          </w:tcPr>
          <w:p w14:paraId="661827A2" w14:textId="77777777" w:rsidR="00964B88" w:rsidRDefault="00964B88">
            <w:r>
              <w:t>Education</w:t>
            </w:r>
          </w:p>
        </w:tc>
        <w:tc>
          <w:tcPr>
            <w:tcW w:w="850" w:type="dxa"/>
          </w:tcPr>
          <w:p w14:paraId="47B56325" w14:textId="77777777" w:rsidR="00964B88" w:rsidRDefault="00964B88">
            <w:pPr>
              <w:cnfStyle w:val="000000000000" w:firstRow="0" w:lastRow="0" w:firstColumn="0" w:lastColumn="0" w:oddVBand="0" w:evenVBand="0" w:oddHBand="0" w:evenHBand="0" w:firstRowFirstColumn="0" w:firstRowLastColumn="0" w:lastRowFirstColumn="0" w:lastRowLastColumn="0"/>
            </w:pPr>
            <w:r>
              <w:t>1 750</w:t>
            </w:r>
          </w:p>
        </w:tc>
        <w:tc>
          <w:tcPr>
            <w:tcW w:w="850" w:type="dxa"/>
          </w:tcPr>
          <w:p w14:paraId="14A94E7F" w14:textId="77777777" w:rsidR="00964B88" w:rsidRDefault="00964B88">
            <w:pPr>
              <w:cnfStyle w:val="000000000000" w:firstRow="0" w:lastRow="0" w:firstColumn="0" w:lastColumn="0" w:oddVBand="0" w:evenVBand="0" w:oddHBand="0" w:evenHBand="0" w:firstRowFirstColumn="0" w:firstRowLastColumn="0" w:lastRowFirstColumn="0" w:lastRowLastColumn="0"/>
            </w:pPr>
            <w:r>
              <w:t>1 873</w:t>
            </w:r>
          </w:p>
        </w:tc>
        <w:tc>
          <w:tcPr>
            <w:tcW w:w="850" w:type="dxa"/>
          </w:tcPr>
          <w:p w14:paraId="3E351FA0" w14:textId="77777777" w:rsidR="00964B88" w:rsidRDefault="00964B88">
            <w:pPr>
              <w:cnfStyle w:val="000000000000" w:firstRow="0" w:lastRow="0" w:firstColumn="0" w:lastColumn="0" w:oddVBand="0" w:evenVBand="0" w:oddHBand="0" w:evenHBand="0" w:firstRowFirstColumn="0" w:firstRowLastColumn="0" w:lastRowFirstColumn="0" w:lastRowLastColumn="0"/>
            </w:pPr>
            <w:r>
              <w:t>1 116</w:t>
            </w:r>
          </w:p>
        </w:tc>
        <w:tc>
          <w:tcPr>
            <w:tcW w:w="850" w:type="dxa"/>
          </w:tcPr>
          <w:p w14:paraId="170B0D87" w14:textId="77777777" w:rsidR="00964B88" w:rsidRDefault="00964B88">
            <w:pPr>
              <w:cnfStyle w:val="000000000000" w:firstRow="0" w:lastRow="0" w:firstColumn="0" w:lastColumn="0" w:oddVBand="0" w:evenVBand="0" w:oddHBand="0" w:evenHBand="0" w:firstRowFirstColumn="0" w:firstRowLastColumn="0" w:lastRowFirstColumn="0" w:lastRowLastColumn="0"/>
            </w:pPr>
            <w:r>
              <w:t>851</w:t>
            </w:r>
          </w:p>
        </w:tc>
        <w:tc>
          <w:tcPr>
            <w:tcW w:w="850" w:type="dxa"/>
          </w:tcPr>
          <w:p w14:paraId="1E12A3B3" w14:textId="77777777" w:rsidR="00964B88" w:rsidRDefault="00964B88">
            <w:pPr>
              <w:cnfStyle w:val="000000000000" w:firstRow="0" w:lastRow="0" w:firstColumn="0" w:lastColumn="0" w:oddVBand="0" w:evenVBand="0" w:oddHBand="0" w:evenHBand="0" w:firstRowFirstColumn="0" w:firstRowLastColumn="0" w:lastRowFirstColumn="0" w:lastRowLastColumn="0"/>
            </w:pPr>
            <w:r>
              <w:t>615</w:t>
            </w:r>
          </w:p>
        </w:tc>
      </w:tr>
      <w:tr w:rsidR="00964B88" w14:paraId="12D98F62" w14:textId="77777777">
        <w:tc>
          <w:tcPr>
            <w:cnfStyle w:val="001000000000" w:firstRow="0" w:lastRow="0" w:firstColumn="1" w:lastColumn="0" w:oddVBand="0" w:evenVBand="0" w:oddHBand="0" w:evenHBand="0" w:firstRowFirstColumn="0" w:firstRowLastColumn="0" w:lastRowFirstColumn="0" w:lastRowLastColumn="0"/>
            <w:tcW w:w="3518" w:type="dxa"/>
          </w:tcPr>
          <w:p w14:paraId="555B2CE0" w14:textId="77777777" w:rsidR="00964B88" w:rsidRDefault="00964B88">
            <w:r>
              <w:t>Social protection</w:t>
            </w:r>
          </w:p>
        </w:tc>
        <w:tc>
          <w:tcPr>
            <w:tcW w:w="850" w:type="dxa"/>
          </w:tcPr>
          <w:p w14:paraId="25D56EDC" w14:textId="77777777" w:rsidR="00964B88" w:rsidRDefault="00964B88">
            <w:pPr>
              <w:cnfStyle w:val="000000000000" w:firstRow="0" w:lastRow="0" w:firstColumn="0" w:lastColumn="0" w:oddVBand="0" w:evenVBand="0" w:oddHBand="0" w:evenHBand="0" w:firstRowFirstColumn="0" w:firstRowLastColumn="0" w:lastRowFirstColumn="0" w:lastRowLastColumn="0"/>
            </w:pPr>
            <w:r>
              <w:t>134</w:t>
            </w:r>
          </w:p>
        </w:tc>
        <w:tc>
          <w:tcPr>
            <w:tcW w:w="850" w:type="dxa"/>
          </w:tcPr>
          <w:p w14:paraId="080AAD77" w14:textId="77777777" w:rsidR="00964B88" w:rsidRDefault="00964B88">
            <w:pPr>
              <w:cnfStyle w:val="000000000000" w:firstRow="0" w:lastRow="0" w:firstColumn="0" w:lastColumn="0" w:oddVBand="0" w:evenVBand="0" w:oddHBand="0" w:evenHBand="0" w:firstRowFirstColumn="0" w:firstRowLastColumn="0" w:lastRowFirstColumn="0" w:lastRowLastColumn="0"/>
            </w:pPr>
            <w:r>
              <w:t>133</w:t>
            </w:r>
          </w:p>
        </w:tc>
        <w:tc>
          <w:tcPr>
            <w:tcW w:w="850" w:type="dxa"/>
          </w:tcPr>
          <w:p w14:paraId="1CAD62E8" w14:textId="77777777" w:rsidR="00964B88" w:rsidRDefault="00964B88">
            <w:pPr>
              <w:cnfStyle w:val="000000000000" w:firstRow="0" w:lastRow="0" w:firstColumn="0" w:lastColumn="0" w:oddVBand="0" w:evenVBand="0" w:oddHBand="0" w:evenHBand="0" w:firstRowFirstColumn="0" w:firstRowLastColumn="0" w:lastRowFirstColumn="0" w:lastRowLastColumn="0"/>
            </w:pPr>
            <w:r>
              <w:t>91</w:t>
            </w:r>
          </w:p>
        </w:tc>
        <w:tc>
          <w:tcPr>
            <w:tcW w:w="850" w:type="dxa"/>
          </w:tcPr>
          <w:p w14:paraId="42B82C5B" w14:textId="77777777" w:rsidR="00964B88" w:rsidRDefault="00964B88">
            <w:pPr>
              <w:cnfStyle w:val="000000000000" w:firstRow="0" w:lastRow="0" w:firstColumn="0" w:lastColumn="0" w:oddVBand="0" w:evenVBand="0" w:oddHBand="0" w:evenHBand="0" w:firstRowFirstColumn="0" w:firstRowLastColumn="0" w:lastRowFirstColumn="0" w:lastRowLastColumn="0"/>
            </w:pPr>
            <w:r>
              <w:t>62</w:t>
            </w:r>
          </w:p>
        </w:tc>
        <w:tc>
          <w:tcPr>
            <w:tcW w:w="850" w:type="dxa"/>
          </w:tcPr>
          <w:p w14:paraId="2E8A833D" w14:textId="77777777" w:rsidR="00964B88" w:rsidRDefault="00964B88">
            <w:pPr>
              <w:cnfStyle w:val="000000000000" w:firstRow="0" w:lastRow="0" w:firstColumn="0" w:lastColumn="0" w:oddVBand="0" w:evenVBand="0" w:oddHBand="0" w:evenHBand="0" w:firstRowFirstColumn="0" w:firstRowLastColumn="0" w:lastRowFirstColumn="0" w:lastRowLastColumn="0"/>
            </w:pPr>
            <w:r>
              <w:t>62</w:t>
            </w:r>
          </w:p>
        </w:tc>
      </w:tr>
      <w:tr w:rsidR="00964B88" w14:paraId="0D2CBD2D" w14:textId="77777777">
        <w:tc>
          <w:tcPr>
            <w:cnfStyle w:val="001000000000" w:firstRow="0" w:lastRow="0" w:firstColumn="1" w:lastColumn="0" w:oddVBand="0" w:evenVBand="0" w:oddHBand="0" w:evenHBand="0" w:firstRowFirstColumn="0" w:firstRowLastColumn="0" w:lastRowFirstColumn="0" w:lastRowLastColumn="0"/>
            <w:tcW w:w="3518" w:type="dxa"/>
          </w:tcPr>
          <w:p w14:paraId="3F5E5C5F" w14:textId="77777777" w:rsidR="00964B88" w:rsidRDefault="00964B88">
            <w:r>
              <w:t>Transport</w:t>
            </w:r>
          </w:p>
        </w:tc>
        <w:tc>
          <w:tcPr>
            <w:tcW w:w="850" w:type="dxa"/>
          </w:tcPr>
          <w:p w14:paraId="220A8414" w14:textId="77777777" w:rsidR="00964B88" w:rsidRDefault="00964B88">
            <w:pPr>
              <w:cnfStyle w:val="000000000000" w:firstRow="0" w:lastRow="0" w:firstColumn="0" w:lastColumn="0" w:oddVBand="0" w:evenVBand="0" w:oddHBand="0" w:evenHBand="0" w:firstRowFirstColumn="0" w:firstRowLastColumn="0" w:lastRowFirstColumn="0" w:lastRowLastColumn="0"/>
            </w:pPr>
            <w:r>
              <w:t>9 847</w:t>
            </w:r>
          </w:p>
        </w:tc>
        <w:tc>
          <w:tcPr>
            <w:tcW w:w="850" w:type="dxa"/>
          </w:tcPr>
          <w:p w14:paraId="0879A565" w14:textId="77777777" w:rsidR="00964B88" w:rsidRDefault="00964B88">
            <w:pPr>
              <w:cnfStyle w:val="000000000000" w:firstRow="0" w:lastRow="0" w:firstColumn="0" w:lastColumn="0" w:oddVBand="0" w:evenVBand="0" w:oddHBand="0" w:evenHBand="0" w:firstRowFirstColumn="0" w:firstRowLastColumn="0" w:lastRowFirstColumn="0" w:lastRowLastColumn="0"/>
            </w:pPr>
            <w:r>
              <w:t>9 603</w:t>
            </w:r>
          </w:p>
        </w:tc>
        <w:tc>
          <w:tcPr>
            <w:tcW w:w="850" w:type="dxa"/>
          </w:tcPr>
          <w:p w14:paraId="3DCADB06" w14:textId="77777777" w:rsidR="00964B88" w:rsidRDefault="00964B88">
            <w:pPr>
              <w:cnfStyle w:val="000000000000" w:firstRow="0" w:lastRow="0" w:firstColumn="0" w:lastColumn="0" w:oddVBand="0" w:evenVBand="0" w:oddHBand="0" w:evenHBand="0" w:firstRowFirstColumn="0" w:firstRowLastColumn="0" w:lastRowFirstColumn="0" w:lastRowLastColumn="0"/>
            </w:pPr>
            <w:r>
              <w:t>8 212</w:t>
            </w:r>
          </w:p>
        </w:tc>
        <w:tc>
          <w:tcPr>
            <w:tcW w:w="850" w:type="dxa"/>
          </w:tcPr>
          <w:p w14:paraId="2A414C06" w14:textId="77777777" w:rsidR="00964B88" w:rsidRDefault="00964B88">
            <w:pPr>
              <w:cnfStyle w:val="000000000000" w:firstRow="0" w:lastRow="0" w:firstColumn="0" w:lastColumn="0" w:oddVBand="0" w:evenVBand="0" w:oddHBand="0" w:evenHBand="0" w:firstRowFirstColumn="0" w:firstRowLastColumn="0" w:lastRowFirstColumn="0" w:lastRowLastColumn="0"/>
            </w:pPr>
            <w:r>
              <w:t>5 730</w:t>
            </w:r>
          </w:p>
        </w:tc>
        <w:tc>
          <w:tcPr>
            <w:tcW w:w="850" w:type="dxa"/>
          </w:tcPr>
          <w:p w14:paraId="260E49AA" w14:textId="77777777" w:rsidR="00964B88" w:rsidRDefault="00964B88">
            <w:pPr>
              <w:cnfStyle w:val="000000000000" w:firstRow="0" w:lastRow="0" w:firstColumn="0" w:lastColumn="0" w:oddVBand="0" w:evenVBand="0" w:oddHBand="0" w:evenHBand="0" w:firstRowFirstColumn="0" w:firstRowLastColumn="0" w:lastRowFirstColumn="0" w:lastRowLastColumn="0"/>
            </w:pPr>
            <w:r>
              <w:t>7 960</w:t>
            </w:r>
          </w:p>
        </w:tc>
      </w:tr>
      <w:tr w:rsidR="00964B88" w14:paraId="428BEF1A"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08622697" w14:textId="77777777" w:rsidR="00964B88" w:rsidRDefault="00964B88">
            <w:r>
              <w:t>Not allocated by purpose</w:t>
            </w:r>
            <w:r>
              <w:rPr>
                <w:vertAlign w:val="superscript"/>
              </w:rPr>
              <w:t xml:space="preserve"> (a)</w:t>
            </w:r>
          </w:p>
        </w:tc>
        <w:tc>
          <w:tcPr>
            <w:tcW w:w="850" w:type="dxa"/>
            <w:tcBorders>
              <w:bottom w:val="single" w:sz="6" w:space="0" w:color="auto"/>
            </w:tcBorders>
          </w:tcPr>
          <w:p w14:paraId="386F2E05" w14:textId="77777777" w:rsidR="00964B88" w:rsidRDefault="00964B88">
            <w:pPr>
              <w:cnfStyle w:val="000000000000" w:firstRow="0" w:lastRow="0" w:firstColumn="0" w:lastColumn="0" w:oddVBand="0" w:evenVBand="0" w:oddHBand="0" w:evenHBand="0" w:firstRowFirstColumn="0" w:firstRowLastColumn="0" w:lastRowFirstColumn="0" w:lastRowLastColumn="0"/>
            </w:pPr>
            <w:r>
              <w:t>(1 738)</w:t>
            </w:r>
          </w:p>
        </w:tc>
        <w:tc>
          <w:tcPr>
            <w:tcW w:w="850" w:type="dxa"/>
            <w:tcBorders>
              <w:bottom w:val="single" w:sz="6" w:space="0" w:color="auto"/>
            </w:tcBorders>
          </w:tcPr>
          <w:p w14:paraId="1C455461" w14:textId="77777777" w:rsidR="00964B88" w:rsidRDefault="00964B88">
            <w:pPr>
              <w:cnfStyle w:val="000000000000" w:firstRow="0" w:lastRow="0" w:firstColumn="0" w:lastColumn="0" w:oddVBand="0" w:evenVBand="0" w:oddHBand="0" w:evenHBand="0" w:firstRowFirstColumn="0" w:firstRowLastColumn="0" w:lastRowFirstColumn="0" w:lastRowLastColumn="0"/>
            </w:pPr>
            <w:r>
              <w:t>(1 773)</w:t>
            </w:r>
          </w:p>
        </w:tc>
        <w:tc>
          <w:tcPr>
            <w:tcW w:w="850" w:type="dxa"/>
            <w:tcBorders>
              <w:bottom w:val="single" w:sz="6" w:space="0" w:color="auto"/>
            </w:tcBorders>
          </w:tcPr>
          <w:p w14:paraId="2AC2C98F" w14:textId="77777777" w:rsidR="00964B88" w:rsidRDefault="00964B88">
            <w:pPr>
              <w:cnfStyle w:val="000000000000" w:firstRow="0" w:lastRow="0" w:firstColumn="0" w:lastColumn="0" w:oddVBand="0" w:evenVBand="0" w:oddHBand="0" w:evenHBand="0" w:firstRowFirstColumn="0" w:firstRowLastColumn="0" w:lastRowFirstColumn="0" w:lastRowLastColumn="0"/>
            </w:pPr>
            <w:r>
              <w:t>(218)</w:t>
            </w:r>
          </w:p>
        </w:tc>
        <w:tc>
          <w:tcPr>
            <w:tcW w:w="850" w:type="dxa"/>
            <w:tcBorders>
              <w:bottom w:val="single" w:sz="6" w:space="0" w:color="auto"/>
            </w:tcBorders>
          </w:tcPr>
          <w:p w14:paraId="0DBB2EE5" w14:textId="77777777" w:rsidR="00964B88" w:rsidRDefault="00964B88">
            <w:pPr>
              <w:cnfStyle w:val="000000000000" w:firstRow="0" w:lastRow="0" w:firstColumn="0" w:lastColumn="0" w:oddVBand="0" w:evenVBand="0" w:oddHBand="0" w:evenHBand="0" w:firstRowFirstColumn="0" w:firstRowLastColumn="0" w:lastRowFirstColumn="0" w:lastRowLastColumn="0"/>
            </w:pPr>
            <w:r>
              <w:t>607</w:t>
            </w:r>
          </w:p>
        </w:tc>
        <w:tc>
          <w:tcPr>
            <w:tcW w:w="850" w:type="dxa"/>
            <w:tcBorders>
              <w:bottom w:val="single" w:sz="6" w:space="0" w:color="auto"/>
            </w:tcBorders>
          </w:tcPr>
          <w:p w14:paraId="6102C6A7" w14:textId="77777777" w:rsidR="00964B88" w:rsidRDefault="00964B88">
            <w:pPr>
              <w:cnfStyle w:val="000000000000" w:firstRow="0" w:lastRow="0" w:firstColumn="0" w:lastColumn="0" w:oddVBand="0" w:evenVBand="0" w:oddHBand="0" w:evenHBand="0" w:firstRowFirstColumn="0" w:firstRowLastColumn="0" w:lastRowFirstColumn="0" w:lastRowLastColumn="0"/>
            </w:pPr>
            <w:r>
              <w:t>1 256</w:t>
            </w:r>
          </w:p>
        </w:tc>
      </w:tr>
      <w:tr w:rsidR="00964B88" w14:paraId="12C5119F"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0D608AA5" w14:textId="77777777" w:rsidR="00964B88" w:rsidRDefault="00964B88">
            <w:r>
              <w:t>Total purchases of non</w:t>
            </w:r>
            <w:r>
              <w:noBreakHyphen/>
              <w:t>financial assets</w:t>
            </w:r>
          </w:p>
        </w:tc>
        <w:tc>
          <w:tcPr>
            <w:tcW w:w="850" w:type="dxa"/>
          </w:tcPr>
          <w:p w14:paraId="4BB39962" w14:textId="77777777" w:rsidR="00964B88" w:rsidRDefault="00964B88">
            <w:pPr>
              <w:cnfStyle w:val="010000000000" w:firstRow="0" w:lastRow="1" w:firstColumn="0" w:lastColumn="0" w:oddVBand="0" w:evenVBand="0" w:oddHBand="0" w:evenHBand="0" w:firstRowFirstColumn="0" w:firstRowLastColumn="0" w:lastRowFirstColumn="0" w:lastRowLastColumn="0"/>
            </w:pPr>
            <w:r>
              <w:t>13 102</w:t>
            </w:r>
          </w:p>
        </w:tc>
        <w:tc>
          <w:tcPr>
            <w:tcW w:w="850" w:type="dxa"/>
          </w:tcPr>
          <w:p w14:paraId="44101C58" w14:textId="77777777" w:rsidR="00964B88" w:rsidRDefault="00964B88">
            <w:pPr>
              <w:cnfStyle w:val="010000000000" w:firstRow="0" w:lastRow="1" w:firstColumn="0" w:lastColumn="0" w:oddVBand="0" w:evenVBand="0" w:oddHBand="0" w:evenHBand="0" w:firstRowFirstColumn="0" w:firstRowLastColumn="0" w:lastRowFirstColumn="0" w:lastRowLastColumn="0"/>
            </w:pPr>
            <w:r>
              <w:t>13 290</w:t>
            </w:r>
          </w:p>
        </w:tc>
        <w:tc>
          <w:tcPr>
            <w:tcW w:w="850" w:type="dxa"/>
          </w:tcPr>
          <w:p w14:paraId="391C2A58" w14:textId="77777777" w:rsidR="00964B88" w:rsidRDefault="00964B88">
            <w:pPr>
              <w:cnfStyle w:val="010000000000" w:firstRow="0" w:lastRow="1" w:firstColumn="0" w:lastColumn="0" w:oddVBand="0" w:evenVBand="0" w:oddHBand="0" w:evenHBand="0" w:firstRowFirstColumn="0" w:firstRowLastColumn="0" w:lastRowFirstColumn="0" w:lastRowLastColumn="0"/>
            </w:pPr>
            <w:r>
              <w:t>12 196</w:t>
            </w:r>
          </w:p>
        </w:tc>
        <w:tc>
          <w:tcPr>
            <w:tcW w:w="850" w:type="dxa"/>
          </w:tcPr>
          <w:p w14:paraId="08914BA9" w14:textId="77777777" w:rsidR="00964B88" w:rsidRDefault="00964B88">
            <w:pPr>
              <w:cnfStyle w:val="010000000000" w:firstRow="0" w:lastRow="1" w:firstColumn="0" w:lastColumn="0" w:oddVBand="0" w:evenVBand="0" w:oddHBand="0" w:evenHBand="0" w:firstRowFirstColumn="0" w:firstRowLastColumn="0" w:lastRowFirstColumn="0" w:lastRowLastColumn="0"/>
            </w:pPr>
            <w:r>
              <w:t>9 096</w:t>
            </w:r>
          </w:p>
        </w:tc>
        <w:tc>
          <w:tcPr>
            <w:tcW w:w="850" w:type="dxa"/>
          </w:tcPr>
          <w:p w14:paraId="49105621" w14:textId="77777777" w:rsidR="00964B88" w:rsidRDefault="00964B88">
            <w:pPr>
              <w:cnfStyle w:val="010000000000" w:firstRow="0" w:lastRow="1" w:firstColumn="0" w:lastColumn="0" w:oddVBand="0" w:evenVBand="0" w:oddHBand="0" w:evenHBand="0" w:firstRowFirstColumn="0" w:firstRowLastColumn="0" w:lastRowFirstColumn="0" w:lastRowLastColumn="0"/>
            </w:pPr>
            <w:r>
              <w:t>10 937</w:t>
            </w:r>
          </w:p>
        </w:tc>
      </w:tr>
    </w:tbl>
    <w:p w14:paraId="2D41CE3D" w14:textId="77777777" w:rsidR="00964B88" w:rsidRDefault="00964B88" w:rsidP="00F53820">
      <w:pPr>
        <w:pStyle w:val="Note"/>
      </w:pPr>
      <w:r>
        <w:t>Note:</w:t>
      </w:r>
    </w:p>
    <w:p w14:paraId="5091CCF5" w14:textId="77777777" w:rsidR="00964B88" w:rsidRDefault="00964B88" w:rsidP="00F53820">
      <w:pPr>
        <w:pStyle w:val="Note"/>
      </w:pPr>
      <w:r>
        <w:t>(a)</w:t>
      </w:r>
      <w:r>
        <w:tab/>
        <w:t>Estimated amount available to be allocated to departments and projects in future budgets, including major capital investment. It also includes departmental underspend, which may be subject to carryover and other regulatory bodies and other part funded agencies estimated underspend.</w:t>
      </w:r>
    </w:p>
    <w:p w14:paraId="0470A1D5" w14:textId="77777777" w:rsidR="00D95F31" w:rsidRPr="00D72444" w:rsidRDefault="00D95F31" w:rsidP="00D95F31"/>
    <w:p w14:paraId="6FFD1F26" w14:textId="77777777" w:rsidR="00964B88" w:rsidRDefault="00964B88" w:rsidP="00F53820">
      <w:pPr>
        <w:pStyle w:val="TableHeading"/>
      </w:pPr>
      <w:r>
        <w:t>Purchases of non-financial assets by portfolio department</w:t>
      </w:r>
      <w:r>
        <w:tab/>
        <w:t xml:space="preserve">($ million) </w:t>
      </w:r>
    </w:p>
    <w:tbl>
      <w:tblPr>
        <w:tblStyle w:val="DTFTable"/>
        <w:tblW w:w="7768" w:type="dxa"/>
        <w:tblLayout w:type="fixed"/>
        <w:tblLook w:val="06E0" w:firstRow="1" w:lastRow="1" w:firstColumn="1" w:lastColumn="0" w:noHBand="1" w:noVBand="1"/>
      </w:tblPr>
      <w:tblGrid>
        <w:gridCol w:w="3753"/>
        <w:gridCol w:w="803"/>
        <w:gridCol w:w="803"/>
        <w:gridCol w:w="803"/>
        <w:gridCol w:w="803"/>
        <w:gridCol w:w="803"/>
      </w:tblGrid>
      <w:tr w:rsidR="00964B88" w14:paraId="1D4A49E1"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53" w:type="dxa"/>
          </w:tcPr>
          <w:p w14:paraId="5CA0EC8A" w14:textId="77777777" w:rsidR="00964B88" w:rsidRDefault="00964B88"/>
        </w:tc>
        <w:tc>
          <w:tcPr>
            <w:tcW w:w="803" w:type="dxa"/>
          </w:tcPr>
          <w:p w14:paraId="249F4E2A"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03" w:type="dxa"/>
          </w:tcPr>
          <w:p w14:paraId="0E86678B"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03" w:type="dxa"/>
          </w:tcPr>
          <w:p w14:paraId="553F018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03" w:type="dxa"/>
          </w:tcPr>
          <w:p w14:paraId="6D29B30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03" w:type="dxa"/>
          </w:tcPr>
          <w:p w14:paraId="73C6662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556FA688" w14:textId="77777777">
        <w:tc>
          <w:tcPr>
            <w:cnfStyle w:val="001000000000" w:firstRow="0" w:lastRow="0" w:firstColumn="1" w:lastColumn="0" w:oddVBand="0" w:evenVBand="0" w:oddHBand="0" w:evenHBand="0" w:firstRowFirstColumn="0" w:firstRowLastColumn="0" w:lastRowFirstColumn="0" w:lastRowLastColumn="0"/>
            <w:tcW w:w="3753" w:type="dxa"/>
          </w:tcPr>
          <w:p w14:paraId="4600F084" w14:textId="77777777" w:rsidR="00964B88" w:rsidRDefault="00964B88">
            <w:r>
              <w:t>Education and Training</w:t>
            </w:r>
          </w:p>
        </w:tc>
        <w:tc>
          <w:tcPr>
            <w:tcW w:w="803" w:type="dxa"/>
          </w:tcPr>
          <w:p w14:paraId="2D17BF23" w14:textId="77777777" w:rsidR="00964B88" w:rsidRDefault="00964B88">
            <w:pPr>
              <w:cnfStyle w:val="000000000000" w:firstRow="0" w:lastRow="0" w:firstColumn="0" w:lastColumn="0" w:oddVBand="0" w:evenVBand="0" w:oddHBand="0" w:evenHBand="0" w:firstRowFirstColumn="0" w:firstRowLastColumn="0" w:lastRowFirstColumn="0" w:lastRowLastColumn="0"/>
            </w:pPr>
            <w:r>
              <w:t>1 758</w:t>
            </w:r>
          </w:p>
        </w:tc>
        <w:tc>
          <w:tcPr>
            <w:tcW w:w="803" w:type="dxa"/>
          </w:tcPr>
          <w:p w14:paraId="030C6AA0" w14:textId="77777777" w:rsidR="00964B88" w:rsidRDefault="00964B88">
            <w:pPr>
              <w:cnfStyle w:val="000000000000" w:firstRow="0" w:lastRow="0" w:firstColumn="0" w:lastColumn="0" w:oddVBand="0" w:evenVBand="0" w:oddHBand="0" w:evenHBand="0" w:firstRowFirstColumn="0" w:firstRowLastColumn="0" w:lastRowFirstColumn="0" w:lastRowLastColumn="0"/>
            </w:pPr>
            <w:r>
              <w:t>1 882</w:t>
            </w:r>
          </w:p>
        </w:tc>
        <w:tc>
          <w:tcPr>
            <w:tcW w:w="803" w:type="dxa"/>
          </w:tcPr>
          <w:p w14:paraId="0E63257D" w14:textId="77777777" w:rsidR="00964B88" w:rsidRDefault="00964B88">
            <w:pPr>
              <w:cnfStyle w:val="000000000000" w:firstRow="0" w:lastRow="0" w:firstColumn="0" w:lastColumn="0" w:oddVBand="0" w:evenVBand="0" w:oddHBand="0" w:evenHBand="0" w:firstRowFirstColumn="0" w:firstRowLastColumn="0" w:lastRowFirstColumn="0" w:lastRowLastColumn="0"/>
            </w:pPr>
            <w:r>
              <w:t>938</w:t>
            </w:r>
          </w:p>
        </w:tc>
        <w:tc>
          <w:tcPr>
            <w:tcW w:w="803" w:type="dxa"/>
          </w:tcPr>
          <w:p w14:paraId="0CA1EA15" w14:textId="77777777" w:rsidR="00964B88" w:rsidRDefault="00964B88">
            <w:pPr>
              <w:cnfStyle w:val="000000000000" w:firstRow="0" w:lastRow="0" w:firstColumn="0" w:lastColumn="0" w:oddVBand="0" w:evenVBand="0" w:oddHBand="0" w:evenHBand="0" w:firstRowFirstColumn="0" w:firstRowLastColumn="0" w:lastRowFirstColumn="0" w:lastRowLastColumn="0"/>
            </w:pPr>
            <w:r>
              <w:t>426</w:t>
            </w:r>
          </w:p>
        </w:tc>
        <w:tc>
          <w:tcPr>
            <w:tcW w:w="803" w:type="dxa"/>
          </w:tcPr>
          <w:p w14:paraId="3A9DDE8D" w14:textId="77777777" w:rsidR="00964B88" w:rsidRDefault="00964B88">
            <w:pPr>
              <w:cnfStyle w:val="000000000000" w:firstRow="0" w:lastRow="0" w:firstColumn="0" w:lastColumn="0" w:oddVBand="0" w:evenVBand="0" w:oddHBand="0" w:evenHBand="0" w:firstRowFirstColumn="0" w:firstRowLastColumn="0" w:lastRowFirstColumn="0" w:lastRowLastColumn="0"/>
            </w:pPr>
            <w:r>
              <w:t>212</w:t>
            </w:r>
          </w:p>
        </w:tc>
      </w:tr>
      <w:tr w:rsidR="00964B88" w14:paraId="4E44A31B" w14:textId="77777777">
        <w:tc>
          <w:tcPr>
            <w:cnfStyle w:val="001000000000" w:firstRow="0" w:lastRow="0" w:firstColumn="1" w:lastColumn="0" w:oddVBand="0" w:evenVBand="0" w:oddHBand="0" w:evenHBand="0" w:firstRowFirstColumn="0" w:firstRowLastColumn="0" w:lastRowFirstColumn="0" w:lastRowLastColumn="0"/>
            <w:tcW w:w="3753" w:type="dxa"/>
          </w:tcPr>
          <w:p w14:paraId="37548B0B" w14:textId="77777777" w:rsidR="00964B88" w:rsidRDefault="00964B88">
            <w:r>
              <w:t>Environment, Land, Water and Planning</w:t>
            </w:r>
          </w:p>
        </w:tc>
        <w:tc>
          <w:tcPr>
            <w:tcW w:w="803" w:type="dxa"/>
          </w:tcPr>
          <w:p w14:paraId="41670474" w14:textId="77777777" w:rsidR="00964B88" w:rsidRDefault="00964B88">
            <w:pPr>
              <w:cnfStyle w:val="000000000000" w:firstRow="0" w:lastRow="0" w:firstColumn="0" w:lastColumn="0" w:oddVBand="0" w:evenVBand="0" w:oddHBand="0" w:evenHBand="0" w:firstRowFirstColumn="0" w:firstRowLastColumn="0" w:lastRowFirstColumn="0" w:lastRowLastColumn="0"/>
            </w:pPr>
            <w:r>
              <w:t>144</w:t>
            </w:r>
          </w:p>
        </w:tc>
        <w:tc>
          <w:tcPr>
            <w:tcW w:w="803" w:type="dxa"/>
          </w:tcPr>
          <w:p w14:paraId="2822BFB7" w14:textId="77777777" w:rsidR="00964B88" w:rsidRDefault="00964B88">
            <w:pPr>
              <w:cnfStyle w:val="000000000000" w:firstRow="0" w:lastRow="0" w:firstColumn="0" w:lastColumn="0" w:oddVBand="0" w:evenVBand="0" w:oddHBand="0" w:evenHBand="0" w:firstRowFirstColumn="0" w:firstRowLastColumn="0" w:lastRowFirstColumn="0" w:lastRowLastColumn="0"/>
            </w:pPr>
            <w:r>
              <w:t>129</w:t>
            </w:r>
          </w:p>
        </w:tc>
        <w:tc>
          <w:tcPr>
            <w:tcW w:w="803" w:type="dxa"/>
          </w:tcPr>
          <w:p w14:paraId="5821A6B2" w14:textId="77777777" w:rsidR="00964B88" w:rsidRDefault="00964B88">
            <w:pPr>
              <w:cnfStyle w:val="000000000000" w:firstRow="0" w:lastRow="0" w:firstColumn="0" w:lastColumn="0" w:oddVBand="0" w:evenVBand="0" w:oddHBand="0" w:evenHBand="0" w:firstRowFirstColumn="0" w:firstRowLastColumn="0" w:lastRowFirstColumn="0" w:lastRowLastColumn="0"/>
            </w:pPr>
            <w:r>
              <w:t>113</w:t>
            </w:r>
          </w:p>
        </w:tc>
        <w:tc>
          <w:tcPr>
            <w:tcW w:w="803" w:type="dxa"/>
          </w:tcPr>
          <w:p w14:paraId="1E04E4FD" w14:textId="77777777" w:rsidR="00964B88" w:rsidRDefault="00964B88">
            <w:pPr>
              <w:cnfStyle w:val="000000000000" w:firstRow="0" w:lastRow="0" w:firstColumn="0" w:lastColumn="0" w:oddVBand="0" w:evenVBand="0" w:oddHBand="0" w:evenHBand="0" w:firstRowFirstColumn="0" w:firstRowLastColumn="0" w:lastRowFirstColumn="0" w:lastRowLastColumn="0"/>
            </w:pPr>
            <w:r>
              <w:t>104</w:t>
            </w:r>
          </w:p>
        </w:tc>
        <w:tc>
          <w:tcPr>
            <w:tcW w:w="803" w:type="dxa"/>
          </w:tcPr>
          <w:p w14:paraId="3CD18E15" w14:textId="77777777" w:rsidR="00964B88" w:rsidRDefault="00964B88">
            <w:pPr>
              <w:cnfStyle w:val="000000000000" w:firstRow="0" w:lastRow="0" w:firstColumn="0" w:lastColumn="0" w:oddVBand="0" w:evenVBand="0" w:oddHBand="0" w:evenHBand="0" w:firstRowFirstColumn="0" w:firstRowLastColumn="0" w:lastRowFirstColumn="0" w:lastRowLastColumn="0"/>
            </w:pPr>
            <w:r>
              <w:t>103</w:t>
            </w:r>
          </w:p>
        </w:tc>
      </w:tr>
      <w:tr w:rsidR="00964B88" w14:paraId="40D56841" w14:textId="77777777">
        <w:tc>
          <w:tcPr>
            <w:cnfStyle w:val="001000000000" w:firstRow="0" w:lastRow="0" w:firstColumn="1" w:lastColumn="0" w:oddVBand="0" w:evenVBand="0" w:oddHBand="0" w:evenHBand="0" w:firstRowFirstColumn="0" w:firstRowLastColumn="0" w:lastRowFirstColumn="0" w:lastRowLastColumn="0"/>
            <w:tcW w:w="3753" w:type="dxa"/>
          </w:tcPr>
          <w:p w14:paraId="3A3216BB" w14:textId="77777777" w:rsidR="00964B88" w:rsidRDefault="00964B88">
            <w:r>
              <w:t>Health and Human Services</w:t>
            </w:r>
          </w:p>
        </w:tc>
        <w:tc>
          <w:tcPr>
            <w:tcW w:w="803" w:type="dxa"/>
          </w:tcPr>
          <w:p w14:paraId="2E9EC832" w14:textId="77777777" w:rsidR="00964B88" w:rsidRDefault="00964B88">
            <w:pPr>
              <w:cnfStyle w:val="000000000000" w:firstRow="0" w:lastRow="0" w:firstColumn="0" w:lastColumn="0" w:oddVBand="0" w:evenVBand="0" w:oddHBand="0" w:evenHBand="0" w:firstRowFirstColumn="0" w:firstRowLastColumn="0" w:lastRowFirstColumn="0" w:lastRowLastColumn="0"/>
            </w:pPr>
            <w:r>
              <w:t>1 134</w:t>
            </w:r>
          </w:p>
        </w:tc>
        <w:tc>
          <w:tcPr>
            <w:tcW w:w="803" w:type="dxa"/>
          </w:tcPr>
          <w:p w14:paraId="1C72EBDA" w14:textId="77777777" w:rsidR="00964B88" w:rsidRDefault="00964B88">
            <w:pPr>
              <w:cnfStyle w:val="000000000000" w:firstRow="0" w:lastRow="0" w:firstColumn="0" w:lastColumn="0" w:oddVBand="0" w:evenVBand="0" w:oddHBand="0" w:evenHBand="0" w:firstRowFirstColumn="0" w:firstRowLastColumn="0" w:lastRowFirstColumn="0" w:lastRowLastColumn="0"/>
            </w:pPr>
            <w:r>
              <w:t>1 185</w:t>
            </w:r>
          </w:p>
        </w:tc>
        <w:tc>
          <w:tcPr>
            <w:tcW w:w="803" w:type="dxa"/>
          </w:tcPr>
          <w:p w14:paraId="7FCEBAD2" w14:textId="77777777" w:rsidR="00964B88" w:rsidRDefault="00964B88">
            <w:pPr>
              <w:cnfStyle w:val="000000000000" w:firstRow="0" w:lastRow="0" w:firstColumn="0" w:lastColumn="0" w:oddVBand="0" w:evenVBand="0" w:oddHBand="0" w:evenHBand="0" w:firstRowFirstColumn="0" w:firstRowLastColumn="0" w:lastRowFirstColumn="0" w:lastRowLastColumn="0"/>
            </w:pPr>
            <w:r>
              <w:t>808</w:t>
            </w:r>
          </w:p>
        </w:tc>
        <w:tc>
          <w:tcPr>
            <w:tcW w:w="803" w:type="dxa"/>
          </w:tcPr>
          <w:p w14:paraId="38E20612" w14:textId="77777777" w:rsidR="00964B88" w:rsidRDefault="00964B88">
            <w:pPr>
              <w:cnfStyle w:val="000000000000" w:firstRow="0" w:lastRow="0" w:firstColumn="0" w:lastColumn="0" w:oddVBand="0" w:evenVBand="0" w:oddHBand="0" w:evenHBand="0" w:firstRowFirstColumn="0" w:firstRowLastColumn="0" w:lastRowFirstColumn="0" w:lastRowLastColumn="0"/>
            </w:pPr>
            <w:r>
              <w:t>529</w:t>
            </w:r>
          </w:p>
        </w:tc>
        <w:tc>
          <w:tcPr>
            <w:tcW w:w="803" w:type="dxa"/>
          </w:tcPr>
          <w:p w14:paraId="520FBD13" w14:textId="77777777" w:rsidR="00964B88" w:rsidRDefault="00964B88">
            <w:pPr>
              <w:cnfStyle w:val="000000000000" w:firstRow="0" w:lastRow="0" w:firstColumn="0" w:lastColumn="0" w:oddVBand="0" w:evenVBand="0" w:oddHBand="0" w:evenHBand="0" w:firstRowFirstColumn="0" w:firstRowLastColumn="0" w:lastRowFirstColumn="0" w:lastRowLastColumn="0"/>
            </w:pPr>
            <w:r>
              <w:t>199</w:t>
            </w:r>
          </w:p>
        </w:tc>
      </w:tr>
      <w:tr w:rsidR="00964B88" w14:paraId="2386F7EF" w14:textId="77777777">
        <w:tc>
          <w:tcPr>
            <w:cnfStyle w:val="001000000000" w:firstRow="0" w:lastRow="0" w:firstColumn="1" w:lastColumn="0" w:oddVBand="0" w:evenVBand="0" w:oddHBand="0" w:evenHBand="0" w:firstRowFirstColumn="0" w:firstRowLastColumn="0" w:lastRowFirstColumn="0" w:lastRowLastColumn="0"/>
            <w:tcW w:w="3753" w:type="dxa"/>
          </w:tcPr>
          <w:p w14:paraId="560D6419" w14:textId="77777777" w:rsidR="00964B88" w:rsidRDefault="00964B88">
            <w:r>
              <w:t>Jobs, Precincts and Regions</w:t>
            </w:r>
          </w:p>
        </w:tc>
        <w:tc>
          <w:tcPr>
            <w:tcW w:w="803" w:type="dxa"/>
          </w:tcPr>
          <w:p w14:paraId="5AC5EECB" w14:textId="77777777" w:rsidR="00964B88" w:rsidRDefault="00964B88">
            <w:pPr>
              <w:cnfStyle w:val="000000000000" w:firstRow="0" w:lastRow="0" w:firstColumn="0" w:lastColumn="0" w:oddVBand="0" w:evenVBand="0" w:oddHBand="0" w:evenHBand="0" w:firstRowFirstColumn="0" w:firstRowLastColumn="0" w:lastRowFirstColumn="0" w:lastRowLastColumn="0"/>
            </w:pPr>
            <w:r>
              <w:t>160</w:t>
            </w:r>
          </w:p>
        </w:tc>
        <w:tc>
          <w:tcPr>
            <w:tcW w:w="803" w:type="dxa"/>
          </w:tcPr>
          <w:p w14:paraId="7666C82C" w14:textId="77777777" w:rsidR="00964B88" w:rsidRDefault="00964B88">
            <w:pPr>
              <w:cnfStyle w:val="000000000000" w:firstRow="0" w:lastRow="0" w:firstColumn="0" w:lastColumn="0" w:oddVBand="0" w:evenVBand="0" w:oddHBand="0" w:evenHBand="0" w:firstRowFirstColumn="0" w:firstRowLastColumn="0" w:lastRowFirstColumn="0" w:lastRowLastColumn="0"/>
            </w:pPr>
            <w:r>
              <w:t>161</w:t>
            </w:r>
          </w:p>
        </w:tc>
        <w:tc>
          <w:tcPr>
            <w:tcW w:w="803" w:type="dxa"/>
          </w:tcPr>
          <w:p w14:paraId="601A2570" w14:textId="77777777" w:rsidR="00964B88" w:rsidRDefault="00964B88">
            <w:pPr>
              <w:cnfStyle w:val="000000000000" w:firstRow="0" w:lastRow="0" w:firstColumn="0" w:lastColumn="0" w:oddVBand="0" w:evenVBand="0" w:oddHBand="0" w:evenHBand="0" w:firstRowFirstColumn="0" w:firstRowLastColumn="0" w:lastRowFirstColumn="0" w:lastRowLastColumn="0"/>
            </w:pPr>
            <w:r>
              <w:t>63</w:t>
            </w:r>
          </w:p>
        </w:tc>
        <w:tc>
          <w:tcPr>
            <w:tcW w:w="803" w:type="dxa"/>
          </w:tcPr>
          <w:p w14:paraId="661B116D"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803" w:type="dxa"/>
          </w:tcPr>
          <w:p w14:paraId="37787756" w14:textId="77777777" w:rsidR="00964B88" w:rsidRDefault="00964B88">
            <w:pPr>
              <w:cnfStyle w:val="000000000000" w:firstRow="0" w:lastRow="0" w:firstColumn="0" w:lastColumn="0" w:oddVBand="0" w:evenVBand="0" w:oddHBand="0" w:evenHBand="0" w:firstRowFirstColumn="0" w:firstRowLastColumn="0" w:lastRowFirstColumn="0" w:lastRowLastColumn="0"/>
            </w:pPr>
            <w:r>
              <w:t>41</w:t>
            </w:r>
          </w:p>
        </w:tc>
      </w:tr>
      <w:tr w:rsidR="00964B88" w14:paraId="3BF1A848" w14:textId="77777777">
        <w:tc>
          <w:tcPr>
            <w:cnfStyle w:val="001000000000" w:firstRow="0" w:lastRow="0" w:firstColumn="1" w:lastColumn="0" w:oddVBand="0" w:evenVBand="0" w:oddHBand="0" w:evenHBand="0" w:firstRowFirstColumn="0" w:firstRowLastColumn="0" w:lastRowFirstColumn="0" w:lastRowLastColumn="0"/>
            <w:tcW w:w="3753" w:type="dxa"/>
          </w:tcPr>
          <w:p w14:paraId="0BE24F90" w14:textId="77777777" w:rsidR="00964B88" w:rsidRDefault="00964B88">
            <w:r>
              <w:t>Justice and Community Safety</w:t>
            </w:r>
          </w:p>
        </w:tc>
        <w:tc>
          <w:tcPr>
            <w:tcW w:w="803" w:type="dxa"/>
          </w:tcPr>
          <w:p w14:paraId="04130296" w14:textId="77777777" w:rsidR="00964B88" w:rsidRDefault="00964B88">
            <w:pPr>
              <w:cnfStyle w:val="000000000000" w:firstRow="0" w:lastRow="0" w:firstColumn="0" w:lastColumn="0" w:oddVBand="0" w:evenVBand="0" w:oddHBand="0" w:evenHBand="0" w:firstRowFirstColumn="0" w:firstRowLastColumn="0" w:lastRowFirstColumn="0" w:lastRowLastColumn="0"/>
            </w:pPr>
            <w:r>
              <w:t>1 058</w:t>
            </w:r>
          </w:p>
        </w:tc>
        <w:tc>
          <w:tcPr>
            <w:tcW w:w="803" w:type="dxa"/>
          </w:tcPr>
          <w:p w14:paraId="6856DB9A" w14:textId="77777777" w:rsidR="00964B88" w:rsidRDefault="00964B88">
            <w:pPr>
              <w:cnfStyle w:val="000000000000" w:firstRow="0" w:lastRow="0" w:firstColumn="0" w:lastColumn="0" w:oddVBand="0" w:evenVBand="0" w:oddHBand="0" w:evenHBand="0" w:firstRowFirstColumn="0" w:firstRowLastColumn="0" w:lastRowFirstColumn="0" w:lastRowLastColumn="0"/>
            </w:pPr>
            <w:r>
              <w:t>1 464</w:t>
            </w:r>
          </w:p>
        </w:tc>
        <w:tc>
          <w:tcPr>
            <w:tcW w:w="803" w:type="dxa"/>
          </w:tcPr>
          <w:p w14:paraId="67339C1A" w14:textId="77777777" w:rsidR="00964B88" w:rsidRDefault="00964B88">
            <w:pPr>
              <w:cnfStyle w:val="000000000000" w:firstRow="0" w:lastRow="0" w:firstColumn="0" w:lastColumn="0" w:oddVBand="0" w:evenVBand="0" w:oddHBand="0" w:evenHBand="0" w:firstRowFirstColumn="0" w:firstRowLastColumn="0" w:lastRowFirstColumn="0" w:lastRowLastColumn="0"/>
            </w:pPr>
            <w:r>
              <w:t>1 016</w:t>
            </w:r>
          </w:p>
        </w:tc>
        <w:tc>
          <w:tcPr>
            <w:tcW w:w="803" w:type="dxa"/>
          </w:tcPr>
          <w:p w14:paraId="41F886A2" w14:textId="77777777" w:rsidR="00964B88" w:rsidRDefault="00964B88">
            <w:pPr>
              <w:cnfStyle w:val="000000000000" w:firstRow="0" w:lastRow="0" w:firstColumn="0" w:lastColumn="0" w:oddVBand="0" w:evenVBand="0" w:oddHBand="0" w:evenHBand="0" w:firstRowFirstColumn="0" w:firstRowLastColumn="0" w:lastRowFirstColumn="0" w:lastRowLastColumn="0"/>
            </w:pPr>
            <w:r>
              <w:t>297</w:t>
            </w:r>
          </w:p>
        </w:tc>
        <w:tc>
          <w:tcPr>
            <w:tcW w:w="803" w:type="dxa"/>
          </w:tcPr>
          <w:p w14:paraId="7651D1FC" w14:textId="77777777" w:rsidR="00964B88" w:rsidRDefault="00964B88">
            <w:pPr>
              <w:cnfStyle w:val="000000000000" w:firstRow="0" w:lastRow="0" w:firstColumn="0" w:lastColumn="0" w:oddVBand="0" w:evenVBand="0" w:oddHBand="0" w:evenHBand="0" w:firstRowFirstColumn="0" w:firstRowLastColumn="0" w:lastRowFirstColumn="0" w:lastRowLastColumn="0"/>
            </w:pPr>
            <w:r>
              <w:t>114</w:t>
            </w:r>
          </w:p>
        </w:tc>
      </w:tr>
      <w:tr w:rsidR="00964B88" w14:paraId="4E8D1927" w14:textId="77777777">
        <w:tc>
          <w:tcPr>
            <w:cnfStyle w:val="001000000000" w:firstRow="0" w:lastRow="0" w:firstColumn="1" w:lastColumn="0" w:oddVBand="0" w:evenVBand="0" w:oddHBand="0" w:evenHBand="0" w:firstRowFirstColumn="0" w:firstRowLastColumn="0" w:lastRowFirstColumn="0" w:lastRowLastColumn="0"/>
            <w:tcW w:w="3753" w:type="dxa"/>
          </w:tcPr>
          <w:p w14:paraId="40D1B630" w14:textId="77777777" w:rsidR="00964B88" w:rsidRDefault="00964B88">
            <w:r>
              <w:t>Premier and Cabinet</w:t>
            </w:r>
          </w:p>
        </w:tc>
        <w:tc>
          <w:tcPr>
            <w:tcW w:w="803" w:type="dxa"/>
          </w:tcPr>
          <w:p w14:paraId="484715B8" w14:textId="77777777" w:rsidR="00964B88" w:rsidRDefault="00964B88">
            <w:pPr>
              <w:cnfStyle w:val="000000000000" w:firstRow="0" w:lastRow="0" w:firstColumn="0" w:lastColumn="0" w:oddVBand="0" w:evenVBand="0" w:oddHBand="0" w:evenHBand="0" w:firstRowFirstColumn="0" w:firstRowLastColumn="0" w:lastRowFirstColumn="0" w:lastRowLastColumn="0"/>
            </w:pPr>
            <w:r>
              <w:t>14</w:t>
            </w:r>
          </w:p>
        </w:tc>
        <w:tc>
          <w:tcPr>
            <w:tcW w:w="803" w:type="dxa"/>
          </w:tcPr>
          <w:p w14:paraId="6A191C37" w14:textId="77777777" w:rsidR="00964B88" w:rsidRDefault="00964B88">
            <w:pPr>
              <w:cnfStyle w:val="000000000000" w:firstRow="0" w:lastRow="0" w:firstColumn="0" w:lastColumn="0" w:oddVBand="0" w:evenVBand="0" w:oddHBand="0" w:evenHBand="0" w:firstRowFirstColumn="0" w:firstRowLastColumn="0" w:lastRowFirstColumn="0" w:lastRowLastColumn="0"/>
            </w:pPr>
            <w:r>
              <w:t>26</w:t>
            </w:r>
          </w:p>
        </w:tc>
        <w:tc>
          <w:tcPr>
            <w:tcW w:w="803" w:type="dxa"/>
          </w:tcPr>
          <w:p w14:paraId="605C6B28" w14:textId="77777777" w:rsidR="00964B88" w:rsidRDefault="00964B88">
            <w:pPr>
              <w:cnfStyle w:val="000000000000" w:firstRow="0" w:lastRow="0" w:firstColumn="0" w:lastColumn="0" w:oddVBand="0" w:evenVBand="0" w:oddHBand="0" w:evenHBand="0" w:firstRowFirstColumn="0" w:firstRowLastColumn="0" w:lastRowFirstColumn="0" w:lastRowLastColumn="0"/>
            </w:pPr>
            <w:r>
              <w:t>8</w:t>
            </w:r>
          </w:p>
        </w:tc>
        <w:tc>
          <w:tcPr>
            <w:tcW w:w="803" w:type="dxa"/>
          </w:tcPr>
          <w:p w14:paraId="5487BD10" w14:textId="77777777" w:rsidR="00964B88" w:rsidRDefault="00964B88">
            <w:pPr>
              <w:cnfStyle w:val="000000000000" w:firstRow="0" w:lastRow="0" w:firstColumn="0" w:lastColumn="0" w:oddVBand="0" w:evenVBand="0" w:oddHBand="0" w:evenHBand="0" w:firstRowFirstColumn="0" w:firstRowLastColumn="0" w:lastRowFirstColumn="0" w:lastRowLastColumn="0"/>
            </w:pPr>
            <w:r>
              <w:t>12</w:t>
            </w:r>
          </w:p>
        </w:tc>
        <w:tc>
          <w:tcPr>
            <w:tcW w:w="803" w:type="dxa"/>
          </w:tcPr>
          <w:p w14:paraId="766CFF5A" w14:textId="77777777" w:rsidR="00964B88" w:rsidRDefault="00964B88">
            <w:pPr>
              <w:cnfStyle w:val="000000000000" w:firstRow="0" w:lastRow="0" w:firstColumn="0" w:lastColumn="0" w:oddVBand="0" w:evenVBand="0" w:oddHBand="0" w:evenHBand="0" w:firstRowFirstColumn="0" w:firstRowLastColumn="0" w:lastRowFirstColumn="0" w:lastRowLastColumn="0"/>
            </w:pPr>
            <w:r>
              <w:t>12</w:t>
            </w:r>
          </w:p>
        </w:tc>
      </w:tr>
      <w:tr w:rsidR="00964B88" w14:paraId="157A8E22" w14:textId="77777777">
        <w:tc>
          <w:tcPr>
            <w:cnfStyle w:val="001000000000" w:firstRow="0" w:lastRow="0" w:firstColumn="1" w:lastColumn="0" w:oddVBand="0" w:evenVBand="0" w:oddHBand="0" w:evenHBand="0" w:firstRowFirstColumn="0" w:firstRowLastColumn="0" w:lastRowFirstColumn="0" w:lastRowLastColumn="0"/>
            <w:tcW w:w="3753" w:type="dxa"/>
          </w:tcPr>
          <w:p w14:paraId="160AD7F2" w14:textId="77777777" w:rsidR="00964B88" w:rsidRDefault="00964B88">
            <w:r>
              <w:t>Transport</w:t>
            </w:r>
          </w:p>
        </w:tc>
        <w:tc>
          <w:tcPr>
            <w:tcW w:w="803" w:type="dxa"/>
          </w:tcPr>
          <w:p w14:paraId="390B0C2C" w14:textId="77777777" w:rsidR="00964B88" w:rsidRDefault="00964B88">
            <w:pPr>
              <w:cnfStyle w:val="000000000000" w:firstRow="0" w:lastRow="0" w:firstColumn="0" w:lastColumn="0" w:oddVBand="0" w:evenVBand="0" w:oddHBand="0" w:evenHBand="0" w:firstRowFirstColumn="0" w:firstRowLastColumn="0" w:lastRowFirstColumn="0" w:lastRowLastColumn="0"/>
            </w:pPr>
            <w:r>
              <w:t>6 887</w:t>
            </w:r>
          </w:p>
        </w:tc>
        <w:tc>
          <w:tcPr>
            <w:tcW w:w="803" w:type="dxa"/>
          </w:tcPr>
          <w:p w14:paraId="77DEC2BB" w14:textId="77777777" w:rsidR="00964B88" w:rsidRDefault="00964B88">
            <w:pPr>
              <w:cnfStyle w:val="000000000000" w:firstRow="0" w:lastRow="0" w:firstColumn="0" w:lastColumn="0" w:oddVBand="0" w:evenVBand="0" w:oddHBand="0" w:evenHBand="0" w:firstRowFirstColumn="0" w:firstRowLastColumn="0" w:lastRowFirstColumn="0" w:lastRowLastColumn="0"/>
            </w:pPr>
            <w:r>
              <w:t>6 374</w:t>
            </w:r>
          </w:p>
        </w:tc>
        <w:tc>
          <w:tcPr>
            <w:tcW w:w="803" w:type="dxa"/>
          </w:tcPr>
          <w:p w14:paraId="37E17C77" w14:textId="77777777" w:rsidR="00964B88" w:rsidRDefault="00964B88">
            <w:pPr>
              <w:cnfStyle w:val="000000000000" w:firstRow="0" w:lastRow="0" w:firstColumn="0" w:lastColumn="0" w:oddVBand="0" w:evenVBand="0" w:oddHBand="0" w:evenHBand="0" w:firstRowFirstColumn="0" w:firstRowLastColumn="0" w:lastRowFirstColumn="0" w:lastRowLastColumn="0"/>
            </w:pPr>
            <w:r>
              <w:t>5 331</w:t>
            </w:r>
          </w:p>
        </w:tc>
        <w:tc>
          <w:tcPr>
            <w:tcW w:w="803" w:type="dxa"/>
          </w:tcPr>
          <w:p w14:paraId="6070B6DF" w14:textId="77777777" w:rsidR="00964B88" w:rsidRDefault="00964B88">
            <w:pPr>
              <w:cnfStyle w:val="000000000000" w:firstRow="0" w:lastRow="0" w:firstColumn="0" w:lastColumn="0" w:oddVBand="0" w:evenVBand="0" w:oddHBand="0" w:evenHBand="0" w:firstRowFirstColumn="0" w:firstRowLastColumn="0" w:lastRowFirstColumn="0" w:lastRowLastColumn="0"/>
            </w:pPr>
            <w:r>
              <w:t>2 583</w:t>
            </w:r>
          </w:p>
        </w:tc>
        <w:tc>
          <w:tcPr>
            <w:tcW w:w="803" w:type="dxa"/>
          </w:tcPr>
          <w:p w14:paraId="5F247A74" w14:textId="77777777" w:rsidR="00964B88" w:rsidRDefault="00964B88">
            <w:pPr>
              <w:cnfStyle w:val="000000000000" w:firstRow="0" w:lastRow="0" w:firstColumn="0" w:lastColumn="0" w:oddVBand="0" w:evenVBand="0" w:oddHBand="0" w:evenHBand="0" w:firstRowFirstColumn="0" w:firstRowLastColumn="0" w:lastRowFirstColumn="0" w:lastRowLastColumn="0"/>
            </w:pPr>
            <w:r>
              <w:t>1 628</w:t>
            </w:r>
          </w:p>
        </w:tc>
      </w:tr>
      <w:tr w:rsidR="00964B88" w14:paraId="356DA1D8" w14:textId="77777777">
        <w:tc>
          <w:tcPr>
            <w:cnfStyle w:val="001000000000" w:firstRow="0" w:lastRow="0" w:firstColumn="1" w:lastColumn="0" w:oddVBand="0" w:evenVBand="0" w:oddHBand="0" w:evenHBand="0" w:firstRowFirstColumn="0" w:firstRowLastColumn="0" w:lastRowFirstColumn="0" w:lastRowLastColumn="0"/>
            <w:tcW w:w="3753" w:type="dxa"/>
          </w:tcPr>
          <w:p w14:paraId="19AB6799" w14:textId="77777777" w:rsidR="00964B88" w:rsidRDefault="00964B88">
            <w:r>
              <w:t>Treasury and Finance</w:t>
            </w:r>
          </w:p>
        </w:tc>
        <w:tc>
          <w:tcPr>
            <w:tcW w:w="803" w:type="dxa"/>
          </w:tcPr>
          <w:p w14:paraId="5FB229BA" w14:textId="77777777" w:rsidR="00964B88" w:rsidRDefault="00964B88">
            <w:pPr>
              <w:cnfStyle w:val="000000000000" w:firstRow="0" w:lastRow="0" w:firstColumn="0" w:lastColumn="0" w:oddVBand="0" w:evenVBand="0" w:oddHBand="0" w:evenHBand="0" w:firstRowFirstColumn="0" w:firstRowLastColumn="0" w:lastRowFirstColumn="0" w:lastRowLastColumn="0"/>
            </w:pPr>
            <w:r>
              <w:t>33</w:t>
            </w:r>
          </w:p>
        </w:tc>
        <w:tc>
          <w:tcPr>
            <w:tcW w:w="803" w:type="dxa"/>
          </w:tcPr>
          <w:p w14:paraId="50F7B9E8" w14:textId="77777777" w:rsidR="00964B88" w:rsidRDefault="00964B88">
            <w:pPr>
              <w:cnfStyle w:val="000000000000" w:firstRow="0" w:lastRow="0" w:firstColumn="0" w:lastColumn="0" w:oddVBand="0" w:evenVBand="0" w:oddHBand="0" w:evenHBand="0" w:firstRowFirstColumn="0" w:firstRowLastColumn="0" w:lastRowFirstColumn="0" w:lastRowLastColumn="0"/>
            </w:pPr>
            <w:r>
              <w:t>33</w:t>
            </w:r>
          </w:p>
        </w:tc>
        <w:tc>
          <w:tcPr>
            <w:tcW w:w="803" w:type="dxa"/>
          </w:tcPr>
          <w:p w14:paraId="4AA3E45A" w14:textId="77777777" w:rsidR="00964B88" w:rsidRDefault="00964B88">
            <w:pPr>
              <w:cnfStyle w:val="000000000000" w:firstRow="0" w:lastRow="0" w:firstColumn="0" w:lastColumn="0" w:oddVBand="0" w:evenVBand="0" w:oddHBand="0" w:evenHBand="0" w:firstRowFirstColumn="0" w:firstRowLastColumn="0" w:lastRowFirstColumn="0" w:lastRowLastColumn="0"/>
            </w:pPr>
            <w:r>
              <w:t>18</w:t>
            </w:r>
          </w:p>
        </w:tc>
        <w:tc>
          <w:tcPr>
            <w:tcW w:w="803" w:type="dxa"/>
          </w:tcPr>
          <w:p w14:paraId="0C7C4031" w14:textId="77777777" w:rsidR="00964B88" w:rsidRDefault="00964B88">
            <w:pPr>
              <w:cnfStyle w:val="000000000000" w:firstRow="0" w:lastRow="0" w:firstColumn="0" w:lastColumn="0" w:oddVBand="0" w:evenVBand="0" w:oddHBand="0" w:evenHBand="0" w:firstRowFirstColumn="0" w:firstRowLastColumn="0" w:lastRowFirstColumn="0" w:lastRowLastColumn="0"/>
            </w:pPr>
            <w:r>
              <w:t>15</w:t>
            </w:r>
          </w:p>
        </w:tc>
        <w:tc>
          <w:tcPr>
            <w:tcW w:w="803" w:type="dxa"/>
          </w:tcPr>
          <w:p w14:paraId="15B75612" w14:textId="77777777" w:rsidR="00964B88" w:rsidRDefault="00964B88">
            <w:pPr>
              <w:cnfStyle w:val="000000000000" w:firstRow="0" w:lastRow="0" w:firstColumn="0" w:lastColumn="0" w:oddVBand="0" w:evenVBand="0" w:oddHBand="0" w:evenHBand="0" w:firstRowFirstColumn="0" w:firstRowLastColumn="0" w:lastRowFirstColumn="0" w:lastRowLastColumn="0"/>
            </w:pPr>
            <w:r>
              <w:t>15</w:t>
            </w:r>
          </w:p>
        </w:tc>
      </w:tr>
      <w:tr w:rsidR="00964B88" w14:paraId="36C826D6" w14:textId="77777777">
        <w:tc>
          <w:tcPr>
            <w:cnfStyle w:val="001000000000" w:firstRow="0" w:lastRow="0" w:firstColumn="1" w:lastColumn="0" w:oddVBand="0" w:evenVBand="0" w:oddHBand="0" w:evenHBand="0" w:firstRowFirstColumn="0" w:firstRowLastColumn="0" w:lastRowFirstColumn="0" w:lastRowLastColumn="0"/>
            <w:tcW w:w="3753" w:type="dxa"/>
          </w:tcPr>
          <w:p w14:paraId="49E6A2E0" w14:textId="77777777" w:rsidR="00964B88" w:rsidRDefault="00964B88">
            <w:r>
              <w:t>Parliament</w:t>
            </w:r>
          </w:p>
        </w:tc>
        <w:tc>
          <w:tcPr>
            <w:tcW w:w="803" w:type="dxa"/>
          </w:tcPr>
          <w:p w14:paraId="30034930"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c>
          <w:tcPr>
            <w:tcW w:w="803" w:type="dxa"/>
          </w:tcPr>
          <w:p w14:paraId="091B79CD" w14:textId="77777777" w:rsidR="00964B88" w:rsidRDefault="00964B88">
            <w:pPr>
              <w:cnfStyle w:val="000000000000" w:firstRow="0" w:lastRow="0" w:firstColumn="0" w:lastColumn="0" w:oddVBand="0" w:evenVBand="0" w:oddHBand="0" w:evenHBand="0" w:firstRowFirstColumn="0" w:firstRowLastColumn="0" w:lastRowFirstColumn="0" w:lastRowLastColumn="0"/>
            </w:pPr>
            <w:r>
              <w:t>10</w:t>
            </w:r>
          </w:p>
        </w:tc>
        <w:tc>
          <w:tcPr>
            <w:tcW w:w="803" w:type="dxa"/>
          </w:tcPr>
          <w:p w14:paraId="7E1C6C42"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03" w:type="dxa"/>
          </w:tcPr>
          <w:p w14:paraId="2372286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03" w:type="dxa"/>
          </w:tcPr>
          <w:p w14:paraId="6D85883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033C1D3C" w14:textId="77777777">
        <w:tc>
          <w:tcPr>
            <w:cnfStyle w:val="001000000000" w:firstRow="0" w:lastRow="0" w:firstColumn="1" w:lastColumn="0" w:oddVBand="0" w:evenVBand="0" w:oddHBand="0" w:evenHBand="0" w:firstRowFirstColumn="0" w:firstRowLastColumn="0" w:lastRowFirstColumn="0" w:lastRowLastColumn="0"/>
            <w:tcW w:w="3753" w:type="dxa"/>
          </w:tcPr>
          <w:p w14:paraId="3786ACB2" w14:textId="77777777" w:rsidR="00964B88" w:rsidRDefault="00964B88">
            <w:r>
              <w:t>Courts</w:t>
            </w:r>
          </w:p>
        </w:tc>
        <w:tc>
          <w:tcPr>
            <w:tcW w:w="803" w:type="dxa"/>
          </w:tcPr>
          <w:p w14:paraId="449BF10B" w14:textId="77777777" w:rsidR="00964B88" w:rsidRDefault="00964B88">
            <w:pPr>
              <w:cnfStyle w:val="000000000000" w:firstRow="0" w:lastRow="0" w:firstColumn="0" w:lastColumn="0" w:oddVBand="0" w:evenVBand="0" w:oddHBand="0" w:evenHBand="0" w:firstRowFirstColumn="0" w:firstRowLastColumn="0" w:lastRowFirstColumn="0" w:lastRowLastColumn="0"/>
            </w:pPr>
            <w:r>
              <w:t>83</w:t>
            </w:r>
          </w:p>
        </w:tc>
        <w:tc>
          <w:tcPr>
            <w:tcW w:w="803" w:type="dxa"/>
          </w:tcPr>
          <w:p w14:paraId="2D7B1EAB" w14:textId="77777777" w:rsidR="00964B88" w:rsidRDefault="00964B88">
            <w:pPr>
              <w:cnfStyle w:val="000000000000" w:firstRow="0" w:lastRow="0" w:firstColumn="0" w:lastColumn="0" w:oddVBand="0" w:evenVBand="0" w:oddHBand="0" w:evenHBand="0" w:firstRowFirstColumn="0" w:firstRowLastColumn="0" w:lastRowFirstColumn="0" w:lastRowLastColumn="0"/>
            </w:pPr>
            <w:r>
              <w:t>116</w:t>
            </w:r>
          </w:p>
        </w:tc>
        <w:tc>
          <w:tcPr>
            <w:tcW w:w="803" w:type="dxa"/>
          </w:tcPr>
          <w:p w14:paraId="675460A2" w14:textId="77777777" w:rsidR="00964B88" w:rsidRDefault="00964B88">
            <w:pPr>
              <w:cnfStyle w:val="000000000000" w:firstRow="0" w:lastRow="0" w:firstColumn="0" w:lastColumn="0" w:oddVBand="0" w:evenVBand="0" w:oddHBand="0" w:evenHBand="0" w:firstRowFirstColumn="0" w:firstRowLastColumn="0" w:lastRowFirstColumn="0" w:lastRowLastColumn="0"/>
            </w:pPr>
            <w:r>
              <w:t>119</w:t>
            </w:r>
          </w:p>
        </w:tc>
        <w:tc>
          <w:tcPr>
            <w:tcW w:w="803" w:type="dxa"/>
          </w:tcPr>
          <w:p w14:paraId="2B0C10E0" w14:textId="77777777" w:rsidR="00964B88" w:rsidRDefault="00964B88">
            <w:pPr>
              <w:cnfStyle w:val="000000000000" w:firstRow="0" w:lastRow="0" w:firstColumn="0" w:lastColumn="0" w:oddVBand="0" w:evenVBand="0" w:oddHBand="0" w:evenHBand="0" w:firstRowFirstColumn="0" w:firstRowLastColumn="0" w:lastRowFirstColumn="0" w:lastRowLastColumn="0"/>
            </w:pPr>
            <w:r>
              <w:t>80</w:t>
            </w:r>
          </w:p>
        </w:tc>
        <w:tc>
          <w:tcPr>
            <w:tcW w:w="803" w:type="dxa"/>
          </w:tcPr>
          <w:p w14:paraId="08F03C0B"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r>
      <w:tr w:rsidR="00964B88" w14:paraId="7D159012" w14:textId="77777777">
        <w:tc>
          <w:tcPr>
            <w:cnfStyle w:val="001000000000" w:firstRow="0" w:lastRow="0" w:firstColumn="1" w:lastColumn="0" w:oddVBand="0" w:evenVBand="0" w:oddHBand="0" w:evenHBand="0" w:firstRowFirstColumn="0" w:firstRowLastColumn="0" w:lastRowFirstColumn="0" w:lastRowLastColumn="0"/>
            <w:tcW w:w="3753" w:type="dxa"/>
          </w:tcPr>
          <w:p w14:paraId="343A32DB" w14:textId="77777777" w:rsidR="00964B88" w:rsidRDefault="00964B88">
            <w:r>
              <w:t>Regulatory bodies and other part funded agencies</w:t>
            </w:r>
            <w:r>
              <w:rPr>
                <w:vertAlign w:val="superscript"/>
              </w:rPr>
              <w:t xml:space="preserve"> (a)</w:t>
            </w:r>
          </w:p>
        </w:tc>
        <w:tc>
          <w:tcPr>
            <w:tcW w:w="803" w:type="dxa"/>
          </w:tcPr>
          <w:p w14:paraId="37BDCDE8" w14:textId="77777777" w:rsidR="00964B88" w:rsidRDefault="00964B88">
            <w:pPr>
              <w:cnfStyle w:val="000000000000" w:firstRow="0" w:lastRow="0" w:firstColumn="0" w:lastColumn="0" w:oddVBand="0" w:evenVBand="0" w:oddHBand="0" w:evenHBand="0" w:firstRowFirstColumn="0" w:firstRowLastColumn="0" w:lastRowFirstColumn="0" w:lastRowLastColumn="0"/>
            </w:pPr>
            <w:r>
              <w:t>265</w:t>
            </w:r>
          </w:p>
        </w:tc>
        <w:tc>
          <w:tcPr>
            <w:tcW w:w="803" w:type="dxa"/>
          </w:tcPr>
          <w:p w14:paraId="07911FAA" w14:textId="77777777" w:rsidR="00964B88" w:rsidRDefault="00964B88">
            <w:pPr>
              <w:cnfStyle w:val="000000000000" w:firstRow="0" w:lastRow="0" w:firstColumn="0" w:lastColumn="0" w:oddVBand="0" w:evenVBand="0" w:oddHBand="0" w:evenHBand="0" w:firstRowFirstColumn="0" w:firstRowLastColumn="0" w:lastRowFirstColumn="0" w:lastRowLastColumn="0"/>
            </w:pPr>
            <w:r>
              <w:t>342</w:t>
            </w:r>
          </w:p>
        </w:tc>
        <w:tc>
          <w:tcPr>
            <w:tcW w:w="803" w:type="dxa"/>
          </w:tcPr>
          <w:p w14:paraId="65788330" w14:textId="77777777" w:rsidR="00964B88" w:rsidRDefault="00964B88">
            <w:pPr>
              <w:cnfStyle w:val="000000000000" w:firstRow="0" w:lastRow="0" w:firstColumn="0" w:lastColumn="0" w:oddVBand="0" w:evenVBand="0" w:oddHBand="0" w:evenHBand="0" w:firstRowFirstColumn="0" w:firstRowLastColumn="0" w:lastRowFirstColumn="0" w:lastRowLastColumn="0"/>
            </w:pPr>
            <w:r>
              <w:t>192</w:t>
            </w:r>
          </w:p>
        </w:tc>
        <w:tc>
          <w:tcPr>
            <w:tcW w:w="803" w:type="dxa"/>
          </w:tcPr>
          <w:p w14:paraId="5B4DBEBF" w14:textId="77777777" w:rsidR="00964B88" w:rsidRDefault="00964B88">
            <w:pPr>
              <w:cnfStyle w:val="000000000000" w:firstRow="0" w:lastRow="0" w:firstColumn="0" w:lastColumn="0" w:oddVBand="0" w:evenVBand="0" w:oddHBand="0" w:evenHBand="0" w:firstRowFirstColumn="0" w:firstRowLastColumn="0" w:lastRowFirstColumn="0" w:lastRowLastColumn="0"/>
            </w:pPr>
            <w:r>
              <w:t>143</w:t>
            </w:r>
          </w:p>
        </w:tc>
        <w:tc>
          <w:tcPr>
            <w:tcW w:w="803" w:type="dxa"/>
          </w:tcPr>
          <w:p w14:paraId="509B9E52" w14:textId="77777777" w:rsidR="00964B88" w:rsidRDefault="00964B88">
            <w:pPr>
              <w:cnfStyle w:val="000000000000" w:firstRow="0" w:lastRow="0" w:firstColumn="0" w:lastColumn="0" w:oddVBand="0" w:evenVBand="0" w:oddHBand="0" w:evenHBand="0" w:firstRowFirstColumn="0" w:firstRowLastColumn="0" w:lastRowFirstColumn="0" w:lastRowLastColumn="0"/>
            </w:pPr>
            <w:r>
              <w:t>114</w:t>
            </w:r>
          </w:p>
        </w:tc>
      </w:tr>
      <w:tr w:rsidR="00964B88" w14:paraId="12F13E01" w14:textId="77777777">
        <w:tc>
          <w:tcPr>
            <w:cnfStyle w:val="001000000000" w:firstRow="0" w:lastRow="0" w:firstColumn="1" w:lastColumn="0" w:oddVBand="0" w:evenVBand="0" w:oddHBand="0" w:evenHBand="0" w:firstRowFirstColumn="0" w:firstRowLastColumn="0" w:lastRowFirstColumn="0" w:lastRowLastColumn="0"/>
            <w:tcW w:w="3753" w:type="dxa"/>
          </w:tcPr>
          <w:p w14:paraId="3F44EC0A" w14:textId="77777777" w:rsidR="00964B88" w:rsidRDefault="00964B88">
            <w:r>
              <w:t>Asset contingencies not allocated to departments</w:t>
            </w:r>
            <w:r>
              <w:rPr>
                <w:vertAlign w:val="superscript"/>
              </w:rPr>
              <w:t xml:space="preserve"> (b)</w:t>
            </w:r>
          </w:p>
        </w:tc>
        <w:tc>
          <w:tcPr>
            <w:tcW w:w="803" w:type="dxa"/>
          </w:tcPr>
          <w:p w14:paraId="52200BE1" w14:textId="77777777" w:rsidR="00964B88" w:rsidRDefault="00964B88">
            <w:pPr>
              <w:cnfStyle w:val="000000000000" w:firstRow="0" w:lastRow="0" w:firstColumn="0" w:lastColumn="0" w:oddVBand="0" w:evenVBand="0" w:oddHBand="0" w:evenHBand="0" w:firstRowFirstColumn="0" w:firstRowLastColumn="0" w:lastRowFirstColumn="0" w:lastRowLastColumn="0"/>
            </w:pPr>
            <w:r>
              <w:t>3 125</w:t>
            </w:r>
          </w:p>
        </w:tc>
        <w:tc>
          <w:tcPr>
            <w:tcW w:w="803" w:type="dxa"/>
          </w:tcPr>
          <w:p w14:paraId="3274A52F" w14:textId="77777777" w:rsidR="00964B88" w:rsidRDefault="00964B88">
            <w:pPr>
              <w:cnfStyle w:val="000000000000" w:firstRow="0" w:lastRow="0" w:firstColumn="0" w:lastColumn="0" w:oddVBand="0" w:evenVBand="0" w:oddHBand="0" w:evenHBand="0" w:firstRowFirstColumn="0" w:firstRowLastColumn="0" w:lastRowFirstColumn="0" w:lastRowLastColumn="0"/>
            </w:pPr>
            <w:r>
              <w:t>3 204</w:t>
            </w:r>
          </w:p>
        </w:tc>
        <w:tc>
          <w:tcPr>
            <w:tcW w:w="803" w:type="dxa"/>
          </w:tcPr>
          <w:p w14:paraId="3FF1CBE0" w14:textId="77777777" w:rsidR="00964B88" w:rsidRDefault="00964B88">
            <w:pPr>
              <w:cnfStyle w:val="000000000000" w:firstRow="0" w:lastRow="0" w:firstColumn="0" w:lastColumn="0" w:oddVBand="0" w:evenVBand="0" w:oddHBand="0" w:evenHBand="0" w:firstRowFirstColumn="0" w:firstRowLastColumn="0" w:lastRowFirstColumn="0" w:lastRowLastColumn="0"/>
            </w:pPr>
            <w:r>
              <w:t>3 861</w:t>
            </w:r>
          </w:p>
        </w:tc>
        <w:tc>
          <w:tcPr>
            <w:tcW w:w="803" w:type="dxa"/>
          </w:tcPr>
          <w:p w14:paraId="3A271503" w14:textId="77777777" w:rsidR="00964B88" w:rsidRDefault="00964B88">
            <w:pPr>
              <w:cnfStyle w:val="000000000000" w:firstRow="0" w:lastRow="0" w:firstColumn="0" w:lastColumn="0" w:oddVBand="0" w:evenVBand="0" w:oddHBand="0" w:evenHBand="0" w:firstRowFirstColumn="0" w:firstRowLastColumn="0" w:lastRowFirstColumn="0" w:lastRowLastColumn="0"/>
            </w:pPr>
            <w:r>
              <w:t>4 731</w:t>
            </w:r>
          </w:p>
        </w:tc>
        <w:tc>
          <w:tcPr>
            <w:tcW w:w="803" w:type="dxa"/>
          </w:tcPr>
          <w:p w14:paraId="085DD641" w14:textId="77777777" w:rsidR="00964B88" w:rsidRDefault="00964B88">
            <w:pPr>
              <w:cnfStyle w:val="000000000000" w:firstRow="0" w:lastRow="0" w:firstColumn="0" w:lastColumn="0" w:oddVBand="0" w:evenVBand="0" w:oddHBand="0" w:evenHBand="0" w:firstRowFirstColumn="0" w:firstRowLastColumn="0" w:lastRowFirstColumn="0" w:lastRowLastColumn="0"/>
            </w:pPr>
            <w:r>
              <w:t>7 587</w:t>
            </w:r>
          </w:p>
        </w:tc>
      </w:tr>
      <w:tr w:rsidR="00964B88" w14:paraId="68F08EFD" w14:textId="77777777" w:rsidTr="00F53820">
        <w:tc>
          <w:tcPr>
            <w:cnfStyle w:val="001000000000" w:firstRow="0" w:lastRow="0" w:firstColumn="1" w:lastColumn="0" w:oddVBand="0" w:evenVBand="0" w:oddHBand="0" w:evenHBand="0" w:firstRowFirstColumn="0" w:firstRowLastColumn="0" w:lastRowFirstColumn="0" w:lastRowLastColumn="0"/>
            <w:tcW w:w="3753" w:type="dxa"/>
            <w:tcBorders>
              <w:bottom w:val="single" w:sz="6" w:space="0" w:color="auto"/>
            </w:tcBorders>
          </w:tcPr>
          <w:p w14:paraId="4BE45D4B" w14:textId="77777777" w:rsidR="00964B88" w:rsidRDefault="00964B88">
            <w:r>
              <w:t>Adjustments</w:t>
            </w:r>
            <w:r>
              <w:rPr>
                <w:vertAlign w:val="superscript"/>
              </w:rPr>
              <w:t xml:space="preserve"> (c)</w:t>
            </w:r>
          </w:p>
        </w:tc>
        <w:tc>
          <w:tcPr>
            <w:tcW w:w="803" w:type="dxa"/>
            <w:tcBorders>
              <w:bottom w:val="single" w:sz="6" w:space="0" w:color="auto"/>
            </w:tcBorders>
          </w:tcPr>
          <w:p w14:paraId="12DBD12D" w14:textId="77777777" w:rsidR="00964B88" w:rsidRDefault="00964B88">
            <w:pPr>
              <w:cnfStyle w:val="000000000000" w:firstRow="0" w:lastRow="0" w:firstColumn="0" w:lastColumn="0" w:oddVBand="0" w:evenVBand="0" w:oddHBand="0" w:evenHBand="0" w:firstRowFirstColumn="0" w:firstRowLastColumn="0" w:lastRowFirstColumn="0" w:lastRowLastColumn="0"/>
            </w:pPr>
            <w:r>
              <w:t>(1 561)</w:t>
            </w:r>
          </w:p>
        </w:tc>
        <w:tc>
          <w:tcPr>
            <w:tcW w:w="803" w:type="dxa"/>
            <w:tcBorders>
              <w:bottom w:val="single" w:sz="6" w:space="0" w:color="auto"/>
            </w:tcBorders>
          </w:tcPr>
          <w:p w14:paraId="15F47767" w14:textId="77777777" w:rsidR="00964B88" w:rsidRDefault="00964B88">
            <w:pPr>
              <w:cnfStyle w:val="000000000000" w:firstRow="0" w:lastRow="0" w:firstColumn="0" w:lastColumn="0" w:oddVBand="0" w:evenVBand="0" w:oddHBand="0" w:evenHBand="0" w:firstRowFirstColumn="0" w:firstRowLastColumn="0" w:lastRowFirstColumn="0" w:lastRowLastColumn="0"/>
            </w:pPr>
            <w:r>
              <w:t>(1 635)</w:t>
            </w:r>
          </w:p>
        </w:tc>
        <w:tc>
          <w:tcPr>
            <w:tcW w:w="803" w:type="dxa"/>
            <w:tcBorders>
              <w:bottom w:val="single" w:sz="6" w:space="0" w:color="auto"/>
            </w:tcBorders>
          </w:tcPr>
          <w:p w14:paraId="5E956BE7" w14:textId="77777777" w:rsidR="00964B88" w:rsidRDefault="00964B88">
            <w:pPr>
              <w:cnfStyle w:val="000000000000" w:firstRow="0" w:lastRow="0" w:firstColumn="0" w:lastColumn="0" w:oddVBand="0" w:evenVBand="0" w:oddHBand="0" w:evenHBand="0" w:firstRowFirstColumn="0" w:firstRowLastColumn="0" w:lastRowFirstColumn="0" w:lastRowLastColumn="0"/>
            </w:pPr>
            <w:r>
              <w:t>(272)</w:t>
            </w:r>
          </w:p>
        </w:tc>
        <w:tc>
          <w:tcPr>
            <w:tcW w:w="803" w:type="dxa"/>
            <w:tcBorders>
              <w:bottom w:val="single" w:sz="6" w:space="0" w:color="auto"/>
            </w:tcBorders>
          </w:tcPr>
          <w:p w14:paraId="255973AE" w14:textId="77777777" w:rsidR="00964B88" w:rsidRDefault="00964B88">
            <w:pPr>
              <w:cnfStyle w:val="000000000000" w:firstRow="0" w:lastRow="0" w:firstColumn="0" w:lastColumn="0" w:oddVBand="0" w:evenVBand="0" w:oddHBand="0" w:evenHBand="0" w:firstRowFirstColumn="0" w:firstRowLastColumn="0" w:lastRowFirstColumn="0" w:lastRowLastColumn="0"/>
            </w:pPr>
            <w:r>
              <w:t>131</w:t>
            </w:r>
          </w:p>
        </w:tc>
        <w:tc>
          <w:tcPr>
            <w:tcW w:w="803" w:type="dxa"/>
            <w:tcBorders>
              <w:bottom w:val="single" w:sz="6" w:space="0" w:color="auto"/>
            </w:tcBorders>
          </w:tcPr>
          <w:p w14:paraId="73B7B03A" w14:textId="77777777" w:rsidR="00964B88" w:rsidRDefault="00964B88">
            <w:pPr>
              <w:cnfStyle w:val="000000000000" w:firstRow="0" w:lastRow="0" w:firstColumn="0" w:lastColumn="0" w:oddVBand="0" w:evenVBand="0" w:oddHBand="0" w:evenHBand="0" w:firstRowFirstColumn="0" w:firstRowLastColumn="0" w:lastRowFirstColumn="0" w:lastRowLastColumn="0"/>
            </w:pPr>
            <w:r>
              <w:t>906</w:t>
            </w:r>
          </w:p>
        </w:tc>
      </w:tr>
      <w:tr w:rsidR="00964B88" w14:paraId="1123F016"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tcPr>
          <w:p w14:paraId="6FAA6BBB" w14:textId="77777777" w:rsidR="00964B88" w:rsidRDefault="00964B88">
            <w:r>
              <w:t>Total purchases of non</w:t>
            </w:r>
            <w:r>
              <w:noBreakHyphen/>
              <w:t>financial assets</w:t>
            </w:r>
          </w:p>
        </w:tc>
        <w:tc>
          <w:tcPr>
            <w:tcW w:w="803" w:type="dxa"/>
          </w:tcPr>
          <w:p w14:paraId="77F3CD61" w14:textId="77777777" w:rsidR="00964B88" w:rsidRDefault="00964B88">
            <w:pPr>
              <w:cnfStyle w:val="010000000000" w:firstRow="0" w:lastRow="1" w:firstColumn="0" w:lastColumn="0" w:oddVBand="0" w:evenVBand="0" w:oddHBand="0" w:evenHBand="0" w:firstRowFirstColumn="0" w:firstRowLastColumn="0" w:lastRowFirstColumn="0" w:lastRowLastColumn="0"/>
            </w:pPr>
            <w:r>
              <w:t>13 102</w:t>
            </w:r>
          </w:p>
        </w:tc>
        <w:tc>
          <w:tcPr>
            <w:tcW w:w="803" w:type="dxa"/>
          </w:tcPr>
          <w:p w14:paraId="5F1B0A88" w14:textId="77777777" w:rsidR="00964B88" w:rsidRDefault="00964B88">
            <w:pPr>
              <w:cnfStyle w:val="010000000000" w:firstRow="0" w:lastRow="1" w:firstColumn="0" w:lastColumn="0" w:oddVBand="0" w:evenVBand="0" w:oddHBand="0" w:evenHBand="0" w:firstRowFirstColumn="0" w:firstRowLastColumn="0" w:lastRowFirstColumn="0" w:lastRowLastColumn="0"/>
            </w:pPr>
            <w:r>
              <w:t>13 290</w:t>
            </w:r>
          </w:p>
        </w:tc>
        <w:tc>
          <w:tcPr>
            <w:tcW w:w="803" w:type="dxa"/>
          </w:tcPr>
          <w:p w14:paraId="2B6FECD5" w14:textId="77777777" w:rsidR="00964B88" w:rsidRDefault="00964B88">
            <w:pPr>
              <w:cnfStyle w:val="010000000000" w:firstRow="0" w:lastRow="1" w:firstColumn="0" w:lastColumn="0" w:oddVBand="0" w:evenVBand="0" w:oddHBand="0" w:evenHBand="0" w:firstRowFirstColumn="0" w:firstRowLastColumn="0" w:lastRowFirstColumn="0" w:lastRowLastColumn="0"/>
            </w:pPr>
            <w:r>
              <w:t>12 196</w:t>
            </w:r>
          </w:p>
        </w:tc>
        <w:tc>
          <w:tcPr>
            <w:tcW w:w="803" w:type="dxa"/>
          </w:tcPr>
          <w:p w14:paraId="7FDD70A8" w14:textId="77777777" w:rsidR="00964B88" w:rsidRDefault="00964B88">
            <w:pPr>
              <w:cnfStyle w:val="010000000000" w:firstRow="0" w:lastRow="1" w:firstColumn="0" w:lastColumn="0" w:oddVBand="0" w:evenVBand="0" w:oddHBand="0" w:evenHBand="0" w:firstRowFirstColumn="0" w:firstRowLastColumn="0" w:lastRowFirstColumn="0" w:lastRowLastColumn="0"/>
            </w:pPr>
            <w:r>
              <w:t>9 096</w:t>
            </w:r>
          </w:p>
        </w:tc>
        <w:tc>
          <w:tcPr>
            <w:tcW w:w="803" w:type="dxa"/>
          </w:tcPr>
          <w:p w14:paraId="6D37CF98" w14:textId="77777777" w:rsidR="00964B88" w:rsidRDefault="00964B88">
            <w:pPr>
              <w:cnfStyle w:val="010000000000" w:firstRow="0" w:lastRow="1" w:firstColumn="0" w:lastColumn="0" w:oddVBand="0" w:evenVBand="0" w:oddHBand="0" w:evenHBand="0" w:firstRowFirstColumn="0" w:firstRowLastColumn="0" w:lastRowFirstColumn="0" w:lastRowLastColumn="0"/>
            </w:pPr>
            <w:r>
              <w:t>10 937</w:t>
            </w:r>
          </w:p>
        </w:tc>
      </w:tr>
    </w:tbl>
    <w:p w14:paraId="2ABE24D4" w14:textId="77777777" w:rsidR="00964B88" w:rsidRPr="00697AD9" w:rsidRDefault="00964B88" w:rsidP="00F53820">
      <w:pPr>
        <w:pStyle w:val="Note"/>
      </w:pPr>
      <w:r w:rsidRPr="00697AD9">
        <w:t>Notes:</w:t>
      </w:r>
    </w:p>
    <w:p w14:paraId="5B97B2A1" w14:textId="77777777" w:rsidR="00964B88" w:rsidRPr="00697AD9" w:rsidRDefault="00964B88" w:rsidP="00F53820">
      <w:pPr>
        <w:pStyle w:val="Note"/>
      </w:pPr>
      <w:r w:rsidRPr="00697AD9">
        <w:t>(a)</w:t>
      </w:r>
      <w:r w:rsidRPr="00697AD9">
        <w:tab/>
      </w:r>
      <w:r>
        <w:t>Other general government sector agencies not allocated to departmental portfolios.</w:t>
      </w:r>
    </w:p>
    <w:p w14:paraId="65ACAD9E" w14:textId="77777777" w:rsidR="00964B88" w:rsidRDefault="00964B88" w:rsidP="00F53820">
      <w:pPr>
        <w:pStyle w:val="Note"/>
      </w:pPr>
      <w:r w:rsidRPr="00697AD9">
        <w:t>(b)</w:t>
      </w:r>
      <w:r w:rsidRPr="00697AD9">
        <w:tab/>
      </w:r>
      <w:r>
        <w:t>The following table provides a breakdown of the general government sector asset contingencies not allocated to departments.</w:t>
      </w:r>
    </w:p>
    <w:p w14:paraId="2C8D6C27" w14:textId="77777777" w:rsidR="00964B88" w:rsidRDefault="00964B88" w:rsidP="00F53820">
      <w:pPr>
        <w:pStyle w:val="Note"/>
      </w:pPr>
      <w:r>
        <w:t>(c)</w:t>
      </w:r>
      <w:r>
        <w:tab/>
        <w:t>Mainly comprises estimated departmental underspend, which may be subject to carryover and other regulatory bodies and other part funded agencies estimated underspend.</w:t>
      </w:r>
    </w:p>
    <w:p w14:paraId="487AE145" w14:textId="77777777" w:rsidR="00D95F31" w:rsidRPr="00D72444" w:rsidRDefault="00D95F31" w:rsidP="00D95F31"/>
    <w:p w14:paraId="2D20EA63" w14:textId="77777777" w:rsidR="00964B88" w:rsidRDefault="00964B88" w:rsidP="00F53820">
      <w:pPr>
        <w:pStyle w:val="TableHeading"/>
      </w:pPr>
      <w:r>
        <w:lastRenderedPageBreak/>
        <w:t xml:space="preserve">General government asset contingencies not allocated to departments </w:t>
      </w:r>
      <w:r>
        <w:ta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0B3069ED"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62CC9508" w14:textId="77777777" w:rsidR="00964B88" w:rsidRDefault="00964B88"/>
        </w:tc>
        <w:tc>
          <w:tcPr>
            <w:tcW w:w="850" w:type="dxa"/>
          </w:tcPr>
          <w:p w14:paraId="5D7E2F2B"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4CE4679A"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716756C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24784C2F"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360F7CB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74D4D0EE" w14:textId="77777777">
        <w:tc>
          <w:tcPr>
            <w:cnfStyle w:val="001000000000" w:firstRow="0" w:lastRow="0" w:firstColumn="1" w:lastColumn="0" w:oddVBand="0" w:evenVBand="0" w:oddHBand="0" w:evenHBand="0" w:firstRowFirstColumn="0" w:firstRowLastColumn="0" w:lastRowFirstColumn="0" w:lastRowLastColumn="0"/>
            <w:tcW w:w="3518" w:type="dxa"/>
          </w:tcPr>
          <w:p w14:paraId="5B5C5CB9" w14:textId="77777777" w:rsidR="00964B88" w:rsidRDefault="00964B88">
            <w:r>
              <w:t>Decisions made but not yet allocated</w:t>
            </w:r>
            <w:r>
              <w:rPr>
                <w:vertAlign w:val="superscript"/>
              </w:rPr>
              <w:t xml:space="preserve"> (a)</w:t>
            </w:r>
          </w:p>
        </w:tc>
        <w:tc>
          <w:tcPr>
            <w:tcW w:w="850" w:type="dxa"/>
          </w:tcPr>
          <w:p w14:paraId="015E04D2" w14:textId="77777777" w:rsidR="00964B88" w:rsidRDefault="00964B88">
            <w:pPr>
              <w:cnfStyle w:val="000000000000" w:firstRow="0" w:lastRow="0" w:firstColumn="0" w:lastColumn="0" w:oddVBand="0" w:evenVBand="0" w:oddHBand="0" w:evenHBand="0" w:firstRowFirstColumn="0" w:firstRowLastColumn="0" w:lastRowFirstColumn="0" w:lastRowLastColumn="0"/>
            </w:pPr>
            <w:r>
              <w:t>3 125</w:t>
            </w:r>
          </w:p>
        </w:tc>
        <w:tc>
          <w:tcPr>
            <w:tcW w:w="850" w:type="dxa"/>
          </w:tcPr>
          <w:p w14:paraId="0EEB9714" w14:textId="77777777" w:rsidR="00964B88" w:rsidRDefault="00964B88">
            <w:pPr>
              <w:cnfStyle w:val="000000000000" w:firstRow="0" w:lastRow="0" w:firstColumn="0" w:lastColumn="0" w:oddVBand="0" w:evenVBand="0" w:oddHBand="0" w:evenHBand="0" w:firstRowFirstColumn="0" w:firstRowLastColumn="0" w:lastRowFirstColumn="0" w:lastRowLastColumn="0"/>
            </w:pPr>
            <w:r>
              <w:t>3 204</w:t>
            </w:r>
          </w:p>
        </w:tc>
        <w:tc>
          <w:tcPr>
            <w:tcW w:w="850" w:type="dxa"/>
          </w:tcPr>
          <w:p w14:paraId="7F0F82E0" w14:textId="77777777" w:rsidR="00964B88" w:rsidRDefault="00964B88">
            <w:pPr>
              <w:cnfStyle w:val="000000000000" w:firstRow="0" w:lastRow="0" w:firstColumn="0" w:lastColumn="0" w:oddVBand="0" w:evenVBand="0" w:oddHBand="0" w:evenHBand="0" w:firstRowFirstColumn="0" w:firstRowLastColumn="0" w:lastRowFirstColumn="0" w:lastRowLastColumn="0"/>
            </w:pPr>
            <w:r>
              <w:t>3 611</w:t>
            </w:r>
          </w:p>
        </w:tc>
        <w:tc>
          <w:tcPr>
            <w:tcW w:w="850" w:type="dxa"/>
          </w:tcPr>
          <w:p w14:paraId="111CC1F4" w14:textId="77777777" w:rsidR="00964B88" w:rsidRDefault="00964B88">
            <w:pPr>
              <w:cnfStyle w:val="000000000000" w:firstRow="0" w:lastRow="0" w:firstColumn="0" w:lastColumn="0" w:oddVBand="0" w:evenVBand="0" w:oddHBand="0" w:evenHBand="0" w:firstRowFirstColumn="0" w:firstRowLastColumn="0" w:lastRowFirstColumn="0" w:lastRowLastColumn="0"/>
            </w:pPr>
            <w:r>
              <w:t>4 231</w:t>
            </w:r>
          </w:p>
        </w:tc>
        <w:tc>
          <w:tcPr>
            <w:tcW w:w="850" w:type="dxa"/>
          </w:tcPr>
          <w:p w14:paraId="17495F2C" w14:textId="77777777" w:rsidR="00964B88" w:rsidRDefault="00964B88">
            <w:pPr>
              <w:cnfStyle w:val="000000000000" w:firstRow="0" w:lastRow="0" w:firstColumn="0" w:lastColumn="0" w:oddVBand="0" w:evenVBand="0" w:oddHBand="0" w:evenHBand="0" w:firstRowFirstColumn="0" w:firstRowLastColumn="0" w:lastRowFirstColumn="0" w:lastRowLastColumn="0"/>
            </w:pPr>
            <w:r>
              <w:t>6 787</w:t>
            </w:r>
          </w:p>
        </w:tc>
      </w:tr>
      <w:tr w:rsidR="00964B88" w14:paraId="1FCD7E59"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23603246" w14:textId="77777777" w:rsidR="00964B88" w:rsidRDefault="00964B88">
            <w:r>
              <w:t>Funding not allocated to specific purposes</w:t>
            </w:r>
            <w:r>
              <w:rPr>
                <w:vertAlign w:val="superscript"/>
              </w:rPr>
              <w:t xml:space="preserve"> (b)</w:t>
            </w:r>
          </w:p>
        </w:tc>
        <w:tc>
          <w:tcPr>
            <w:tcW w:w="850" w:type="dxa"/>
            <w:tcBorders>
              <w:bottom w:val="single" w:sz="6" w:space="0" w:color="auto"/>
            </w:tcBorders>
          </w:tcPr>
          <w:p w14:paraId="3C756BF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7FBCAA77"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Borders>
              <w:bottom w:val="single" w:sz="6" w:space="0" w:color="auto"/>
            </w:tcBorders>
          </w:tcPr>
          <w:p w14:paraId="03E4841B" w14:textId="77777777" w:rsidR="00964B88" w:rsidRDefault="00964B88">
            <w:pPr>
              <w:cnfStyle w:val="000000000000" w:firstRow="0" w:lastRow="0" w:firstColumn="0" w:lastColumn="0" w:oddVBand="0" w:evenVBand="0" w:oddHBand="0" w:evenHBand="0" w:firstRowFirstColumn="0" w:firstRowLastColumn="0" w:lastRowFirstColumn="0" w:lastRowLastColumn="0"/>
            </w:pPr>
            <w:r>
              <w:t>250</w:t>
            </w:r>
          </w:p>
        </w:tc>
        <w:tc>
          <w:tcPr>
            <w:tcW w:w="850" w:type="dxa"/>
            <w:tcBorders>
              <w:bottom w:val="single" w:sz="6" w:space="0" w:color="auto"/>
            </w:tcBorders>
          </w:tcPr>
          <w:p w14:paraId="70ACB06F" w14:textId="77777777" w:rsidR="00964B88" w:rsidRDefault="00964B88">
            <w:pPr>
              <w:cnfStyle w:val="000000000000" w:firstRow="0" w:lastRow="0" w:firstColumn="0" w:lastColumn="0" w:oddVBand="0" w:evenVBand="0" w:oddHBand="0" w:evenHBand="0" w:firstRowFirstColumn="0" w:firstRowLastColumn="0" w:lastRowFirstColumn="0" w:lastRowLastColumn="0"/>
            </w:pPr>
            <w:r>
              <w:t>500</w:t>
            </w:r>
          </w:p>
        </w:tc>
        <w:tc>
          <w:tcPr>
            <w:tcW w:w="850" w:type="dxa"/>
            <w:tcBorders>
              <w:bottom w:val="single" w:sz="6" w:space="0" w:color="auto"/>
            </w:tcBorders>
          </w:tcPr>
          <w:p w14:paraId="2BF98E1B" w14:textId="77777777" w:rsidR="00964B88" w:rsidRDefault="00964B88">
            <w:pPr>
              <w:cnfStyle w:val="000000000000" w:firstRow="0" w:lastRow="0" w:firstColumn="0" w:lastColumn="0" w:oddVBand="0" w:evenVBand="0" w:oddHBand="0" w:evenHBand="0" w:firstRowFirstColumn="0" w:firstRowLastColumn="0" w:lastRowFirstColumn="0" w:lastRowLastColumn="0"/>
            </w:pPr>
            <w:r>
              <w:t>800</w:t>
            </w:r>
          </w:p>
        </w:tc>
      </w:tr>
      <w:tr w:rsidR="00964B88" w14:paraId="1498D9B1"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2974DC53" w14:textId="77777777" w:rsidR="00964B88" w:rsidRDefault="00964B88">
            <w:r>
              <w:t>Total general government asset contingencies</w:t>
            </w:r>
          </w:p>
        </w:tc>
        <w:tc>
          <w:tcPr>
            <w:tcW w:w="850" w:type="dxa"/>
          </w:tcPr>
          <w:p w14:paraId="03351447" w14:textId="77777777" w:rsidR="00964B88" w:rsidRDefault="00964B88">
            <w:pPr>
              <w:cnfStyle w:val="010000000000" w:firstRow="0" w:lastRow="1" w:firstColumn="0" w:lastColumn="0" w:oddVBand="0" w:evenVBand="0" w:oddHBand="0" w:evenHBand="0" w:firstRowFirstColumn="0" w:firstRowLastColumn="0" w:lastRowFirstColumn="0" w:lastRowLastColumn="0"/>
            </w:pPr>
            <w:r>
              <w:t>3 125</w:t>
            </w:r>
          </w:p>
        </w:tc>
        <w:tc>
          <w:tcPr>
            <w:tcW w:w="850" w:type="dxa"/>
          </w:tcPr>
          <w:p w14:paraId="26579D25" w14:textId="77777777" w:rsidR="00964B88" w:rsidRDefault="00964B88">
            <w:pPr>
              <w:cnfStyle w:val="010000000000" w:firstRow="0" w:lastRow="1" w:firstColumn="0" w:lastColumn="0" w:oddVBand="0" w:evenVBand="0" w:oddHBand="0" w:evenHBand="0" w:firstRowFirstColumn="0" w:firstRowLastColumn="0" w:lastRowFirstColumn="0" w:lastRowLastColumn="0"/>
            </w:pPr>
            <w:r>
              <w:t>3 204</w:t>
            </w:r>
          </w:p>
        </w:tc>
        <w:tc>
          <w:tcPr>
            <w:tcW w:w="850" w:type="dxa"/>
          </w:tcPr>
          <w:p w14:paraId="0A345483" w14:textId="77777777" w:rsidR="00964B88" w:rsidRDefault="00964B88">
            <w:pPr>
              <w:cnfStyle w:val="010000000000" w:firstRow="0" w:lastRow="1" w:firstColumn="0" w:lastColumn="0" w:oddVBand="0" w:evenVBand="0" w:oddHBand="0" w:evenHBand="0" w:firstRowFirstColumn="0" w:firstRowLastColumn="0" w:lastRowFirstColumn="0" w:lastRowLastColumn="0"/>
            </w:pPr>
            <w:r>
              <w:t>3 861</w:t>
            </w:r>
          </w:p>
        </w:tc>
        <w:tc>
          <w:tcPr>
            <w:tcW w:w="850" w:type="dxa"/>
          </w:tcPr>
          <w:p w14:paraId="149AD552" w14:textId="77777777" w:rsidR="00964B88" w:rsidRDefault="00964B88">
            <w:pPr>
              <w:cnfStyle w:val="010000000000" w:firstRow="0" w:lastRow="1" w:firstColumn="0" w:lastColumn="0" w:oddVBand="0" w:evenVBand="0" w:oddHBand="0" w:evenHBand="0" w:firstRowFirstColumn="0" w:firstRowLastColumn="0" w:lastRowFirstColumn="0" w:lastRowLastColumn="0"/>
            </w:pPr>
            <w:r>
              <w:t>4 731</w:t>
            </w:r>
          </w:p>
        </w:tc>
        <w:tc>
          <w:tcPr>
            <w:tcW w:w="850" w:type="dxa"/>
          </w:tcPr>
          <w:p w14:paraId="12F67951" w14:textId="77777777" w:rsidR="00964B88" w:rsidRDefault="00964B88">
            <w:pPr>
              <w:cnfStyle w:val="010000000000" w:firstRow="0" w:lastRow="1" w:firstColumn="0" w:lastColumn="0" w:oddVBand="0" w:evenVBand="0" w:oddHBand="0" w:evenHBand="0" w:firstRowFirstColumn="0" w:firstRowLastColumn="0" w:lastRowFirstColumn="0" w:lastRowLastColumn="0"/>
            </w:pPr>
            <w:r>
              <w:t>7 587</w:t>
            </w:r>
          </w:p>
        </w:tc>
      </w:tr>
    </w:tbl>
    <w:p w14:paraId="46E416CB" w14:textId="77777777" w:rsidR="00964B88" w:rsidRPr="00697AD9" w:rsidRDefault="00964B88" w:rsidP="00F53820">
      <w:pPr>
        <w:pStyle w:val="Note"/>
      </w:pPr>
      <w:r w:rsidRPr="00697AD9">
        <w:t>Notes:</w:t>
      </w:r>
    </w:p>
    <w:p w14:paraId="374B4C21" w14:textId="77777777" w:rsidR="00964B88" w:rsidRDefault="00964B88" w:rsidP="00F53820">
      <w:pPr>
        <w:pStyle w:val="Note"/>
      </w:pPr>
      <w:r w:rsidRPr="00697AD9">
        <w:t>(</w:t>
      </w:r>
      <w:r>
        <w:t>a)</w:t>
      </w:r>
      <w:r>
        <w:tab/>
        <w:t>A provision to account for asset policy decisions for which the funding has yet to be allocated to departments.</w:t>
      </w:r>
    </w:p>
    <w:p w14:paraId="5EB4546B" w14:textId="77777777" w:rsidR="00964B88" w:rsidRDefault="00964B88" w:rsidP="00F53820">
      <w:pPr>
        <w:pStyle w:val="Note"/>
      </w:pPr>
      <w:r>
        <w:t>(b)</w:t>
      </w:r>
      <w:r>
        <w:tab/>
        <w:t>An unallocated provision available for future Government asset investment decisions.</w:t>
      </w:r>
    </w:p>
    <w:p w14:paraId="4717832F" w14:textId="77777777" w:rsidR="00964B88" w:rsidRDefault="00964B88" w:rsidP="00D95F31">
      <w:pPr>
        <w:rPr>
          <w:rStyle w:val="Heading2Char0"/>
          <w:b w:val="0"/>
          <w:sz w:val="20"/>
          <w:szCs w:val="20"/>
        </w:rPr>
      </w:pPr>
    </w:p>
    <w:p w14:paraId="6C1074A5" w14:textId="77777777" w:rsidR="00964B88" w:rsidRDefault="00964B88" w:rsidP="00D95F31">
      <w:pPr>
        <w:rPr>
          <w:rStyle w:val="Heading2Char0"/>
          <w:b w:val="0"/>
          <w:sz w:val="20"/>
          <w:szCs w:val="20"/>
        </w:rPr>
      </w:pPr>
    </w:p>
    <w:p w14:paraId="4E57BE39" w14:textId="77777777" w:rsidR="00964B88" w:rsidRDefault="00964B88" w:rsidP="00964B88">
      <w:pPr>
        <w:pStyle w:val="Heading3"/>
        <w:numPr>
          <w:ilvl w:val="2"/>
          <w:numId w:val="22"/>
        </w:numPr>
        <w:tabs>
          <w:tab w:val="clear" w:pos="7711"/>
          <w:tab w:val="left" w:pos="850"/>
          <w:tab w:val="right" w:pos="7710"/>
        </w:tabs>
        <w:spacing w:after="60"/>
      </w:pPr>
      <w:bookmarkStart w:id="98" w:name="_Toc530147966"/>
      <w:r w:rsidRPr="00833B8D">
        <w:t xml:space="preserve">Net </w:t>
      </w:r>
      <w:r w:rsidRPr="004E4D8E">
        <w:t>acquisition</w:t>
      </w:r>
      <w:r w:rsidRPr="00833B8D">
        <w:t xml:space="preserve"> of non-financial assets from transactions</w:t>
      </w:r>
      <w:r w:rsidRPr="00833B8D">
        <w:tab/>
        <w:t>($ million)</w:t>
      </w:r>
      <w:bookmarkEnd w:id="98"/>
    </w:p>
    <w:tbl>
      <w:tblPr>
        <w:tblStyle w:val="DTFTable"/>
        <w:tblW w:w="7768" w:type="dxa"/>
        <w:tblLayout w:type="fixed"/>
        <w:tblLook w:val="06E0" w:firstRow="1" w:lastRow="1" w:firstColumn="1" w:lastColumn="0" w:noHBand="1" w:noVBand="1"/>
      </w:tblPr>
      <w:tblGrid>
        <w:gridCol w:w="3715"/>
        <w:gridCol w:w="810"/>
        <w:gridCol w:w="811"/>
        <w:gridCol w:w="810"/>
        <w:gridCol w:w="811"/>
        <w:gridCol w:w="811"/>
      </w:tblGrid>
      <w:tr w:rsidR="00964B88" w14:paraId="7731D05A"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15" w:type="dxa"/>
          </w:tcPr>
          <w:p w14:paraId="17297A49" w14:textId="77777777" w:rsidR="00964B88" w:rsidRDefault="00964B88"/>
        </w:tc>
        <w:tc>
          <w:tcPr>
            <w:tcW w:w="810" w:type="dxa"/>
          </w:tcPr>
          <w:p w14:paraId="2D44F360"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11" w:type="dxa"/>
          </w:tcPr>
          <w:p w14:paraId="49396DD6"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10" w:type="dxa"/>
          </w:tcPr>
          <w:p w14:paraId="3B377AEB"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11" w:type="dxa"/>
          </w:tcPr>
          <w:p w14:paraId="5A734A7C"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11" w:type="dxa"/>
          </w:tcPr>
          <w:p w14:paraId="13FD4AF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6B3F6760" w14:textId="77777777">
        <w:tc>
          <w:tcPr>
            <w:cnfStyle w:val="001000000000" w:firstRow="0" w:lastRow="0" w:firstColumn="1" w:lastColumn="0" w:oddVBand="0" w:evenVBand="0" w:oddHBand="0" w:evenHBand="0" w:firstRowFirstColumn="0" w:firstRowLastColumn="0" w:lastRowFirstColumn="0" w:lastRowLastColumn="0"/>
            <w:tcW w:w="3715" w:type="dxa"/>
          </w:tcPr>
          <w:p w14:paraId="4D12F8BE" w14:textId="77777777" w:rsidR="00964B88" w:rsidRDefault="00964B88">
            <w:r>
              <w:t>Purchases of non</w:t>
            </w:r>
            <w:r>
              <w:noBreakHyphen/>
              <w:t>financial assets</w:t>
            </w:r>
            <w:r>
              <w:br/>
              <w:t>(including change in inventories)</w:t>
            </w:r>
          </w:p>
        </w:tc>
        <w:tc>
          <w:tcPr>
            <w:tcW w:w="810" w:type="dxa"/>
          </w:tcPr>
          <w:p w14:paraId="6BDD682A" w14:textId="77777777" w:rsidR="00964B88" w:rsidRDefault="00964B88">
            <w:pPr>
              <w:cnfStyle w:val="000000000000" w:firstRow="0" w:lastRow="0" w:firstColumn="0" w:lastColumn="0" w:oddVBand="0" w:evenVBand="0" w:oddHBand="0" w:evenHBand="0" w:firstRowFirstColumn="0" w:firstRowLastColumn="0" w:lastRowFirstColumn="0" w:lastRowLastColumn="0"/>
            </w:pPr>
            <w:r>
              <w:t>13 105</w:t>
            </w:r>
          </w:p>
        </w:tc>
        <w:tc>
          <w:tcPr>
            <w:tcW w:w="811" w:type="dxa"/>
          </w:tcPr>
          <w:p w14:paraId="27F1F69D" w14:textId="77777777" w:rsidR="00964B88" w:rsidRDefault="00964B88">
            <w:pPr>
              <w:cnfStyle w:val="000000000000" w:firstRow="0" w:lastRow="0" w:firstColumn="0" w:lastColumn="0" w:oddVBand="0" w:evenVBand="0" w:oddHBand="0" w:evenHBand="0" w:firstRowFirstColumn="0" w:firstRowLastColumn="0" w:lastRowFirstColumn="0" w:lastRowLastColumn="0"/>
            </w:pPr>
            <w:r>
              <w:t>13 293</w:t>
            </w:r>
          </w:p>
        </w:tc>
        <w:tc>
          <w:tcPr>
            <w:tcW w:w="810" w:type="dxa"/>
          </w:tcPr>
          <w:p w14:paraId="088EB97C" w14:textId="77777777" w:rsidR="00964B88" w:rsidRDefault="00964B88">
            <w:pPr>
              <w:cnfStyle w:val="000000000000" w:firstRow="0" w:lastRow="0" w:firstColumn="0" w:lastColumn="0" w:oddVBand="0" w:evenVBand="0" w:oddHBand="0" w:evenHBand="0" w:firstRowFirstColumn="0" w:firstRowLastColumn="0" w:lastRowFirstColumn="0" w:lastRowLastColumn="0"/>
            </w:pPr>
            <w:r>
              <w:t>12 200</w:t>
            </w:r>
          </w:p>
        </w:tc>
        <w:tc>
          <w:tcPr>
            <w:tcW w:w="811" w:type="dxa"/>
          </w:tcPr>
          <w:p w14:paraId="666E725B" w14:textId="77777777" w:rsidR="00964B88" w:rsidRDefault="00964B88">
            <w:pPr>
              <w:cnfStyle w:val="000000000000" w:firstRow="0" w:lastRow="0" w:firstColumn="0" w:lastColumn="0" w:oddVBand="0" w:evenVBand="0" w:oddHBand="0" w:evenHBand="0" w:firstRowFirstColumn="0" w:firstRowLastColumn="0" w:lastRowFirstColumn="0" w:lastRowLastColumn="0"/>
            </w:pPr>
            <w:r>
              <w:t>9 100</w:t>
            </w:r>
          </w:p>
        </w:tc>
        <w:tc>
          <w:tcPr>
            <w:tcW w:w="811" w:type="dxa"/>
          </w:tcPr>
          <w:p w14:paraId="3626029F" w14:textId="77777777" w:rsidR="00964B88" w:rsidRDefault="00964B88">
            <w:pPr>
              <w:cnfStyle w:val="000000000000" w:firstRow="0" w:lastRow="0" w:firstColumn="0" w:lastColumn="0" w:oddVBand="0" w:evenVBand="0" w:oddHBand="0" w:evenHBand="0" w:firstRowFirstColumn="0" w:firstRowLastColumn="0" w:lastRowFirstColumn="0" w:lastRowLastColumn="0"/>
            </w:pPr>
            <w:r>
              <w:t>10 941</w:t>
            </w:r>
          </w:p>
        </w:tc>
      </w:tr>
      <w:tr w:rsidR="00964B88" w14:paraId="1BF4468C" w14:textId="77777777">
        <w:tc>
          <w:tcPr>
            <w:cnfStyle w:val="001000000000" w:firstRow="0" w:lastRow="0" w:firstColumn="1" w:lastColumn="0" w:oddVBand="0" w:evenVBand="0" w:oddHBand="0" w:evenHBand="0" w:firstRowFirstColumn="0" w:firstRowLastColumn="0" w:lastRowFirstColumn="0" w:lastRowLastColumn="0"/>
            <w:tcW w:w="3715" w:type="dxa"/>
          </w:tcPr>
          <w:p w14:paraId="7A6DB100" w14:textId="77777777" w:rsidR="00964B88" w:rsidRDefault="00964B88">
            <w:r>
              <w:t>Less: Sales of non</w:t>
            </w:r>
            <w:r>
              <w:noBreakHyphen/>
              <w:t>financial assets</w:t>
            </w:r>
          </w:p>
        </w:tc>
        <w:tc>
          <w:tcPr>
            <w:tcW w:w="810" w:type="dxa"/>
          </w:tcPr>
          <w:p w14:paraId="5D2C5930" w14:textId="77777777" w:rsidR="00964B88" w:rsidRDefault="00964B88">
            <w:pPr>
              <w:cnfStyle w:val="000000000000" w:firstRow="0" w:lastRow="0" w:firstColumn="0" w:lastColumn="0" w:oddVBand="0" w:evenVBand="0" w:oddHBand="0" w:evenHBand="0" w:firstRowFirstColumn="0" w:firstRowLastColumn="0" w:lastRowFirstColumn="0" w:lastRowLastColumn="0"/>
            </w:pPr>
            <w:r>
              <w:t>(825)</w:t>
            </w:r>
          </w:p>
        </w:tc>
        <w:tc>
          <w:tcPr>
            <w:tcW w:w="811" w:type="dxa"/>
          </w:tcPr>
          <w:p w14:paraId="096680F3" w14:textId="77777777" w:rsidR="00964B88" w:rsidRDefault="00964B88">
            <w:pPr>
              <w:cnfStyle w:val="000000000000" w:firstRow="0" w:lastRow="0" w:firstColumn="0" w:lastColumn="0" w:oddVBand="0" w:evenVBand="0" w:oddHBand="0" w:evenHBand="0" w:firstRowFirstColumn="0" w:firstRowLastColumn="0" w:lastRowFirstColumn="0" w:lastRowLastColumn="0"/>
            </w:pPr>
            <w:r>
              <w:t>(349)</w:t>
            </w:r>
          </w:p>
        </w:tc>
        <w:tc>
          <w:tcPr>
            <w:tcW w:w="810" w:type="dxa"/>
          </w:tcPr>
          <w:p w14:paraId="3C6D9D14" w14:textId="77777777" w:rsidR="00964B88" w:rsidRDefault="00964B88">
            <w:pPr>
              <w:cnfStyle w:val="000000000000" w:firstRow="0" w:lastRow="0" w:firstColumn="0" w:lastColumn="0" w:oddVBand="0" w:evenVBand="0" w:oddHBand="0" w:evenHBand="0" w:firstRowFirstColumn="0" w:firstRowLastColumn="0" w:lastRowFirstColumn="0" w:lastRowLastColumn="0"/>
            </w:pPr>
            <w:r>
              <w:t>(313)</w:t>
            </w:r>
          </w:p>
        </w:tc>
        <w:tc>
          <w:tcPr>
            <w:tcW w:w="811" w:type="dxa"/>
          </w:tcPr>
          <w:p w14:paraId="542FE7F3" w14:textId="77777777" w:rsidR="00964B88" w:rsidRDefault="00964B88">
            <w:pPr>
              <w:cnfStyle w:val="000000000000" w:firstRow="0" w:lastRow="0" w:firstColumn="0" w:lastColumn="0" w:oddVBand="0" w:evenVBand="0" w:oddHBand="0" w:evenHBand="0" w:firstRowFirstColumn="0" w:firstRowLastColumn="0" w:lastRowFirstColumn="0" w:lastRowLastColumn="0"/>
            </w:pPr>
            <w:r>
              <w:t>(492)</w:t>
            </w:r>
          </w:p>
        </w:tc>
        <w:tc>
          <w:tcPr>
            <w:tcW w:w="811" w:type="dxa"/>
          </w:tcPr>
          <w:p w14:paraId="4CE22D64" w14:textId="77777777" w:rsidR="00964B88" w:rsidRDefault="00964B88">
            <w:pPr>
              <w:cnfStyle w:val="000000000000" w:firstRow="0" w:lastRow="0" w:firstColumn="0" w:lastColumn="0" w:oddVBand="0" w:evenVBand="0" w:oddHBand="0" w:evenHBand="0" w:firstRowFirstColumn="0" w:firstRowLastColumn="0" w:lastRowFirstColumn="0" w:lastRowLastColumn="0"/>
            </w:pPr>
            <w:r>
              <w:t>(534)</w:t>
            </w:r>
          </w:p>
        </w:tc>
      </w:tr>
      <w:tr w:rsidR="00964B88" w14:paraId="732110F0" w14:textId="77777777">
        <w:tc>
          <w:tcPr>
            <w:cnfStyle w:val="001000000000" w:firstRow="0" w:lastRow="0" w:firstColumn="1" w:lastColumn="0" w:oddVBand="0" w:evenVBand="0" w:oddHBand="0" w:evenHBand="0" w:firstRowFirstColumn="0" w:firstRowLastColumn="0" w:lastRowFirstColumn="0" w:lastRowLastColumn="0"/>
            <w:tcW w:w="3715" w:type="dxa"/>
          </w:tcPr>
          <w:p w14:paraId="05432DF2" w14:textId="77777777" w:rsidR="00964B88" w:rsidRDefault="00964B88">
            <w:r>
              <w:t>Less: Depreciation and amortisation</w:t>
            </w:r>
          </w:p>
        </w:tc>
        <w:tc>
          <w:tcPr>
            <w:tcW w:w="810" w:type="dxa"/>
          </w:tcPr>
          <w:p w14:paraId="7D466285" w14:textId="77777777" w:rsidR="00964B88" w:rsidRDefault="00964B88">
            <w:pPr>
              <w:cnfStyle w:val="000000000000" w:firstRow="0" w:lastRow="0" w:firstColumn="0" w:lastColumn="0" w:oddVBand="0" w:evenVBand="0" w:oddHBand="0" w:evenHBand="0" w:firstRowFirstColumn="0" w:firstRowLastColumn="0" w:lastRowFirstColumn="0" w:lastRowLastColumn="0"/>
            </w:pPr>
            <w:r>
              <w:t>(3 748)</w:t>
            </w:r>
          </w:p>
        </w:tc>
        <w:tc>
          <w:tcPr>
            <w:tcW w:w="811" w:type="dxa"/>
          </w:tcPr>
          <w:p w14:paraId="103E7EB5" w14:textId="77777777" w:rsidR="00964B88" w:rsidRDefault="00964B88">
            <w:pPr>
              <w:cnfStyle w:val="000000000000" w:firstRow="0" w:lastRow="0" w:firstColumn="0" w:lastColumn="0" w:oddVBand="0" w:evenVBand="0" w:oddHBand="0" w:evenHBand="0" w:firstRowFirstColumn="0" w:firstRowLastColumn="0" w:lastRowFirstColumn="0" w:lastRowLastColumn="0"/>
            </w:pPr>
            <w:r>
              <w:t>(3 717)</w:t>
            </w:r>
          </w:p>
        </w:tc>
        <w:tc>
          <w:tcPr>
            <w:tcW w:w="810" w:type="dxa"/>
          </w:tcPr>
          <w:p w14:paraId="488F98EE" w14:textId="77777777" w:rsidR="00964B88" w:rsidRDefault="00964B88">
            <w:pPr>
              <w:cnfStyle w:val="000000000000" w:firstRow="0" w:lastRow="0" w:firstColumn="0" w:lastColumn="0" w:oddVBand="0" w:evenVBand="0" w:oddHBand="0" w:evenHBand="0" w:firstRowFirstColumn="0" w:firstRowLastColumn="0" w:lastRowFirstColumn="0" w:lastRowLastColumn="0"/>
            </w:pPr>
            <w:r>
              <w:t>(4 113)</w:t>
            </w:r>
          </w:p>
        </w:tc>
        <w:tc>
          <w:tcPr>
            <w:tcW w:w="811" w:type="dxa"/>
          </w:tcPr>
          <w:p w14:paraId="47EABE9F" w14:textId="77777777" w:rsidR="00964B88" w:rsidRDefault="00964B88">
            <w:pPr>
              <w:cnfStyle w:val="000000000000" w:firstRow="0" w:lastRow="0" w:firstColumn="0" w:lastColumn="0" w:oddVBand="0" w:evenVBand="0" w:oddHBand="0" w:evenHBand="0" w:firstRowFirstColumn="0" w:firstRowLastColumn="0" w:lastRowFirstColumn="0" w:lastRowLastColumn="0"/>
            </w:pPr>
            <w:r>
              <w:t>(4 343)</w:t>
            </w:r>
          </w:p>
        </w:tc>
        <w:tc>
          <w:tcPr>
            <w:tcW w:w="811" w:type="dxa"/>
          </w:tcPr>
          <w:p w14:paraId="139FC3A3" w14:textId="77777777" w:rsidR="00964B88" w:rsidRDefault="00964B88">
            <w:pPr>
              <w:cnfStyle w:val="000000000000" w:firstRow="0" w:lastRow="0" w:firstColumn="0" w:lastColumn="0" w:oddVBand="0" w:evenVBand="0" w:oddHBand="0" w:evenHBand="0" w:firstRowFirstColumn="0" w:firstRowLastColumn="0" w:lastRowFirstColumn="0" w:lastRowLastColumn="0"/>
            </w:pPr>
            <w:r>
              <w:t>(4 647)</w:t>
            </w:r>
          </w:p>
        </w:tc>
      </w:tr>
      <w:tr w:rsidR="00964B88" w14:paraId="483B6410"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5693C764" w14:textId="77777777" w:rsidR="00964B88" w:rsidRDefault="00964B88">
            <w:r>
              <w:t>Less: Other movements in non</w:t>
            </w:r>
            <w:r>
              <w:noBreakHyphen/>
              <w:t>financial assets</w:t>
            </w:r>
            <w:r>
              <w:rPr>
                <w:vertAlign w:val="superscript"/>
              </w:rPr>
              <w:t xml:space="preserve"> (a)(b)</w:t>
            </w:r>
          </w:p>
        </w:tc>
        <w:tc>
          <w:tcPr>
            <w:tcW w:w="810" w:type="dxa"/>
            <w:tcBorders>
              <w:bottom w:val="single" w:sz="6" w:space="0" w:color="auto"/>
            </w:tcBorders>
          </w:tcPr>
          <w:p w14:paraId="7E551912" w14:textId="77777777" w:rsidR="00964B88" w:rsidRDefault="00964B88">
            <w:pPr>
              <w:cnfStyle w:val="000000000000" w:firstRow="0" w:lastRow="0" w:firstColumn="0" w:lastColumn="0" w:oddVBand="0" w:evenVBand="0" w:oddHBand="0" w:evenHBand="0" w:firstRowFirstColumn="0" w:firstRowLastColumn="0" w:lastRowFirstColumn="0" w:lastRowLastColumn="0"/>
            </w:pPr>
            <w:r>
              <w:t>(4 643)</w:t>
            </w:r>
          </w:p>
        </w:tc>
        <w:tc>
          <w:tcPr>
            <w:tcW w:w="811" w:type="dxa"/>
            <w:tcBorders>
              <w:bottom w:val="single" w:sz="6" w:space="0" w:color="auto"/>
            </w:tcBorders>
          </w:tcPr>
          <w:p w14:paraId="21AFCE43" w14:textId="77777777" w:rsidR="00964B88" w:rsidRDefault="00964B88">
            <w:pPr>
              <w:cnfStyle w:val="000000000000" w:firstRow="0" w:lastRow="0" w:firstColumn="0" w:lastColumn="0" w:oddVBand="0" w:evenVBand="0" w:oddHBand="0" w:evenHBand="0" w:firstRowFirstColumn="0" w:firstRowLastColumn="0" w:lastRowFirstColumn="0" w:lastRowLastColumn="0"/>
            </w:pPr>
            <w:r>
              <w:t>(2 699)</w:t>
            </w:r>
          </w:p>
        </w:tc>
        <w:tc>
          <w:tcPr>
            <w:tcW w:w="810" w:type="dxa"/>
            <w:tcBorders>
              <w:bottom w:val="single" w:sz="6" w:space="0" w:color="auto"/>
            </w:tcBorders>
          </w:tcPr>
          <w:p w14:paraId="7088AA97" w14:textId="77777777" w:rsidR="00964B88" w:rsidRDefault="00964B88">
            <w:pPr>
              <w:cnfStyle w:val="000000000000" w:firstRow="0" w:lastRow="0" w:firstColumn="0" w:lastColumn="0" w:oddVBand="0" w:evenVBand="0" w:oddHBand="0" w:evenHBand="0" w:firstRowFirstColumn="0" w:firstRowLastColumn="0" w:lastRowFirstColumn="0" w:lastRowLastColumn="0"/>
            </w:pPr>
            <w:r>
              <w:t>(2 386)</w:t>
            </w:r>
          </w:p>
        </w:tc>
        <w:tc>
          <w:tcPr>
            <w:tcW w:w="811" w:type="dxa"/>
            <w:tcBorders>
              <w:bottom w:val="single" w:sz="6" w:space="0" w:color="auto"/>
            </w:tcBorders>
          </w:tcPr>
          <w:p w14:paraId="46056348" w14:textId="77777777" w:rsidR="00964B88" w:rsidRDefault="00964B88">
            <w:pPr>
              <w:cnfStyle w:val="000000000000" w:firstRow="0" w:lastRow="0" w:firstColumn="0" w:lastColumn="0" w:oddVBand="0" w:evenVBand="0" w:oddHBand="0" w:evenHBand="0" w:firstRowFirstColumn="0" w:firstRowLastColumn="0" w:lastRowFirstColumn="0" w:lastRowLastColumn="0"/>
            </w:pPr>
            <w:r>
              <w:t>(624)</w:t>
            </w:r>
          </w:p>
        </w:tc>
        <w:tc>
          <w:tcPr>
            <w:tcW w:w="811" w:type="dxa"/>
            <w:tcBorders>
              <w:bottom w:val="single" w:sz="6" w:space="0" w:color="auto"/>
            </w:tcBorders>
          </w:tcPr>
          <w:p w14:paraId="57BEA7E2" w14:textId="77777777" w:rsidR="00964B88" w:rsidRDefault="00964B88">
            <w:pPr>
              <w:cnfStyle w:val="000000000000" w:firstRow="0" w:lastRow="0" w:firstColumn="0" w:lastColumn="0" w:oddVBand="0" w:evenVBand="0" w:oddHBand="0" w:evenHBand="0" w:firstRowFirstColumn="0" w:firstRowLastColumn="0" w:lastRowFirstColumn="0" w:lastRowLastColumn="0"/>
            </w:pPr>
            <w:r>
              <w:t>(1 784)</w:t>
            </w:r>
          </w:p>
        </w:tc>
      </w:tr>
      <w:tr w:rsidR="00964B88" w14:paraId="11C2CC06"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297AA749" w14:textId="77777777" w:rsidR="00964B88" w:rsidRDefault="00964B88">
            <w:r>
              <w:t>Total net acquisition of non</w:t>
            </w:r>
            <w:r>
              <w:noBreakHyphen/>
              <w:t>financial assets from transactions</w:t>
            </w:r>
          </w:p>
        </w:tc>
        <w:tc>
          <w:tcPr>
            <w:tcW w:w="810" w:type="dxa"/>
          </w:tcPr>
          <w:p w14:paraId="61705D74" w14:textId="77777777" w:rsidR="00964B88" w:rsidRDefault="00964B88">
            <w:pPr>
              <w:cnfStyle w:val="010000000000" w:firstRow="0" w:lastRow="1" w:firstColumn="0" w:lastColumn="0" w:oddVBand="0" w:evenVBand="0" w:oddHBand="0" w:evenHBand="0" w:firstRowFirstColumn="0" w:firstRowLastColumn="0" w:lastRowFirstColumn="0" w:lastRowLastColumn="0"/>
            </w:pPr>
            <w:r>
              <w:t>3 889</w:t>
            </w:r>
          </w:p>
        </w:tc>
        <w:tc>
          <w:tcPr>
            <w:tcW w:w="811" w:type="dxa"/>
          </w:tcPr>
          <w:p w14:paraId="2EBE255A" w14:textId="77777777" w:rsidR="00964B88" w:rsidRDefault="00964B88">
            <w:pPr>
              <w:cnfStyle w:val="010000000000" w:firstRow="0" w:lastRow="1" w:firstColumn="0" w:lastColumn="0" w:oddVBand="0" w:evenVBand="0" w:oddHBand="0" w:evenHBand="0" w:firstRowFirstColumn="0" w:firstRowLastColumn="0" w:lastRowFirstColumn="0" w:lastRowLastColumn="0"/>
            </w:pPr>
            <w:r>
              <w:t>6 529</w:t>
            </w:r>
          </w:p>
        </w:tc>
        <w:tc>
          <w:tcPr>
            <w:tcW w:w="810" w:type="dxa"/>
          </w:tcPr>
          <w:p w14:paraId="4FABAAFC" w14:textId="77777777" w:rsidR="00964B88" w:rsidRDefault="00964B88">
            <w:pPr>
              <w:cnfStyle w:val="010000000000" w:firstRow="0" w:lastRow="1" w:firstColumn="0" w:lastColumn="0" w:oddVBand="0" w:evenVBand="0" w:oddHBand="0" w:evenHBand="0" w:firstRowFirstColumn="0" w:firstRowLastColumn="0" w:lastRowFirstColumn="0" w:lastRowLastColumn="0"/>
            </w:pPr>
            <w:r>
              <w:t>5 388</w:t>
            </w:r>
          </w:p>
        </w:tc>
        <w:tc>
          <w:tcPr>
            <w:tcW w:w="811" w:type="dxa"/>
          </w:tcPr>
          <w:p w14:paraId="07CB75B8" w14:textId="77777777" w:rsidR="00964B88" w:rsidRDefault="00964B88">
            <w:pPr>
              <w:cnfStyle w:val="010000000000" w:firstRow="0" w:lastRow="1" w:firstColumn="0" w:lastColumn="0" w:oddVBand="0" w:evenVBand="0" w:oddHBand="0" w:evenHBand="0" w:firstRowFirstColumn="0" w:firstRowLastColumn="0" w:lastRowFirstColumn="0" w:lastRowLastColumn="0"/>
            </w:pPr>
            <w:r>
              <w:t>3 642</w:t>
            </w:r>
          </w:p>
        </w:tc>
        <w:tc>
          <w:tcPr>
            <w:tcW w:w="811" w:type="dxa"/>
          </w:tcPr>
          <w:p w14:paraId="236FC41A" w14:textId="77777777" w:rsidR="00964B88" w:rsidRDefault="00964B88">
            <w:pPr>
              <w:cnfStyle w:val="010000000000" w:firstRow="0" w:lastRow="1" w:firstColumn="0" w:lastColumn="0" w:oddVBand="0" w:evenVBand="0" w:oddHBand="0" w:evenHBand="0" w:firstRowFirstColumn="0" w:firstRowLastColumn="0" w:lastRowFirstColumn="0" w:lastRowLastColumn="0"/>
            </w:pPr>
            <w:r>
              <w:t>3 977</w:t>
            </w:r>
          </w:p>
        </w:tc>
      </w:tr>
    </w:tbl>
    <w:p w14:paraId="7919CCF4" w14:textId="77777777" w:rsidR="00964B88" w:rsidRDefault="00964B88" w:rsidP="00F53820">
      <w:pPr>
        <w:pStyle w:val="Note"/>
      </w:pPr>
      <w:r>
        <w:t>Notes:</w:t>
      </w:r>
    </w:p>
    <w:p w14:paraId="6DD8B77B" w14:textId="77777777" w:rsidR="00964B88" w:rsidRDefault="00964B88" w:rsidP="00F53820">
      <w:pPr>
        <w:pStyle w:val="Note"/>
      </w:pPr>
      <w:r>
        <w:t>(</w:t>
      </w:r>
      <w:r w:rsidRPr="00F647E0">
        <w:t>a)</w:t>
      </w:r>
      <w:r w:rsidRPr="00F647E0">
        <w:tab/>
        <w:t>The other movements in non-financial assets includes transferring fixed assets to other sectors of government, recognising the right of use assets under lease arrangements, and recognising service concession arrangements, including from public private partnerships. Some of these items have been impacted by the application of the new accounting standards.</w:t>
      </w:r>
    </w:p>
    <w:p w14:paraId="2E03D9DA" w14:textId="77777777" w:rsidR="00964B88" w:rsidRDefault="00964B88" w:rsidP="00F53820">
      <w:pPr>
        <w:pStyle w:val="Note"/>
      </w:pPr>
      <w:r>
        <w:t>(b)</w:t>
      </w:r>
      <w:r>
        <w:tab/>
      </w:r>
      <w:bookmarkStart w:id="99" w:name="_Hlk26438477"/>
      <w:r w:rsidRPr="00330B67">
        <w:t xml:space="preserve">The public private partnerships across the forward estimates relate to the Casey Hospital expansion, the High Capacity Metro Trains Project, the Metro Tunnel, </w:t>
      </w:r>
      <w:r w:rsidRPr="00330B67">
        <w:rPr>
          <w:lang w:val="en-US"/>
        </w:rPr>
        <w:t>the new Footscray Hospital,</w:t>
      </w:r>
      <w:r w:rsidRPr="00330B67">
        <w:t xml:space="preserve"> </w:t>
      </w:r>
      <w:r w:rsidRPr="00330B67">
        <w:rPr>
          <w:lang w:val="en-US"/>
        </w:rPr>
        <w:t>North East Link,</w:t>
      </w:r>
      <w:r w:rsidRPr="00330B67">
        <w:t xml:space="preserve"> the Suburban Roads Upgrade – Northern Roads Upgrade, South Eastern Roads Upgrade and Western Roads Upgrade, and the West Gate Tunnel Project.</w:t>
      </w:r>
      <w:bookmarkEnd w:id="99"/>
    </w:p>
    <w:p w14:paraId="64C956E3" w14:textId="77777777" w:rsidR="00964B88" w:rsidRDefault="00964B88" w:rsidP="00F53820"/>
    <w:bookmarkEnd w:id="87"/>
    <w:p w14:paraId="1B172260" w14:textId="77777777" w:rsidR="00964B88" w:rsidRPr="00605D9A" w:rsidRDefault="00964B88" w:rsidP="00F53820">
      <w:r w:rsidRPr="00605D9A">
        <w:br w:type="page"/>
      </w:r>
    </w:p>
    <w:p w14:paraId="618E8388" w14:textId="77777777" w:rsidR="00964B88" w:rsidRDefault="00964B88" w:rsidP="00964B88">
      <w:pPr>
        <w:pStyle w:val="Heading2"/>
        <w:numPr>
          <w:ilvl w:val="1"/>
          <w:numId w:val="22"/>
        </w:numPr>
        <w:sectPr w:rsidR="00964B88" w:rsidSect="00F53820">
          <w:headerReference w:type="even" r:id="rId66"/>
          <w:headerReference w:type="default" r:id="rId67"/>
          <w:headerReference w:type="first" r:id="rId68"/>
          <w:footerReference w:type="first" r:id="rId69"/>
          <w:type w:val="continuous"/>
          <w:pgSz w:w="9979" w:h="14175" w:code="9"/>
          <w:pgMar w:top="850" w:right="1134" w:bottom="850" w:left="1134" w:header="624" w:footer="567" w:gutter="0"/>
          <w:cols w:space="567"/>
          <w:titlePg/>
          <w:docGrid w:linePitch="360"/>
        </w:sectPr>
      </w:pPr>
      <w:r>
        <w:lastRenderedPageBreak/>
        <w:t>MAJOR ASSETS AND INVESTMENTS</w:t>
      </w:r>
    </w:p>
    <w:p w14:paraId="3358DD43" w14:textId="77777777" w:rsidR="00964B88" w:rsidRDefault="00964B88" w:rsidP="00F53820">
      <w:pPr>
        <w:pStyle w:val="Heading30"/>
        <w:pBdr>
          <w:bottom w:val="single" w:sz="4" w:space="1" w:color="auto"/>
        </w:pBdr>
      </w:pPr>
      <w:r>
        <w:t>Introduction</w:t>
      </w:r>
    </w:p>
    <w:p w14:paraId="732D198B" w14:textId="77777777" w:rsidR="00964B88" w:rsidRDefault="00964B88" w:rsidP="00F53820">
      <w:r>
        <w:t>This section outlines the major assets that the general government sector controls from investing activities in the prior, current, and future years.</w:t>
      </w:r>
    </w:p>
    <w:p w14:paraId="2439F145" w14:textId="77777777" w:rsidR="00964B88" w:rsidRDefault="00964B88" w:rsidP="00F53820">
      <w:pPr>
        <w:pStyle w:val="Heading30"/>
        <w:pBdr>
          <w:bottom w:val="single" w:sz="4" w:space="1" w:color="auto"/>
        </w:pBdr>
      </w:pPr>
      <w:r>
        <w:br w:type="column"/>
      </w:r>
      <w:r>
        <w:t>Structure</w:t>
      </w:r>
    </w:p>
    <w:p w14:paraId="5DE99CA3" w14:textId="413AA1D6" w:rsidR="00964B88" w:rsidRDefault="00964B88">
      <w:pPr>
        <w:pStyle w:val="TOC9"/>
        <w:rPr>
          <w:rFonts w:eastAsiaTheme="minorEastAsia"/>
          <w:noProof/>
          <w:spacing w:val="0"/>
          <w:lang w:eastAsia="en-AU"/>
        </w:rPr>
      </w:pPr>
      <w:r w:rsidRPr="00F033D6">
        <w:rPr>
          <w:noProof/>
          <w:lang w:val="en-US"/>
        </w:rPr>
        <w:t>4.4.1</w:t>
      </w:r>
      <w:r>
        <w:rPr>
          <w:rFonts w:eastAsiaTheme="minorEastAsia"/>
          <w:noProof/>
          <w:spacing w:val="0"/>
          <w:lang w:eastAsia="en-AU"/>
        </w:rPr>
        <w:tab/>
      </w:r>
      <w:r w:rsidRPr="00F033D6">
        <w:rPr>
          <w:noProof/>
        </w:rPr>
        <w:t>Total land, buildings, infrastructure, plant and equipment</w:t>
      </w:r>
      <w:r>
        <w:rPr>
          <w:noProof/>
          <w:webHidden/>
        </w:rPr>
        <w:tab/>
      </w:r>
      <w:r w:rsidR="00F033D6">
        <w:rPr>
          <w:noProof/>
          <w:webHidden/>
        </w:rPr>
        <w:t>63</w:t>
      </w:r>
    </w:p>
    <w:p w14:paraId="662AF85F" w14:textId="163C21EA" w:rsidR="00964B88" w:rsidRDefault="00964B88">
      <w:pPr>
        <w:pStyle w:val="TOC9"/>
        <w:rPr>
          <w:rFonts w:eastAsiaTheme="minorEastAsia"/>
          <w:noProof/>
          <w:spacing w:val="0"/>
          <w:lang w:eastAsia="en-AU"/>
        </w:rPr>
      </w:pPr>
      <w:r w:rsidRPr="00F033D6">
        <w:rPr>
          <w:noProof/>
          <w:lang w:val="en-US"/>
        </w:rPr>
        <w:t>4.4.2</w:t>
      </w:r>
      <w:r>
        <w:rPr>
          <w:rFonts w:eastAsiaTheme="minorEastAsia"/>
          <w:noProof/>
          <w:spacing w:val="0"/>
          <w:lang w:eastAsia="en-AU"/>
        </w:rPr>
        <w:tab/>
      </w:r>
      <w:r w:rsidRPr="00F033D6">
        <w:rPr>
          <w:noProof/>
        </w:rPr>
        <w:t>Depreciation</w:t>
      </w:r>
      <w:r>
        <w:rPr>
          <w:noProof/>
          <w:webHidden/>
        </w:rPr>
        <w:tab/>
      </w:r>
      <w:r w:rsidR="00F033D6">
        <w:rPr>
          <w:noProof/>
          <w:webHidden/>
        </w:rPr>
        <w:t>65</w:t>
      </w:r>
    </w:p>
    <w:p w14:paraId="19874894" w14:textId="1E356215" w:rsidR="00964B88" w:rsidRDefault="00964B88">
      <w:pPr>
        <w:pStyle w:val="TOC9"/>
        <w:rPr>
          <w:rFonts w:eastAsiaTheme="minorEastAsia"/>
          <w:noProof/>
          <w:spacing w:val="0"/>
          <w:lang w:eastAsia="en-AU"/>
        </w:rPr>
      </w:pPr>
      <w:r w:rsidRPr="00F033D6">
        <w:rPr>
          <w:noProof/>
          <w:lang w:val="en-US"/>
        </w:rPr>
        <w:t>4.4.3</w:t>
      </w:r>
      <w:r>
        <w:rPr>
          <w:rFonts w:eastAsiaTheme="minorEastAsia"/>
          <w:noProof/>
          <w:spacing w:val="0"/>
          <w:lang w:eastAsia="en-AU"/>
        </w:rPr>
        <w:tab/>
      </w:r>
      <w:r w:rsidRPr="00F033D6">
        <w:rPr>
          <w:noProof/>
        </w:rPr>
        <w:t>Reconciliation of movements in land, buildings, infrastructure,  plant and equipment</w:t>
      </w:r>
      <w:r>
        <w:rPr>
          <w:noProof/>
          <w:webHidden/>
        </w:rPr>
        <w:tab/>
      </w:r>
      <w:r w:rsidR="00F033D6">
        <w:rPr>
          <w:noProof/>
          <w:webHidden/>
        </w:rPr>
        <w:t>66</w:t>
      </w:r>
    </w:p>
    <w:p w14:paraId="75F8171A" w14:textId="128F39FF" w:rsidR="00964B88" w:rsidRDefault="00964B88">
      <w:pPr>
        <w:pStyle w:val="TOC9"/>
        <w:rPr>
          <w:rFonts w:eastAsiaTheme="minorEastAsia"/>
          <w:noProof/>
          <w:spacing w:val="0"/>
          <w:lang w:eastAsia="en-AU"/>
        </w:rPr>
      </w:pPr>
      <w:r w:rsidRPr="00F033D6">
        <w:rPr>
          <w:noProof/>
          <w:lang w:val="en-US"/>
        </w:rPr>
        <w:t>4.4.4</w:t>
      </w:r>
      <w:r>
        <w:rPr>
          <w:rFonts w:eastAsiaTheme="minorEastAsia"/>
          <w:noProof/>
          <w:spacing w:val="0"/>
          <w:lang w:eastAsia="en-AU"/>
        </w:rPr>
        <w:tab/>
      </w:r>
      <w:r w:rsidRPr="00F033D6">
        <w:rPr>
          <w:noProof/>
        </w:rPr>
        <w:t>Other non-financial assets</w:t>
      </w:r>
      <w:r>
        <w:rPr>
          <w:noProof/>
          <w:webHidden/>
        </w:rPr>
        <w:tab/>
      </w:r>
      <w:r w:rsidR="00F033D6">
        <w:rPr>
          <w:noProof/>
          <w:webHidden/>
        </w:rPr>
        <w:t>66</w:t>
      </w:r>
    </w:p>
    <w:p w14:paraId="499B2945" w14:textId="551F9A85" w:rsidR="00964B88" w:rsidRDefault="00964B88">
      <w:pPr>
        <w:pStyle w:val="TOC9"/>
        <w:rPr>
          <w:rFonts w:eastAsiaTheme="minorEastAsia"/>
          <w:noProof/>
          <w:spacing w:val="0"/>
          <w:lang w:eastAsia="en-AU"/>
        </w:rPr>
      </w:pPr>
      <w:r w:rsidRPr="00F033D6">
        <w:rPr>
          <w:noProof/>
          <w:lang w:val="en-US"/>
        </w:rPr>
        <w:t>4.4.5</w:t>
      </w:r>
      <w:r>
        <w:rPr>
          <w:rFonts w:eastAsiaTheme="minorEastAsia"/>
          <w:noProof/>
          <w:spacing w:val="0"/>
          <w:lang w:eastAsia="en-AU"/>
        </w:rPr>
        <w:tab/>
      </w:r>
      <w:r w:rsidRPr="00F033D6">
        <w:rPr>
          <w:noProof/>
        </w:rPr>
        <w:t>Total assets by classification of the functions of government</w:t>
      </w:r>
      <w:r>
        <w:rPr>
          <w:noProof/>
          <w:webHidden/>
        </w:rPr>
        <w:tab/>
      </w:r>
      <w:r w:rsidR="00F033D6">
        <w:rPr>
          <w:noProof/>
          <w:webHidden/>
        </w:rPr>
        <w:t>67</w:t>
      </w:r>
    </w:p>
    <w:p w14:paraId="608B1A66" w14:textId="2EF9D3AF" w:rsidR="00964B88" w:rsidRDefault="00964B88" w:rsidP="00F53820">
      <w:pPr>
        <w:rPr>
          <w:b/>
          <w:bCs/>
          <w:noProof/>
          <w:lang w:val="en-US"/>
        </w:rPr>
        <w:sectPr w:rsidR="00964B88" w:rsidSect="00F53820">
          <w:type w:val="continuous"/>
          <w:pgSz w:w="9979" w:h="14175" w:code="9"/>
          <w:pgMar w:top="850" w:right="1134" w:bottom="850" w:left="1134" w:header="624" w:footer="567" w:gutter="0"/>
          <w:cols w:num="2" w:space="567"/>
          <w:titlePg/>
          <w:docGrid w:linePitch="360"/>
        </w:sectPr>
      </w:pPr>
    </w:p>
    <w:p w14:paraId="5380AF31" w14:textId="77777777" w:rsidR="00964B88" w:rsidRDefault="00964B88" w:rsidP="00964B88">
      <w:pPr>
        <w:pStyle w:val="Heading3"/>
        <w:numPr>
          <w:ilvl w:val="2"/>
          <w:numId w:val="22"/>
        </w:numPr>
        <w:tabs>
          <w:tab w:val="clear" w:pos="7711"/>
          <w:tab w:val="left" w:pos="850"/>
          <w:tab w:val="right" w:pos="7710"/>
        </w:tabs>
        <w:spacing w:after="60"/>
      </w:pPr>
      <w:bookmarkStart w:id="100" w:name="_Toc530148069"/>
      <w:bookmarkStart w:id="101" w:name="Section_4"/>
      <w:r>
        <w:t xml:space="preserve">Total land, </w:t>
      </w:r>
      <w:r w:rsidRPr="00232E5E">
        <w:t>buildings</w:t>
      </w:r>
      <w:r w:rsidRPr="00833B8D">
        <w:t>, infrastructure</w:t>
      </w:r>
      <w:r>
        <w:t>, plant and equipment</w:t>
      </w:r>
      <w:r>
        <w:tab/>
        <w:t>($ million)</w:t>
      </w:r>
      <w:bookmarkEnd w:id="100"/>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6B6D2733"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0ACDD979" w14:textId="77777777" w:rsidR="00964B88" w:rsidRDefault="00964B88"/>
        </w:tc>
        <w:tc>
          <w:tcPr>
            <w:tcW w:w="850" w:type="dxa"/>
          </w:tcPr>
          <w:p w14:paraId="161CB54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p>
        </w:tc>
        <w:tc>
          <w:tcPr>
            <w:tcW w:w="850" w:type="dxa"/>
          </w:tcPr>
          <w:p w14:paraId="6664033E"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50" w:type="dxa"/>
          </w:tcPr>
          <w:p w14:paraId="25DD4B2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50" w:type="dxa"/>
          </w:tcPr>
          <w:p w14:paraId="3599B52C"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50" w:type="dxa"/>
          </w:tcPr>
          <w:p w14:paraId="64C818D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7E10CD16" w14:textId="77777777">
        <w:tc>
          <w:tcPr>
            <w:cnfStyle w:val="001000000000" w:firstRow="0" w:lastRow="0" w:firstColumn="1" w:lastColumn="0" w:oddVBand="0" w:evenVBand="0" w:oddHBand="0" w:evenHBand="0" w:firstRowFirstColumn="0" w:firstRowLastColumn="0" w:lastRowFirstColumn="0" w:lastRowLastColumn="0"/>
            <w:tcW w:w="3518" w:type="dxa"/>
          </w:tcPr>
          <w:p w14:paraId="5585B37B" w14:textId="77777777" w:rsidR="00964B88" w:rsidRDefault="00964B88">
            <w:r>
              <w:t>Buildings</w:t>
            </w:r>
          </w:p>
        </w:tc>
        <w:tc>
          <w:tcPr>
            <w:tcW w:w="850" w:type="dxa"/>
          </w:tcPr>
          <w:p w14:paraId="05435B84" w14:textId="77777777" w:rsidR="00964B88" w:rsidRDefault="00964B88">
            <w:pPr>
              <w:cnfStyle w:val="000000000000" w:firstRow="0" w:lastRow="0" w:firstColumn="0" w:lastColumn="0" w:oddVBand="0" w:evenVBand="0" w:oddHBand="0" w:evenHBand="0" w:firstRowFirstColumn="0" w:firstRowLastColumn="0" w:lastRowFirstColumn="0" w:lastRowLastColumn="0"/>
            </w:pPr>
            <w:r>
              <w:t>44 228</w:t>
            </w:r>
          </w:p>
        </w:tc>
        <w:tc>
          <w:tcPr>
            <w:tcW w:w="850" w:type="dxa"/>
          </w:tcPr>
          <w:p w14:paraId="041A84AA" w14:textId="77777777" w:rsidR="00964B88" w:rsidRDefault="00964B88">
            <w:pPr>
              <w:cnfStyle w:val="000000000000" w:firstRow="0" w:lastRow="0" w:firstColumn="0" w:lastColumn="0" w:oddVBand="0" w:evenVBand="0" w:oddHBand="0" w:evenHBand="0" w:firstRowFirstColumn="0" w:firstRowLastColumn="0" w:lastRowFirstColumn="0" w:lastRowLastColumn="0"/>
            </w:pPr>
            <w:r>
              <w:t>45 889</w:t>
            </w:r>
          </w:p>
        </w:tc>
        <w:tc>
          <w:tcPr>
            <w:tcW w:w="850" w:type="dxa"/>
          </w:tcPr>
          <w:p w14:paraId="08601998" w14:textId="77777777" w:rsidR="00964B88" w:rsidRDefault="00964B88">
            <w:pPr>
              <w:cnfStyle w:val="000000000000" w:firstRow="0" w:lastRow="0" w:firstColumn="0" w:lastColumn="0" w:oddVBand="0" w:evenVBand="0" w:oddHBand="0" w:evenHBand="0" w:firstRowFirstColumn="0" w:firstRowLastColumn="0" w:lastRowFirstColumn="0" w:lastRowLastColumn="0"/>
            </w:pPr>
            <w:r>
              <w:t>48 147</w:t>
            </w:r>
          </w:p>
        </w:tc>
        <w:tc>
          <w:tcPr>
            <w:tcW w:w="850" w:type="dxa"/>
          </w:tcPr>
          <w:p w14:paraId="69C299A8" w14:textId="77777777" w:rsidR="00964B88" w:rsidRDefault="00964B88">
            <w:pPr>
              <w:cnfStyle w:val="000000000000" w:firstRow="0" w:lastRow="0" w:firstColumn="0" w:lastColumn="0" w:oddVBand="0" w:evenVBand="0" w:oddHBand="0" w:evenHBand="0" w:firstRowFirstColumn="0" w:firstRowLastColumn="0" w:lastRowFirstColumn="0" w:lastRowLastColumn="0"/>
            </w:pPr>
            <w:r>
              <w:t>51 681</w:t>
            </w:r>
          </w:p>
        </w:tc>
        <w:tc>
          <w:tcPr>
            <w:tcW w:w="850" w:type="dxa"/>
          </w:tcPr>
          <w:p w14:paraId="698DC022" w14:textId="77777777" w:rsidR="00964B88" w:rsidRDefault="00964B88">
            <w:pPr>
              <w:cnfStyle w:val="000000000000" w:firstRow="0" w:lastRow="0" w:firstColumn="0" w:lastColumn="0" w:oddVBand="0" w:evenVBand="0" w:oddHBand="0" w:evenHBand="0" w:firstRowFirstColumn="0" w:firstRowLastColumn="0" w:lastRowFirstColumn="0" w:lastRowLastColumn="0"/>
            </w:pPr>
            <w:r>
              <w:t>52 673</w:t>
            </w:r>
          </w:p>
        </w:tc>
      </w:tr>
      <w:tr w:rsidR="00964B88" w14:paraId="55336C8B" w14:textId="77777777">
        <w:tc>
          <w:tcPr>
            <w:cnfStyle w:val="001000000000" w:firstRow="0" w:lastRow="0" w:firstColumn="1" w:lastColumn="0" w:oddVBand="0" w:evenVBand="0" w:oddHBand="0" w:evenHBand="0" w:firstRowFirstColumn="0" w:firstRowLastColumn="0" w:lastRowFirstColumn="0" w:lastRowLastColumn="0"/>
            <w:tcW w:w="3518" w:type="dxa"/>
          </w:tcPr>
          <w:p w14:paraId="6598C50B" w14:textId="77777777" w:rsidR="00964B88" w:rsidRDefault="00964B88">
            <w:r>
              <w:t>Land and national parks</w:t>
            </w:r>
          </w:p>
        </w:tc>
        <w:tc>
          <w:tcPr>
            <w:tcW w:w="850" w:type="dxa"/>
          </w:tcPr>
          <w:p w14:paraId="30CC212C" w14:textId="77777777" w:rsidR="00964B88" w:rsidRDefault="00964B88">
            <w:pPr>
              <w:cnfStyle w:val="000000000000" w:firstRow="0" w:lastRow="0" w:firstColumn="0" w:lastColumn="0" w:oddVBand="0" w:evenVBand="0" w:oddHBand="0" w:evenHBand="0" w:firstRowFirstColumn="0" w:firstRowLastColumn="0" w:lastRowFirstColumn="0" w:lastRowLastColumn="0"/>
            </w:pPr>
            <w:r>
              <w:t>59 464</w:t>
            </w:r>
          </w:p>
        </w:tc>
        <w:tc>
          <w:tcPr>
            <w:tcW w:w="850" w:type="dxa"/>
          </w:tcPr>
          <w:p w14:paraId="22215739" w14:textId="77777777" w:rsidR="00964B88" w:rsidRDefault="00964B88">
            <w:pPr>
              <w:cnfStyle w:val="000000000000" w:firstRow="0" w:lastRow="0" w:firstColumn="0" w:lastColumn="0" w:oddVBand="0" w:evenVBand="0" w:oddHBand="0" w:evenHBand="0" w:firstRowFirstColumn="0" w:firstRowLastColumn="0" w:lastRowFirstColumn="0" w:lastRowLastColumn="0"/>
            </w:pPr>
            <w:r>
              <w:t>59 537</w:t>
            </w:r>
          </w:p>
        </w:tc>
        <w:tc>
          <w:tcPr>
            <w:tcW w:w="850" w:type="dxa"/>
          </w:tcPr>
          <w:p w14:paraId="741BEF0F" w14:textId="77777777" w:rsidR="00964B88" w:rsidRDefault="00964B88">
            <w:pPr>
              <w:cnfStyle w:val="000000000000" w:firstRow="0" w:lastRow="0" w:firstColumn="0" w:lastColumn="0" w:oddVBand="0" w:evenVBand="0" w:oddHBand="0" w:evenHBand="0" w:firstRowFirstColumn="0" w:firstRowLastColumn="0" w:lastRowFirstColumn="0" w:lastRowLastColumn="0"/>
            </w:pPr>
            <w:r>
              <w:t>63 076</w:t>
            </w:r>
          </w:p>
        </w:tc>
        <w:tc>
          <w:tcPr>
            <w:tcW w:w="850" w:type="dxa"/>
          </w:tcPr>
          <w:p w14:paraId="6EAF0BFB" w14:textId="77777777" w:rsidR="00964B88" w:rsidRDefault="00964B88">
            <w:pPr>
              <w:cnfStyle w:val="000000000000" w:firstRow="0" w:lastRow="0" w:firstColumn="0" w:lastColumn="0" w:oddVBand="0" w:evenVBand="0" w:oddHBand="0" w:evenHBand="0" w:firstRowFirstColumn="0" w:firstRowLastColumn="0" w:lastRowFirstColumn="0" w:lastRowLastColumn="0"/>
            </w:pPr>
            <w:r>
              <w:t>63 149</w:t>
            </w:r>
          </w:p>
        </w:tc>
        <w:tc>
          <w:tcPr>
            <w:tcW w:w="850" w:type="dxa"/>
          </w:tcPr>
          <w:p w14:paraId="4C6B8E00" w14:textId="77777777" w:rsidR="00964B88" w:rsidRDefault="00964B88">
            <w:pPr>
              <w:cnfStyle w:val="000000000000" w:firstRow="0" w:lastRow="0" w:firstColumn="0" w:lastColumn="0" w:oddVBand="0" w:evenVBand="0" w:oddHBand="0" w:evenHBand="0" w:firstRowFirstColumn="0" w:firstRowLastColumn="0" w:lastRowFirstColumn="0" w:lastRowLastColumn="0"/>
            </w:pPr>
            <w:r>
              <w:t>65 985</w:t>
            </w:r>
          </w:p>
        </w:tc>
      </w:tr>
      <w:tr w:rsidR="00964B88" w14:paraId="2A79FA6D" w14:textId="77777777">
        <w:tc>
          <w:tcPr>
            <w:cnfStyle w:val="001000000000" w:firstRow="0" w:lastRow="0" w:firstColumn="1" w:lastColumn="0" w:oddVBand="0" w:evenVBand="0" w:oddHBand="0" w:evenHBand="0" w:firstRowFirstColumn="0" w:firstRowLastColumn="0" w:lastRowFirstColumn="0" w:lastRowLastColumn="0"/>
            <w:tcW w:w="3518" w:type="dxa"/>
          </w:tcPr>
          <w:p w14:paraId="30D7E278" w14:textId="77777777" w:rsidR="00964B88" w:rsidRDefault="00964B88">
            <w:r>
              <w:t>Infrastructure systems</w:t>
            </w:r>
          </w:p>
        </w:tc>
        <w:tc>
          <w:tcPr>
            <w:tcW w:w="850" w:type="dxa"/>
          </w:tcPr>
          <w:p w14:paraId="6517E47E" w14:textId="77777777" w:rsidR="00964B88" w:rsidRDefault="00964B88">
            <w:pPr>
              <w:cnfStyle w:val="000000000000" w:firstRow="0" w:lastRow="0" w:firstColumn="0" w:lastColumn="0" w:oddVBand="0" w:evenVBand="0" w:oddHBand="0" w:evenHBand="0" w:firstRowFirstColumn="0" w:firstRowLastColumn="0" w:lastRowFirstColumn="0" w:lastRowLastColumn="0"/>
            </w:pPr>
            <w:r>
              <w:t>6 210</w:t>
            </w:r>
          </w:p>
        </w:tc>
        <w:tc>
          <w:tcPr>
            <w:tcW w:w="850" w:type="dxa"/>
          </w:tcPr>
          <w:p w14:paraId="60A599E0" w14:textId="77777777" w:rsidR="00964B88" w:rsidRDefault="00964B88">
            <w:pPr>
              <w:cnfStyle w:val="000000000000" w:firstRow="0" w:lastRow="0" w:firstColumn="0" w:lastColumn="0" w:oddVBand="0" w:evenVBand="0" w:oddHBand="0" w:evenHBand="0" w:firstRowFirstColumn="0" w:firstRowLastColumn="0" w:lastRowFirstColumn="0" w:lastRowLastColumn="0"/>
            </w:pPr>
            <w:r>
              <w:t>6 509</w:t>
            </w:r>
          </w:p>
        </w:tc>
        <w:tc>
          <w:tcPr>
            <w:tcW w:w="850" w:type="dxa"/>
          </w:tcPr>
          <w:p w14:paraId="4C0D19FD" w14:textId="77777777" w:rsidR="00964B88" w:rsidRDefault="00964B88">
            <w:pPr>
              <w:cnfStyle w:val="000000000000" w:firstRow="0" w:lastRow="0" w:firstColumn="0" w:lastColumn="0" w:oddVBand="0" w:evenVBand="0" w:oddHBand="0" w:evenHBand="0" w:firstRowFirstColumn="0" w:firstRowLastColumn="0" w:lastRowFirstColumn="0" w:lastRowLastColumn="0"/>
            </w:pPr>
            <w:r>
              <w:t>7 794</w:t>
            </w:r>
          </w:p>
        </w:tc>
        <w:tc>
          <w:tcPr>
            <w:tcW w:w="850" w:type="dxa"/>
          </w:tcPr>
          <w:p w14:paraId="2DAAE32A" w14:textId="77777777" w:rsidR="00964B88" w:rsidRDefault="00964B88">
            <w:pPr>
              <w:cnfStyle w:val="000000000000" w:firstRow="0" w:lastRow="0" w:firstColumn="0" w:lastColumn="0" w:oddVBand="0" w:evenVBand="0" w:oddHBand="0" w:evenHBand="0" w:firstRowFirstColumn="0" w:firstRowLastColumn="0" w:lastRowFirstColumn="0" w:lastRowLastColumn="0"/>
            </w:pPr>
            <w:r>
              <w:t>8 629</w:t>
            </w:r>
          </w:p>
        </w:tc>
        <w:tc>
          <w:tcPr>
            <w:tcW w:w="850" w:type="dxa"/>
          </w:tcPr>
          <w:p w14:paraId="0FD99D73" w14:textId="77777777" w:rsidR="00964B88" w:rsidRDefault="00964B88">
            <w:pPr>
              <w:cnfStyle w:val="000000000000" w:firstRow="0" w:lastRow="0" w:firstColumn="0" w:lastColumn="0" w:oddVBand="0" w:evenVBand="0" w:oddHBand="0" w:evenHBand="0" w:firstRowFirstColumn="0" w:firstRowLastColumn="0" w:lastRowFirstColumn="0" w:lastRowLastColumn="0"/>
            </w:pPr>
            <w:r>
              <w:t>8 790</w:t>
            </w:r>
          </w:p>
        </w:tc>
      </w:tr>
      <w:tr w:rsidR="00964B88" w14:paraId="03D43083" w14:textId="77777777">
        <w:tc>
          <w:tcPr>
            <w:cnfStyle w:val="001000000000" w:firstRow="0" w:lastRow="0" w:firstColumn="1" w:lastColumn="0" w:oddVBand="0" w:evenVBand="0" w:oddHBand="0" w:evenHBand="0" w:firstRowFirstColumn="0" w:firstRowLastColumn="0" w:lastRowFirstColumn="0" w:lastRowLastColumn="0"/>
            <w:tcW w:w="3518" w:type="dxa"/>
          </w:tcPr>
          <w:p w14:paraId="24890389" w14:textId="77777777" w:rsidR="00964B88" w:rsidRDefault="00964B88">
            <w:r>
              <w:t>Plant, equipment and vehicles</w:t>
            </w:r>
          </w:p>
        </w:tc>
        <w:tc>
          <w:tcPr>
            <w:tcW w:w="850" w:type="dxa"/>
          </w:tcPr>
          <w:p w14:paraId="375973BD" w14:textId="77777777" w:rsidR="00964B88" w:rsidRDefault="00964B88">
            <w:pPr>
              <w:cnfStyle w:val="000000000000" w:firstRow="0" w:lastRow="0" w:firstColumn="0" w:lastColumn="0" w:oddVBand="0" w:evenVBand="0" w:oddHBand="0" w:evenHBand="0" w:firstRowFirstColumn="0" w:firstRowLastColumn="0" w:lastRowFirstColumn="0" w:lastRowLastColumn="0"/>
            </w:pPr>
            <w:r>
              <w:t>3 150</w:t>
            </w:r>
          </w:p>
        </w:tc>
        <w:tc>
          <w:tcPr>
            <w:tcW w:w="850" w:type="dxa"/>
          </w:tcPr>
          <w:p w14:paraId="7DB9F2BF" w14:textId="77777777" w:rsidR="00964B88" w:rsidRDefault="00964B88">
            <w:pPr>
              <w:cnfStyle w:val="000000000000" w:firstRow="0" w:lastRow="0" w:firstColumn="0" w:lastColumn="0" w:oddVBand="0" w:evenVBand="0" w:oddHBand="0" w:evenHBand="0" w:firstRowFirstColumn="0" w:firstRowLastColumn="0" w:lastRowFirstColumn="0" w:lastRowLastColumn="0"/>
            </w:pPr>
            <w:r>
              <w:t>3 301</w:t>
            </w:r>
          </w:p>
        </w:tc>
        <w:tc>
          <w:tcPr>
            <w:tcW w:w="850" w:type="dxa"/>
          </w:tcPr>
          <w:p w14:paraId="61A28877" w14:textId="77777777" w:rsidR="00964B88" w:rsidRDefault="00964B88">
            <w:pPr>
              <w:cnfStyle w:val="000000000000" w:firstRow="0" w:lastRow="0" w:firstColumn="0" w:lastColumn="0" w:oddVBand="0" w:evenVBand="0" w:oddHBand="0" w:evenHBand="0" w:firstRowFirstColumn="0" w:firstRowLastColumn="0" w:lastRowFirstColumn="0" w:lastRowLastColumn="0"/>
            </w:pPr>
            <w:r>
              <w:t>3 157</w:t>
            </w:r>
          </w:p>
        </w:tc>
        <w:tc>
          <w:tcPr>
            <w:tcW w:w="850" w:type="dxa"/>
          </w:tcPr>
          <w:p w14:paraId="335A1978" w14:textId="77777777" w:rsidR="00964B88" w:rsidRDefault="00964B88">
            <w:pPr>
              <w:cnfStyle w:val="000000000000" w:firstRow="0" w:lastRow="0" w:firstColumn="0" w:lastColumn="0" w:oddVBand="0" w:evenVBand="0" w:oddHBand="0" w:evenHBand="0" w:firstRowFirstColumn="0" w:firstRowLastColumn="0" w:lastRowFirstColumn="0" w:lastRowLastColumn="0"/>
            </w:pPr>
            <w:r>
              <w:t>2 831</w:t>
            </w:r>
          </w:p>
        </w:tc>
        <w:tc>
          <w:tcPr>
            <w:tcW w:w="850" w:type="dxa"/>
          </w:tcPr>
          <w:p w14:paraId="228FDB13" w14:textId="77777777" w:rsidR="00964B88" w:rsidRDefault="00964B88">
            <w:pPr>
              <w:cnfStyle w:val="000000000000" w:firstRow="0" w:lastRow="0" w:firstColumn="0" w:lastColumn="0" w:oddVBand="0" w:evenVBand="0" w:oddHBand="0" w:evenHBand="0" w:firstRowFirstColumn="0" w:firstRowLastColumn="0" w:lastRowFirstColumn="0" w:lastRowLastColumn="0"/>
            </w:pPr>
            <w:r>
              <w:t>2 377</w:t>
            </w:r>
          </w:p>
        </w:tc>
      </w:tr>
      <w:tr w:rsidR="00964B88" w14:paraId="0E2EAF0D" w14:textId="77777777">
        <w:tc>
          <w:tcPr>
            <w:cnfStyle w:val="001000000000" w:firstRow="0" w:lastRow="0" w:firstColumn="1" w:lastColumn="0" w:oddVBand="0" w:evenVBand="0" w:oddHBand="0" w:evenHBand="0" w:firstRowFirstColumn="0" w:firstRowLastColumn="0" w:lastRowFirstColumn="0" w:lastRowLastColumn="0"/>
            <w:tcW w:w="3518" w:type="dxa"/>
          </w:tcPr>
          <w:p w14:paraId="7E55C570" w14:textId="77777777" w:rsidR="00964B88" w:rsidRDefault="00964B88">
            <w:r>
              <w:t>Roads and road infrastructure</w:t>
            </w:r>
          </w:p>
        </w:tc>
        <w:tc>
          <w:tcPr>
            <w:tcW w:w="850" w:type="dxa"/>
          </w:tcPr>
          <w:p w14:paraId="3B844E34" w14:textId="77777777" w:rsidR="00964B88" w:rsidRDefault="00964B88">
            <w:pPr>
              <w:cnfStyle w:val="000000000000" w:firstRow="0" w:lastRow="0" w:firstColumn="0" w:lastColumn="0" w:oddVBand="0" w:evenVBand="0" w:oddHBand="0" w:evenHBand="0" w:firstRowFirstColumn="0" w:firstRowLastColumn="0" w:lastRowFirstColumn="0" w:lastRowLastColumn="0"/>
            </w:pPr>
            <w:r>
              <w:t>37 474</w:t>
            </w:r>
          </w:p>
        </w:tc>
        <w:tc>
          <w:tcPr>
            <w:tcW w:w="850" w:type="dxa"/>
          </w:tcPr>
          <w:p w14:paraId="5DB8E5C0" w14:textId="77777777" w:rsidR="00964B88" w:rsidRDefault="00964B88">
            <w:pPr>
              <w:cnfStyle w:val="000000000000" w:firstRow="0" w:lastRow="0" w:firstColumn="0" w:lastColumn="0" w:oddVBand="0" w:evenVBand="0" w:oddHBand="0" w:evenHBand="0" w:firstRowFirstColumn="0" w:firstRowLastColumn="0" w:lastRowFirstColumn="0" w:lastRowLastColumn="0"/>
            </w:pPr>
            <w:r>
              <w:t>38 069</w:t>
            </w:r>
          </w:p>
        </w:tc>
        <w:tc>
          <w:tcPr>
            <w:tcW w:w="850" w:type="dxa"/>
          </w:tcPr>
          <w:p w14:paraId="1952CDD2" w14:textId="77777777" w:rsidR="00964B88" w:rsidRDefault="00964B88">
            <w:pPr>
              <w:cnfStyle w:val="000000000000" w:firstRow="0" w:lastRow="0" w:firstColumn="0" w:lastColumn="0" w:oddVBand="0" w:evenVBand="0" w:oddHBand="0" w:evenHBand="0" w:firstRowFirstColumn="0" w:firstRowLastColumn="0" w:lastRowFirstColumn="0" w:lastRowLastColumn="0"/>
            </w:pPr>
            <w:r>
              <w:t>42 012</w:t>
            </w:r>
          </w:p>
        </w:tc>
        <w:tc>
          <w:tcPr>
            <w:tcW w:w="850" w:type="dxa"/>
          </w:tcPr>
          <w:p w14:paraId="18AEA751" w14:textId="77777777" w:rsidR="00964B88" w:rsidRDefault="00964B88">
            <w:pPr>
              <w:cnfStyle w:val="000000000000" w:firstRow="0" w:lastRow="0" w:firstColumn="0" w:lastColumn="0" w:oddVBand="0" w:evenVBand="0" w:oddHBand="0" w:evenHBand="0" w:firstRowFirstColumn="0" w:firstRowLastColumn="0" w:lastRowFirstColumn="0" w:lastRowLastColumn="0"/>
            </w:pPr>
            <w:r>
              <w:t>45 718</w:t>
            </w:r>
          </w:p>
        </w:tc>
        <w:tc>
          <w:tcPr>
            <w:tcW w:w="850" w:type="dxa"/>
          </w:tcPr>
          <w:p w14:paraId="7F558079" w14:textId="77777777" w:rsidR="00964B88" w:rsidRDefault="00964B88">
            <w:pPr>
              <w:cnfStyle w:val="000000000000" w:firstRow="0" w:lastRow="0" w:firstColumn="0" w:lastColumn="0" w:oddVBand="0" w:evenVBand="0" w:oddHBand="0" w:evenHBand="0" w:firstRowFirstColumn="0" w:firstRowLastColumn="0" w:lastRowFirstColumn="0" w:lastRowLastColumn="0"/>
            </w:pPr>
            <w:r>
              <w:t>50 468</w:t>
            </w:r>
          </w:p>
        </w:tc>
      </w:tr>
      <w:tr w:rsidR="00964B88" w14:paraId="76EB10B2" w14:textId="77777777">
        <w:tc>
          <w:tcPr>
            <w:cnfStyle w:val="001000000000" w:firstRow="0" w:lastRow="0" w:firstColumn="1" w:lastColumn="0" w:oddVBand="0" w:evenVBand="0" w:oddHBand="0" w:evenHBand="0" w:firstRowFirstColumn="0" w:firstRowLastColumn="0" w:lastRowFirstColumn="0" w:lastRowLastColumn="0"/>
            <w:tcW w:w="3518" w:type="dxa"/>
          </w:tcPr>
          <w:p w14:paraId="2FFE3A66" w14:textId="77777777" w:rsidR="00964B88" w:rsidRDefault="00964B88">
            <w:r>
              <w:t>Earthworks</w:t>
            </w:r>
          </w:p>
        </w:tc>
        <w:tc>
          <w:tcPr>
            <w:tcW w:w="850" w:type="dxa"/>
          </w:tcPr>
          <w:p w14:paraId="47132921" w14:textId="77777777" w:rsidR="00964B88" w:rsidRDefault="00964B88">
            <w:pPr>
              <w:cnfStyle w:val="000000000000" w:firstRow="0" w:lastRow="0" w:firstColumn="0" w:lastColumn="0" w:oddVBand="0" w:evenVBand="0" w:oddHBand="0" w:evenHBand="0" w:firstRowFirstColumn="0" w:firstRowLastColumn="0" w:lastRowFirstColumn="0" w:lastRowLastColumn="0"/>
            </w:pPr>
            <w:r>
              <w:t>9 238</w:t>
            </w:r>
          </w:p>
        </w:tc>
        <w:tc>
          <w:tcPr>
            <w:tcW w:w="850" w:type="dxa"/>
          </w:tcPr>
          <w:p w14:paraId="451DBB2B" w14:textId="77777777" w:rsidR="00964B88" w:rsidRDefault="00964B88">
            <w:pPr>
              <w:cnfStyle w:val="000000000000" w:firstRow="0" w:lastRow="0" w:firstColumn="0" w:lastColumn="0" w:oddVBand="0" w:evenVBand="0" w:oddHBand="0" w:evenHBand="0" w:firstRowFirstColumn="0" w:firstRowLastColumn="0" w:lastRowFirstColumn="0" w:lastRowLastColumn="0"/>
            </w:pPr>
            <w:r>
              <w:t>9 238</w:t>
            </w:r>
          </w:p>
        </w:tc>
        <w:tc>
          <w:tcPr>
            <w:tcW w:w="850" w:type="dxa"/>
          </w:tcPr>
          <w:p w14:paraId="20A234D8" w14:textId="77777777" w:rsidR="00964B88" w:rsidRDefault="00964B88">
            <w:pPr>
              <w:cnfStyle w:val="000000000000" w:firstRow="0" w:lastRow="0" w:firstColumn="0" w:lastColumn="0" w:oddVBand="0" w:evenVBand="0" w:oddHBand="0" w:evenHBand="0" w:firstRowFirstColumn="0" w:firstRowLastColumn="0" w:lastRowFirstColumn="0" w:lastRowLastColumn="0"/>
            </w:pPr>
            <w:r>
              <w:t>9 235</w:t>
            </w:r>
          </w:p>
        </w:tc>
        <w:tc>
          <w:tcPr>
            <w:tcW w:w="850" w:type="dxa"/>
          </w:tcPr>
          <w:p w14:paraId="09D1FC3E" w14:textId="77777777" w:rsidR="00964B88" w:rsidRDefault="00964B88">
            <w:pPr>
              <w:cnfStyle w:val="000000000000" w:firstRow="0" w:lastRow="0" w:firstColumn="0" w:lastColumn="0" w:oddVBand="0" w:evenVBand="0" w:oddHBand="0" w:evenHBand="0" w:firstRowFirstColumn="0" w:firstRowLastColumn="0" w:lastRowFirstColumn="0" w:lastRowLastColumn="0"/>
            </w:pPr>
            <w:r>
              <w:t>9 237</w:t>
            </w:r>
          </w:p>
        </w:tc>
        <w:tc>
          <w:tcPr>
            <w:tcW w:w="850" w:type="dxa"/>
          </w:tcPr>
          <w:p w14:paraId="57C68BB9" w14:textId="77777777" w:rsidR="00964B88" w:rsidRDefault="00964B88">
            <w:pPr>
              <w:cnfStyle w:val="000000000000" w:firstRow="0" w:lastRow="0" w:firstColumn="0" w:lastColumn="0" w:oddVBand="0" w:evenVBand="0" w:oddHBand="0" w:evenHBand="0" w:firstRowFirstColumn="0" w:firstRowLastColumn="0" w:lastRowFirstColumn="0" w:lastRowLastColumn="0"/>
            </w:pPr>
            <w:r>
              <w:t>9 225</w:t>
            </w:r>
          </w:p>
        </w:tc>
      </w:tr>
      <w:tr w:rsidR="00964B88" w14:paraId="50B033C6"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32EC6A5C" w14:textId="77777777" w:rsidR="00964B88" w:rsidRDefault="00964B88">
            <w:r>
              <w:t>Cultural assets</w:t>
            </w:r>
          </w:p>
        </w:tc>
        <w:tc>
          <w:tcPr>
            <w:tcW w:w="850" w:type="dxa"/>
            <w:tcBorders>
              <w:bottom w:val="single" w:sz="6" w:space="0" w:color="auto"/>
            </w:tcBorders>
          </w:tcPr>
          <w:p w14:paraId="32B92244" w14:textId="77777777" w:rsidR="00964B88" w:rsidRDefault="00964B88">
            <w:pPr>
              <w:cnfStyle w:val="000000000000" w:firstRow="0" w:lastRow="0" w:firstColumn="0" w:lastColumn="0" w:oddVBand="0" w:evenVBand="0" w:oddHBand="0" w:evenHBand="0" w:firstRowFirstColumn="0" w:firstRowLastColumn="0" w:lastRowFirstColumn="0" w:lastRowLastColumn="0"/>
            </w:pPr>
            <w:r>
              <w:t>5 653</w:t>
            </w:r>
          </w:p>
        </w:tc>
        <w:tc>
          <w:tcPr>
            <w:tcW w:w="850" w:type="dxa"/>
            <w:tcBorders>
              <w:bottom w:val="single" w:sz="6" w:space="0" w:color="auto"/>
            </w:tcBorders>
          </w:tcPr>
          <w:p w14:paraId="03645230" w14:textId="77777777" w:rsidR="00964B88" w:rsidRDefault="00964B88">
            <w:pPr>
              <w:cnfStyle w:val="000000000000" w:firstRow="0" w:lastRow="0" w:firstColumn="0" w:lastColumn="0" w:oddVBand="0" w:evenVBand="0" w:oddHBand="0" w:evenHBand="0" w:firstRowFirstColumn="0" w:firstRowLastColumn="0" w:lastRowFirstColumn="0" w:lastRowLastColumn="0"/>
            </w:pPr>
            <w:r>
              <w:t>5 660</w:t>
            </w:r>
          </w:p>
        </w:tc>
        <w:tc>
          <w:tcPr>
            <w:tcW w:w="850" w:type="dxa"/>
            <w:tcBorders>
              <w:bottom w:val="single" w:sz="6" w:space="0" w:color="auto"/>
            </w:tcBorders>
          </w:tcPr>
          <w:p w14:paraId="3AB1B9DA" w14:textId="77777777" w:rsidR="00964B88" w:rsidRDefault="00964B88">
            <w:pPr>
              <w:cnfStyle w:val="000000000000" w:firstRow="0" w:lastRow="0" w:firstColumn="0" w:lastColumn="0" w:oddVBand="0" w:evenVBand="0" w:oddHBand="0" w:evenHBand="0" w:firstRowFirstColumn="0" w:firstRowLastColumn="0" w:lastRowFirstColumn="0" w:lastRowLastColumn="0"/>
            </w:pPr>
            <w:r>
              <w:t>6 403</w:t>
            </w:r>
          </w:p>
        </w:tc>
        <w:tc>
          <w:tcPr>
            <w:tcW w:w="850" w:type="dxa"/>
            <w:tcBorders>
              <w:bottom w:val="single" w:sz="6" w:space="0" w:color="auto"/>
            </w:tcBorders>
          </w:tcPr>
          <w:p w14:paraId="4F33C5CC" w14:textId="77777777" w:rsidR="00964B88" w:rsidRDefault="00964B88">
            <w:pPr>
              <w:cnfStyle w:val="000000000000" w:firstRow="0" w:lastRow="0" w:firstColumn="0" w:lastColumn="0" w:oddVBand="0" w:evenVBand="0" w:oddHBand="0" w:evenHBand="0" w:firstRowFirstColumn="0" w:firstRowLastColumn="0" w:lastRowFirstColumn="0" w:lastRowLastColumn="0"/>
            </w:pPr>
            <w:r>
              <w:t>6 451</w:t>
            </w:r>
          </w:p>
        </w:tc>
        <w:tc>
          <w:tcPr>
            <w:tcW w:w="850" w:type="dxa"/>
            <w:tcBorders>
              <w:bottom w:val="single" w:sz="6" w:space="0" w:color="auto"/>
            </w:tcBorders>
          </w:tcPr>
          <w:p w14:paraId="103808A4" w14:textId="77777777" w:rsidR="00964B88" w:rsidRDefault="00964B88">
            <w:pPr>
              <w:cnfStyle w:val="000000000000" w:firstRow="0" w:lastRow="0" w:firstColumn="0" w:lastColumn="0" w:oddVBand="0" w:evenVBand="0" w:oddHBand="0" w:evenHBand="0" w:firstRowFirstColumn="0" w:firstRowLastColumn="0" w:lastRowFirstColumn="0" w:lastRowLastColumn="0"/>
            </w:pPr>
            <w:r>
              <w:t>6 443</w:t>
            </w:r>
          </w:p>
        </w:tc>
      </w:tr>
      <w:tr w:rsidR="00964B88" w14:paraId="14C4E9B6"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12BF159D" w14:textId="77777777" w:rsidR="00964B88" w:rsidRDefault="00964B88">
            <w:r>
              <w:t>Total land, buildings, infrastructure, plant and equipment</w:t>
            </w:r>
          </w:p>
        </w:tc>
        <w:tc>
          <w:tcPr>
            <w:tcW w:w="850" w:type="dxa"/>
          </w:tcPr>
          <w:p w14:paraId="47ACE3FA" w14:textId="77777777" w:rsidR="00964B88" w:rsidRDefault="00964B88">
            <w:pPr>
              <w:cnfStyle w:val="010000000000" w:firstRow="0" w:lastRow="1" w:firstColumn="0" w:lastColumn="0" w:oddVBand="0" w:evenVBand="0" w:oddHBand="0" w:evenHBand="0" w:firstRowFirstColumn="0" w:firstRowLastColumn="0" w:lastRowFirstColumn="0" w:lastRowLastColumn="0"/>
            </w:pPr>
            <w:r>
              <w:t>165 417</w:t>
            </w:r>
          </w:p>
        </w:tc>
        <w:tc>
          <w:tcPr>
            <w:tcW w:w="850" w:type="dxa"/>
          </w:tcPr>
          <w:p w14:paraId="4EB2D3A6" w14:textId="77777777" w:rsidR="00964B88" w:rsidRDefault="00964B88">
            <w:pPr>
              <w:cnfStyle w:val="010000000000" w:firstRow="0" w:lastRow="1" w:firstColumn="0" w:lastColumn="0" w:oddVBand="0" w:evenVBand="0" w:oddHBand="0" w:evenHBand="0" w:firstRowFirstColumn="0" w:firstRowLastColumn="0" w:lastRowFirstColumn="0" w:lastRowLastColumn="0"/>
            </w:pPr>
            <w:r>
              <w:t>168 202</w:t>
            </w:r>
          </w:p>
        </w:tc>
        <w:tc>
          <w:tcPr>
            <w:tcW w:w="850" w:type="dxa"/>
          </w:tcPr>
          <w:p w14:paraId="3D6E5B60" w14:textId="77777777" w:rsidR="00964B88" w:rsidRDefault="00964B88">
            <w:pPr>
              <w:cnfStyle w:val="010000000000" w:firstRow="0" w:lastRow="1" w:firstColumn="0" w:lastColumn="0" w:oddVBand="0" w:evenVBand="0" w:oddHBand="0" w:evenHBand="0" w:firstRowFirstColumn="0" w:firstRowLastColumn="0" w:lastRowFirstColumn="0" w:lastRowLastColumn="0"/>
            </w:pPr>
            <w:r>
              <w:t>179 823</w:t>
            </w:r>
          </w:p>
        </w:tc>
        <w:tc>
          <w:tcPr>
            <w:tcW w:w="850" w:type="dxa"/>
          </w:tcPr>
          <w:p w14:paraId="4DB44412" w14:textId="77777777" w:rsidR="00964B88" w:rsidRDefault="00964B88">
            <w:pPr>
              <w:cnfStyle w:val="010000000000" w:firstRow="0" w:lastRow="1" w:firstColumn="0" w:lastColumn="0" w:oddVBand="0" w:evenVBand="0" w:oddHBand="0" w:evenHBand="0" w:firstRowFirstColumn="0" w:firstRowLastColumn="0" w:lastRowFirstColumn="0" w:lastRowLastColumn="0"/>
            </w:pPr>
            <w:r>
              <w:t>187 696</w:t>
            </w:r>
          </w:p>
        </w:tc>
        <w:tc>
          <w:tcPr>
            <w:tcW w:w="850" w:type="dxa"/>
          </w:tcPr>
          <w:p w14:paraId="17A44A59" w14:textId="77777777" w:rsidR="00964B88" w:rsidRDefault="00964B88">
            <w:pPr>
              <w:cnfStyle w:val="010000000000" w:firstRow="0" w:lastRow="1" w:firstColumn="0" w:lastColumn="0" w:oddVBand="0" w:evenVBand="0" w:oddHBand="0" w:evenHBand="0" w:firstRowFirstColumn="0" w:firstRowLastColumn="0" w:lastRowFirstColumn="0" w:lastRowLastColumn="0"/>
            </w:pPr>
            <w:r>
              <w:t>195 961</w:t>
            </w:r>
          </w:p>
        </w:tc>
      </w:tr>
    </w:tbl>
    <w:p w14:paraId="6146B97E" w14:textId="77777777" w:rsidR="00964B88" w:rsidRDefault="00964B88" w:rsidP="00F53820"/>
    <w:p w14:paraId="7146F076" w14:textId="77777777" w:rsidR="00964B88" w:rsidRDefault="00964B88">
      <w:pPr>
        <w:keepLines w:val="0"/>
      </w:pPr>
      <w:r>
        <w:br w:type="page"/>
      </w:r>
    </w:p>
    <w:p w14:paraId="4983C8F7" w14:textId="77777777" w:rsidR="00964B88" w:rsidRDefault="00964B88" w:rsidP="00F53820">
      <w:r w:rsidRPr="00225C13">
        <w:lastRenderedPageBreak/>
        <w:t>The following two tables are subsets of total land, buildings, infrastructure, plant and equipment by right of use (leased) assets and service concession assets.</w:t>
      </w:r>
    </w:p>
    <w:p w14:paraId="5FC18D5C" w14:textId="77777777" w:rsidR="00964B88" w:rsidRPr="00EA0E9B" w:rsidRDefault="00964B88" w:rsidP="00F53820">
      <w:pPr>
        <w:pStyle w:val="Heading30"/>
      </w:pPr>
      <w:r w:rsidRPr="00EA0E9B">
        <w:t>Total right of use (leased) assets: land, buildings, infrastructure, plant and equipment</w:t>
      </w:r>
    </w:p>
    <w:p w14:paraId="1F58F643" w14:textId="77777777" w:rsidR="00964B88" w:rsidRDefault="00964B88" w:rsidP="00F53820">
      <w:pPr>
        <w:pStyle w:val="TableUnits"/>
      </w:pPr>
      <w:r w:rsidRPr="00EA0E9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72F25037"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32EC3B23" w14:textId="77777777" w:rsidR="00964B88" w:rsidRDefault="00964B88"/>
        </w:tc>
        <w:tc>
          <w:tcPr>
            <w:tcW w:w="850" w:type="dxa"/>
          </w:tcPr>
          <w:p w14:paraId="2BA57C8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p>
        </w:tc>
        <w:tc>
          <w:tcPr>
            <w:tcW w:w="850" w:type="dxa"/>
          </w:tcPr>
          <w:p w14:paraId="06A7974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50" w:type="dxa"/>
          </w:tcPr>
          <w:p w14:paraId="6663037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50" w:type="dxa"/>
          </w:tcPr>
          <w:p w14:paraId="7F87C39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50" w:type="dxa"/>
          </w:tcPr>
          <w:p w14:paraId="1666706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130B4185" w14:textId="77777777">
        <w:tc>
          <w:tcPr>
            <w:cnfStyle w:val="001000000000" w:firstRow="0" w:lastRow="0" w:firstColumn="1" w:lastColumn="0" w:oddVBand="0" w:evenVBand="0" w:oddHBand="0" w:evenHBand="0" w:firstRowFirstColumn="0" w:firstRowLastColumn="0" w:lastRowFirstColumn="0" w:lastRowLastColumn="0"/>
            <w:tcW w:w="3518" w:type="dxa"/>
          </w:tcPr>
          <w:p w14:paraId="54FC4E68" w14:textId="77777777" w:rsidR="00964B88" w:rsidRDefault="00964B88">
            <w:r>
              <w:t>Buildings</w:t>
            </w:r>
          </w:p>
        </w:tc>
        <w:tc>
          <w:tcPr>
            <w:tcW w:w="850" w:type="dxa"/>
          </w:tcPr>
          <w:p w14:paraId="6E58D281" w14:textId="77777777" w:rsidR="00964B88" w:rsidRDefault="00964B88">
            <w:pPr>
              <w:cnfStyle w:val="000000000000" w:firstRow="0" w:lastRow="0" w:firstColumn="0" w:lastColumn="0" w:oddVBand="0" w:evenVBand="0" w:oddHBand="0" w:evenHBand="0" w:firstRowFirstColumn="0" w:firstRowLastColumn="0" w:lastRowFirstColumn="0" w:lastRowLastColumn="0"/>
            </w:pPr>
            <w:r>
              <w:t>7 696</w:t>
            </w:r>
          </w:p>
        </w:tc>
        <w:tc>
          <w:tcPr>
            <w:tcW w:w="850" w:type="dxa"/>
          </w:tcPr>
          <w:p w14:paraId="6090A030" w14:textId="77777777" w:rsidR="00964B88" w:rsidRDefault="00964B88">
            <w:pPr>
              <w:cnfStyle w:val="000000000000" w:firstRow="0" w:lastRow="0" w:firstColumn="0" w:lastColumn="0" w:oddVBand="0" w:evenVBand="0" w:oddHBand="0" w:evenHBand="0" w:firstRowFirstColumn="0" w:firstRowLastColumn="0" w:lastRowFirstColumn="0" w:lastRowLastColumn="0"/>
            </w:pPr>
            <w:r>
              <w:t>8 802</w:t>
            </w:r>
          </w:p>
        </w:tc>
        <w:tc>
          <w:tcPr>
            <w:tcW w:w="850" w:type="dxa"/>
          </w:tcPr>
          <w:p w14:paraId="275E3F0F" w14:textId="77777777" w:rsidR="00964B88" w:rsidRDefault="00964B88">
            <w:pPr>
              <w:cnfStyle w:val="000000000000" w:firstRow="0" w:lastRow="0" w:firstColumn="0" w:lastColumn="0" w:oddVBand="0" w:evenVBand="0" w:oddHBand="0" w:evenHBand="0" w:firstRowFirstColumn="0" w:firstRowLastColumn="0" w:lastRowFirstColumn="0" w:lastRowLastColumn="0"/>
            </w:pPr>
            <w:r>
              <w:t>8 390</w:t>
            </w:r>
          </w:p>
        </w:tc>
        <w:tc>
          <w:tcPr>
            <w:tcW w:w="850" w:type="dxa"/>
          </w:tcPr>
          <w:p w14:paraId="65A5F252" w14:textId="77777777" w:rsidR="00964B88" w:rsidRDefault="00964B88">
            <w:pPr>
              <w:cnfStyle w:val="000000000000" w:firstRow="0" w:lastRow="0" w:firstColumn="0" w:lastColumn="0" w:oddVBand="0" w:evenVBand="0" w:oddHBand="0" w:evenHBand="0" w:firstRowFirstColumn="0" w:firstRowLastColumn="0" w:lastRowFirstColumn="0" w:lastRowLastColumn="0"/>
            </w:pPr>
            <w:r>
              <w:t>7 912</w:t>
            </w:r>
          </w:p>
        </w:tc>
        <w:tc>
          <w:tcPr>
            <w:tcW w:w="850" w:type="dxa"/>
          </w:tcPr>
          <w:p w14:paraId="2A4E25C2" w14:textId="77777777" w:rsidR="00964B88" w:rsidRDefault="00964B88">
            <w:pPr>
              <w:cnfStyle w:val="000000000000" w:firstRow="0" w:lastRow="0" w:firstColumn="0" w:lastColumn="0" w:oddVBand="0" w:evenVBand="0" w:oddHBand="0" w:evenHBand="0" w:firstRowFirstColumn="0" w:firstRowLastColumn="0" w:lastRowFirstColumn="0" w:lastRowLastColumn="0"/>
            </w:pPr>
            <w:r>
              <w:t>7 393</w:t>
            </w:r>
          </w:p>
        </w:tc>
      </w:tr>
      <w:tr w:rsidR="00964B88" w14:paraId="45733994" w14:textId="77777777">
        <w:tc>
          <w:tcPr>
            <w:cnfStyle w:val="001000000000" w:firstRow="0" w:lastRow="0" w:firstColumn="1" w:lastColumn="0" w:oddVBand="0" w:evenVBand="0" w:oddHBand="0" w:evenHBand="0" w:firstRowFirstColumn="0" w:firstRowLastColumn="0" w:lastRowFirstColumn="0" w:lastRowLastColumn="0"/>
            <w:tcW w:w="3518" w:type="dxa"/>
          </w:tcPr>
          <w:p w14:paraId="31DD4E14" w14:textId="77777777" w:rsidR="00964B88" w:rsidRDefault="00964B88">
            <w:r>
              <w:t>Infrastructure systems</w:t>
            </w:r>
          </w:p>
        </w:tc>
        <w:tc>
          <w:tcPr>
            <w:tcW w:w="850" w:type="dxa"/>
          </w:tcPr>
          <w:p w14:paraId="1209290A"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c>
          <w:tcPr>
            <w:tcW w:w="850" w:type="dxa"/>
          </w:tcPr>
          <w:p w14:paraId="04781AF6" w14:textId="77777777" w:rsidR="00964B88" w:rsidRDefault="00964B88">
            <w:pPr>
              <w:cnfStyle w:val="000000000000" w:firstRow="0" w:lastRow="0" w:firstColumn="0" w:lastColumn="0" w:oddVBand="0" w:evenVBand="0" w:oddHBand="0" w:evenHBand="0" w:firstRowFirstColumn="0" w:firstRowLastColumn="0" w:lastRowFirstColumn="0" w:lastRowLastColumn="0"/>
            </w:pPr>
            <w:r>
              <w:t>13</w:t>
            </w:r>
          </w:p>
        </w:tc>
        <w:tc>
          <w:tcPr>
            <w:tcW w:w="850" w:type="dxa"/>
          </w:tcPr>
          <w:p w14:paraId="0EAEF6EF" w14:textId="77777777" w:rsidR="00964B88" w:rsidRDefault="00964B88">
            <w:pPr>
              <w:cnfStyle w:val="000000000000" w:firstRow="0" w:lastRow="0" w:firstColumn="0" w:lastColumn="0" w:oddVBand="0" w:evenVBand="0" w:oddHBand="0" w:evenHBand="0" w:firstRowFirstColumn="0" w:firstRowLastColumn="0" w:lastRowFirstColumn="0" w:lastRowLastColumn="0"/>
            </w:pPr>
            <w:r>
              <w:t>10</w:t>
            </w:r>
          </w:p>
        </w:tc>
        <w:tc>
          <w:tcPr>
            <w:tcW w:w="850" w:type="dxa"/>
          </w:tcPr>
          <w:p w14:paraId="6943DEB4" w14:textId="77777777" w:rsidR="00964B88" w:rsidRDefault="00964B88">
            <w:pPr>
              <w:cnfStyle w:val="000000000000" w:firstRow="0" w:lastRow="0" w:firstColumn="0" w:lastColumn="0" w:oddVBand="0" w:evenVBand="0" w:oddHBand="0" w:evenHBand="0" w:firstRowFirstColumn="0" w:firstRowLastColumn="0" w:lastRowFirstColumn="0" w:lastRowLastColumn="0"/>
            </w:pPr>
            <w:r>
              <w:t>8</w:t>
            </w:r>
          </w:p>
        </w:tc>
        <w:tc>
          <w:tcPr>
            <w:tcW w:w="850" w:type="dxa"/>
          </w:tcPr>
          <w:p w14:paraId="6BC37BDA" w14:textId="77777777" w:rsidR="00964B88" w:rsidRDefault="00964B88">
            <w:pPr>
              <w:cnfStyle w:val="000000000000" w:firstRow="0" w:lastRow="0" w:firstColumn="0" w:lastColumn="0" w:oddVBand="0" w:evenVBand="0" w:oddHBand="0" w:evenHBand="0" w:firstRowFirstColumn="0" w:firstRowLastColumn="0" w:lastRowFirstColumn="0" w:lastRowLastColumn="0"/>
            </w:pPr>
            <w:r>
              <w:t>5</w:t>
            </w:r>
          </w:p>
        </w:tc>
      </w:tr>
      <w:tr w:rsidR="00964B88" w14:paraId="3C91D57B"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7074C572" w14:textId="77777777" w:rsidR="00964B88" w:rsidRDefault="00964B88">
            <w:r>
              <w:t>Plant, equipment and vehicles</w:t>
            </w:r>
          </w:p>
        </w:tc>
        <w:tc>
          <w:tcPr>
            <w:tcW w:w="850" w:type="dxa"/>
            <w:tcBorders>
              <w:bottom w:val="single" w:sz="6" w:space="0" w:color="auto"/>
            </w:tcBorders>
          </w:tcPr>
          <w:p w14:paraId="4AC788B8" w14:textId="77777777" w:rsidR="00964B88" w:rsidRDefault="00964B88">
            <w:pPr>
              <w:cnfStyle w:val="000000000000" w:firstRow="0" w:lastRow="0" w:firstColumn="0" w:lastColumn="0" w:oddVBand="0" w:evenVBand="0" w:oddHBand="0" w:evenHBand="0" w:firstRowFirstColumn="0" w:firstRowLastColumn="0" w:lastRowFirstColumn="0" w:lastRowLastColumn="0"/>
            </w:pPr>
            <w:r>
              <w:t>321</w:t>
            </w:r>
          </w:p>
        </w:tc>
        <w:tc>
          <w:tcPr>
            <w:tcW w:w="850" w:type="dxa"/>
            <w:tcBorders>
              <w:bottom w:val="single" w:sz="6" w:space="0" w:color="auto"/>
            </w:tcBorders>
          </w:tcPr>
          <w:p w14:paraId="63D4E0AB" w14:textId="77777777" w:rsidR="00964B88" w:rsidRDefault="00964B88">
            <w:pPr>
              <w:cnfStyle w:val="000000000000" w:firstRow="0" w:lastRow="0" w:firstColumn="0" w:lastColumn="0" w:oddVBand="0" w:evenVBand="0" w:oddHBand="0" w:evenHBand="0" w:firstRowFirstColumn="0" w:firstRowLastColumn="0" w:lastRowFirstColumn="0" w:lastRowLastColumn="0"/>
            </w:pPr>
            <w:r>
              <w:t>529</w:t>
            </w:r>
          </w:p>
        </w:tc>
        <w:tc>
          <w:tcPr>
            <w:tcW w:w="850" w:type="dxa"/>
            <w:tcBorders>
              <w:bottom w:val="single" w:sz="6" w:space="0" w:color="auto"/>
            </w:tcBorders>
          </w:tcPr>
          <w:p w14:paraId="78BBFA8D" w14:textId="77777777" w:rsidR="00964B88" w:rsidRDefault="00964B88">
            <w:pPr>
              <w:cnfStyle w:val="000000000000" w:firstRow="0" w:lastRow="0" w:firstColumn="0" w:lastColumn="0" w:oddVBand="0" w:evenVBand="0" w:oddHBand="0" w:evenHBand="0" w:firstRowFirstColumn="0" w:firstRowLastColumn="0" w:lastRowFirstColumn="0" w:lastRowLastColumn="0"/>
            </w:pPr>
            <w:r>
              <w:t>601</w:t>
            </w:r>
          </w:p>
        </w:tc>
        <w:tc>
          <w:tcPr>
            <w:tcW w:w="850" w:type="dxa"/>
            <w:tcBorders>
              <w:bottom w:val="single" w:sz="6" w:space="0" w:color="auto"/>
            </w:tcBorders>
          </w:tcPr>
          <w:p w14:paraId="5E87EBC8" w14:textId="77777777" w:rsidR="00964B88" w:rsidRDefault="00964B88">
            <w:pPr>
              <w:cnfStyle w:val="000000000000" w:firstRow="0" w:lastRow="0" w:firstColumn="0" w:lastColumn="0" w:oddVBand="0" w:evenVBand="0" w:oddHBand="0" w:evenHBand="0" w:firstRowFirstColumn="0" w:firstRowLastColumn="0" w:lastRowFirstColumn="0" w:lastRowLastColumn="0"/>
            </w:pPr>
            <w:r>
              <w:t>580</w:t>
            </w:r>
          </w:p>
        </w:tc>
        <w:tc>
          <w:tcPr>
            <w:tcW w:w="850" w:type="dxa"/>
            <w:tcBorders>
              <w:bottom w:val="single" w:sz="6" w:space="0" w:color="auto"/>
            </w:tcBorders>
          </w:tcPr>
          <w:p w14:paraId="1F6D3B8A" w14:textId="77777777" w:rsidR="00964B88" w:rsidRDefault="00964B88">
            <w:pPr>
              <w:cnfStyle w:val="000000000000" w:firstRow="0" w:lastRow="0" w:firstColumn="0" w:lastColumn="0" w:oddVBand="0" w:evenVBand="0" w:oddHBand="0" w:evenHBand="0" w:firstRowFirstColumn="0" w:firstRowLastColumn="0" w:lastRowFirstColumn="0" w:lastRowLastColumn="0"/>
            </w:pPr>
            <w:r>
              <w:t>489</w:t>
            </w:r>
          </w:p>
        </w:tc>
      </w:tr>
      <w:tr w:rsidR="00964B88" w14:paraId="2A443614"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41B799F0" w14:textId="77777777" w:rsidR="00964B88" w:rsidRDefault="00964B88">
            <w:r>
              <w:t>Total right of use assets: land, buildings, infrastructure, plant and equipment</w:t>
            </w:r>
          </w:p>
        </w:tc>
        <w:tc>
          <w:tcPr>
            <w:tcW w:w="850" w:type="dxa"/>
          </w:tcPr>
          <w:p w14:paraId="3B996640" w14:textId="77777777" w:rsidR="00964B88" w:rsidRDefault="00964B88">
            <w:pPr>
              <w:cnfStyle w:val="010000000000" w:firstRow="0" w:lastRow="1" w:firstColumn="0" w:lastColumn="0" w:oddVBand="0" w:evenVBand="0" w:oddHBand="0" w:evenHBand="0" w:firstRowFirstColumn="0" w:firstRowLastColumn="0" w:lastRowFirstColumn="0" w:lastRowLastColumn="0"/>
            </w:pPr>
            <w:r>
              <w:t>8 023</w:t>
            </w:r>
          </w:p>
        </w:tc>
        <w:tc>
          <w:tcPr>
            <w:tcW w:w="850" w:type="dxa"/>
          </w:tcPr>
          <w:p w14:paraId="06F48BD5" w14:textId="77777777" w:rsidR="00964B88" w:rsidRDefault="00964B88">
            <w:pPr>
              <w:cnfStyle w:val="010000000000" w:firstRow="0" w:lastRow="1" w:firstColumn="0" w:lastColumn="0" w:oddVBand="0" w:evenVBand="0" w:oddHBand="0" w:evenHBand="0" w:firstRowFirstColumn="0" w:firstRowLastColumn="0" w:lastRowFirstColumn="0" w:lastRowLastColumn="0"/>
            </w:pPr>
            <w:r>
              <w:t>9 344</w:t>
            </w:r>
          </w:p>
        </w:tc>
        <w:tc>
          <w:tcPr>
            <w:tcW w:w="850" w:type="dxa"/>
          </w:tcPr>
          <w:p w14:paraId="6EA5110A" w14:textId="77777777" w:rsidR="00964B88" w:rsidRDefault="00964B88">
            <w:pPr>
              <w:cnfStyle w:val="010000000000" w:firstRow="0" w:lastRow="1" w:firstColumn="0" w:lastColumn="0" w:oddVBand="0" w:evenVBand="0" w:oddHBand="0" w:evenHBand="0" w:firstRowFirstColumn="0" w:firstRowLastColumn="0" w:lastRowFirstColumn="0" w:lastRowLastColumn="0"/>
            </w:pPr>
            <w:r>
              <w:t>9 001</w:t>
            </w:r>
          </w:p>
        </w:tc>
        <w:tc>
          <w:tcPr>
            <w:tcW w:w="850" w:type="dxa"/>
          </w:tcPr>
          <w:p w14:paraId="4D8BA258" w14:textId="77777777" w:rsidR="00964B88" w:rsidRDefault="00964B88">
            <w:pPr>
              <w:cnfStyle w:val="010000000000" w:firstRow="0" w:lastRow="1" w:firstColumn="0" w:lastColumn="0" w:oddVBand="0" w:evenVBand="0" w:oddHBand="0" w:evenHBand="0" w:firstRowFirstColumn="0" w:firstRowLastColumn="0" w:lastRowFirstColumn="0" w:lastRowLastColumn="0"/>
            </w:pPr>
            <w:r>
              <w:t>8 500</w:t>
            </w:r>
          </w:p>
        </w:tc>
        <w:tc>
          <w:tcPr>
            <w:tcW w:w="850" w:type="dxa"/>
          </w:tcPr>
          <w:p w14:paraId="00DFF199" w14:textId="77777777" w:rsidR="00964B88" w:rsidRDefault="00964B88">
            <w:pPr>
              <w:cnfStyle w:val="010000000000" w:firstRow="0" w:lastRow="1" w:firstColumn="0" w:lastColumn="0" w:oddVBand="0" w:evenVBand="0" w:oddHBand="0" w:evenHBand="0" w:firstRowFirstColumn="0" w:firstRowLastColumn="0" w:lastRowFirstColumn="0" w:lastRowLastColumn="0"/>
            </w:pPr>
            <w:r>
              <w:t>7 887</w:t>
            </w:r>
          </w:p>
        </w:tc>
      </w:tr>
    </w:tbl>
    <w:p w14:paraId="15DB594A" w14:textId="77777777" w:rsidR="00964B88" w:rsidRPr="00605D9A" w:rsidRDefault="00964B88" w:rsidP="00F53820"/>
    <w:p w14:paraId="1AFD1775" w14:textId="77777777" w:rsidR="00964B88" w:rsidRPr="00EA0E9B" w:rsidRDefault="00964B88" w:rsidP="00F53820">
      <w:pPr>
        <w:pStyle w:val="Heading30"/>
      </w:pPr>
      <w:r w:rsidRPr="00EA0E9B">
        <w:t xml:space="preserve">Total service concession assets: land, buildings, infrastructure, plant and equipment </w:t>
      </w:r>
    </w:p>
    <w:p w14:paraId="7A799BBC" w14:textId="77777777" w:rsidR="00964B88" w:rsidRDefault="00964B88" w:rsidP="00F53820">
      <w:pPr>
        <w:pStyle w:val="TableUnits"/>
      </w:pPr>
      <w:r w:rsidRPr="00EA0E9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0CDDF4F6"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265874A5" w14:textId="77777777" w:rsidR="00964B88" w:rsidRDefault="00964B88"/>
        </w:tc>
        <w:tc>
          <w:tcPr>
            <w:tcW w:w="850" w:type="dxa"/>
          </w:tcPr>
          <w:p w14:paraId="2A7FAB0B"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p>
        </w:tc>
        <w:tc>
          <w:tcPr>
            <w:tcW w:w="850" w:type="dxa"/>
          </w:tcPr>
          <w:p w14:paraId="7ED19B4F"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50" w:type="dxa"/>
          </w:tcPr>
          <w:p w14:paraId="4A402F7E"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50" w:type="dxa"/>
          </w:tcPr>
          <w:p w14:paraId="1B6AD01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50" w:type="dxa"/>
          </w:tcPr>
          <w:p w14:paraId="6BBEAC1E"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0FB22900" w14:textId="77777777">
        <w:tc>
          <w:tcPr>
            <w:cnfStyle w:val="001000000000" w:firstRow="0" w:lastRow="0" w:firstColumn="1" w:lastColumn="0" w:oddVBand="0" w:evenVBand="0" w:oddHBand="0" w:evenHBand="0" w:firstRowFirstColumn="0" w:firstRowLastColumn="0" w:lastRowFirstColumn="0" w:lastRowLastColumn="0"/>
            <w:tcW w:w="3518" w:type="dxa"/>
          </w:tcPr>
          <w:p w14:paraId="3A0B30CC" w14:textId="77777777" w:rsidR="00964B88" w:rsidRDefault="00964B88">
            <w:r>
              <w:t>Buildings</w:t>
            </w:r>
          </w:p>
        </w:tc>
        <w:tc>
          <w:tcPr>
            <w:tcW w:w="850" w:type="dxa"/>
          </w:tcPr>
          <w:p w14:paraId="5A5BDB1F" w14:textId="77777777" w:rsidR="00964B88" w:rsidRDefault="00964B88">
            <w:pPr>
              <w:cnfStyle w:val="000000000000" w:firstRow="0" w:lastRow="0" w:firstColumn="0" w:lastColumn="0" w:oddVBand="0" w:evenVBand="0" w:oddHBand="0" w:evenHBand="0" w:firstRowFirstColumn="0" w:firstRowLastColumn="0" w:lastRowFirstColumn="0" w:lastRowLastColumn="0"/>
            </w:pPr>
            <w:r>
              <w:t>1 668</w:t>
            </w:r>
          </w:p>
        </w:tc>
        <w:tc>
          <w:tcPr>
            <w:tcW w:w="850" w:type="dxa"/>
          </w:tcPr>
          <w:p w14:paraId="10F22C60" w14:textId="77777777" w:rsidR="00964B88" w:rsidRDefault="00964B88">
            <w:pPr>
              <w:cnfStyle w:val="000000000000" w:firstRow="0" w:lastRow="0" w:firstColumn="0" w:lastColumn="0" w:oddVBand="0" w:evenVBand="0" w:oddHBand="0" w:evenHBand="0" w:firstRowFirstColumn="0" w:firstRowLastColumn="0" w:lastRowFirstColumn="0" w:lastRowLastColumn="0"/>
            </w:pPr>
            <w:r>
              <w:t>1 780</w:t>
            </w:r>
          </w:p>
        </w:tc>
        <w:tc>
          <w:tcPr>
            <w:tcW w:w="850" w:type="dxa"/>
          </w:tcPr>
          <w:p w14:paraId="359D18DF" w14:textId="77777777" w:rsidR="00964B88" w:rsidRDefault="00964B88">
            <w:pPr>
              <w:cnfStyle w:val="000000000000" w:firstRow="0" w:lastRow="0" w:firstColumn="0" w:lastColumn="0" w:oddVBand="0" w:evenVBand="0" w:oddHBand="0" w:evenHBand="0" w:firstRowFirstColumn="0" w:firstRowLastColumn="0" w:lastRowFirstColumn="0" w:lastRowLastColumn="0"/>
            </w:pPr>
            <w:r>
              <w:t>1 723</w:t>
            </w:r>
          </w:p>
        </w:tc>
        <w:tc>
          <w:tcPr>
            <w:tcW w:w="850" w:type="dxa"/>
          </w:tcPr>
          <w:p w14:paraId="66CFED1D" w14:textId="77777777" w:rsidR="00964B88" w:rsidRDefault="00964B88">
            <w:pPr>
              <w:cnfStyle w:val="000000000000" w:firstRow="0" w:lastRow="0" w:firstColumn="0" w:lastColumn="0" w:oddVBand="0" w:evenVBand="0" w:oddHBand="0" w:evenHBand="0" w:firstRowFirstColumn="0" w:firstRowLastColumn="0" w:lastRowFirstColumn="0" w:lastRowLastColumn="0"/>
            </w:pPr>
            <w:r>
              <w:t>1 664</w:t>
            </w:r>
          </w:p>
        </w:tc>
        <w:tc>
          <w:tcPr>
            <w:tcW w:w="850" w:type="dxa"/>
          </w:tcPr>
          <w:p w14:paraId="51C86406" w14:textId="77777777" w:rsidR="00964B88" w:rsidRDefault="00964B88">
            <w:pPr>
              <w:cnfStyle w:val="000000000000" w:firstRow="0" w:lastRow="0" w:firstColumn="0" w:lastColumn="0" w:oddVBand="0" w:evenVBand="0" w:oddHBand="0" w:evenHBand="0" w:firstRowFirstColumn="0" w:firstRowLastColumn="0" w:lastRowFirstColumn="0" w:lastRowLastColumn="0"/>
            </w:pPr>
            <w:r>
              <w:t>1 606</w:t>
            </w:r>
          </w:p>
        </w:tc>
      </w:tr>
      <w:tr w:rsidR="00964B88" w14:paraId="005E7F4A" w14:textId="77777777">
        <w:tc>
          <w:tcPr>
            <w:cnfStyle w:val="001000000000" w:firstRow="0" w:lastRow="0" w:firstColumn="1" w:lastColumn="0" w:oddVBand="0" w:evenVBand="0" w:oddHBand="0" w:evenHBand="0" w:firstRowFirstColumn="0" w:firstRowLastColumn="0" w:lastRowFirstColumn="0" w:lastRowLastColumn="0"/>
            <w:tcW w:w="3518" w:type="dxa"/>
          </w:tcPr>
          <w:p w14:paraId="40DBB147" w14:textId="77777777" w:rsidR="00964B88" w:rsidRDefault="00964B88">
            <w:r>
              <w:t>Land and national parks</w:t>
            </w:r>
          </w:p>
        </w:tc>
        <w:tc>
          <w:tcPr>
            <w:tcW w:w="850" w:type="dxa"/>
          </w:tcPr>
          <w:p w14:paraId="472CC72F" w14:textId="77777777" w:rsidR="00964B88" w:rsidRDefault="00964B88">
            <w:pPr>
              <w:cnfStyle w:val="000000000000" w:firstRow="0" w:lastRow="0" w:firstColumn="0" w:lastColumn="0" w:oddVBand="0" w:evenVBand="0" w:oddHBand="0" w:evenHBand="0" w:firstRowFirstColumn="0" w:firstRowLastColumn="0" w:lastRowFirstColumn="0" w:lastRowLastColumn="0"/>
            </w:pPr>
            <w:r>
              <w:t>975</w:t>
            </w:r>
          </w:p>
        </w:tc>
        <w:tc>
          <w:tcPr>
            <w:tcW w:w="850" w:type="dxa"/>
          </w:tcPr>
          <w:p w14:paraId="1BE2407A" w14:textId="77777777" w:rsidR="00964B88" w:rsidRDefault="00964B88">
            <w:pPr>
              <w:cnfStyle w:val="000000000000" w:firstRow="0" w:lastRow="0" w:firstColumn="0" w:lastColumn="0" w:oddVBand="0" w:evenVBand="0" w:oddHBand="0" w:evenHBand="0" w:firstRowFirstColumn="0" w:firstRowLastColumn="0" w:lastRowFirstColumn="0" w:lastRowLastColumn="0"/>
            </w:pPr>
            <w:r>
              <w:t>972</w:t>
            </w:r>
          </w:p>
        </w:tc>
        <w:tc>
          <w:tcPr>
            <w:tcW w:w="850" w:type="dxa"/>
          </w:tcPr>
          <w:p w14:paraId="51D03919" w14:textId="77777777" w:rsidR="00964B88" w:rsidRDefault="00964B88">
            <w:pPr>
              <w:cnfStyle w:val="000000000000" w:firstRow="0" w:lastRow="0" w:firstColumn="0" w:lastColumn="0" w:oddVBand="0" w:evenVBand="0" w:oddHBand="0" w:evenHBand="0" w:firstRowFirstColumn="0" w:firstRowLastColumn="0" w:lastRowFirstColumn="0" w:lastRowLastColumn="0"/>
            </w:pPr>
            <w:r>
              <w:t>972</w:t>
            </w:r>
          </w:p>
        </w:tc>
        <w:tc>
          <w:tcPr>
            <w:tcW w:w="850" w:type="dxa"/>
          </w:tcPr>
          <w:p w14:paraId="3C2B5770" w14:textId="77777777" w:rsidR="00964B88" w:rsidRDefault="00964B88">
            <w:pPr>
              <w:cnfStyle w:val="000000000000" w:firstRow="0" w:lastRow="0" w:firstColumn="0" w:lastColumn="0" w:oddVBand="0" w:evenVBand="0" w:oddHBand="0" w:evenHBand="0" w:firstRowFirstColumn="0" w:firstRowLastColumn="0" w:lastRowFirstColumn="0" w:lastRowLastColumn="0"/>
            </w:pPr>
            <w:r>
              <w:t>972</w:t>
            </w:r>
          </w:p>
        </w:tc>
        <w:tc>
          <w:tcPr>
            <w:tcW w:w="850" w:type="dxa"/>
          </w:tcPr>
          <w:p w14:paraId="65C637FB" w14:textId="77777777" w:rsidR="00964B88" w:rsidRDefault="00964B88">
            <w:pPr>
              <w:cnfStyle w:val="000000000000" w:firstRow="0" w:lastRow="0" w:firstColumn="0" w:lastColumn="0" w:oddVBand="0" w:evenVBand="0" w:oddHBand="0" w:evenHBand="0" w:firstRowFirstColumn="0" w:firstRowLastColumn="0" w:lastRowFirstColumn="0" w:lastRowLastColumn="0"/>
            </w:pPr>
            <w:r>
              <w:t>972</w:t>
            </w:r>
          </w:p>
        </w:tc>
      </w:tr>
      <w:tr w:rsidR="00964B88" w14:paraId="5E577822" w14:textId="77777777">
        <w:tc>
          <w:tcPr>
            <w:cnfStyle w:val="001000000000" w:firstRow="0" w:lastRow="0" w:firstColumn="1" w:lastColumn="0" w:oddVBand="0" w:evenVBand="0" w:oddHBand="0" w:evenHBand="0" w:firstRowFirstColumn="0" w:firstRowLastColumn="0" w:lastRowFirstColumn="0" w:lastRowLastColumn="0"/>
            <w:tcW w:w="3518" w:type="dxa"/>
          </w:tcPr>
          <w:p w14:paraId="4445EAF6" w14:textId="77777777" w:rsidR="00964B88" w:rsidRDefault="00964B88">
            <w:r>
              <w:t>Infrastructure systems</w:t>
            </w:r>
          </w:p>
        </w:tc>
        <w:tc>
          <w:tcPr>
            <w:tcW w:w="850" w:type="dxa"/>
          </w:tcPr>
          <w:p w14:paraId="4953B83C" w14:textId="77777777" w:rsidR="00964B88" w:rsidRDefault="00964B88">
            <w:pPr>
              <w:cnfStyle w:val="000000000000" w:firstRow="0" w:lastRow="0" w:firstColumn="0" w:lastColumn="0" w:oddVBand="0" w:evenVBand="0" w:oddHBand="0" w:evenHBand="0" w:firstRowFirstColumn="0" w:firstRowLastColumn="0" w:lastRowFirstColumn="0" w:lastRowLastColumn="0"/>
            </w:pPr>
            <w:r>
              <w:t>4 686</w:t>
            </w:r>
          </w:p>
        </w:tc>
        <w:tc>
          <w:tcPr>
            <w:tcW w:w="850" w:type="dxa"/>
          </w:tcPr>
          <w:p w14:paraId="2BCFA7FF" w14:textId="77777777" w:rsidR="00964B88" w:rsidRDefault="00964B88">
            <w:pPr>
              <w:cnfStyle w:val="000000000000" w:firstRow="0" w:lastRow="0" w:firstColumn="0" w:lastColumn="0" w:oddVBand="0" w:evenVBand="0" w:oddHBand="0" w:evenHBand="0" w:firstRowFirstColumn="0" w:firstRowLastColumn="0" w:lastRowFirstColumn="0" w:lastRowLastColumn="0"/>
            </w:pPr>
            <w:r>
              <w:t>4 459</w:t>
            </w:r>
          </w:p>
        </w:tc>
        <w:tc>
          <w:tcPr>
            <w:tcW w:w="850" w:type="dxa"/>
          </w:tcPr>
          <w:p w14:paraId="586C9F14" w14:textId="77777777" w:rsidR="00964B88" w:rsidRDefault="00964B88">
            <w:pPr>
              <w:cnfStyle w:val="000000000000" w:firstRow="0" w:lastRow="0" w:firstColumn="0" w:lastColumn="0" w:oddVBand="0" w:evenVBand="0" w:oddHBand="0" w:evenHBand="0" w:firstRowFirstColumn="0" w:firstRowLastColumn="0" w:lastRowFirstColumn="0" w:lastRowLastColumn="0"/>
            </w:pPr>
            <w:r>
              <w:t>5 686</w:t>
            </w:r>
          </w:p>
        </w:tc>
        <w:tc>
          <w:tcPr>
            <w:tcW w:w="850" w:type="dxa"/>
          </w:tcPr>
          <w:p w14:paraId="5A1F9A01" w14:textId="77777777" w:rsidR="00964B88" w:rsidRDefault="00964B88">
            <w:pPr>
              <w:cnfStyle w:val="000000000000" w:firstRow="0" w:lastRow="0" w:firstColumn="0" w:lastColumn="0" w:oddVBand="0" w:evenVBand="0" w:oddHBand="0" w:evenHBand="0" w:firstRowFirstColumn="0" w:firstRowLastColumn="0" w:lastRowFirstColumn="0" w:lastRowLastColumn="0"/>
            </w:pPr>
            <w:r>
              <w:t>6 535</w:t>
            </w:r>
          </w:p>
        </w:tc>
        <w:tc>
          <w:tcPr>
            <w:tcW w:w="850" w:type="dxa"/>
          </w:tcPr>
          <w:p w14:paraId="09640D1B" w14:textId="77777777" w:rsidR="00964B88" w:rsidRDefault="00964B88">
            <w:pPr>
              <w:cnfStyle w:val="000000000000" w:firstRow="0" w:lastRow="0" w:firstColumn="0" w:lastColumn="0" w:oddVBand="0" w:evenVBand="0" w:oddHBand="0" w:evenHBand="0" w:firstRowFirstColumn="0" w:firstRowLastColumn="0" w:lastRowFirstColumn="0" w:lastRowLastColumn="0"/>
            </w:pPr>
            <w:r>
              <w:t>6 717</w:t>
            </w:r>
          </w:p>
        </w:tc>
      </w:tr>
      <w:tr w:rsidR="00964B88" w14:paraId="549C388C" w14:textId="77777777">
        <w:tc>
          <w:tcPr>
            <w:cnfStyle w:val="001000000000" w:firstRow="0" w:lastRow="0" w:firstColumn="1" w:lastColumn="0" w:oddVBand="0" w:evenVBand="0" w:oddHBand="0" w:evenHBand="0" w:firstRowFirstColumn="0" w:firstRowLastColumn="0" w:lastRowFirstColumn="0" w:lastRowLastColumn="0"/>
            <w:tcW w:w="3518" w:type="dxa"/>
          </w:tcPr>
          <w:p w14:paraId="5CA89A73" w14:textId="77777777" w:rsidR="00964B88" w:rsidRDefault="00964B88">
            <w:r>
              <w:t>Plant, equipment and vehicles</w:t>
            </w:r>
          </w:p>
        </w:tc>
        <w:tc>
          <w:tcPr>
            <w:tcW w:w="850" w:type="dxa"/>
          </w:tcPr>
          <w:p w14:paraId="4B3A0F69" w14:textId="77777777" w:rsidR="00964B88" w:rsidRDefault="00964B88">
            <w:pPr>
              <w:cnfStyle w:val="000000000000" w:firstRow="0" w:lastRow="0" w:firstColumn="0" w:lastColumn="0" w:oddVBand="0" w:evenVBand="0" w:oddHBand="0" w:evenHBand="0" w:firstRowFirstColumn="0" w:firstRowLastColumn="0" w:lastRowFirstColumn="0" w:lastRowLastColumn="0"/>
            </w:pPr>
            <w:r>
              <w:t>88</w:t>
            </w:r>
          </w:p>
        </w:tc>
        <w:tc>
          <w:tcPr>
            <w:tcW w:w="850" w:type="dxa"/>
          </w:tcPr>
          <w:p w14:paraId="0D6DFCA0" w14:textId="77777777" w:rsidR="00964B88" w:rsidRDefault="00964B88">
            <w:pPr>
              <w:cnfStyle w:val="000000000000" w:firstRow="0" w:lastRow="0" w:firstColumn="0" w:lastColumn="0" w:oddVBand="0" w:evenVBand="0" w:oddHBand="0" w:evenHBand="0" w:firstRowFirstColumn="0" w:firstRowLastColumn="0" w:lastRowFirstColumn="0" w:lastRowLastColumn="0"/>
            </w:pPr>
            <w:r>
              <w:t>88</w:t>
            </w:r>
          </w:p>
        </w:tc>
        <w:tc>
          <w:tcPr>
            <w:tcW w:w="850" w:type="dxa"/>
          </w:tcPr>
          <w:p w14:paraId="4F81328F" w14:textId="77777777" w:rsidR="00964B88" w:rsidRDefault="00964B88">
            <w:pPr>
              <w:cnfStyle w:val="000000000000" w:firstRow="0" w:lastRow="0" w:firstColumn="0" w:lastColumn="0" w:oddVBand="0" w:evenVBand="0" w:oddHBand="0" w:evenHBand="0" w:firstRowFirstColumn="0" w:firstRowLastColumn="0" w:lastRowFirstColumn="0" w:lastRowLastColumn="0"/>
            </w:pPr>
            <w:r>
              <w:t>78</w:t>
            </w:r>
          </w:p>
        </w:tc>
        <w:tc>
          <w:tcPr>
            <w:tcW w:w="850" w:type="dxa"/>
          </w:tcPr>
          <w:p w14:paraId="2A7D66C7" w14:textId="77777777" w:rsidR="00964B88" w:rsidRDefault="00964B88">
            <w:pPr>
              <w:cnfStyle w:val="000000000000" w:firstRow="0" w:lastRow="0" w:firstColumn="0" w:lastColumn="0" w:oddVBand="0" w:evenVBand="0" w:oddHBand="0" w:evenHBand="0" w:firstRowFirstColumn="0" w:firstRowLastColumn="0" w:lastRowFirstColumn="0" w:lastRowLastColumn="0"/>
            </w:pPr>
            <w:r>
              <w:t>86</w:t>
            </w:r>
          </w:p>
        </w:tc>
        <w:tc>
          <w:tcPr>
            <w:tcW w:w="850" w:type="dxa"/>
          </w:tcPr>
          <w:p w14:paraId="27DC9711" w14:textId="77777777" w:rsidR="00964B88" w:rsidRDefault="00964B88">
            <w:pPr>
              <w:cnfStyle w:val="000000000000" w:firstRow="0" w:lastRow="0" w:firstColumn="0" w:lastColumn="0" w:oddVBand="0" w:evenVBand="0" w:oddHBand="0" w:evenHBand="0" w:firstRowFirstColumn="0" w:firstRowLastColumn="0" w:lastRowFirstColumn="0" w:lastRowLastColumn="0"/>
            </w:pPr>
            <w:r>
              <w:t>76</w:t>
            </w:r>
          </w:p>
        </w:tc>
      </w:tr>
      <w:tr w:rsidR="00964B88" w14:paraId="06E66A6D"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083236BE" w14:textId="77777777" w:rsidR="00964B88" w:rsidRDefault="00964B88">
            <w:r>
              <w:t>Roads and road infrastructure</w:t>
            </w:r>
          </w:p>
        </w:tc>
        <w:tc>
          <w:tcPr>
            <w:tcW w:w="850" w:type="dxa"/>
            <w:tcBorders>
              <w:bottom w:val="single" w:sz="6" w:space="0" w:color="auto"/>
            </w:tcBorders>
          </w:tcPr>
          <w:p w14:paraId="096ACF60" w14:textId="77777777" w:rsidR="00964B88" w:rsidRDefault="00964B88">
            <w:pPr>
              <w:cnfStyle w:val="000000000000" w:firstRow="0" w:lastRow="0" w:firstColumn="0" w:lastColumn="0" w:oddVBand="0" w:evenVBand="0" w:oddHBand="0" w:evenHBand="0" w:firstRowFirstColumn="0" w:firstRowLastColumn="0" w:lastRowFirstColumn="0" w:lastRowLastColumn="0"/>
            </w:pPr>
            <w:r>
              <w:t>11 255</w:t>
            </w:r>
          </w:p>
        </w:tc>
        <w:tc>
          <w:tcPr>
            <w:tcW w:w="850" w:type="dxa"/>
            <w:tcBorders>
              <w:bottom w:val="single" w:sz="6" w:space="0" w:color="auto"/>
            </w:tcBorders>
          </w:tcPr>
          <w:p w14:paraId="61A239C4" w14:textId="77777777" w:rsidR="00964B88" w:rsidRDefault="00964B88">
            <w:pPr>
              <w:cnfStyle w:val="000000000000" w:firstRow="0" w:lastRow="0" w:firstColumn="0" w:lastColumn="0" w:oddVBand="0" w:evenVBand="0" w:oddHBand="0" w:evenHBand="0" w:firstRowFirstColumn="0" w:firstRowLastColumn="0" w:lastRowFirstColumn="0" w:lastRowLastColumn="0"/>
            </w:pPr>
            <w:r>
              <w:t>11 805</w:t>
            </w:r>
          </w:p>
        </w:tc>
        <w:tc>
          <w:tcPr>
            <w:tcW w:w="850" w:type="dxa"/>
            <w:tcBorders>
              <w:bottom w:val="single" w:sz="6" w:space="0" w:color="auto"/>
            </w:tcBorders>
          </w:tcPr>
          <w:p w14:paraId="278EEE45" w14:textId="77777777" w:rsidR="00964B88" w:rsidRDefault="00964B88">
            <w:pPr>
              <w:cnfStyle w:val="000000000000" w:firstRow="0" w:lastRow="0" w:firstColumn="0" w:lastColumn="0" w:oddVBand="0" w:evenVBand="0" w:oddHBand="0" w:evenHBand="0" w:firstRowFirstColumn="0" w:firstRowLastColumn="0" w:lastRowFirstColumn="0" w:lastRowLastColumn="0"/>
            </w:pPr>
            <w:r>
              <w:t>14 405</w:t>
            </w:r>
          </w:p>
        </w:tc>
        <w:tc>
          <w:tcPr>
            <w:tcW w:w="850" w:type="dxa"/>
            <w:tcBorders>
              <w:bottom w:val="single" w:sz="6" w:space="0" w:color="auto"/>
            </w:tcBorders>
          </w:tcPr>
          <w:p w14:paraId="31578D48" w14:textId="77777777" w:rsidR="00964B88" w:rsidRDefault="00964B88">
            <w:pPr>
              <w:cnfStyle w:val="000000000000" w:firstRow="0" w:lastRow="0" w:firstColumn="0" w:lastColumn="0" w:oddVBand="0" w:evenVBand="0" w:oddHBand="0" w:evenHBand="0" w:firstRowFirstColumn="0" w:firstRowLastColumn="0" w:lastRowFirstColumn="0" w:lastRowLastColumn="0"/>
            </w:pPr>
            <w:r>
              <w:t>17 652</w:t>
            </w:r>
          </w:p>
        </w:tc>
        <w:tc>
          <w:tcPr>
            <w:tcW w:w="850" w:type="dxa"/>
            <w:tcBorders>
              <w:bottom w:val="single" w:sz="6" w:space="0" w:color="auto"/>
            </w:tcBorders>
          </w:tcPr>
          <w:p w14:paraId="06D3D030" w14:textId="77777777" w:rsidR="00964B88" w:rsidRDefault="00964B88">
            <w:pPr>
              <w:cnfStyle w:val="000000000000" w:firstRow="0" w:lastRow="0" w:firstColumn="0" w:lastColumn="0" w:oddVBand="0" w:evenVBand="0" w:oddHBand="0" w:evenHBand="0" w:firstRowFirstColumn="0" w:firstRowLastColumn="0" w:lastRowFirstColumn="0" w:lastRowLastColumn="0"/>
            </w:pPr>
            <w:r>
              <w:t>21 318</w:t>
            </w:r>
          </w:p>
        </w:tc>
      </w:tr>
      <w:tr w:rsidR="00964B88" w14:paraId="6B59695D"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508D98C9" w14:textId="77777777" w:rsidR="00964B88" w:rsidRDefault="00964B88">
            <w:r>
              <w:t>Total service concession assets: land, buildings, infrastructure, plant and equipment</w:t>
            </w:r>
          </w:p>
        </w:tc>
        <w:tc>
          <w:tcPr>
            <w:tcW w:w="850" w:type="dxa"/>
          </w:tcPr>
          <w:p w14:paraId="632B31E8" w14:textId="77777777" w:rsidR="00964B88" w:rsidRDefault="00964B88">
            <w:pPr>
              <w:cnfStyle w:val="010000000000" w:firstRow="0" w:lastRow="1" w:firstColumn="0" w:lastColumn="0" w:oddVBand="0" w:evenVBand="0" w:oddHBand="0" w:evenHBand="0" w:firstRowFirstColumn="0" w:firstRowLastColumn="0" w:lastRowFirstColumn="0" w:lastRowLastColumn="0"/>
            </w:pPr>
            <w:r>
              <w:t>18 673</w:t>
            </w:r>
          </w:p>
        </w:tc>
        <w:tc>
          <w:tcPr>
            <w:tcW w:w="850" w:type="dxa"/>
          </w:tcPr>
          <w:p w14:paraId="0B2677C9" w14:textId="77777777" w:rsidR="00964B88" w:rsidRDefault="00964B88">
            <w:pPr>
              <w:cnfStyle w:val="010000000000" w:firstRow="0" w:lastRow="1" w:firstColumn="0" w:lastColumn="0" w:oddVBand="0" w:evenVBand="0" w:oddHBand="0" w:evenHBand="0" w:firstRowFirstColumn="0" w:firstRowLastColumn="0" w:lastRowFirstColumn="0" w:lastRowLastColumn="0"/>
            </w:pPr>
            <w:r>
              <w:t>19 104</w:t>
            </w:r>
          </w:p>
        </w:tc>
        <w:tc>
          <w:tcPr>
            <w:tcW w:w="850" w:type="dxa"/>
          </w:tcPr>
          <w:p w14:paraId="5DCE2013" w14:textId="77777777" w:rsidR="00964B88" w:rsidRDefault="00964B88">
            <w:pPr>
              <w:cnfStyle w:val="010000000000" w:firstRow="0" w:lastRow="1" w:firstColumn="0" w:lastColumn="0" w:oddVBand="0" w:evenVBand="0" w:oddHBand="0" w:evenHBand="0" w:firstRowFirstColumn="0" w:firstRowLastColumn="0" w:lastRowFirstColumn="0" w:lastRowLastColumn="0"/>
            </w:pPr>
            <w:r>
              <w:t>22 865</w:t>
            </w:r>
          </w:p>
        </w:tc>
        <w:tc>
          <w:tcPr>
            <w:tcW w:w="850" w:type="dxa"/>
          </w:tcPr>
          <w:p w14:paraId="47B172BC" w14:textId="77777777" w:rsidR="00964B88" w:rsidRDefault="00964B88">
            <w:pPr>
              <w:cnfStyle w:val="010000000000" w:firstRow="0" w:lastRow="1" w:firstColumn="0" w:lastColumn="0" w:oddVBand="0" w:evenVBand="0" w:oddHBand="0" w:evenHBand="0" w:firstRowFirstColumn="0" w:firstRowLastColumn="0" w:lastRowFirstColumn="0" w:lastRowLastColumn="0"/>
            </w:pPr>
            <w:r>
              <w:t>26 909</w:t>
            </w:r>
          </w:p>
        </w:tc>
        <w:tc>
          <w:tcPr>
            <w:tcW w:w="850" w:type="dxa"/>
          </w:tcPr>
          <w:p w14:paraId="7D8B7D78" w14:textId="77777777" w:rsidR="00964B88" w:rsidRDefault="00964B88">
            <w:pPr>
              <w:cnfStyle w:val="010000000000" w:firstRow="0" w:lastRow="1" w:firstColumn="0" w:lastColumn="0" w:oddVBand="0" w:evenVBand="0" w:oddHBand="0" w:evenHBand="0" w:firstRowFirstColumn="0" w:firstRowLastColumn="0" w:lastRowFirstColumn="0" w:lastRowLastColumn="0"/>
            </w:pPr>
            <w:r>
              <w:t>30 689</w:t>
            </w:r>
          </w:p>
        </w:tc>
      </w:tr>
    </w:tbl>
    <w:p w14:paraId="602C0FE4" w14:textId="77777777" w:rsidR="00964B88" w:rsidRDefault="00964B88" w:rsidP="00F53820"/>
    <w:p w14:paraId="156A8874" w14:textId="77777777" w:rsidR="00964B88" w:rsidRPr="00D72444" w:rsidRDefault="00964B88" w:rsidP="00F53820">
      <w:pPr>
        <w:pStyle w:val="Heading10"/>
      </w:pPr>
      <w:r>
        <w:br w:type="page"/>
      </w:r>
    </w:p>
    <w:p w14:paraId="33018FD3" w14:textId="77777777" w:rsidR="00964B88" w:rsidRPr="00C661D2" w:rsidRDefault="00964B88" w:rsidP="00964B88">
      <w:pPr>
        <w:pStyle w:val="Heading3"/>
        <w:numPr>
          <w:ilvl w:val="2"/>
          <w:numId w:val="22"/>
        </w:numPr>
        <w:tabs>
          <w:tab w:val="clear" w:pos="7711"/>
          <w:tab w:val="left" w:pos="850"/>
          <w:tab w:val="right" w:pos="7710"/>
        </w:tabs>
        <w:spacing w:after="60"/>
        <w:rPr>
          <w:lang w:val="en-US"/>
        </w:rPr>
      </w:pPr>
      <w:bookmarkStart w:id="102" w:name="_Toc530148070"/>
      <w:r w:rsidRPr="00232E5E">
        <w:lastRenderedPageBreak/>
        <w:t>Depreciation</w:t>
      </w:r>
      <w:r>
        <w:tab/>
        <w:t>($ million)</w:t>
      </w:r>
      <w:bookmarkEnd w:id="102"/>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5F0671A0"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5DF768A5" w14:textId="77777777" w:rsidR="00964B88" w:rsidRDefault="00964B88"/>
        </w:tc>
        <w:tc>
          <w:tcPr>
            <w:tcW w:w="850" w:type="dxa"/>
          </w:tcPr>
          <w:p w14:paraId="7776575B"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120240F6"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7B82DD6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6675AA6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4B177C4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60C103D6" w14:textId="77777777">
        <w:tc>
          <w:tcPr>
            <w:cnfStyle w:val="001000000000" w:firstRow="0" w:lastRow="0" w:firstColumn="1" w:lastColumn="0" w:oddVBand="0" w:evenVBand="0" w:oddHBand="0" w:evenHBand="0" w:firstRowFirstColumn="0" w:firstRowLastColumn="0" w:lastRowFirstColumn="0" w:lastRowLastColumn="0"/>
            <w:tcW w:w="3518" w:type="dxa"/>
          </w:tcPr>
          <w:p w14:paraId="1541E0D1" w14:textId="77777777" w:rsidR="00964B88" w:rsidRDefault="00964B88">
            <w:r>
              <w:t>Buildings</w:t>
            </w:r>
            <w:r>
              <w:rPr>
                <w:vertAlign w:val="superscript"/>
              </w:rPr>
              <w:t xml:space="preserve"> (a)</w:t>
            </w:r>
          </w:p>
        </w:tc>
        <w:tc>
          <w:tcPr>
            <w:tcW w:w="850" w:type="dxa"/>
          </w:tcPr>
          <w:p w14:paraId="1B5A75AA" w14:textId="77777777" w:rsidR="00964B88" w:rsidRDefault="00964B88">
            <w:pPr>
              <w:cnfStyle w:val="000000000000" w:firstRow="0" w:lastRow="0" w:firstColumn="0" w:lastColumn="0" w:oddVBand="0" w:evenVBand="0" w:oddHBand="0" w:evenHBand="0" w:firstRowFirstColumn="0" w:firstRowLastColumn="0" w:lastRowFirstColumn="0" w:lastRowLastColumn="0"/>
            </w:pPr>
            <w:r>
              <w:t>1 941</w:t>
            </w:r>
          </w:p>
        </w:tc>
        <w:tc>
          <w:tcPr>
            <w:tcW w:w="850" w:type="dxa"/>
          </w:tcPr>
          <w:p w14:paraId="7860B606" w14:textId="77777777" w:rsidR="00964B88" w:rsidRDefault="00964B88">
            <w:pPr>
              <w:cnfStyle w:val="000000000000" w:firstRow="0" w:lastRow="0" w:firstColumn="0" w:lastColumn="0" w:oddVBand="0" w:evenVBand="0" w:oddHBand="0" w:evenHBand="0" w:firstRowFirstColumn="0" w:firstRowLastColumn="0" w:lastRowFirstColumn="0" w:lastRowLastColumn="0"/>
            </w:pPr>
            <w:r>
              <w:t>1 929</w:t>
            </w:r>
          </w:p>
        </w:tc>
        <w:tc>
          <w:tcPr>
            <w:tcW w:w="850" w:type="dxa"/>
          </w:tcPr>
          <w:p w14:paraId="3133F805" w14:textId="77777777" w:rsidR="00964B88" w:rsidRDefault="00964B88">
            <w:pPr>
              <w:cnfStyle w:val="000000000000" w:firstRow="0" w:lastRow="0" w:firstColumn="0" w:lastColumn="0" w:oddVBand="0" w:evenVBand="0" w:oddHBand="0" w:evenHBand="0" w:firstRowFirstColumn="0" w:firstRowLastColumn="0" w:lastRowFirstColumn="0" w:lastRowLastColumn="0"/>
            </w:pPr>
            <w:r>
              <w:t>2 096</w:t>
            </w:r>
          </w:p>
        </w:tc>
        <w:tc>
          <w:tcPr>
            <w:tcW w:w="850" w:type="dxa"/>
          </w:tcPr>
          <w:p w14:paraId="31BEAAC3" w14:textId="77777777" w:rsidR="00964B88" w:rsidRDefault="00964B88">
            <w:pPr>
              <w:cnfStyle w:val="000000000000" w:firstRow="0" w:lastRow="0" w:firstColumn="0" w:lastColumn="0" w:oddVBand="0" w:evenVBand="0" w:oddHBand="0" w:evenHBand="0" w:firstRowFirstColumn="0" w:firstRowLastColumn="0" w:lastRowFirstColumn="0" w:lastRowLastColumn="0"/>
            </w:pPr>
            <w:r>
              <w:t>2 225</w:t>
            </w:r>
          </w:p>
        </w:tc>
        <w:tc>
          <w:tcPr>
            <w:tcW w:w="850" w:type="dxa"/>
          </w:tcPr>
          <w:p w14:paraId="7AA9D799" w14:textId="77777777" w:rsidR="00964B88" w:rsidRDefault="00964B88">
            <w:pPr>
              <w:cnfStyle w:val="000000000000" w:firstRow="0" w:lastRow="0" w:firstColumn="0" w:lastColumn="0" w:oddVBand="0" w:evenVBand="0" w:oddHBand="0" w:evenHBand="0" w:firstRowFirstColumn="0" w:firstRowLastColumn="0" w:lastRowFirstColumn="0" w:lastRowLastColumn="0"/>
            </w:pPr>
            <w:r>
              <w:t>2 349</w:t>
            </w:r>
          </w:p>
        </w:tc>
      </w:tr>
      <w:tr w:rsidR="00964B88" w14:paraId="1208F7FF" w14:textId="77777777">
        <w:tc>
          <w:tcPr>
            <w:cnfStyle w:val="001000000000" w:firstRow="0" w:lastRow="0" w:firstColumn="1" w:lastColumn="0" w:oddVBand="0" w:evenVBand="0" w:oddHBand="0" w:evenHBand="0" w:firstRowFirstColumn="0" w:firstRowLastColumn="0" w:lastRowFirstColumn="0" w:lastRowLastColumn="0"/>
            <w:tcW w:w="3518" w:type="dxa"/>
          </w:tcPr>
          <w:p w14:paraId="67BD214D" w14:textId="77777777" w:rsidR="00964B88" w:rsidRDefault="00964B88">
            <w:r>
              <w:t>Infrastructure systems</w:t>
            </w:r>
          </w:p>
        </w:tc>
        <w:tc>
          <w:tcPr>
            <w:tcW w:w="850" w:type="dxa"/>
          </w:tcPr>
          <w:p w14:paraId="5DB36AC7" w14:textId="77777777" w:rsidR="00964B88" w:rsidRDefault="00964B88">
            <w:pPr>
              <w:cnfStyle w:val="000000000000" w:firstRow="0" w:lastRow="0" w:firstColumn="0" w:lastColumn="0" w:oddVBand="0" w:evenVBand="0" w:oddHBand="0" w:evenHBand="0" w:firstRowFirstColumn="0" w:firstRowLastColumn="0" w:lastRowFirstColumn="0" w:lastRowLastColumn="0"/>
            </w:pPr>
            <w:r>
              <w:t>61</w:t>
            </w:r>
          </w:p>
        </w:tc>
        <w:tc>
          <w:tcPr>
            <w:tcW w:w="850" w:type="dxa"/>
          </w:tcPr>
          <w:p w14:paraId="47142C09" w14:textId="77777777" w:rsidR="00964B88" w:rsidRDefault="00964B88">
            <w:pPr>
              <w:cnfStyle w:val="000000000000" w:firstRow="0" w:lastRow="0" w:firstColumn="0" w:lastColumn="0" w:oddVBand="0" w:evenVBand="0" w:oddHBand="0" w:evenHBand="0" w:firstRowFirstColumn="0" w:firstRowLastColumn="0" w:lastRowFirstColumn="0" w:lastRowLastColumn="0"/>
            </w:pPr>
            <w:r>
              <w:t>54</w:t>
            </w:r>
          </w:p>
        </w:tc>
        <w:tc>
          <w:tcPr>
            <w:tcW w:w="850" w:type="dxa"/>
          </w:tcPr>
          <w:p w14:paraId="6BEA23A4" w14:textId="77777777" w:rsidR="00964B88" w:rsidRDefault="00964B88">
            <w:pPr>
              <w:cnfStyle w:val="000000000000" w:firstRow="0" w:lastRow="0" w:firstColumn="0" w:lastColumn="0" w:oddVBand="0" w:evenVBand="0" w:oddHBand="0" w:evenHBand="0" w:firstRowFirstColumn="0" w:firstRowLastColumn="0" w:lastRowFirstColumn="0" w:lastRowLastColumn="0"/>
            </w:pPr>
            <w:r>
              <w:t>54</w:t>
            </w:r>
          </w:p>
        </w:tc>
        <w:tc>
          <w:tcPr>
            <w:tcW w:w="850" w:type="dxa"/>
          </w:tcPr>
          <w:p w14:paraId="10664AA2" w14:textId="77777777" w:rsidR="00964B88" w:rsidRDefault="00964B88">
            <w:pPr>
              <w:cnfStyle w:val="000000000000" w:firstRow="0" w:lastRow="0" w:firstColumn="0" w:lastColumn="0" w:oddVBand="0" w:evenVBand="0" w:oddHBand="0" w:evenHBand="0" w:firstRowFirstColumn="0" w:firstRowLastColumn="0" w:lastRowFirstColumn="0" w:lastRowLastColumn="0"/>
            </w:pPr>
            <w:r>
              <w:t>55</w:t>
            </w:r>
          </w:p>
        </w:tc>
        <w:tc>
          <w:tcPr>
            <w:tcW w:w="850" w:type="dxa"/>
          </w:tcPr>
          <w:p w14:paraId="3F49ECA9" w14:textId="77777777" w:rsidR="00964B88" w:rsidRDefault="00964B88">
            <w:pPr>
              <w:cnfStyle w:val="000000000000" w:firstRow="0" w:lastRow="0" w:firstColumn="0" w:lastColumn="0" w:oddVBand="0" w:evenVBand="0" w:oddHBand="0" w:evenHBand="0" w:firstRowFirstColumn="0" w:firstRowLastColumn="0" w:lastRowFirstColumn="0" w:lastRowLastColumn="0"/>
            </w:pPr>
            <w:r>
              <w:t>55</w:t>
            </w:r>
          </w:p>
        </w:tc>
      </w:tr>
      <w:tr w:rsidR="00964B88" w14:paraId="1EF973DD" w14:textId="77777777">
        <w:tc>
          <w:tcPr>
            <w:cnfStyle w:val="001000000000" w:firstRow="0" w:lastRow="0" w:firstColumn="1" w:lastColumn="0" w:oddVBand="0" w:evenVBand="0" w:oddHBand="0" w:evenHBand="0" w:firstRowFirstColumn="0" w:firstRowLastColumn="0" w:lastRowFirstColumn="0" w:lastRowLastColumn="0"/>
            <w:tcW w:w="3518" w:type="dxa"/>
          </w:tcPr>
          <w:p w14:paraId="7D1EBAFD" w14:textId="77777777" w:rsidR="00964B88" w:rsidRDefault="00964B88">
            <w:r>
              <w:t>Plant, equipment and vehicles</w:t>
            </w:r>
            <w:r>
              <w:rPr>
                <w:vertAlign w:val="superscript"/>
              </w:rPr>
              <w:t xml:space="preserve"> (a)</w:t>
            </w:r>
          </w:p>
        </w:tc>
        <w:tc>
          <w:tcPr>
            <w:tcW w:w="850" w:type="dxa"/>
          </w:tcPr>
          <w:p w14:paraId="1EF87572" w14:textId="77777777" w:rsidR="00964B88" w:rsidRDefault="00964B88">
            <w:pPr>
              <w:cnfStyle w:val="000000000000" w:firstRow="0" w:lastRow="0" w:firstColumn="0" w:lastColumn="0" w:oddVBand="0" w:evenVBand="0" w:oddHBand="0" w:evenHBand="0" w:firstRowFirstColumn="0" w:firstRowLastColumn="0" w:lastRowFirstColumn="0" w:lastRowLastColumn="0"/>
            </w:pPr>
            <w:r>
              <w:t>708</w:t>
            </w:r>
          </w:p>
        </w:tc>
        <w:tc>
          <w:tcPr>
            <w:tcW w:w="850" w:type="dxa"/>
          </w:tcPr>
          <w:p w14:paraId="3CBE61DE" w14:textId="77777777" w:rsidR="00964B88" w:rsidRDefault="00964B88">
            <w:pPr>
              <w:cnfStyle w:val="000000000000" w:firstRow="0" w:lastRow="0" w:firstColumn="0" w:lastColumn="0" w:oddVBand="0" w:evenVBand="0" w:oddHBand="0" w:evenHBand="0" w:firstRowFirstColumn="0" w:firstRowLastColumn="0" w:lastRowFirstColumn="0" w:lastRowLastColumn="0"/>
            </w:pPr>
            <w:r>
              <w:t>700</w:t>
            </w:r>
          </w:p>
        </w:tc>
        <w:tc>
          <w:tcPr>
            <w:tcW w:w="850" w:type="dxa"/>
          </w:tcPr>
          <w:p w14:paraId="6EBD581D" w14:textId="77777777" w:rsidR="00964B88" w:rsidRDefault="00964B88">
            <w:pPr>
              <w:cnfStyle w:val="000000000000" w:firstRow="0" w:lastRow="0" w:firstColumn="0" w:lastColumn="0" w:oddVBand="0" w:evenVBand="0" w:oddHBand="0" w:evenHBand="0" w:firstRowFirstColumn="0" w:firstRowLastColumn="0" w:lastRowFirstColumn="0" w:lastRowLastColumn="0"/>
            </w:pPr>
            <w:r>
              <w:t>749</w:t>
            </w:r>
          </w:p>
        </w:tc>
        <w:tc>
          <w:tcPr>
            <w:tcW w:w="850" w:type="dxa"/>
          </w:tcPr>
          <w:p w14:paraId="70EA41E6" w14:textId="77777777" w:rsidR="00964B88" w:rsidRDefault="00964B88">
            <w:pPr>
              <w:cnfStyle w:val="000000000000" w:firstRow="0" w:lastRow="0" w:firstColumn="0" w:lastColumn="0" w:oddVBand="0" w:evenVBand="0" w:oddHBand="0" w:evenHBand="0" w:firstRowFirstColumn="0" w:firstRowLastColumn="0" w:lastRowFirstColumn="0" w:lastRowLastColumn="0"/>
            </w:pPr>
            <w:r>
              <w:t>744</w:t>
            </w:r>
          </w:p>
        </w:tc>
        <w:tc>
          <w:tcPr>
            <w:tcW w:w="850" w:type="dxa"/>
          </w:tcPr>
          <w:p w14:paraId="65EF0E03" w14:textId="77777777" w:rsidR="00964B88" w:rsidRDefault="00964B88">
            <w:pPr>
              <w:cnfStyle w:val="000000000000" w:firstRow="0" w:lastRow="0" w:firstColumn="0" w:lastColumn="0" w:oddVBand="0" w:evenVBand="0" w:oddHBand="0" w:evenHBand="0" w:firstRowFirstColumn="0" w:firstRowLastColumn="0" w:lastRowFirstColumn="0" w:lastRowLastColumn="0"/>
            </w:pPr>
            <w:r>
              <w:t>749</w:t>
            </w:r>
          </w:p>
        </w:tc>
      </w:tr>
      <w:tr w:rsidR="00964B88" w14:paraId="32C3658D" w14:textId="77777777">
        <w:tc>
          <w:tcPr>
            <w:cnfStyle w:val="001000000000" w:firstRow="0" w:lastRow="0" w:firstColumn="1" w:lastColumn="0" w:oddVBand="0" w:evenVBand="0" w:oddHBand="0" w:evenHBand="0" w:firstRowFirstColumn="0" w:firstRowLastColumn="0" w:lastRowFirstColumn="0" w:lastRowLastColumn="0"/>
            <w:tcW w:w="3518" w:type="dxa"/>
          </w:tcPr>
          <w:p w14:paraId="62DEB8E7" w14:textId="77777777" w:rsidR="00964B88" w:rsidRDefault="00964B88">
            <w:r>
              <w:t>Roads and road networks</w:t>
            </w:r>
            <w:r>
              <w:rPr>
                <w:vertAlign w:val="superscript"/>
              </w:rPr>
              <w:t xml:space="preserve"> (a)</w:t>
            </w:r>
          </w:p>
        </w:tc>
        <w:tc>
          <w:tcPr>
            <w:tcW w:w="850" w:type="dxa"/>
          </w:tcPr>
          <w:p w14:paraId="15686B09" w14:textId="77777777" w:rsidR="00964B88" w:rsidRDefault="00964B88">
            <w:pPr>
              <w:cnfStyle w:val="000000000000" w:firstRow="0" w:lastRow="0" w:firstColumn="0" w:lastColumn="0" w:oddVBand="0" w:evenVBand="0" w:oddHBand="0" w:evenHBand="0" w:firstRowFirstColumn="0" w:firstRowLastColumn="0" w:lastRowFirstColumn="0" w:lastRowLastColumn="0"/>
            </w:pPr>
            <w:r>
              <w:t>852</w:t>
            </w:r>
          </w:p>
        </w:tc>
        <w:tc>
          <w:tcPr>
            <w:tcW w:w="850" w:type="dxa"/>
          </w:tcPr>
          <w:p w14:paraId="61DEE812" w14:textId="77777777" w:rsidR="00964B88" w:rsidRDefault="00964B88">
            <w:pPr>
              <w:cnfStyle w:val="000000000000" w:firstRow="0" w:lastRow="0" w:firstColumn="0" w:lastColumn="0" w:oddVBand="0" w:evenVBand="0" w:oddHBand="0" w:evenHBand="0" w:firstRowFirstColumn="0" w:firstRowLastColumn="0" w:lastRowFirstColumn="0" w:lastRowLastColumn="0"/>
            </w:pPr>
            <w:r>
              <w:t>850</w:t>
            </w:r>
          </w:p>
        </w:tc>
        <w:tc>
          <w:tcPr>
            <w:tcW w:w="850" w:type="dxa"/>
          </w:tcPr>
          <w:p w14:paraId="3F79F665" w14:textId="77777777" w:rsidR="00964B88" w:rsidRDefault="00964B88">
            <w:pPr>
              <w:cnfStyle w:val="000000000000" w:firstRow="0" w:lastRow="0" w:firstColumn="0" w:lastColumn="0" w:oddVBand="0" w:evenVBand="0" w:oddHBand="0" w:evenHBand="0" w:firstRowFirstColumn="0" w:firstRowLastColumn="0" w:lastRowFirstColumn="0" w:lastRowLastColumn="0"/>
            </w:pPr>
            <w:r>
              <w:t>1 030</w:t>
            </w:r>
          </w:p>
        </w:tc>
        <w:tc>
          <w:tcPr>
            <w:tcW w:w="850" w:type="dxa"/>
          </w:tcPr>
          <w:p w14:paraId="44EE6432" w14:textId="77777777" w:rsidR="00964B88" w:rsidRDefault="00964B88">
            <w:pPr>
              <w:cnfStyle w:val="000000000000" w:firstRow="0" w:lastRow="0" w:firstColumn="0" w:lastColumn="0" w:oddVBand="0" w:evenVBand="0" w:oddHBand="0" w:evenHBand="0" w:firstRowFirstColumn="0" w:firstRowLastColumn="0" w:lastRowFirstColumn="0" w:lastRowLastColumn="0"/>
            </w:pPr>
            <w:r>
              <w:t>1 125</w:t>
            </w:r>
          </w:p>
        </w:tc>
        <w:tc>
          <w:tcPr>
            <w:tcW w:w="850" w:type="dxa"/>
          </w:tcPr>
          <w:p w14:paraId="0886B466" w14:textId="77777777" w:rsidR="00964B88" w:rsidRDefault="00964B88">
            <w:pPr>
              <w:cnfStyle w:val="000000000000" w:firstRow="0" w:lastRow="0" w:firstColumn="0" w:lastColumn="0" w:oddVBand="0" w:evenVBand="0" w:oddHBand="0" w:evenHBand="0" w:firstRowFirstColumn="0" w:firstRowLastColumn="0" w:lastRowFirstColumn="0" w:lastRowLastColumn="0"/>
            </w:pPr>
            <w:r>
              <w:t>1 306</w:t>
            </w:r>
          </w:p>
        </w:tc>
      </w:tr>
      <w:tr w:rsidR="00964B88" w14:paraId="032D626F" w14:textId="77777777">
        <w:tc>
          <w:tcPr>
            <w:cnfStyle w:val="001000000000" w:firstRow="0" w:lastRow="0" w:firstColumn="1" w:lastColumn="0" w:oddVBand="0" w:evenVBand="0" w:oddHBand="0" w:evenHBand="0" w:firstRowFirstColumn="0" w:firstRowLastColumn="0" w:lastRowFirstColumn="0" w:lastRowLastColumn="0"/>
            <w:tcW w:w="3518" w:type="dxa"/>
          </w:tcPr>
          <w:p w14:paraId="0D1BAA6B" w14:textId="77777777" w:rsidR="00964B88" w:rsidRDefault="00964B88">
            <w:r>
              <w:t>Cultural assets</w:t>
            </w:r>
          </w:p>
        </w:tc>
        <w:tc>
          <w:tcPr>
            <w:tcW w:w="850" w:type="dxa"/>
          </w:tcPr>
          <w:p w14:paraId="79657654" w14:textId="77777777" w:rsidR="00964B88" w:rsidRDefault="00964B88">
            <w:pPr>
              <w:cnfStyle w:val="000000000000" w:firstRow="0" w:lastRow="0" w:firstColumn="0" w:lastColumn="0" w:oddVBand="0" w:evenVBand="0" w:oddHBand="0" w:evenHBand="0" w:firstRowFirstColumn="0" w:firstRowLastColumn="0" w:lastRowFirstColumn="0" w:lastRowLastColumn="0"/>
            </w:pPr>
            <w:r>
              <w:t>22</w:t>
            </w:r>
          </w:p>
        </w:tc>
        <w:tc>
          <w:tcPr>
            <w:tcW w:w="850" w:type="dxa"/>
          </w:tcPr>
          <w:p w14:paraId="44795BD8" w14:textId="77777777" w:rsidR="00964B88" w:rsidRDefault="00964B88">
            <w:pPr>
              <w:cnfStyle w:val="000000000000" w:firstRow="0" w:lastRow="0" w:firstColumn="0" w:lastColumn="0" w:oddVBand="0" w:evenVBand="0" w:oddHBand="0" w:evenHBand="0" w:firstRowFirstColumn="0" w:firstRowLastColumn="0" w:lastRowFirstColumn="0" w:lastRowLastColumn="0"/>
            </w:pPr>
            <w:r>
              <w:t>22</w:t>
            </w:r>
          </w:p>
        </w:tc>
        <w:tc>
          <w:tcPr>
            <w:tcW w:w="850" w:type="dxa"/>
          </w:tcPr>
          <w:p w14:paraId="7EC53386" w14:textId="77777777" w:rsidR="00964B88" w:rsidRDefault="00964B88">
            <w:pPr>
              <w:cnfStyle w:val="000000000000" w:firstRow="0" w:lastRow="0" w:firstColumn="0" w:lastColumn="0" w:oddVBand="0" w:evenVBand="0" w:oddHBand="0" w:evenHBand="0" w:firstRowFirstColumn="0" w:firstRowLastColumn="0" w:lastRowFirstColumn="0" w:lastRowLastColumn="0"/>
            </w:pPr>
            <w:r>
              <w:t>21</w:t>
            </w:r>
          </w:p>
        </w:tc>
        <w:tc>
          <w:tcPr>
            <w:tcW w:w="850" w:type="dxa"/>
          </w:tcPr>
          <w:p w14:paraId="6E569583" w14:textId="77777777" w:rsidR="00964B88" w:rsidRDefault="00964B88">
            <w:pPr>
              <w:cnfStyle w:val="000000000000" w:firstRow="0" w:lastRow="0" w:firstColumn="0" w:lastColumn="0" w:oddVBand="0" w:evenVBand="0" w:oddHBand="0" w:evenHBand="0" w:firstRowFirstColumn="0" w:firstRowLastColumn="0" w:lastRowFirstColumn="0" w:lastRowLastColumn="0"/>
            </w:pPr>
            <w:r>
              <w:t>20</w:t>
            </w:r>
          </w:p>
        </w:tc>
        <w:tc>
          <w:tcPr>
            <w:tcW w:w="850" w:type="dxa"/>
          </w:tcPr>
          <w:p w14:paraId="0AB2A9EB" w14:textId="77777777" w:rsidR="00964B88" w:rsidRDefault="00964B88">
            <w:pPr>
              <w:cnfStyle w:val="000000000000" w:firstRow="0" w:lastRow="0" w:firstColumn="0" w:lastColumn="0" w:oddVBand="0" w:evenVBand="0" w:oddHBand="0" w:evenHBand="0" w:firstRowFirstColumn="0" w:firstRowLastColumn="0" w:lastRowFirstColumn="0" w:lastRowLastColumn="0"/>
            </w:pPr>
            <w:r>
              <w:t>21</w:t>
            </w:r>
          </w:p>
        </w:tc>
      </w:tr>
      <w:tr w:rsidR="00964B88" w14:paraId="61703682"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7F25E96D" w14:textId="77777777" w:rsidR="00964B88" w:rsidRDefault="00964B88">
            <w:r>
              <w:t>Intangible produced assets</w:t>
            </w:r>
            <w:r>
              <w:rPr>
                <w:vertAlign w:val="superscript"/>
              </w:rPr>
              <w:t xml:space="preserve"> (b)</w:t>
            </w:r>
          </w:p>
        </w:tc>
        <w:tc>
          <w:tcPr>
            <w:tcW w:w="850" w:type="dxa"/>
            <w:tcBorders>
              <w:bottom w:val="single" w:sz="6" w:space="0" w:color="auto"/>
            </w:tcBorders>
          </w:tcPr>
          <w:p w14:paraId="6C790823" w14:textId="77777777" w:rsidR="00964B88" w:rsidRDefault="00964B88">
            <w:pPr>
              <w:cnfStyle w:val="000000000000" w:firstRow="0" w:lastRow="0" w:firstColumn="0" w:lastColumn="0" w:oddVBand="0" w:evenVBand="0" w:oddHBand="0" w:evenHBand="0" w:firstRowFirstColumn="0" w:firstRowLastColumn="0" w:lastRowFirstColumn="0" w:lastRowLastColumn="0"/>
            </w:pPr>
            <w:r>
              <w:t>165</w:t>
            </w:r>
          </w:p>
        </w:tc>
        <w:tc>
          <w:tcPr>
            <w:tcW w:w="850" w:type="dxa"/>
            <w:tcBorders>
              <w:bottom w:val="single" w:sz="6" w:space="0" w:color="auto"/>
            </w:tcBorders>
          </w:tcPr>
          <w:p w14:paraId="7A3A1C20" w14:textId="77777777" w:rsidR="00964B88" w:rsidRDefault="00964B88">
            <w:pPr>
              <w:cnfStyle w:val="000000000000" w:firstRow="0" w:lastRow="0" w:firstColumn="0" w:lastColumn="0" w:oddVBand="0" w:evenVBand="0" w:oddHBand="0" w:evenHBand="0" w:firstRowFirstColumn="0" w:firstRowLastColumn="0" w:lastRowFirstColumn="0" w:lastRowLastColumn="0"/>
            </w:pPr>
            <w:r>
              <w:t>163</w:t>
            </w:r>
          </w:p>
        </w:tc>
        <w:tc>
          <w:tcPr>
            <w:tcW w:w="850" w:type="dxa"/>
            <w:tcBorders>
              <w:bottom w:val="single" w:sz="6" w:space="0" w:color="auto"/>
            </w:tcBorders>
          </w:tcPr>
          <w:p w14:paraId="2255E9BE" w14:textId="77777777" w:rsidR="00964B88" w:rsidRDefault="00964B88">
            <w:pPr>
              <w:cnfStyle w:val="000000000000" w:firstRow="0" w:lastRow="0" w:firstColumn="0" w:lastColumn="0" w:oddVBand="0" w:evenVBand="0" w:oddHBand="0" w:evenHBand="0" w:firstRowFirstColumn="0" w:firstRowLastColumn="0" w:lastRowFirstColumn="0" w:lastRowLastColumn="0"/>
            </w:pPr>
            <w:r>
              <w:t>163</w:t>
            </w:r>
          </w:p>
        </w:tc>
        <w:tc>
          <w:tcPr>
            <w:tcW w:w="850" w:type="dxa"/>
            <w:tcBorders>
              <w:bottom w:val="single" w:sz="6" w:space="0" w:color="auto"/>
            </w:tcBorders>
          </w:tcPr>
          <w:p w14:paraId="54F4EA13" w14:textId="77777777" w:rsidR="00964B88" w:rsidRDefault="00964B88">
            <w:pPr>
              <w:cnfStyle w:val="000000000000" w:firstRow="0" w:lastRow="0" w:firstColumn="0" w:lastColumn="0" w:oddVBand="0" w:evenVBand="0" w:oddHBand="0" w:evenHBand="0" w:firstRowFirstColumn="0" w:firstRowLastColumn="0" w:lastRowFirstColumn="0" w:lastRowLastColumn="0"/>
            </w:pPr>
            <w:r>
              <w:t>174</w:t>
            </w:r>
          </w:p>
        </w:tc>
        <w:tc>
          <w:tcPr>
            <w:tcW w:w="850" w:type="dxa"/>
            <w:tcBorders>
              <w:bottom w:val="single" w:sz="6" w:space="0" w:color="auto"/>
            </w:tcBorders>
          </w:tcPr>
          <w:p w14:paraId="52C4C2C1" w14:textId="77777777" w:rsidR="00964B88" w:rsidRDefault="00964B88">
            <w:pPr>
              <w:cnfStyle w:val="000000000000" w:firstRow="0" w:lastRow="0" w:firstColumn="0" w:lastColumn="0" w:oddVBand="0" w:evenVBand="0" w:oddHBand="0" w:evenHBand="0" w:firstRowFirstColumn="0" w:firstRowLastColumn="0" w:lastRowFirstColumn="0" w:lastRowLastColumn="0"/>
            </w:pPr>
            <w:r>
              <w:t>167</w:t>
            </w:r>
          </w:p>
        </w:tc>
      </w:tr>
      <w:tr w:rsidR="00964B88" w14:paraId="0673E5E0"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28E8159C" w14:textId="77777777" w:rsidR="00964B88" w:rsidRDefault="00964B88">
            <w:r>
              <w:t>Total depreciation</w:t>
            </w:r>
          </w:p>
        </w:tc>
        <w:tc>
          <w:tcPr>
            <w:tcW w:w="850" w:type="dxa"/>
          </w:tcPr>
          <w:p w14:paraId="6A91C93A" w14:textId="77777777" w:rsidR="00964B88" w:rsidRDefault="00964B88">
            <w:pPr>
              <w:cnfStyle w:val="010000000000" w:firstRow="0" w:lastRow="1" w:firstColumn="0" w:lastColumn="0" w:oddVBand="0" w:evenVBand="0" w:oddHBand="0" w:evenHBand="0" w:firstRowFirstColumn="0" w:firstRowLastColumn="0" w:lastRowFirstColumn="0" w:lastRowLastColumn="0"/>
            </w:pPr>
            <w:r>
              <w:t>3 748</w:t>
            </w:r>
          </w:p>
        </w:tc>
        <w:tc>
          <w:tcPr>
            <w:tcW w:w="850" w:type="dxa"/>
          </w:tcPr>
          <w:p w14:paraId="75E1A1D0" w14:textId="77777777" w:rsidR="00964B88" w:rsidRDefault="00964B88">
            <w:pPr>
              <w:cnfStyle w:val="010000000000" w:firstRow="0" w:lastRow="1" w:firstColumn="0" w:lastColumn="0" w:oddVBand="0" w:evenVBand="0" w:oddHBand="0" w:evenHBand="0" w:firstRowFirstColumn="0" w:firstRowLastColumn="0" w:lastRowFirstColumn="0" w:lastRowLastColumn="0"/>
            </w:pPr>
            <w:r>
              <w:t>3 717</w:t>
            </w:r>
          </w:p>
        </w:tc>
        <w:tc>
          <w:tcPr>
            <w:tcW w:w="850" w:type="dxa"/>
          </w:tcPr>
          <w:p w14:paraId="6C09B068" w14:textId="77777777" w:rsidR="00964B88" w:rsidRDefault="00964B88">
            <w:pPr>
              <w:cnfStyle w:val="010000000000" w:firstRow="0" w:lastRow="1" w:firstColumn="0" w:lastColumn="0" w:oddVBand="0" w:evenVBand="0" w:oddHBand="0" w:evenHBand="0" w:firstRowFirstColumn="0" w:firstRowLastColumn="0" w:lastRowFirstColumn="0" w:lastRowLastColumn="0"/>
            </w:pPr>
            <w:r>
              <w:t>4 113</w:t>
            </w:r>
          </w:p>
        </w:tc>
        <w:tc>
          <w:tcPr>
            <w:tcW w:w="850" w:type="dxa"/>
          </w:tcPr>
          <w:p w14:paraId="4AC16BC2" w14:textId="77777777" w:rsidR="00964B88" w:rsidRDefault="00964B88">
            <w:pPr>
              <w:cnfStyle w:val="010000000000" w:firstRow="0" w:lastRow="1" w:firstColumn="0" w:lastColumn="0" w:oddVBand="0" w:evenVBand="0" w:oddHBand="0" w:evenHBand="0" w:firstRowFirstColumn="0" w:firstRowLastColumn="0" w:lastRowFirstColumn="0" w:lastRowLastColumn="0"/>
            </w:pPr>
            <w:r>
              <w:t>4 343</w:t>
            </w:r>
          </w:p>
        </w:tc>
        <w:tc>
          <w:tcPr>
            <w:tcW w:w="850" w:type="dxa"/>
          </w:tcPr>
          <w:p w14:paraId="794FD38E" w14:textId="77777777" w:rsidR="00964B88" w:rsidRDefault="00964B88">
            <w:pPr>
              <w:cnfStyle w:val="010000000000" w:firstRow="0" w:lastRow="1" w:firstColumn="0" w:lastColumn="0" w:oddVBand="0" w:evenVBand="0" w:oddHBand="0" w:evenHBand="0" w:firstRowFirstColumn="0" w:firstRowLastColumn="0" w:lastRowFirstColumn="0" w:lastRowLastColumn="0"/>
            </w:pPr>
            <w:r>
              <w:t>4 647</w:t>
            </w:r>
          </w:p>
        </w:tc>
      </w:tr>
    </w:tbl>
    <w:p w14:paraId="27467C72" w14:textId="77777777" w:rsidR="00964B88" w:rsidRDefault="00964B88" w:rsidP="00F53820">
      <w:pPr>
        <w:pStyle w:val="Note"/>
      </w:pPr>
      <w:r>
        <w:t>Notes:</w:t>
      </w:r>
    </w:p>
    <w:p w14:paraId="5620F27C" w14:textId="77777777" w:rsidR="00964B88" w:rsidRDefault="00964B88" w:rsidP="00F53820">
      <w:pPr>
        <w:pStyle w:val="Note"/>
      </w:pPr>
      <w:r>
        <w:t>(a)</w:t>
      </w:r>
      <w:r>
        <w:tab/>
        <w:t>Includes estimated depreciation on amounts not yet allocated to projects in 2019-20 to 2022-23.</w:t>
      </w:r>
    </w:p>
    <w:p w14:paraId="49036D6B" w14:textId="77777777" w:rsidR="00964B88" w:rsidRDefault="00964B88" w:rsidP="00F53820">
      <w:pPr>
        <w:pStyle w:val="Note"/>
      </w:pPr>
      <w:r>
        <w:t>(b)</w:t>
      </w:r>
      <w:r>
        <w:tab/>
        <w:t>Amortisation of intangible non-produced assets is included under other gains/(losses) from other economic flows.</w:t>
      </w:r>
    </w:p>
    <w:p w14:paraId="23896AB4" w14:textId="77777777" w:rsidR="00964B88" w:rsidRDefault="00964B88" w:rsidP="00F53820"/>
    <w:p w14:paraId="69CF4425" w14:textId="77777777" w:rsidR="00964B88" w:rsidRDefault="00964B88" w:rsidP="00F53820">
      <w:r w:rsidRPr="00225C13">
        <w:t>The following two tables are subsets of total depreciation expense.</w:t>
      </w:r>
    </w:p>
    <w:p w14:paraId="4F762797" w14:textId="77777777" w:rsidR="00964B88" w:rsidRDefault="00964B88" w:rsidP="00D95F31">
      <w:pPr>
        <w:pStyle w:val="Heading30"/>
      </w:pPr>
      <w:r w:rsidRPr="00222593">
        <w:t>Depreciation of right of use (leased) assets</w:t>
      </w:r>
      <w:r>
        <w:ta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71A3C1E0"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02D9B822" w14:textId="77777777" w:rsidR="00964B88" w:rsidRDefault="00964B88"/>
        </w:tc>
        <w:tc>
          <w:tcPr>
            <w:tcW w:w="850" w:type="dxa"/>
          </w:tcPr>
          <w:p w14:paraId="75798F85"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5383D0BC"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02EBB0F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26F0A01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783A5A3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71A4F2D7" w14:textId="77777777">
        <w:tc>
          <w:tcPr>
            <w:cnfStyle w:val="001000000000" w:firstRow="0" w:lastRow="0" w:firstColumn="1" w:lastColumn="0" w:oddVBand="0" w:evenVBand="0" w:oddHBand="0" w:evenHBand="0" w:firstRowFirstColumn="0" w:firstRowLastColumn="0" w:lastRowFirstColumn="0" w:lastRowLastColumn="0"/>
            <w:tcW w:w="3518" w:type="dxa"/>
          </w:tcPr>
          <w:p w14:paraId="32519CBF" w14:textId="77777777" w:rsidR="00964B88" w:rsidRDefault="00964B88">
            <w:r>
              <w:t>Buildings</w:t>
            </w:r>
          </w:p>
        </w:tc>
        <w:tc>
          <w:tcPr>
            <w:tcW w:w="850" w:type="dxa"/>
          </w:tcPr>
          <w:p w14:paraId="7FF7144A" w14:textId="77777777" w:rsidR="00964B88" w:rsidRDefault="00964B88">
            <w:pPr>
              <w:cnfStyle w:val="000000000000" w:firstRow="0" w:lastRow="0" w:firstColumn="0" w:lastColumn="0" w:oddVBand="0" w:evenVBand="0" w:oddHBand="0" w:evenHBand="0" w:firstRowFirstColumn="0" w:firstRowLastColumn="0" w:lastRowFirstColumn="0" w:lastRowLastColumn="0"/>
            </w:pPr>
            <w:r>
              <w:t>607</w:t>
            </w:r>
          </w:p>
        </w:tc>
        <w:tc>
          <w:tcPr>
            <w:tcW w:w="850" w:type="dxa"/>
          </w:tcPr>
          <w:p w14:paraId="44D250F8" w14:textId="77777777" w:rsidR="00964B88" w:rsidRDefault="00964B88">
            <w:pPr>
              <w:cnfStyle w:val="000000000000" w:firstRow="0" w:lastRow="0" w:firstColumn="0" w:lastColumn="0" w:oddVBand="0" w:evenVBand="0" w:oddHBand="0" w:evenHBand="0" w:firstRowFirstColumn="0" w:firstRowLastColumn="0" w:lastRowFirstColumn="0" w:lastRowLastColumn="0"/>
            </w:pPr>
            <w:r>
              <w:t>597</w:t>
            </w:r>
          </w:p>
        </w:tc>
        <w:tc>
          <w:tcPr>
            <w:tcW w:w="850" w:type="dxa"/>
          </w:tcPr>
          <w:p w14:paraId="53791E1F" w14:textId="77777777" w:rsidR="00964B88" w:rsidRDefault="00964B88">
            <w:pPr>
              <w:cnfStyle w:val="000000000000" w:firstRow="0" w:lastRow="0" w:firstColumn="0" w:lastColumn="0" w:oddVBand="0" w:evenVBand="0" w:oddHBand="0" w:evenHBand="0" w:firstRowFirstColumn="0" w:firstRowLastColumn="0" w:lastRowFirstColumn="0" w:lastRowLastColumn="0"/>
            </w:pPr>
            <w:r>
              <w:t>598</w:t>
            </w:r>
          </w:p>
        </w:tc>
        <w:tc>
          <w:tcPr>
            <w:tcW w:w="850" w:type="dxa"/>
          </w:tcPr>
          <w:p w14:paraId="688577E8" w14:textId="77777777" w:rsidR="00964B88" w:rsidRDefault="00964B88">
            <w:pPr>
              <w:cnfStyle w:val="000000000000" w:firstRow="0" w:lastRow="0" w:firstColumn="0" w:lastColumn="0" w:oddVBand="0" w:evenVBand="0" w:oddHBand="0" w:evenHBand="0" w:firstRowFirstColumn="0" w:firstRowLastColumn="0" w:lastRowFirstColumn="0" w:lastRowLastColumn="0"/>
            </w:pPr>
            <w:r>
              <w:t>594</w:t>
            </w:r>
          </w:p>
        </w:tc>
        <w:tc>
          <w:tcPr>
            <w:tcW w:w="850" w:type="dxa"/>
          </w:tcPr>
          <w:p w14:paraId="6355E7A8" w14:textId="77777777" w:rsidR="00964B88" w:rsidRDefault="00964B88">
            <w:pPr>
              <w:cnfStyle w:val="000000000000" w:firstRow="0" w:lastRow="0" w:firstColumn="0" w:lastColumn="0" w:oddVBand="0" w:evenVBand="0" w:oddHBand="0" w:evenHBand="0" w:firstRowFirstColumn="0" w:firstRowLastColumn="0" w:lastRowFirstColumn="0" w:lastRowLastColumn="0"/>
            </w:pPr>
            <w:r>
              <w:t>596</w:t>
            </w:r>
          </w:p>
        </w:tc>
      </w:tr>
      <w:tr w:rsidR="00964B88" w14:paraId="51CDE09B" w14:textId="77777777">
        <w:tc>
          <w:tcPr>
            <w:cnfStyle w:val="001000000000" w:firstRow="0" w:lastRow="0" w:firstColumn="1" w:lastColumn="0" w:oddVBand="0" w:evenVBand="0" w:oddHBand="0" w:evenHBand="0" w:firstRowFirstColumn="0" w:firstRowLastColumn="0" w:lastRowFirstColumn="0" w:lastRowLastColumn="0"/>
            <w:tcW w:w="3518" w:type="dxa"/>
          </w:tcPr>
          <w:p w14:paraId="60052800" w14:textId="77777777" w:rsidR="00964B88" w:rsidRDefault="00964B88">
            <w:r>
              <w:t>Infrastructure systems</w:t>
            </w:r>
          </w:p>
        </w:tc>
        <w:tc>
          <w:tcPr>
            <w:tcW w:w="850" w:type="dxa"/>
          </w:tcPr>
          <w:p w14:paraId="40DC789E" w14:textId="77777777" w:rsidR="00964B88" w:rsidRDefault="00964B88">
            <w:pPr>
              <w:cnfStyle w:val="000000000000" w:firstRow="0" w:lastRow="0" w:firstColumn="0" w:lastColumn="0" w:oddVBand="0" w:evenVBand="0" w:oddHBand="0" w:evenHBand="0" w:firstRowFirstColumn="0" w:firstRowLastColumn="0" w:lastRowFirstColumn="0" w:lastRowLastColumn="0"/>
            </w:pPr>
            <w:r>
              <w:t>12</w:t>
            </w:r>
          </w:p>
        </w:tc>
        <w:tc>
          <w:tcPr>
            <w:tcW w:w="850" w:type="dxa"/>
          </w:tcPr>
          <w:p w14:paraId="650C1F76" w14:textId="77777777" w:rsidR="00964B88" w:rsidRDefault="00964B88">
            <w:pPr>
              <w:cnfStyle w:val="000000000000" w:firstRow="0" w:lastRow="0" w:firstColumn="0" w:lastColumn="0" w:oddVBand="0" w:evenVBand="0" w:oddHBand="0" w:evenHBand="0" w:firstRowFirstColumn="0" w:firstRowLastColumn="0" w:lastRowFirstColumn="0" w:lastRowLastColumn="0"/>
            </w:pPr>
            <w:r>
              <w:t>5</w:t>
            </w:r>
          </w:p>
        </w:tc>
        <w:tc>
          <w:tcPr>
            <w:tcW w:w="850" w:type="dxa"/>
          </w:tcPr>
          <w:p w14:paraId="1D1FD872"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c>
          <w:tcPr>
            <w:tcW w:w="850" w:type="dxa"/>
          </w:tcPr>
          <w:p w14:paraId="69BF5A70"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c>
          <w:tcPr>
            <w:tcW w:w="850" w:type="dxa"/>
          </w:tcPr>
          <w:p w14:paraId="6CFD7066"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r>
      <w:tr w:rsidR="00964B88" w14:paraId="5537BAB9"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622E7558" w14:textId="77777777" w:rsidR="00964B88" w:rsidRDefault="00964B88">
            <w:r>
              <w:t>Plant, equipment and vehicles</w:t>
            </w:r>
          </w:p>
        </w:tc>
        <w:tc>
          <w:tcPr>
            <w:tcW w:w="850" w:type="dxa"/>
            <w:tcBorders>
              <w:bottom w:val="single" w:sz="6" w:space="0" w:color="auto"/>
            </w:tcBorders>
          </w:tcPr>
          <w:p w14:paraId="2B58A569" w14:textId="77777777" w:rsidR="00964B88" w:rsidRDefault="00964B88">
            <w:pPr>
              <w:cnfStyle w:val="000000000000" w:firstRow="0" w:lastRow="0" w:firstColumn="0" w:lastColumn="0" w:oddVBand="0" w:evenVBand="0" w:oddHBand="0" w:evenHBand="0" w:firstRowFirstColumn="0" w:firstRowLastColumn="0" w:lastRowFirstColumn="0" w:lastRowLastColumn="0"/>
            </w:pPr>
            <w:r>
              <w:t>122</w:t>
            </w:r>
          </w:p>
        </w:tc>
        <w:tc>
          <w:tcPr>
            <w:tcW w:w="850" w:type="dxa"/>
            <w:tcBorders>
              <w:bottom w:val="single" w:sz="6" w:space="0" w:color="auto"/>
            </w:tcBorders>
          </w:tcPr>
          <w:p w14:paraId="02CE6AF7" w14:textId="77777777" w:rsidR="00964B88" w:rsidRDefault="00964B88">
            <w:pPr>
              <w:cnfStyle w:val="000000000000" w:firstRow="0" w:lastRow="0" w:firstColumn="0" w:lastColumn="0" w:oddVBand="0" w:evenVBand="0" w:oddHBand="0" w:evenHBand="0" w:firstRowFirstColumn="0" w:firstRowLastColumn="0" w:lastRowFirstColumn="0" w:lastRowLastColumn="0"/>
            </w:pPr>
            <w:r>
              <w:t>121</w:t>
            </w:r>
          </w:p>
        </w:tc>
        <w:tc>
          <w:tcPr>
            <w:tcW w:w="850" w:type="dxa"/>
            <w:tcBorders>
              <w:bottom w:val="single" w:sz="6" w:space="0" w:color="auto"/>
            </w:tcBorders>
          </w:tcPr>
          <w:p w14:paraId="43EA3396" w14:textId="77777777" w:rsidR="00964B88" w:rsidRDefault="00964B88">
            <w:pPr>
              <w:cnfStyle w:val="000000000000" w:firstRow="0" w:lastRow="0" w:firstColumn="0" w:lastColumn="0" w:oddVBand="0" w:evenVBand="0" w:oddHBand="0" w:evenHBand="0" w:firstRowFirstColumn="0" w:firstRowLastColumn="0" w:lastRowFirstColumn="0" w:lastRowLastColumn="0"/>
            </w:pPr>
            <w:r>
              <w:t>126</w:t>
            </w:r>
          </w:p>
        </w:tc>
        <w:tc>
          <w:tcPr>
            <w:tcW w:w="850" w:type="dxa"/>
            <w:tcBorders>
              <w:bottom w:val="single" w:sz="6" w:space="0" w:color="auto"/>
            </w:tcBorders>
          </w:tcPr>
          <w:p w14:paraId="0AC9E1A2" w14:textId="77777777" w:rsidR="00964B88" w:rsidRDefault="00964B88">
            <w:pPr>
              <w:cnfStyle w:val="000000000000" w:firstRow="0" w:lastRow="0" w:firstColumn="0" w:lastColumn="0" w:oddVBand="0" w:evenVBand="0" w:oddHBand="0" w:evenHBand="0" w:firstRowFirstColumn="0" w:firstRowLastColumn="0" w:lastRowFirstColumn="0" w:lastRowLastColumn="0"/>
            </w:pPr>
            <w:r>
              <w:t>117</w:t>
            </w:r>
          </w:p>
        </w:tc>
        <w:tc>
          <w:tcPr>
            <w:tcW w:w="850" w:type="dxa"/>
            <w:tcBorders>
              <w:bottom w:val="single" w:sz="6" w:space="0" w:color="auto"/>
            </w:tcBorders>
          </w:tcPr>
          <w:p w14:paraId="7DE1A9B0" w14:textId="77777777" w:rsidR="00964B88" w:rsidRDefault="00964B88">
            <w:pPr>
              <w:cnfStyle w:val="000000000000" w:firstRow="0" w:lastRow="0" w:firstColumn="0" w:lastColumn="0" w:oddVBand="0" w:evenVBand="0" w:oddHBand="0" w:evenHBand="0" w:firstRowFirstColumn="0" w:firstRowLastColumn="0" w:lastRowFirstColumn="0" w:lastRowLastColumn="0"/>
            </w:pPr>
            <w:r>
              <w:t>114</w:t>
            </w:r>
          </w:p>
        </w:tc>
      </w:tr>
      <w:tr w:rsidR="00964B88" w14:paraId="21D6910D"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560339BA" w14:textId="77777777" w:rsidR="00964B88" w:rsidRDefault="00964B88">
            <w:r>
              <w:t>Total depreciation of right of use assets</w:t>
            </w:r>
          </w:p>
        </w:tc>
        <w:tc>
          <w:tcPr>
            <w:tcW w:w="850" w:type="dxa"/>
          </w:tcPr>
          <w:p w14:paraId="54CA6B56" w14:textId="77777777" w:rsidR="00964B88" w:rsidRDefault="00964B88">
            <w:pPr>
              <w:cnfStyle w:val="010000000000" w:firstRow="0" w:lastRow="1" w:firstColumn="0" w:lastColumn="0" w:oddVBand="0" w:evenVBand="0" w:oddHBand="0" w:evenHBand="0" w:firstRowFirstColumn="0" w:firstRowLastColumn="0" w:lastRowFirstColumn="0" w:lastRowLastColumn="0"/>
            </w:pPr>
            <w:r>
              <w:t>740</w:t>
            </w:r>
          </w:p>
        </w:tc>
        <w:tc>
          <w:tcPr>
            <w:tcW w:w="850" w:type="dxa"/>
          </w:tcPr>
          <w:p w14:paraId="7484A91E" w14:textId="77777777" w:rsidR="00964B88" w:rsidRDefault="00964B88">
            <w:pPr>
              <w:cnfStyle w:val="010000000000" w:firstRow="0" w:lastRow="1" w:firstColumn="0" w:lastColumn="0" w:oddVBand="0" w:evenVBand="0" w:oddHBand="0" w:evenHBand="0" w:firstRowFirstColumn="0" w:firstRowLastColumn="0" w:lastRowFirstColumn="0" w:lastRowLastColumn="0"/>
            </w:pPr>
            <w:r>
              <w:t>723</w:t>
            </w:r>
          </w:p>
        </w:tc>
        <w:tc>
          <w:tcPr>
            <w:tcW w:w="850" w:type="dxa"/>
          </w:tcPr>
          <w:p w14:paraId="2058CCCD" w14:textId="77777777" w:rsidR="00964B88" w:rsidRDefault="00964B88">
            <w:pPr>
              <w:cnfStyle w:val="010000000000" w:firstRow="0" w:lastRow="1" w:firstColumn="0" w:lastColumn="0" w:oddVBand="0" w:evenVBand="0" w:oddHBand="0" w:evenHBand="0" w:firstRowFirstColumn="0" w:firstRowLastColumn="0" w:lastRowFirstColumn="0" w:lastRowLastColumn="0"/>
            </w:pPr>
            <w:r>
              <w:t>727</w:t>
            </w:r>
          </w:p>
        </w:tc>
        <w:tc>
          <w:tcPr>
            <w:tcW w:w="850" w:type="dxa"/>
          </w:tcPr>
          <w:p w14:paraId="09B59357" w14:textId="77777777" w:rsidR="00964B88" w:rsidRDefault="00964B88">
            <w:pPr>
              <w:cnfStyle w:val="010000000000" w:firstRow="0" w:lastRow="1" w:firstColumn="0" w:lastColumn="0" w:oddVBand="0" w:evenVBand="0" w:oddHBand="0" w:evenHBand="0" w:firstRowFirstColumn="0" w:firstRowLastColumn="0" w:lastRowFirstColumn="0" w:lastRowLastColumn="0"/>
            </w:pPr>
            <w:r>
              <w:t>714</w:t>
            </w:r>
          </w:p>
        </w:tc>
        <w:tc>
          <w:tcPr>
            <w:tcW w:w="850" w:type="dxa"/>
          </w:tcPr>
          <w:p w14:paraId="15E2334B" w14:textId="77777777" w:rsidR="00964B88" w:rsidRDefault="00964B88">
            <w:pPr>
              <w:cnfStyle w:val="010000000000" w:firstRow="0" w:lastRow="1" w:firstColumn="0" w:lastColumn="0" w:oddVBand="0" w:evenVBand="0" w:oddHBand="0" w:evenHBand="0" w:firstRowFirstColumn="0" w:firstRowLastColumn="0" w:lastRowFirstColumn="0" w:lastRowLastColumn="0"/>
            </w:pPr>
            <w:r>
              <w:t>713</w:t>
            </w:r>
          </w:p>
        </w:tc>
      </w:tr>
    </w:tbl>
    <w:p w14:paraId="3F875A2B" w14:textId="77777777" w:rsidR="00964B88" w:rsidRPr="00590952" w:rsidRDefault="00964B88" w:rsidP="00F53820"/>
    <w:p w14:paraId="469AF12C" w14:textId="77777777" w:rsidR="00964B88" w:rsidRDefault="00964B88" w:rsidP="00D95F31">
      <w:pPr>
        <w:pStyle w:val="Heading30"/>
      </w:pPr>
      <w:r w:rsidRPr="00222593">
        <w:t>Depreciation of service concession assets</w:t>
      </w:r>
      <w:r>
        <w:ta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03D39AB3"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4122FEC0" w14:textId="77777777" w:rsidR="00964B88" w:rsidRDefault="00964B88"/>
        </w:tc>
        <w:tc>
          <w:tcPr>
            <w:tcW w:w="850" w:type="dxa"/>
          </w:tcPr>
          <w:p w14:paraId="7693D673"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2096FDA7"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5B8DBD84"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67AC669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5BE88F7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16760661" w14:textId="77777777">
        <w:tc>
          <w:tcPr>
            <w:cnfStyle w:val="001000000000" w:firstRow="0" w:lastRow="0" w:firstColumn="1" w:lastColumn="0" w:oddVBand="0" w:evenVBand="0" w:oddHBand="0" w:evenHBand="0" w:firstRowFirstColumn="0" w:firstRowLastColumn="0" w:lastRowFirstColumn="0" w:lastRowLastColumn="0"/>
            <w:tcW w:w="3518" w:type="dxa"/>
          </w:tcPr>
          <w:p w14:paraId="67E284CA" w14:textId="77777777" w:rsidR="00964B88" w:rsidRDefault="00964B88">
            <w:r>
              <w:t>Buildings</w:t>
            </w:r>
          </w:p>
        </w:tc>
        <w:tc>
          <w:tcPr>
            <w:tcW w:w="850" w:type="dxa"/>
          </w:tcPr>
          <w:p w14:paraId="780D2953" w14:textId="77777777" w:rsidR="00964B88" w:rsidRDefault="00964B88">
            <w:pPr>
              <w:cnfStyle w:val="000000000000" w:firstRow="0" w:lastRow="0" w:firstColumn="0" w:lastColumn="0" w:oddVBand="0" w:evenVBand="0" w:oddHBand="0" w:evenHBand="0" w:firstRowFirstColumn="0" w:firstRowLastColumn="0" w:lastRowFirstColumn="0" w:lastRowLastColumn="0"/>
            </w:pPr>
            <w:r>
              <w:t>30</w:t>
            </w:r>
          </w:p>
        </w:tc>
        <w:tc>
          <w:tcPr>
            <w:tcW w:w="850" w:type="dxa"/>
          </w:tcPr>
          <w:p w14:paraId="2BF73D3B" w14:textId="77777777" w:rsidR="00964B88" w:rsidRDefault="00964B88">
            <w:pPr>
              <w:cnfStyle w:val="000000000000" w:firstRow="0" w:lastRow="0" w:firstColumn="0" w:lastColumn="0" w:oddVBand="0" w:evenVBand="0" w:oddHBand="0" w:evenHBand="0" w:firstRowFirstColumn="0" w:firstRowLastColumn="0" w:lastRowFirstColumn="0" w:lastRowLastColumn="0"/>
            </w:pPr>
            <w:r>
              <w:t>47</w:t>
            </w:r>
          </w:p>
        </w:tc>
        <w:tc>
          <w:tcPr>
            <w:tcW w:w="850" w:type="dxa"/>
          </w:tcPr>
          <w:p w14:paraId="46F4BF73" w14:textId="77777777" w:rsidR="00964B88" w:rsidRDefault="00964B88">
            <w:pPr>
              <w:cnfStyle w:val="000000000000" w:firstRow="0" w:lastRow="0" w:firstColumn="0" w:lastColumn="0" w:oddVBand="0" w:evenVBand="0" w:oddHBand="0" w:evenHBand="0" w:firstRowFirstColumn="0" w:firstRowLastColumn="0" w:lastRowFirstColumn="0" w:lastRowLastColumn="0"/>
            </w:pPr>
            <w:r>
              <w:t>47</w:t>
            </w:r>
          </w:p>
        </w:tc>
        <w:tc>
          <w:tcPr>
            <w:tcW w:w="850" w:type="dxa"/>
          </w:tcPr>
          <w:p w14:paraId="36616F67" w14:textId="77777777" w:rsidR="00964B88" w:rsidRDefault="00964B88">
            <w:pPr>
              <w:cnfStyle w:val="000000000000" w:firstRow="0" w:lastRow="0" w:firstColumn="0" w:lastColumn="0" w:oddVBand="0" w:evenVBand="0" w:oddHBand="0" w:evenHBand="0" w:firstRowFirstColumn="0" w:firstRowLastColumn="0" w:lastRowFirstColumn="0" w:lastRowLastColumn="0"/>
            </w:pPr>
            <w:r>
              <w:t>47</w:t>
            </w:r>
          </w:p>
        </w:tc>
        <w:tc>
          <w:tcPr>
            <w:tcW w:w="850" w:type="dxa"/>
          </w:tcPr>
          <w:p w14:paraId="52FB86FA" w14:textId="77777777" w:rsidR="00964B88" w:rsidRDefault="00964B88">
            <w:pPr>
              <w:cnfStyle w:val="000000000000" w:firstRow="0" w:lastRow="0" w:firstColumn="0" w:lastColumn="0" w:oddVBand="0" w:evenVBand="0" w:oddHBand="0" w:evenHBand="0" w:firstRowFirstColumn="0" w:firstRowLastColumn="0" w:lastRowFirstColumn="0" w:lastRowLastColumn="0"/>
            </w:pPr>
            <w:r>
              <w:t>47</w:t>
            </w:r>
          </w:p>
        </w:tc>
      </w:tr>
      <w:tr w:rsidR="00964B88" w14:paraId="3402CB5A" w14:textId="77777777">
        <w:tc>
          <w:tcPr>
            <w:cnfStyle w:val="001000000000" w:firstRow="0" w:lastRow="0" w:firstColumn="1" w:lastColumn="0" w:oddVBand="0" w:evenVBand="0" w:oddHBand="0" w:evenHBand="0" w:firstRowFirstColumn="0" w:firstRowLastColumn="0" w:lastRowFirstColumn="0" w:lastRowLastColumn="0"/>
            <w:tcW w:w="3518" w:type="dxa"/>
          </w:tcPr>
          <w:p w14:paraId="48DF7DBF" w14:textId="77777777" w:rsidR="00964B88" w:rsidRDefault="00964B88">
            <w:r>
              <w:t>Plant, equipment and vehicles</w:t>
            </w:r>
          </w:p>
        </w:tc>
        <w:tc>
          <w:tcPr>
            <w:tcW w:w="850" w:type="dxa"/>
          </w:tcPr>
          <w:p w14:paraId="40E7DF4E" w14:textId="77777777" w:rsidR="00964B88" w:rsidRDefault="00964B88">
            <w:pPr>
              <w:cnfStyle w:val="000000000000" w:firstRow="0" w:lastRow="0" w:firstColumn="0" w:lastColumn="0" w:oddVBand="0" w:evenVBand="0" w:oddHBand="0" w:evenHBand="0" w:firstRowFirstColumn="0" w:firstRowLastColumn="0" w:lastRowFirstColumn="0" w:lastRowLastColumn="0"/>
            </w:pPr>
            <w:r>
              <w:t>28</w:t>
            </w:r>
          </w:p>
        </w:tc>
        <w:tc>
          <w:tcPr>
            <w:tcW w:w="850" w:type="dxa"/>
          </w:tcPr>
          <w:p w14:paraId="1A6E81CA" w14:textId="77777777" w:rsidR="00964B88" w:rsidRDefault="00964B88">
            <w:pPr>
              <w:cnfStyle w:val="000000000000" w:firstRow="0" w:lastRow="0" w:firstColumn="0" w:lastColumn="0" w:oddVBand="0" w:evenVBand="0" w:oddHBand="0" w:evenHBand="0" w:firstRowFirstColumn="0" w:firstRowLastColumn="0" w:lastRowFirstColumn="0" w:lastRowLastColumn="0"/>
            </w:pPr>
            <w:r>
              <w:t>29</w:t>
            </w:r>
          </w:p>
        </w:tc>
        <w:tc>
          <w:tcPr>
            <w:tcW w:w="850" w:type="dxa"/>
          </w:tcPr>
          <w:p w14:paraId="1C75DCAE" w14:textId="77777777" w:rsidR="00964B88" w:rsidRDefault="00964B88">
            <w:pPr>
              <w:cnfStyle w:val="000000000000" w:firstRow="0" w:lastRow="0" w:firstColumn="0" w:lastColumn="0" w:oddVBand="0" w:evenVBand="0" w:oddHBand="0" w:evenHBand="0" w:firstRowFirstColumn="0" w:firstRowLastColumn="0" w:lastRowFirstColumn="0" w:lastRowLastColumn="0"/>
            </w:pPr>
            <w:r>
              <w:t>28</w:t>
            </w:r>
          </w:p>
        </w:tc>
        <w:tc>
          <w:tcPr>
            <w:tcW w:w="850" w:type="dxa"/>
          </w:tcPr>
          <w:p w14:paraId="709FBED3" w14:textId="77777777" w:rsidR="00964B88" w:rsidRDefault="00964B88">
            <w:pPr>
              <w:cnfStyle w:val="000000000000" w:firstRow="0" w:lastRow="0" w:firstColumn="0" w:lastColumn="0" w:oddVBand="0" w:evenVBand="0" w:oddHBand="0" w:evenHBand="0" w:firstRowFirstColumn="0" w:firstRowLastColumn="0" w:lastRowFirstColumn="0" w:lastRowLastColumn="0"/>
            </w:pPr>
            <w:r>
              <w:t>28</w:t>
            </w:r>
          </w:p>
        </w:tc>
        <w:tc>
          <w:tcPr>
            <w:tcW w:w="850" w:type="dxa"/>
          </w:tcPr>
          <w:p w14:paraId="3B6886A9" w14:textId="77777777" w:rsidR="00964B88" w:rsidRDefault="00964B88">
            <w:pPr>
              <w:cnfStyle w:val="000000000000" w:firstRow="0" w:lastRow="0" w:firstColumn="0" w:lastColumn="0" w:oddVBand="0" w:evenVBand="0" w:oddHBand="0" w:evenHBand="0" w:firstRowFirstColumn="0" w:firstRowLastColumn="0" w:lastRowFirstColumn="0" w:lastRowLastColumn="0"/>
            </w:pPr>
            <w:r>
              <w:t>28</w:t>
            </w:r>
          </w:p>
        </w:tc>
      </w:tr>
      <w:tr w:rsidR="00964B88" w14:paraId="10D879A2" w14:textId="77777777">
        <w:tc>
          <w:tcPr>
            <w:cnfStyle w:val="001000000000" w:firstRow="0" w:lastRow="0" w:firstColumn="1" w:lastColumn="0" w:oddVBand="0" w:evenVBand="0" w:oddHBand="0" w:evenHBand="0" w:firstRowFirstColumn="0" w:firstRowLastColumn="0" w:lastRowFirstColumn="0" w:lastRowLastColumn="0"/>
            <w:tcW w:w="3518" w:type="dxa"/>
          </w:tcPr>
          <w:p w14:paraId="6A3FF9E2" w14:textId="77777777" w:rsidR="00964B88" w:rsidRDefault="00964B88">
            <w:r>
              <w:t>Roads and road infrastructure</w:t>
            </w:r>
          </w:p>
        </w:tc>
        <w:tc>
          <w:tcPr>
            <w:tcW w:w="850" w:type="dxa"/>
          </w:tcPr>
          <w:p w14:paraId="33624A2A" w14:textId="77777777" w:rsidR="00964B88" w:rsidRDefault="00964B88">
            <w:pPr>
              <w:cnfStyle w:val="000000000000" w:firstRow="0" w:lastRow="0" w:firstColumn="0" w:lastColumn="0" w:oddVBand="0" w:evenVBand="0" w:oddHBand="0" w:evenHBand="0" w:firstRowFirstColumn="0" w:firstRowLastColumn="0" w:lastRowFirstColumn="0" w:lastRowLastColumn="0"/>
            </w:pPr>
            <w:r>
              <w:t>183</w:t>
            </w:r>
          </w:p>
        </w:tc>
        <w:tc>
          <w:tcPr>
            <w:tcW w:w="850" w:type="dxa"/>
          </w:tcPr>
          <w:p w14:paraId="5CC3F8C9" w14:textId="77777777" w:rsidR="00964B88" w:rsidRDefault="00964B88">
            <w:pPr>
              <w:cnfStyle w:val="000000000000" w:firstRow="0" w:lastRow="0" w:firstColumn="0" w:lastColumn="0" w:oddVBand="0" w:evenVBand="0" w:oddHBand="0" w:evenHBand="0" w:firstRowFirstColumn="0" w:firstRowLastColumn="0" w:lastRowFirstColumn="0" w:lastRowLastColumn="0"/>
            </w:pPr>
            <w:r>
              <w:t>183</w:t>
            </w:r>
          </w:p>
        </w:tc>
        <w:tc>
          <w:tcPr>
            <w:tcW w:w="850" w:type="dxa"/>
          </w:tcPr>
          <w:p w14:paraId="652C1474" w14:textId="77777777" w:rsidR="00964B88" w:rsidRDefault="00964B88">
            <w:pPr>
              <w:cnfStyle w:val="000000000000" w:firstRow="0" w:lastRow="0" w:firstColumn="0" w:lastColumn="0" w:oddVBand="0" w:evenVBand="0" w:oddHBand="0" w:evenHBand="0" w:firstRowFirstColumn="0" w:firstRowLastColumn="0" w:lastRowFirstColumn="0" w:lastRowLastColumn="0"/>
            </w:pPr>
            <w:r>
              <w:t>215</w:t>
            </w:r>
          </w:p>
        </w:tc>
        <w:tc>
          <w:tcPr>
            <w:tcW w:w="850" w:type="dxa"/>
          </w:tcPr>
          <w:p w14:paraId="67199362" w14:textId="77777777" w:rsidR="00964B88" w:rsidRDefault="00964B88">
            <w:pPr>
              <w:cnfStyle w:val="000000000000" w:firstRow="0" w:lastRow="0" w:firstColumn="0" w:lastColumn="0" w:oddVBand="0" w:evenVBand="0" w:oddHBand="0" w:evenHBand="0" w:firstRowFirstColumn="0" w:firstRowLastColumn="0" w:lastRowFirstColumn="0" w:lastRowLastColumn="0"/>
            </w:pPr>
            <w:r>
              <w:t>217</w:t>
            </w:r>
          </w:p>
        </w:tc>
        <w:tc>
          <w:tcPr>
            <w:tcW w:w="850" w:type="dxa"/>
          </w:tcPr>
          <w:p w14:paraId="5B38105C" w14:textId="77777777" w:rsidR="00964B88" w:rsidRDefault="00964B88">
            <w:pPr>
              <w:cnfStyle w:val="000000000000" w:firstRow="0" w:lastRow="0" w:firstColumn="0" w:lastColumn="0" w:oddVBand="0" w:evenVBand="0" w:oddHBand="0" w:evenHBand="0" w:firstRowFirstColumn="0" w:firstRowLastColumn="0" w:lastRowFirstColumn="0" w:lastRowLastColumn="0"/>
            </w:pPr>
            <w:r>
              <w:t>294</w:t>
            </w:r>
          </w:p>
        </w:tc>
      </w:tr>
      <w:tr w:rsidR="00964B88" w14:paraId="51B54552"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5BBEF805" w14:textId="77777777" w:rsidR="00964B88" w:rsidRDefault="00964B88">
            <w:r>
              <w:t>Intangible produced assets</w:t>
            </w:r>
          </w:p>
        </w:tc>
        <w:tc>
          <w:tcPr>
            <w:tcW w:w="850" w:type="dxa"/>
            <w:tcBorders>
              <w:bottom w:val="single" w:sz="6" w:space="0" w:color="auto"/>
            </w:tcBorders>
          </w:tcPr>
          <w:p w14:paraId="483DAC2F"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Borders>
              <w:bottom w:val="single" w:sz="6" w:space="0" w:color="auto"/>
            </w:tcBorders>
          </w:tcPr>
          <w:p w14:paraId="01037526"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Borders>
              <w:bottom w:val="single" w:sz="6" w:space="0" w:color="auto"/>
            </w:tcBorders>
          </w:tcPr>
          <w:p w14:paraId="7CB1DFC2"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Borders>
              <w:bottom w:val="single" w:sz="6" w:space="0" w:color="auto"/>
            </w:tcBorders>
          </w:tcPr>
          <w:p w14:paraId="4EE21514"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Borders>
              <w:bottom w:val="single" w:sz="6" w:space="0" w:color="auto"/>
            </w:tcBorders>
          </w:tcPr>
          <w:p w14:paraId="524F9288"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r>
      <w:tr w:rsidR="00964B88" w14:paraId="7FBFD970"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3231336E" w14:textId="77777777" w:rsidR="00964B88" w:rsidRDefault="00964B88">
            <w:r>
              <w:t>Total depreciation of service concession assets</w:t>
            </w:r>
          </w:p>
        </w:tc>
        <w:tc>
          <w:tcPr>
            <w:tcW w:w="850" w:type="dxa"/>
          </w:tcPr>
          <w:p w14:paraId="248ED83B" w14:textId="77777777" w:rsidR="00964B88" w:rsidRDefault="00964B88">
            <w:pPr>
              <w:cnfStyle w:val="010000000000" w:firstRow="0" w:lastRow="1" w:firstColumn="0" w:lastColumn="0" w:oddVBand="0" w:evenVBand="0" w:oddHBand="0" w:evenHBand="0" w:firstRowFirstColumn="0" w:firstRowLastColumn="0" w:lastRowFirstColumn="0" w:lastRowLastColumn="0"/>
            </w:pPr>
            <w:r>
              <w:t>243</w:t>
            </w:r>
          </w:p>
        </w:tc>
        <w:tc>
          <w:tcPr>
            <w:tcW w:w="850" w:type="dxa"/>
          </w:tcPr>
          <w:p w14:paraId="170A1E09" w14:textId="77777777" w:rsidR="00964B88" w:rsidRDefault="00964B88">
            <w:pPr>
              <w:cnfStyle w:val="010000000000" w:firstRow="0" w:lastRow="1" w:firstColumn="0" w:lastColumn="0" w:oddVBand="0" w:evenVBand="0" w:oddHBand="0" w:evenHBand="0" w:firstRowFirstColumn="0" w:firstRowLastColumn="0" w:lastRowFirstColumn="0" w:lastRowLastColumn="0"/>
            </w:pPr>
            <w:r>
              <w:t>260</w:t>
            </w:r>
          </w:p>
        </w:tc>
        <w:tc>
          <w:tcPr>
            <w:tcW w:w="850" w:type="dxa"/>
          </w:tcPr>
          <w:p w14:paraId="7A2F077F" w14:textId="77777777" w:rsidR="00964B88" w:rsidRDefault="00964B88">
            <w:pPr>
              <w:cnfStyle w:val="010000000000" w:firstRow="0" w:lastRow="1" w:firstColumn="0" w:lastColumn="0" w:oddVBand="0" w:evenVBand="0" w:oddHBand="0" w:evenHBand="0" w:firstRowFirstColumn="0" w:firstRowLastColumn="0" w:lastRowFirstColumn="0" w:lastRowLastColumn="0"/>
            </w:pPr>
            <w:r>
              <w:t>292</w:t>
            </w:r>
          </w:p>
        </w:tc>
        <w:tc>
          <w:tcPr>
            <w:tcW w:w="850" w:type="dxa"/>
          </w:tcPr>
          <w:p w14:paraId="793F973B" w14:textId="77777777" w:rsidR="00964B88" w:rsidRDefault="00964B88">
            <w:pPr>
              <w:cnfStyle w:val="010000000000" w:firstRow="0" w:lastRow="1" w:firstColumn="0" w:lastColumn="0" w:oddVBand="0" w:evenVBand="0" w:oddHBand="0" w:evenHBand="0" w:firstRowFirstColumn="0" w:firstRowLastColumn="0" w:lastRowFirstColumn="0" w:lastRowLastColumn="0"/>
            </w:pPr>
            <w:r>
              <w:t>294</w:t>
            </w:r>
          </w:p>
        </w:tc>
        <w:tc>
          <w:tcPr>
            <w:tcW w:w="850" w:type="dxa"/>
          </w:tcPr>
          <w:p w14:paraId="1799BBA1" w14:textId="77777777" w:rsidR="00964B88" w:rsidRDefault="00964B88">
            <w:pPr>
              <w:cnfStyle w:val="010000000000" w:firstRow="0" w:lastRow="1" w:firstColumn="0" w:lastColumn="0" w:oddVBand="0" w:evenVBand="0" w:oddHBand="0" w:evenHBand="0" w:firstRowFirstColumn="0" w:firstRowLastColumn="0" w:lastRowFirstColumn="0" w:lastRowLastColumn="0"/>
            </w:pPr>
            <w:r>
              <w:t>370</w:t>
            </w:r>
          </w:p>
        </w:tc>
      </w:tr>
    </w:tbl>
    <w:p w14:paraId="7E05A89A" w14:textId="77777777" w:rsidR="00964B88" w:rsidRDefault="00964B88" w:rsidP="00F53820">
      <w:pPr>
        <w:keepLines w:val="0"/>
      </w:pPr>
      <w:r>
        <w:br w:type="page"/>
      </w:r>
    </w:p>
    <w:p w14:paraId="3A221328" w14:textId="77777777" w:rsidR="00964B88" w:rsidRDefault="00964B88" w:rsidP="00964B88">
      <w:pPr>
        <w:pStyle w:val="Heading3"/>
        <w:numPr>
          <w:ilvl w:val="2"/>
          <w:numId w:val="22"/>
        </w:numPr>
        <w:tabs>
          <w:tab w:val="clear" w:pos="7711"/>
          <w:tab w:val="left" w:pos="850"/>
          <w:tab w:val="right" w:pos="7710"/>
        </w:tabs>
        <w:spacing w:after="60"/>
      </w:pPr>
      <w:bookmarkStart w:id="103" w:name="_Toc530148071"/>
      <w:r w:rsidRPr="00232E5E">
        <w:lastRenderedPageBreak/>
        <w:t>Reconciliation</w:t>
      </w:r>
      <w:r>
        <w:t xml:space="preserve"> of movements in land, buildings, infrastructure, </w:t>
      </w:r>
      <w:r>
        <w:br/>
        <w:t xml:space="preserve">plant and equipment </w:t>
      </w:r>
      <w:r w:rsidRPr="002F552E">
        <w:rPr>
          <w:vertAlign w:val="superscript"/>
        </w:rPr>
        <w:t>(a)</w:t>
      </w:r>
      <w:r>
        <w:tab/>
        <w:t>($ million)</w:t>
      </w:r>
      <w:bookmarkEnd w:id="103"/>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1A27E7E8"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4845BF12" w14:textId="77777777" w:rsidR="00964B88" w:rsidRDefault="00964B88"/>
        </w:tc>
        <w:tc>
          <w:tcPr>
            <w:tcW w:w="850" w:type="dxa"/>
          </w:tcPr>
          <w:p w14:paraId="36BFF1B4"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p>
        </w:tc>
        <w:tc>
          <w:tcPr>
            <w:tcW w:w="850" w:type="dxa"/>
          </w:tcPr>
          <w:p w14:paraId="7CA849E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50" w:type="dxa"/>
          </w:tcPr>
          <w:p w14:paraId="5F27EFA5"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50" w:type="dxa"/>
          </w:tcPr>
          <w:p w14:paraId="1A2166C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50" w:type="dxa"/>
          </w:tcPr>
          <w:p w14:paraId="0E70D855"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4E0C4455" w14:textId="77777777">
        <w:tc>
          <w:tcPr>
            <w:cnfStyle w:val="001000000000" w:firstRow="0" w:lastRow="0" w:firstColumn="1" w:lastColumn="0" w:oddVBand="0" w:evenVBand="0" w:oddHBand="0" w:evenHBand="0" w:firstRowFirstColumn="0" w:firstRowLastColumn="0" w:lastRowFirstColumn="0" w:lastRowLastColumn="0"/>
            <w:tcW w:w="3518" w:type="dxa"/>
          </w:tcPr>
          <w:p w14:paraId="07F87D83" w14:textId="77777777" w:rsidR="00964B88" w:rsidRDefault="00964B88">
            <w:r>
              <w:t>Carrying amount at the start of the year</w:t>
            </w:r>
          </w:p>
        </w:tc>
        <w:tc>
          <w:tcPr>
            <w:tcW w:w="850" w:type="dxa"/>
          </w:tcPr>
          <w:p w14:paraId="62F3AFFA" w14:textId="77777777" w:rsidR="00964B88" w:rsidRDefault="00964B88">
            <w:pPr>
              <w:cnfStyle w:val="000000000000" w:firstRow="0" w:lastRow="0" w:firstColumn="0" w:lastColumn="0" w:oddVBand="0" w:evenVBand="0" w:oddHBand="0" w:evenHBand="0" w:firstRowFirstColumn="0" w:firstRowLastColumn="0" w:lastRowFirstColumn="0" w:lastRowLastColumn="0"/>
            </w:pPr>
            <w:r>
              <w:t>157 821</w:t>
            </w:r>
          </w:p>
        </w:tc>
        <w:tc>
          <w:tcPr>
            <w:tcW w:w="850" w:type="dxa"/>
          </w:tcPr>
          <w:p w14:paraId="39B2FC29" w14:textId="77777777" w:rsidR="00964B88" w:rsidRDefault="00964B88">
            <w:pPr>
              <w:cnfStyle w:val="000000000000" w:firstRow="0" w:lastRow="0" w:firstColumn="0" w:lastColumn="0" w:oddVBand="0" w:evenVBand="0" w:oddHBand="0" w:evenHBand="0" w:firstRowFirstColumn="0" w:firstRowLastColumn="0" w:lastRowFirstColumn="0" w:lastRowLastColumn="0"/>
            </w:pPr>
            <w:r>
              <w:t>157 814</w:t>
            </w:r>
          </w:p>
        </w:tc>
        <w:tc>
          <w:tcPr>
            <w:tcW w:w="850" w:type="dxa"/>
          </w:tcPr>
          <w:p w14:paraId="228091C7" w14:textId="77777777" w:rsidR="00964B88" w:rsidRDefault="00964B88">
            <w:pPr>
              <w:cnfStyle w:val="000000000000" w:firstRow="0" w:lastRow="0" w:firstColumn="0" w:lastColumn="0" w:oddVBand="0" w:evenVBand="0" w:oddHBand="0" w:evenHBand="0" w:firstRowFirstColumn="0" w:firstRowLastColumn="0" w:lastRowFirstColumn="0" w:lastRowLastColumn="0"/>
            </w:pPr>
            <w:r>
              <w:t>168 202</w:t>
            </w:r>
          </w:p>
        </w:tc>
        <w:tc>
          <w:tcPr>
            <w:tcW w:w="850" w:type="dxa"/>
          </w:tcPr>
          <w:p w14:paraId="396553D0" w14:textId="77777777" w:rsidR="00964B88" w:rsidRDefault="00964B88">
            <w:pPr>
              <w:cnfStyle w:val="000000000000" w:firstRow="0" w:lastRow="0" w:firstColumn="0" w:lastColumn="0" w:oddVBand="0" w:evenVBand="0" w:oddHBand="0" w:evenHBand="0" w:firstRowFirstColumn="0" w:firstRowLastColumn="0" w:lastRowFirstColumn="0" w:lastRowLastColumn="0"/>
            </w:pPr>
            <w:r>
              <w:t>179 823</w:t>
            </w:r>
          </w:p>
        </w:tc>
        <w:tc>
          <w:tcPr>
            <w:tcW w:w="850" w:type="dxa"/>
          </w:tcPr>
          <w:p w14:paraId="7F4D2834" w14:textId="77777777" w:rsidR="00964B88" w:rsidRDefault="00964B88">
            <w:pPr>
              <w:cnfStyle w:val="000000000000" w:firstRow="0" w:lastRow="0" w:firstColumn="0" w:lastColumn="0" w:oddVBand="0" w:evenVBand="0" w:oddHBand="0" w:evenHBand="0" w:firstRowFirstColumn="0" w:firstRowLastColumn="0" w:lastRowFirstColumn="0" w:lastRowLastColumn="0"/>
            </w:pPr>
            <w:r>
              <w:t>187 696</w:t>
            </w:r>
          </w:p>
        </w:tc>
      </w:tr>
      <w:tr w:rsidR="00964B88" w14:paraId="25B0D4D6" w14:textId="77777777">
        <w:tc>
          <w:tcPr>
            <w:cnfStyle w:val="001000000000" w:firstRow="0" w:lastRow="0" w:firstColumn="1" w:lastColumn="0" w:oddVBand="0" w:evenVBand="0" w:oddHBand="0" w:evenHBand="0" w:firstRowFirstColumn="0" w:firstRowLastColumn="0" w:lastRowFirstColumn="0" w:lastRowLastColumn="0"/>
            <w:tcW w:w="3518" w:type="dxa"/>
          </w:tcPr>
          <w:p w14:paraId="47A64B04" w14:textId="77777777" w:rsidR="00964B88" w:rsidRDefault="00964B88">
            <w:r>
              <w:t>Additions</w:t>
            </w:r>
            <w:r>
              <w:rPr>
                <w:vertAlign w:val="superscript"/>
              </w:rPr>
              <w:t xml:space="preserve"> (b)</w:t>
            </w:r>
          </w:p>
        </w:tc>
        <w:tc>
          <w:tcPr>
            <w:tcW w:w="850" w:type="dxa"/>
          </w:tcPr>
          <w:p w14:paraId="5198C5FF" w14:textId="77777777" w:rsidR="00964B88" w:rsidRDefault="00964B88">
            <w:pPr>
              <w:cnfStyle w:val="000000000000" w:firstRow="0" w:lastRow="0" w:firstColumn="0" w:lastColumn="0" w:oddVBand="0" w:evenVBand="0" w:oddHBand="0" w:evenHBand="0" w:firstRowFirstColumn="0" w:firstRowLastColumn="0" w:lastRowFirstColumn="0" w:lastRowLastColumn="0"/>
            </w:pPr>
            <w:r>
              <w:t>14 974</w:t>
            </w:r>
          </w:p>
        </w:tc>
        <w:tc>
          <w:tcPr>
            <w:tcW w:w="850" w:type="dxa"/>
          </w:tcPr>
          <w:p w14:paraId="6CF0B6E7" w14:textId="77777777" w:rsidR="00964B88" w:rsidRDefault="00964B88">
            <w:pPr>
              <w:cnfStyle w:val="000000000000" w:firstRow="0" w:lastRow="0" w:firstColumn="0" w:lastColumn="0" w:oddVBand="0" w:evenVBand="0" w:oddHBand="0" w:evenHBand="0" w:firstRowFirstColumn="0" w:firstRowLastColumn="0" w:lastRowFirstColumn="0" w:lastRowLastColumn="0"/>
            </w:pPr>
            <w:r>
              <w:t>16 744</w:t>
            </w:r>
          </w:p>
        </w:tc>
        <w:tc>
          <w:tcPr>
            <w:tcW w:w="850" w:type="dxa"/>
          </w:tcPr>
          <w:p w14:paraId="69A5B201" w14:textId="77777777" w:rsidR="00964B88" w:rsidRDefault="00964B88">
            <w:pPr>
              <w:cnfStyle w:val="000000000000" w:firstRow="0" w:lastRow="0" w:firstColumn="0" w:lastColumn="0" w:oddVBand="0" w:evenVBand="0" w:oddHBand="0" w:evenHBand="0" w:firstRowFirstColumn="0" w:firstRowLastColumn="0" w:lastRowFirstColumn="0" w:lastRowLastColumn="0"/>
            </w:pPr>
            <w:r>
              <w:t>15 753</w:t>
            </w:r>
          </w:p>
        </w:tc>
        <w:tc>
          <w:tcPr>
            <w:tcW w:w="850" w:type="dxa"/>
          </w:tcPr>
          <w:p w14:paraId="14AAB465" w14:textId="77777777" w:rsidR="00964B88" w:rsidRDefault="00964B88">
            <w:pPr>
              <w:cnfStyle w:val="000000000000" w:firstRow="0" w:lastRow="0" w:firstColumn="0" w:lastColumn="0" w:oddVBand="0" w:evenVBand="0" w:oddHBand="0" w:evenHBand="0" w:firstRowFirstColumn="0" w:firstRowLastColumn="0" w:lastRowFirstColumn="0" w:lastRowLastColumn="0"/>
            </w:pPr>
            <w:r>
              <w:t>13 357</w:t>
            </w:r>
          </w:p>
        </w:tc>
        <w:tc>
          <w:tcPr>
            <w:tcW w:w="850" w:type="dxa"/>
          </w:tcPr>
          <w:p w14:paraId="73D74CF9" w14:textId="77777777" w:rsidR="00964B88" w:rsidRDefault="00964B88">
            <w:pPr>
              <w:cnfStyle w:val="000000000000" w:firstRow="0" w:lastRow="0" w:firstColumn="0" w:lastColumn="0" w:oddVBand="0" w:evenVBand="0" w:oddHBand="0" w:evenHBand="0" w:firstRowFirstColumn="0" w:firstRowLastColumn="0" w:lastRowFirstColumn="0" w:lastRowLastColumn="0"/>
            </w:pPr>
            <w:r>
              <w:t>12 918</w:t>
            </w:r>
          </w:p>
        </w:tc>
      </w:tr>
      <w:tr w:rsidR="00964B88" w14:paraId="30E40115" w14:textId="77777777">
        <w:tc>
          <w:tcPr>
            <w:cnfStyle w:val="001000000000" w:firstRow="0" w:lastRow="0" w:firstColumn="1" w:lastColumn="0" w:oddVBand="0" w:evenVBand="0" w:oddHBand="0" w:evenHBand="0" w:firstRowFirstColumn="0" w:firstRowLastColumn="0" w:lastRowFirstColumn="0" w:lastRowLastColumn="0"/>
            <w:tcW w:w="3518" w:type="dxa"/>
          </w:tcPr>
          <w:p w14:paraId="0BE1CA45" w14:textId="77777777" w:rsidR="00964B88" w:rsidRDefault="00964B88">
            <w:r>
              <w:t>Disposals at written down value</w:t>
            </w:r>
          </w:p>
        </w:tc>
        <w:tc>
          <w:tcPr>
            <w:tcW w:w="850" w:type="dxa"/>
          </w:tcPr>
          <w:p w14:paraId="70197934" w14:textId="77777777" w:rsidR="00964B88" w:rsidRDefault="00964B88">
            <w:pPr>
              <w:cnfStyle w:val="000000000000" w:firstRow="0" w:lastRow="0" w:firstColumn="0" w:lastColumn="0" w:oddVBand="0" w:evenVBand="0" w:oddHBand="0" w:evenHBand="0" w:firstRowFirstColumn="0" w:firstRowLastColumn="0" w:lastRowFirstColumn="0" w:lastRowLastColumn="0"/>
            </w:pPr>
            <w:r>
              <w:t>(771)</w:t>
            </w:r>
          </w:p>
        </w:tc>
        <w:tc>
          <w:tcPr>
            <w:tcW w:w="850" w:type="dxa"/>
          </w:tcPr>
          <w:p w14:paraId="1C4BAC50" w14:textId="77777777" w:rsidR="00964B88" w:rsidRDefault="00964B88">
            <w:pPr>
              <w:cnfStyle w:val="000000000000" w:firstRow="0" w:lastRow="0" w:firstColumn="0" w:lastColumn="0" w:oddVBand="0" w:evenVBand="0" w:oddHBand="0" w:evenHBand="0" w:firstRowFirstColumn="0" w:firstRowLastColumn="0" w:lastRowFirstColumn="0" w:lastRowLastColumn="0"/>
            </w:pPr>
            <w:r>
              <w:t>(310)</w:t>
            </w:r>
          </w:p>
        </w:tc>
        <w:tc>
          <w:tcPr>
            <w:tcW w:w="850" w:type="dxa"/>
          </w:tcPr>
          <w:p w14:paraId="1E1E4C9C" w14:textId="77777777" w:rsidR="00964B88" w:rsidRDefault="00964B88">
            <w:pPr>
              <w:cnfStyle w:val="000000000000" w:firstRow="0" w:lastRow="0" w:firstColumn="0" w:lastColumn="0" w:oddVBand="0" w:evenVBand="0" w:oddHBand="0" w:evenHBand="0" w:firstRowFirstColumn="0" w:firstRowLastColumn="0" w:lastRowFirstColumn="0" w:lastRowLastColumn="0"/>
            </w:pPr>
            <w:r>
              <w:t>(292)</w:t>
            </w:r>
          </w:p>
        </w:tc>
        <w:tc>
          <w:tcPr>
            <w:tcW w:w="850" w:type="dxa"/>
          </w:tcPr>
          <w:p w14:paraId="0B6DC475" w14:textId="77777777" w:rsidR="00964B88" w:rsidRDefault="00964B88">
            <w:pPr>
              <w:cnfStyle w:val="000000000000" w:firstRow="0" w:lastRow="0" w:firstColumn="0" w:lastColumn="0" w:oddVBand="0" w:evenVBand="0" w:oddHBand="0" w:evenHBand="0" w:firstRowFirstColumn="0" w:firstRowLastColumn="0" w:lastRowFirstColumn="0" w:lastRowLastColumn="0"/>
            </w:pPr>
            <w:r>
              <w:t>(448)</w:t>
            </w:r>
          </w:p>
        </w:tc>
        <w:tc>
          <w:tcPr>
            <w:tcW w:w="850" w:type="dxa"/>
          </w:tcPr>
          <w:p w14:paraId="0D16706F" w14:textId="77777777" w:rsidR="00964B88" w:rsidRDefault="00964B88">
            <w:pPr>
              <w:cnfStyle w:val="000000000000" w:firstRow="0" w:lastRow="0" w:firstColumn="0" w:lastColumn="0" w:oddVBand="0" w:evenVBand="0" w:oddHBand="0" w:evenHBand="0" w:firstRowFirstColumn="0" w:firstRowLastColumn="0" w:lastRowFirstColumn="0" w:lastRowLastColumn="0"/>
            </w:pPr>
            <w:r>
              <w:t>(473)</w:t>
            </w:r>
          </w:p>
        </w:tc>
      </w:tr>
      <w:tr w:rsidR="00964B88" w14:paraId="7D163BEF" w14:textId="77777777">
        <w:tc>
          <w:tcPr>
            <w:cnfStyle w:val="001000000000" w:firstRow="0" w:lastRow="0" w:firstColumn="1" w:lastColumn="0" w:oddVBand="0" w:evenVBand="0" w:oddHBand="0" w:evenHBand="0" w:firstRowFirstColumn="0" w:firstRowLastColumn="0" w:lastRowFirstColumn="0" w:lastRowLastColumn="0"/>
            <w:tcW w:w="3518" w:type="dxa"/>
          </w:tcPr>
          <w:p w14:paraId="360A434B" w14:textId="77777777" w:rsidR="00964B88" w:rsidRDefault="00964B88">
            <w:r>
              <w:t>Revaluations</w:t>
            </w:r>
          </w:p>
        </w:tc>
        <w:tc>
          <w:tcPr>
            <w:tcW w:w="850" w:type="dxa"/>
          </w:tcPr>
          <w:p w14:paraId="42C464B8" w14:textId="77777777" w:rsidR="00964B88" w:rsidRDefault="00964B88">
            <w:pPr>
              <w:cnfStyle w:val="000000000000" w:firstRow="0" w:lastRow="0" w:firstColumn="0" w:lastColumn="0" w:oddVBand="0" w:evenVBand="0" w:oddHBand="0" w:evenHBand="0" w:firstRowFirstColumn="0" w:firstRowLastColumn="0" w:lastRowFirstColumn="0" w:lastRowLastColumn="0"/>
            </w:pPr>
            <w:r>
              <w:t>3 188</w:t>
            </w:r>
          </w:p>
        </w:tc>
        <w:tc>
          <w:tcPr>
            <w:tcW w:w="850" w:type="dxa"/>
          </w:tcPr>
          <w:p w14:paraId="0358C3D5" w14:textId="77777777" w:rsidR="00964B88" w:rsidRDefault="00964B88">
            <w:pPr>
              <w:cnfStyle w:val="000000000000" w:firstRow="0" w:lastRow="0" w:firstColumn="0" w:lastColumn="0" w:oddVBand="0" w:evenVBand="0" w:oddHBand="0" w:evenHBand="0" w:firstRowFirstColumn="0" w:firstRowLastColumn="0" w:lastRowFirstColumn="0" w:lastRowLastColumn="0"/>
            </w:pPr>
            <w:r>
              <w:t>3 114</w:t>
            </w:r>
          </w:p>
        </w:tc>
        <w:tc>
          <w:tcPr>
            <w:tcW w:w="850" w:type="dxa"/>
          </w:tcPr>
          <w:p w14:paraId="7F5D85D0" w14:textId="77777777" w:rsidR="00964B88" w:rsidRDefault="00964B88">
            <w:pPr>
              <w:cnfStyle w:val="000000000000" w:firstRow="0" w:lastRow="0" w:firstColumn="0" w:lastColumn="0" w:oddVBand="0" w:evenVBand="0" w:oddHBand="0" w:evenHBand="0" w:firstRowFirstColumn="0" w:firstRowLastColumn="0" w:lastRowFirstColumn="0" w:lastRowLastColumn="0"/>
            </w:pPr>
            <w:r>
              <w:t>5 389</w:t>
            </w:r>
          </w:p>
        </w:tc>
        <w:tc>
          <w:tcPr>
            <w:tcW w:w="850" w:type="dxa"/>
          </w:tcPr>
          <w:p w14:paraId="41E368AF" w14:textId="77777777" w:rsidR="00964B88" w:rsidRDefault="00964B88">
            <w:pPr>
              <w:cnfStyle w:val="000000000000" w:firstRow="0" w:lastRow="0" w:firstColumn="0" w:lastColumn="0" w:oddVBand="0" w:evenVBand="0" w:oddHBand="0" w:evenHBand="0" w:firstRowFirstColumn="0" w:firstRowLastColumn="0" w:lastRowFirstColumn="0" w:lastRowLastColumn="0"/>
            </w:pPr>
            <w:r>
              <w:t>3 730</w:t>
            </w:r>
          </w:p>
        </w:tc>
        <w:tc>
          <w:tcPr>
            <w:tcW w:w="850" w:type="dxa"/>
          </w:tcPr>
          <w:p w14:paraId="4C33DF9C" w14:textId="77777777" w:rsidR="00964B88" w:rsidRDefault="00964B88">
            <w:pPr>
              <w:cnfStyle w:val="000000000000" w:firstRow="0" w:lastRow="0" w:firstColumn="0" w:lastColumn="0" w:oddVBand="0" w:evenVBand="0" w:oddHBand="0" w:evenHBand="0" w:firstRowFirstColumn="0" w:firstRowLastColumn="0" w:lastRowFirstColumn="0" w:lastRowLastColumn="0"/>
            </w:pPr>
            <w:r>
              <w:t>4 803</w:t>
            </w:r>
          </w:p>
        </w:tc>
      </w:tr>
      <w:tr w:rsidR="00964B88" w14:paraId="565BB9AC" w14:textId="77777777">
        <w:tc>
          <w:tcPr>
            <w:cnfStyle w:val="001000000000" w:firstRow="0" w:lastRow="0" w:firstColumn="1" w:lastColumn="0" w:oddVBand="0" w:evenVBand="0" w:oddHBand="0" w:evenHBand="0" w:firstRowFirstColumn="0" w:firstRowLastColumn="0" w:lastRowFirstColumn="0" w:lastRowLastColumn="0"/>
            <w:tcW w:w="3518" w:type="dxa"/>
          </w:tcPr>
          <w:p w14:paraId="59063EFA" w14:textId="77777777" w:rsidR="00964B88" w:rsidRDefault="00964B88">
            <w:r>
              <w:t>Asset transfers</w:t>
            </w:r>
            <w:r>
              <w:rPr>
                <w:vertAlign w:val="superscript"/>
              </w:rPr>
              <w:t xml:space="preserve"> (c)</w:t>
            </w:r>
          </w:p>
        </w:tc>
        <w:tc>
          <w:tcPr>
            <w:tcW w:w="850" w:type="dxa"/>
          </w:tcPr>
          <w:p w14:paraId="5FAAE019" w14:textId="77777777" w:rsidR="00964B88" w:rsidRDefault="00964B88">
            <w:pPr>
              <w:cnfStyle w:val="000000000000" w:firstRow="0" w:lastRow="0" w:firstColumn="0" w:lastColumn="0" w:oddVBand="0" w:evenVBand="0" w:oddHBand="0" w:evenHBand="0" w:firstRowFirstColumn="0" w:firstRowLastColumn="0" w:lastRowFirstColumn="0" w:lastRowLastColumn="0"/>
            </w:pPr>
            <w:r>
              <w:t>(6 212)</w:t>
            </w:r>
          </w:p>
        </w:tc>
        <w:tc>
          <w:tcPr>
            <w:tcW w:w="850" w:type="dxa"/>
          </w:tcPr>
          <w:p w14:paraId="396412C6" w14:textId="77777777" w:rsidR="00964B88" w:rsidRDefault="00964B88">
            <w:pPr>
              <w:cnfStyle w:val="000000000000" w:firstRow="0" w:lastRow="0" w:firstColumn="0" w:lastColumn="0" w:oddVBand="0" w:evenVBand="0" w:oddHBand="0" w:evenHBand="0" w:firstRowFirstColumn="0" w:firstRowLastColumn="0" w:lastRowFirstColumn="0" w:lastRowLastColumn="0"/>
            </w:pPr>
            <w:r>
              <w:t>(5 605)</w:t>
            </w:r>
          </w:p>
        </w:tc>
        <w:tc>
          <w:tcPr>
            <w:tcW w:w="850" w:type="dxa"/>
          </w:tcPr>
          <w:p w14:paraId="4F30FACA" w14:textId="77777777" w:rsidR="00964B88" w:rsidRDefault="00964B88">
            <w:pPr>
              <w:cnfStyle w:val="000000000000" w:firstRow="0" w:lastRow="0" w:firstColumn="0" w:lastColumn="0" w:oddVBand="0" w:evenVBand="0" w:oddHBand="0" w:evenHBand="0" w:firstRowFirstColumn="0" w:firstRowLastColumn="0" w:lastRowFirstColumn="0" w:lastRowLastColumn="0"/>
            </w:pPr>
            <w:r>
              <w:t>(5 280)</w:t>
            </w:r>
          </w:p>
        </w:tc>
        <w:tc>
          <w:tcPr>
            <w:tcW w:w="850" w:type="dxa"/>
          </w:tcPr>
          <w:p w14:paraId="2511EE74" w14:textId="77777777" w:rsidR="00964B88" w:rsidRDefault="00964B88">
            <w:pPr>
              <w:cnfStyle w:val="000000000000" w:firstRow="0" w:lastRow="0" w:firstColumn="0" w:lastColumn="0" w:oddVBand="0" w:evenVBand="0" w:oddHBand="0" w:evenHBand="0" w:firstRowFirstColumn="0" w:firstRowLastColumn="0" w:lastRowFirstColumn="0" w:lastRowLastColumn="0"/>
            </w:pPr>
            <w:r>
              <w:t>(4 596)</w:t>
            </w:r>
          </w:p>
        </w:tc>
        <w:tc>
          <w:tcPr>
            <w:tcW w:w="850" w:type="dxa"/>
          </w:tcPr>
          <w:p w14:paraId="3BF58E2A" w14:textId="77777777" w:rsidR="00964B88" w:rsidRDefault="00964B88">
            <w:pPr>
              <w:cnfStyle w:val="000000000000" w:firstRow="0" w:lastRow="0" w:firstColumn="0" w:lastColumn="0" w:oddVBand="0" w:evenVBand="0" w:oddHBand="0" w:evenHBand="0" w:firstRowFirstColumn="0" w:firstRowLastColumn="0" w:lastRowFirstColumn="0" w:lastRowLastColumn="0"/>
            </w:pPr>
            <w:r>
              <w:t>(4 504)</w:t>
            </w:r>
          </w:p>
        </w:tc>
      </w:tr>
      <w:tr w:rsidR="00964B88" w14:paraId="398967EB"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17EEE237" w14:textId="77777777" w:rsidR="00964B88" w:rsidRDefault="00964B88">
            <w:r>
              <w:t>Depreciation expense</w:t>
            </w:r>
          </w:p>
        </w:tc>
        <w:tc>
          <w:tcPr>
            <w:tcW w:w="850" w:type="dxa"/>
            <w:tcBorders>
              <w:bottom w:val="single" w:sz="6" w:space="0" w:color="auto"/>
            </w:tcBorders>
          </w:tcPr>
          <w:p w14:paraId="42690C95" w14:textId="77777777" w:rsidR="00964B88" w:rsidRDefault="00964B88">
            <w:pPr>
              <w:cnfStyle w:val="000000000000" w:firstRow="0" w:lastRow="0" w:firstColumn="0" w:lastColumn="0" w:oddVBand="0" w:evenVBand="0" w:oddHBand="0" w:evenHBand="0" w:firstRowFirstColumn="0" w:firstRowLastColumn="0" w:lastRowFirstColumn="0" w:lastRowLastColumn="0"/>
            </w:pPr>
            <w:r>
              <w:t>(3 584)</w:t>
            </w:r>
          </w:p>
        </w:tc>
        <w:tc>
          <w:tcPr>
            <w:tcW w:w="850" w:type="dxa"/>
            <w:tcBorders>
              <w:bottom w:val="single" w:sz="6" w:space="0" w:color="auto"/>
            </w:tcBorders>
          </w:tcPr>
          <w:p w14:paraId="5314773C" w14:textId="77777777" w:rsidR="00964B88" w:rsidRDefault="00964B88">
            <w:pPr>
              <w:cnfStyle w:val="000000000000" w:firstRow="0" w:lastRow="0" w:firstColumn="0" w:lastColumn="0" w:oddVBand="0" w:evenVBand="0" w:oddHBand="0" w:evenHBand="0" w:firstRowFirstColumn="0" w:firstRowLastColumn="0" w:lastRowFirstColumn="0" w:lastRowLastColumn="0"/>
            </w:pPr>
            <w:r>
              <w:t>(3 554)</w:t>
            </w:r>
          </w:p>
        </w:tc>
        <w:tc>
          <w:tcPr>
            <w:tcW w:w="850" w:type="dxa"/>
            <w:tcBorders>
              <w:bottom w:val="single" w:sz="6" w:space="0" w:color="auto"/>
            </w:tcBorders>
          </w:tcPr>
          <w:p w14:paraId="532F2119" w14:textId="77777777" w:rsidR="00964B88" w:rsidRDefault="00964B88">
            <w:pPr>
              <w:cnfStyle w:val="000000000000" w:firstRow="0" w:lastRow="0" w:firstColumn="0" w:lastColumn="0" w:oddVBand="0" w:evenVBand="0" w:oddHBand="0" w:evenHBand="0" w:firstRowFirstColumn="0" w:firstRowLastColumn="0" w:lastRowFirstColumn="0" w:lastRowLastColumn="0"/>
            </w:pPr>
            <w:r>
              <w:t>(3 950)</w:t>
            </w:r>
          </w:p>
        </w:tc>
        <w:tc>
          <w:tcPr>
            <w:tcW w:w="850" w:type="dxa"/>
            <w:tcBorders>
              <w:bottom w:val="single" w:sz="6" w:space="0" w:color="auto"/>
            </w:tcBorders>
          </w:tcPr>
          <w:p w14:paraId="52158FED" w14:textId="77777777" w:rsidR="00964B88" w:rsidRDefault="00964B88">
            <w:pPr>
              <w:cnfStyle w:val="000000000000" w:firstRow="0" w:lastRow="0" w:firstColumn="0" w:lastColumn="0" w:oddVBand="0" w:evenVBand="0" w:oddHBand="0" w:evenHBand="0" w:firstRowFirstColumn="0" w:firstRowLastColumn="0" w:lastRowFirstColumn="0" w:lastRowLastColumn="0"/>
            </w:pPr>
            <w:r>
              <w:t>(4 170)</w:t>
            </w:r>
          </w:p>
        </w:tc>
        <w:tc>
          <w:tcPr>
            <w:tcW w:w="850" w:type="dxa"/>
            <w:tcBorders>
              <w:bottom w:val="single" w:sz="6" w:space="0" w:color="auto"/>
            </w:tcBorders>
          </w:tcPr>
          <w:p w14:paraId="203F5AC1" w14:textId="77777777" w:rsidR="00964B88" w:rsidRDefault="00964B88">
            <w:pPr>
              <w:cnfStyle w:val="000000000000" w:firstRow="0" w:lastRow="0" w:firstColumn="0" w:lastColumn="0" w:oddVBand="0" w:evenVBand="0" w:oddHBand="0" w:evenHBand="0" w:firstRowFirstColumn="0" w:firstRowLastColumn="0" w:lastRowFirstColumn="0" w:lastRowLastColumn="0"/>
            </w:pPr>
            <w:r>
              <w:t>(4 480)</w:t>
            </w:r>
          </w:p>
        </w:tc>
      </w:tr>
      <w:tr w:rsidR="00964B88" w14:paraId="4D20C2E0"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676478FC" w14:textId="77777777" w:rsidR="00964B88" w:rsidRDefault="00964B88">
            <w:r>
              <w:t>Carrying amount at the end of the year</w:t>
            </w:r>
          </w:p>
        </w:tc>
        <w:tc>
          <w:tcPr>
            <w:tcW w:w="850" w:type="dxa"/>
          </w:tcPr>
          <w:p w14:paraId="14825ADA" w14:textId="77777777" w:rsidR="00964B88" w:rsidRDefault="00964B88">
            <w:pPr>
              <w:cnfStyle w:val="010000000000" w:firstRow="0" w:lastRow="1" w:firstColumn="0" w:lastColumn="0" w:oddVBand="0" w:evenVBand="0" w:oddHBand="0" w:evenHBand="0" w:firstRowFirstColumn="0" w:firstRowLastColumn="0" w:lastRowFirstColumn="0" w:lastRowLastColumn="0"/>
            </w:pPr>
            <w:r>
              <w:t>165 417</w:t>
            </w:r>
          </w:p>
        </w:tc>
        <w:tc>
          <w:tcPr>
            <w:tcW w:w="850" w:type="dxa"/>
          </w:tcPr>
          <w:p w14:paraId="67E427F9" w14:textId="77777777" w:rsidR="00964B88" w:rsidRDefault="00964B88">
            <w:pPr>
              <w:cnfStyle w:val="010000000000" w:firstRow="0" w:lastRow="1" w:firstColumn="0" w:lastColumn="0" w:oddVBand="0" w:evenVBand="0" w:oddHBand="0" w:evenHBand="0" w:firstRowFirstColumn="0" w:firstRowLastColumn="0" w:lastRowFirstColumn="0" w:lastRowLastColumn="0"/>
            </w:pPr>
            <w:r>
              <w:t>168 202</w:t>
            </w:r>
          </w:p>
        </w:tc>
        <w:tc>
          <w:tcPr>
            <w:tcW w:w="850" w:type="dxa"/>
          </w:tcPr>
          <w:p w14:paraId="36DE5FF0" w14:textId="77777777" w:rsidR="00964B88" w:rsidRDefault="00964B88">
            <w:pPr>
              <w:cnfStyle w:val="010000000000" w:firstRow="0" w:lastRow="1" w:firstColumn="0" w:lastColumn="0" w:oddVBand="0" w:evenVBand="0" w:oddHBand="0" w:evenHBand="0" w:firstRowFirstColumn="0" w:firstRowLastColumn="0" w:lastRowFirstColumn="0" w:lastRowLastColumn="0"/>
            </w:pPr>
            <w:r>
              <w:t>179 823</w:t>
            </w:r>
          </w:p>
        </w:tc>
        <w:tc>
          <w:tcPr>
            <w:tcW w:w="850" w:type="dxa"/>
          </w:tcPr>
          <w:p w14:paraId="0C1343EC" w14:textId="77777777" w:rsidR="00964B88" w:rsidRDefault="00964B88">
            <w:pPr>
              <w:cnfStyle w:val="010000000000" w:firstRow="0" w:lastRow="1" w:firstColumn="0" w:lastColumn="0" w:oddVBand="0" w:evenVBand="0" w:oddHBand="0" w:evenHBand="0" w:firstRowFirstColumn="0" w:firstRowLastColumn="0" w:lastRowFirstColumn="0" w:lastRowLastColumn="0"/>
            </w:pPr>
            <w:r>
              <w:t>187 696</w:t>
            </w:r>
          </w:p>
        </w:tc>
        <w:tc>
          <w:tcPr>
            <w:tcW w:w="850" w:type="dxa"/>
          </w:tcPr>
          <w:p w14:paraId="5A215E05" w14:textId="77777777" w:rsidR="00964B88" w:rsidRDefault="00964B88">
            <w:pPr>
              <w:cnfStyle w:val="010000000000" w:firstRow="0" w:lastRow="1" w:firstColumn="0" w:lastColumn="0" w:oddVBand="0" w:evenVBand="0" w:oddHBand="0" w:evenHBand="0" w:firstRowFirstColumn="0" w:firstRowLastColumn="0" w:lastRowFirstColumn="0" w:lastRowLastColumn="0"/>
            </w:pPr>
            <w:r>
              <w:t>195 961</w:t>
            </w:r>
          </w:p>
        </w:tc>
      </w:tr>
    </w:tbl>
    <w:p w14:paraId="7CE0FC24" w14:textId="77777777" w:rsidR="00964B88" w:rsidRDefault="00964B88" w:rsidP="00F53820">
      <w:pPr>
        <w:pStyle w:val="Note"/>
      </w:pPr>
      <w:r>
        <w:t>Notes:</w:t>
      </w:r>
    </w:p>
    <w:p w14:paraId="5E35D914" w14:textId="77777777" w:rsidR="00964B88" w:rsidRPr="00F70160" w:rsidRDefault="00964B88" w:rsidP="00F53820">
      <w:pPr>
        <w:pStyle w:val="Note"/>
      </w:pPr>
      <w:r w:rsidRPr="002F552E">
        <w:t>(a</w:t>
      </w:r>
      <w:r>
        <w:t>)</w:t>
      </w:r>
      <w:r>
        <w:tab/>
        <w:t>The reconciliation of movements comprises land and buildings, infrastructure systems, plant, equipment, vehicles, roads, roads infrastructure and cultural assets</w:t>
      </w:r>
      <w:r w:rsidRPr="00F70160">
        <w:t>, right of use (leased) assets, service concession assets, and excludes intangible assets, investment properties and other non-financial assets.</w:t>
      </w:r>
    </w:p>
    <w:p w14:paraId="52D5B299" w14:textId="77777777" w:rsidR="00964B88" w:rsidRPr="00F70160" w:rsidRDefault="00964B88" w:rsidP="00F53820">
      <w:pPr>
        <w:pStyle w:val="Note"/>
      </w:pPr>
      <w:r w:rsidRPr="00F70160">
        <w:t>(b)</w:t>
      </w:r>
      <w:r w:rsidRPr="00F70160">
        <w:tab/>
        <w:t>Includes assets acquired under lease and service concession arrangements.</w:t>
      </w:r>
    </w:p>
    <w:p w14:paraId="6B318BB8" w14:textId="77777777" w:rsidR="00964B88" w:rsidRDefault="00964B88" w:rsidP="00F53820">
      <w:pPr>
        <w:pStyle w:val="Note"/>
      </w:pPr>
      <w:r w:rsidRPr="00F70160">
        <w:t>(c)</w:t>
      </w:r>
      <w:r w:rsidRPr="00F70160">
        <w:tab/>
        <w:t>Represents the transfer of assets to the public non-financial corporations sector.</w:t>
      </w:r>
      <w:r>
        <w:t xml:space="preserve"> </w:t>
      </w:r>
    </w:p>
    <w:p w14:paraId="66CA0083" w14:textId="77777777" w:rsidR="00964B88" w:rsidRDefault="00964B88" w:rsidP="00F53820"/>
    <w:p w14:paraId="6E82865E" w14:textId="77777777" w:rsidR="00964B88" w:rsidRDefault="00964B88" w:rsidP="00964B88">
      <w:pPr>
        <w:pStyle w:val="Heading3"/>
        <w:numPr>
          <w:ilvl w:val="2"/>
          <w:numId w:val="22"/>
        </w:numPr>
        <w:tabs>
          <w:tab w:val="clear" w:pos="7711"/>
          <w:tab w:val="left" w:pos="850"/>
          <w:tab w:val="right" w:pos="7710"/>
        </w:tabs>
        <w:spacing w:after="60"/>
      </w:pPr>
      <w:bookmarkStart w:id="104" w:name="_Toc530148072"/>
      <w:r>
        <w:t xml:space="preserve">Other </w:t>
      </w:r>
      <w:r w:rsidRPr="00232E5E">
        <w:t>non</w:t>
      </w:r>
      <w:r>
        <w:t>-financial assets</w:t>
      </w:r>
      <w:r>
        <w:tab/>
        <w:t>($ million)</w:t>
      </w:r>
      <w:bookmarkEnd w:id="104"/>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52ABDE34"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2069A9C1" w14:textId="77777777" w:rsidR="00964B88" w:rsidRDefault="00964B88"/>
        </w:tc>
        <w:tc>
          <w:tcPr>
            <w:tcW w:w="850" w:type="dxa"/>
          </w:tcPr>
          <w:p w14:paraId="10A2104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p>
        </w:tc>
        <w:tc>
          <w:tcPr>
            <w:tcW w:w="850" w:type="dxa"/>
          </w:tcPr>
          <w:p w14:paraId="3457525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50" w:type="dxa"/>
          </w:tcPr>
          <w:p w14:paraId="14FF2961"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50" w:type="dxa"/>
          </w:tcPr>
          <w:p w14:paraId="1BE32A2F"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50" w:type="dxa"/>
          </w:tcPr>
          <w:p w14:paraId="74D60C8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70A28543" w14:textId="77777777">
        <w:tc>
          <w:tcPr>
            <w:cnfStyle w:val="001000000000" w:firstRow="0" w:lastRow="0" w:firstColumn="1" w:lastColumn="0" w:oddVBand="0" w:evenVBand="0" w:oddHBand="0" w:evenHBand="0" w:firstRowFirstColumn="0" w:firstRowLastColumn="0" w:lastRowFirstColumn="0" w:lastRowLastColumn="0"/>
            <w:tcW w:w="3518" w:type="dxa"/>
          </w:tcPr>
          <w:p w14:paraId="2678433D" w14:textId="77777777" w:rsidR="00964B88" w:rsidRDefault="00964B88">
            <w:r>
              <w:t>Intangible produced assets</w:t>
            </w:r>
          </w:p>
        </w:tc>
        <w:tc>
          <w:tcPr>
            <w:tcW w:w="850" w:type="dxa"/>
          </w:tcPr>
          <w:p w14:paraId="6EB84689" w14:textId="77777777" w:rsidR="00964B88" w:rsidRDefault="00964B88">
            <w:pPr>
              <w:cnfStyle w:val="000000000000" w:firstRow="0" w:lastRow="0" w:firstColumn="0" w:lastColumn="0" w:oddVBand="0" w:evenVBand="0" w:oddHBand="0" w:evenHBand="0" w:firstRowFirstColumn="0" w:firstRowLastColumn="0" w:lastRowFirstColumn="0" w:lastRowLastColumn="0"/>
            </w:pPr>
            <w:r>
              <w:t>2 211</w:t>
            </w:r>
          </w:p>
        </w:tc>
        <w:tc>
          <w:tcPr>
            <w:tcW w:w="850" w:type="dxa"/>
          </w:tcPr>
          <w:p w14:paraId="2E76EBA2" w14:textId="77777777" w:rsidR="00964B88" w:rsidRDefault="00964B88">
            <w:pPr>
              <w:cnfStyle w:val="000000000000" w:firstRow="0" w:lastRow="0" w:firstColumn="0" w:lastColumn="0" w:oddVBand="0" w:evenVBand="0" w:oddHBand="0" w:evenHBand="0" w:firstRowFirstColumn="0" w:firstRowLastColumn="0" w:lastRowFirstColumn="0" w:lastRowLastColumn="0"/>
            </w:pPr>
            <w:r>
              <w:t>2 289</w:t>
            </w:r>
          </w:p>
        </w:tc>
        <w:tc>
          <w:tcPr>
            <w:tcW w:w="850" w:type="dxa"/>
          </w:tcPr>
          <w:p w14:paraId="233A750E" w14:textId="77777777" w:rsidR="00964B88" w:rsidRDefault="00964B88">
            <w:pPr>
              <w:cnfStyle w:val="000000000000" w:firstRow="0" w:lastRow="0" w:firstColumn="0" w:lastColumn="0" w:oddVBand="0" w:evenVBand="0" w:oddHBand="0" w:evenHBand="0" w:firstRowFirstColumn="0" w:firstRowLastColumn="0" w:lastRowFirstColumn="0" w:lastRowLastColumn="0"/>
            </w:pPr>
            <w:r>
              <w:t>2 306</w:t>
            </w:r>
          </w:p>
        </w:tc>
        <w:tc>
          <w:tcPr>
            <w:tcW w:w="850" w:type="dxa"/>
          </w:tcPr>
          <w:p w14:paraId="14A94D57" w14:textId="77777777" w:rsidR="00964B88" w:rsidRDefault="00964B88">
            <w:pPr>
              <w:cnfStyle w:val="000000000000" w:firstRow="0" w:lastRow="0" w:firstColumn="0" w:lastColumn="0" w:oddVBand="0" w:evenVBand="0" w:oddHBand="0" w:evenHBand="0" w:firstRowFirstColumn="0" w:firstRowLastColumn="0" w:lastRowFirstColumn="0" w:lastRowLastColumn="0"/>
            </w:pPr>
            <w:r>
              <w:t>2 319</w:t>
            </w:r>
          </w:p>
        </w:tc>
        <w:tc>
          <w:tcPr>
            <w:tcW w:w="850" w:type="dxa"/>
          </w:tcPr>
          <w:p w14:paraId="3E08BF5F" w14:textId="77777777" w:rsidR="00964B88" w:rsidRDefault="00964B88">
            <w:pPr>
              <w:cnfStyle w:val="000000000000" w:firstRow="0" w:lastRow="0" w:firstColumn="0" w:lastColumn="0" w:oddVBand="0" w:evenVBand="0" w:oddHBand="0" w:evenHBand="0" w:firstRowFirstColumn="0" w:firstRowLastColumn="0" w:lastRowFirstColumn="0" w:lastRowLastColumn="0"/>
            </w:pPr>
            <w:r>
              <w:t>2 328</w:t>
            </w:r>
          </w:p>
        </w:tc>
      </w:tr>
      <w:tr w:rsidR="00964B88" w14:paraId="774A8DE6" w14:textId="77777777">
        <w:tc>
          <w:tcPr>
            <w:cnfStyle w:val="001000000000" w:firstRow="0" w:lastRow="0" w:firstColumn="1" w:lastColumn="0" w:oddVBand="0" w:evenVBand="0" w:oddHBand="0" w:evenHBand="0" w:firstRowFirstColumn="0" w:firstRowLastColumn="0" w:lastRowFirstColumn="0" w:lastRowLastColumn="0"/>
            <w:tcW w:w="3518" w:type="dxa"/>
          </w:tcPr>
          <w:p w14:paraId="25DF4ECE" w14:textId="77777777" w:rsidR="00964B88" w:rsidRDefault="00964B88">
            <w:r>
              <w:t>Accumulated depreciation</w:t>
            </w:r>
          </w:p>
        </w:tc>
        <w:tc>
          <w:tcPr>
            <w:tcW w:w="850" w:type="dxa"/>
          </w:tcPr>
          <w:p w14:paraId="02DF0B3B" w14:textId="77777777" w:rsidR="00964B88" w:rsidRDefault="00964B88">
            <w:pPr>
              <w:cnfStyle w:val="000000000000" w:firstRow="0" w:lastRow="0" w:firstColumn="0" w:lastColumn="0" w:oddVBand="0" w:evenVBand="0" w:oddHBand="0" w:evenHBand="0" w:firstRowFirstColumn="0" w:firstRowLastColumn="0" w:lastRowFirstColumn="0" w:lastRowLastColumn="0"/>
            </w:pPr>
            <w:r>
              <w:t>(1 201)</w:t>
            </w:r>
          </w:p>
        </w:tc>
        <w:tc>
          <w:tcPr>
            <w:tcW w:w="850" w:type="dxa"/>
          </w:tcPr>
          <w:p w14:paraId="41BE9A78" w14:textId="77777777" w:rsidR="00964B88" w:rsidRDefault="00964B88">
            <w:pPr>
              <w:cnfStyle w:val="000000000000" w:firstRow="0" w:lastRow="0" w:firstColumn="0" w:lastColumn="0" w:oddVBand="0" w:evenVBand="0" w:oddHBand="0" w:evenHBand="0" w:firstRowFirstColumn="0" w:firstRowLastColumn="0" w:lastRowFirstColumn="0" w:lastRowLastColumn="0"/>
            </w:pPr>
            <w:r>
              <w:t>(1 200)</w:t>
            </w:r>
          </w:p>
        </w:tc>
        <w:tc>
          <w:tcPr>
            <w:tcW w:w="850" w:type="dxa"/>
          </w:tcPr>
          <w:p w14:paraId="4838C4BD" w14:textId="77777777" w:rsidR="00964B88" w:rsidRDefault="00964B88">
            <w:pPr>
              <w:cnfStyle w:val="000000000000" w:firstRow="0" w:lastRow="0" w:firstColumn="0" w:lastColumn="0" w:oddVBand="0" w:evenVBand="0" w:oddHBand="0" w:evenHBand="0" w:firstRowFirstColumn="0" w:firstRowLastColumn="0" w:lastRowFirstColumn="0" w:lastRowLastColumn="0"/>
            </w:pPr>
            <w:r>
              <w:t>(1 343)</w:t>
            </w:r>
          </w:p>
        </w:tc>
        <w:tc>
          <w:tcPr>
            <w:tcW w:w="850" w:type="dxa"/>
          </w:tcPr>
          <w:p w14:paraId="44E05AA8" w14:textId="77777777" w:rsidR="00964B88" w:rsidRDefault="00964B88">
            <w:pPr>
              <w:cnfStyle w:val="000000000000" w:firstRow="0" w:lastRow="0" w:firstColumn="0" w:lastColumn="0" w:oddVBand="0" w:evenVBand="0" w:oddHBand="0" w:evenHBand="0" w:firstRowFirstColumn="0" w:firstRowLastColumn="0" w:lastRowFirstColumn="0" w:lastRowLastColumn="0"/>
            </w:pPr>
            <w:r>
              <w:t>(1 494)</w:t>
            </w:r>
          </w:p>
        </w:tc>
        <w:tc>
          <w:tcPr>
            <w:tcW w:w="850" w:type="dxa"/>
          </w:tcPr>
          <w:p w14:paraId="6E02AA42" w14:textId="77777777" w:rsidR="00964B88" w:rsidRDefault="00964B88">
            <w:pPr>
              <w:cnfStyle w:val="000000000000" w:firstRow="0" w:lastRow="0" w:firstColumn="0" w:lastColumn="0" w:oddVBand="0" w:evenVBand="0" w:oddHBand="0" w:evenHBand="0" w:firstRowFirstColumn="0" w:firstRowLastColumn="0" w:lastRowFirstColumn="0" w:lastRowLastColumn="0"/>
            </w:pPr>
            <w:r>
              <w:t>(1 640)</w:t>
            </w:r>
          </w:p>
        </w:tc>
      </w:tr>
      <w:tr w:rsidR="00964B88" w14:paraId="5CCCA79B" w14:textId="77777777">
        <w:tc>
          <w:tcPr>
            <w:cnfStyle w:val="001000000000" w:firstRow="0" w:lastRow="0" w:firstColumn="1" w:lastColumn="0" w:oddVBand="0" w:evenVBand="0" w:oddHBand="0" w:evenHBand="0" w:firstRowFirstColumn="0" w:firstRowLastColumn="0" w:lastRowFirstColumn="0" w:lastRowLastColumn="0"/>
            <w:tcW w:w="3518" w:type="dxa"/>
          </w:tcPr>
          <w:p w14:paraId="0232AE5D" w14:textId="77777777" w:rsidR="00964B88" w:rsidRDefault="00964B88">
            <w:r>
              <w:t>Service concession assets – intangible produced</w:t>
            </w:r>
          </w:p>
        </w:tc>
        <w:tc>
          <w:tcPr>
            <w:tcW w:w="850" w:type="dxa"/>
          </w:tcPr>
          <w:p w14:paraId="6D57D85C" w14:textId="77777777" w:rsidR="00964B88" w:rsidRDefault="00964B88">
            <w:pPr>
              <w:cnfStyle w:val="000000000000" w:firstRow="0" w:lastRow="0" w:firstColumn="0" w:lastColumn="0" w:oddVBand="0" w:evenVBand="0" w:oddHBand="0" w:evenHBand="0" w:firstRowFirstColumn="0" w:firstRowLastColumn="0" w:lastRowFirstColumn="0" w:lastRowLastColumn="0"/>
            </w:pPr>
            <w:r>
              <w:t>248</w:t>
            </w:r>
          </w:p>
        </w:tc>
        <w:tc>
          <w:tcPr>
            <w:tcW w:w="850" w:type="dxa"/>
          </w:tcPr>
          <w:p w14:paraId="5E143290" w14:textId="77777777" w:rsidR="00964B88" w:rsidRDefault="00964B88">
            <w:pPr>
              <w:cnfStyle w:val="000000000000" w:firstRow="0" w:lastRow="0" w:firstColumn="0" w:lastColumn="0" w:oddVBand="0" w:evenVBand="0" w:oddHBand="0" w:evenHBand="0" w:firstRowFirstColumn="0" w:firstRowLastColumn="0" w:lastRowFirstColumn="0" w:lastRowLastColumn="0"/>
            </w:pPr>
            <w:r>
              <w:t>251</w:t>
            </w:r>
          </w:p>
        </w:tc>
        <w:tc>
          <w:tcPr>
            <w:tcW w:w="850" w:type="dxa"/>
          </w:tcPr>
          <w:p w14:paraId="47E4B9DE" w14:textId="77777777" w:rsidR="00964B88" w:rsidRDefault="00964B88">
            <w:pPr>
              <w:cnfStyle w:val="000000000000" w:firstRow="0" w:lastRow="0" w:firstColumn="0" w:lastColumn="0" w:oddVBand="0" w:evenVBand="0" w:oddHBand="0" w:evenHBand="0" w:firstRowFirstColumn="0" w:firstRowLastColumn="0" w:lastRowFirstColumn="0" w:lastRowLastColumn="0"/>
            </w:pPr>
            <w:r>
              <w:t>251</w:t>
            </w:r>
          </w:p>
        </w:tc>
        <w:tc>
          <w:tcPr>
            <w:tcW w:w="850" w:type="dxa"/>
          </w:tcPr>
          <w:p w14:paraId="2CBB67A5" w14:textId="77777777" w:rsidR="00964B88" w:rsidRDefault="00964B88">
            <w:pPr>
              <w:cnfStyle w:val="000000000000" w:firstRow="0" w:lastRow="0" w:firstColumn="0" w:lastColumn="0" w:oddVBand="0" w:evenVBand="0" w:oddHBand="0" w:evenHBand="0" w:firstRowFirstColumn="0" w:firstRowLastColumn="0" w:lastRowFirstColumn="0" w:lastRowLastColumn="0"/>
            </w:pPr>
            <w:r>
              <w:t>251</w:t>
            </w:r>
          </w:p>
        </w:tc>
        <w:tc>
          <w:tcPr>
            <w:tcW w:w="850" w:type="dxa"/>
          </w:tcPr>
          <w:p w14:paraId="2C83F14B" w14:textId="77777777" w:rsidR="00964B88" w:rsidRDefault="00964B88">
            <w:pPr>
              <w:cnfStyle w:val="000000000000" w:firstRow="0" w:lastRow="0" w:firstColumn="0" w:lastColumn="0" w:oddVBand="0" w:evenVBand="0" w:oddHBand="0" w:evenHBand="0" w:firstRowFirstColumn="0" w:firstRowLastColumn="0" w:lastRowFirstColumn="0" w:lastRowLastColumn="0"/>
            </w:pPr>
            <w:r>
              <w:t>251</w:t>
            </w:r>
          </w:p>
        </w:tc>
      </w:tr>
      <w:tr w:rsidR="00964B88" w14:paraId="763D2C98" w14:textId="77777777">
        <w:tc>
          <w:tcPr>
            <w:cnfStyle w:val="001000000000" w:firstRow="0" w:lastRow="0" w:firstColumn="1" w:lastColumn="0" w:oddVBand="0" w:evenVBand="0" w:oddHBand="0" w:evenHBand="0" w:firstRowFirstColumn="0" w:firstRowLastColumn="0" w:lastRowFirstColumn="0" w:lastRowLastColumn="0"/>
            <w:tcW w:w="3518" w:type="dxa"/>
          </w:tcPr>
          <w:p w14:paraId="3246CB96" w14:textId="77777777" w:rsidR="00964B88" w:rsidRDefault="00964B88">
            <w:r>
              <w:t>Accumulated depreciation</w:t>
            </w:r>
          </w:p>
        </w:tc>
        <w:tc>
          <w:tcPr>
            <w:tcW w:w="850" w:type="dxa"/>
          </w:tcPr>
          <w:p w14:paraId="60FD1102" w14:textId="77777777" w:rsidR="00964B88" w:rsidRDefault="00964B88">
            <w:pPr>
              <w:cnfStyle w:val="000000000000" w:firstRow="0" w:lastRow="0" w:firstColumn="0" w:lastColumn="0" w:oddVBand="0" w:evenVBand="0" w:oddHBand="0" w:evenHBand="0" w:firstRowFirstColumn="0" w:firstRowLastColumn="0" w:lastRowFirstColumn="0" w:lastRowLastColumn="0"/>
            </w:pPr>
            <w:r>
              <w:t>(1)</w:t>
            </w:r>
          </w:p>
        </w:tc>
        <w:tc>
          <w:tcPr>
            <w:tcW w:w="850" w:type="dxa"/>
          </w:tcPr>
          <w:p w14:paraId="6782598F" w14:textId="77777777" w:rsidR="00964B88" w:rsidRDefault="00964B88">
            <w:pPr>
              <w:cnfStyle w:val="000000000000" w:firstRow="0" w:lastRow="0" w:firstColumn="0" w:lastColumn="0" w:oddVBand="0" w:evenVBand="0" w:oddHBand="0" w:evenHBand="0" w:firstRowFirstColumn="0" w:firstRowLastColumn="0" w:lastRowFirstColumn="0" w:lastRowLastColumn="0"/>
            </w:pPr>
            <w:r>
              <w:t>(2)</w:t>
            </w:r>
          </w:p>
        </w:tc>
        <w:tc>
          <w:tcPr>
            <w:tcW w:w="850" w:type="dxa"/>
          </w:tcPr>
          <w:p w14:paraId="0EB2A901"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c>
          <w:tcPr>
            <w:tcW w:w="850" w:type="dxa"/>
          </w:tcPr>
          <w:p w14:paraId="770A4DF9" w14:textId="77777777" w:rsidR="00964B88" w:rsidRDefault="00964B88">
            <w:pPr>
              <w:cnfStyle w:val="000000000000" w:firstRow="0" w:lastRow="0" w:firstColumn="0" w:lastColumn="0" w:oddVBand="0" w:evenVBand="0" w:oddHBand="0" w:evenHBand="0" w:firstRowFirstColumn="0" w:firstRowLastColumn="0" w:lastRowFirstColumn="0" w:lastRowLastColumn="0"/>
            </w:pPr>
            <w:r>
              <w:t>(5)</w:t>
            </w:r>
          </w:p>
        </w:tc>
        <w:tc>
          <w:tcPr>
            <w:tcW w:w="850" w:type="dxa"/>
          </w:tcPr>
          <w:p w14:paraId="615E35A7" w14:textId="77777777" w:rsidR="00964B88" w:rsidRDefault="00964B88">
            <w:pPr>
              <w:cnfStyle w:val="000000000000" w:firstRow="0" w:lastRow="0" w:firstColumn="0" w:lastColumn="0" w:oddVBand="0" w:evenVBand="0" w:oddHBand="0" w:evenHBand="0" w:firstRowFirstColumn="0" w:firstRowLastColumn="0" w:lastRowFirstColumn="0" w:lastRowLastColumn="0"/>
            </w:pPr>
            <w:r>
              <w:t>(7)</w:t>
            </w:r>
          </w:p>
        </w:tc>
      </w:tr>
      <w:tr w:rsidR="00964B88" w14:paraId="73278980" w14:textId="77777777">
        <w:tc>
          <w:tcPr>
            <w:cnfStyle w:val="001000000000" w:firstRow="0" w:lastRow="0" w:firstColumn="1" w:lastColumn="0" w:oddVBand="0" w:evenVBand="0" w:oddHBand="0" w:evenHBand="0" w:firstRowFirstColumn="0" w:firstRowLastColumn="0" w:lastRowFirstColumn="0" w:lastRowLastColumn="0"/>
            <w:tcW w:w="3518" w:type="dxa"/>
          </w:tcPr>
          <w:p w14:paraId="23E4B6C3" w14:textId="77777777" w:rsidR="00964B88" w:rsidRDefault="00964B88">
            <w:r>
              <w:t>Intangible non</w:t>
            </w:r>
            <w:r>
              <w:noBreakHyphen/>
              <w:t>produced assets</w:t>
            </w:r>
          </w:p>
        </w:tc>
        <w:tc>
          <w:tcPr>
            <w:tcW w:w="850" w:type="dxa"/>
          </w:tcPr>
          <w:p w14:paraId="18440DEA" w14:textId="77777777" w:rsidR="00964B88" w:rsidRDefault="00964B88">
            <w:pPr>
              <w:cnfStyle w:val="000000000000" w:firstRow="0" w:lastRow="0" w:firstColumn="0" w:lastColumn="0" w:oddVBand="0" w:evenVBand="0" w:oddHBand="0" w:evenHBand="0" w:firstRowFirstColumn="0" w:firstRowLastColumn="0" w:lastRowFirstColumn="0" w:lastRowLastColumn="0"/>
            </w:pPr>
            <w:r>
              <w:t>110</w:t>
            </w:r>
          </w:p>
        </w:tc>
        <w:tc>
          <w:tcPr>
            <w:tcW w:w="850" w:type="dxa"/>
          </w:tcPr>
          <w:p w14:paraId="05D690E5" w14:textId="77777777" w:rsidR="00964B88" w:rsidRDefault="00964B88">
            <w:pPr>
              <w:cnfStyle w:val="000000000000" w:firstRow="0" w:lastRow="0" w:firstColumn="0" w:lastColumn="0" w:oddVBand="0" w:evenVBand="0" w:oddHBand="0" w:evenHBand="0" w:firstRowFirstColumn="0" w:firstRowLastColumn="0" w:lastRowFirstColumn="0" w:lastRowLastColumn="0"/>
            </w:pPr>
            <w:r>
              <w:t>111</w:t>
            </w:r>
          </w:p>
        </w:tc>
        <w:tc>
          <w:tcPr>
            <w:tcW w:w="850" w:type="dxa"/>
          </w:tcPr>
          <w:p w14:paraId="13814E3A" w14:textId="77777777" w:rsidR="00964B88" w:rsidRDefault="00964B88">
            <w:pPr>
              <w:cnfStyle w:val="000000000000" w:firstRow="0" w:lastRow="0" w:firstColumn="0" w:lastColumn="0" w:oddVBand="0" w:evenVBand="0" w:oddHBand="0" w:evenHBand="0" w:firstRowFirstColumn="0" w:firstRowLastColumn="0" w:lastRowFirstColumn="0" w:lastRowLastColumn="0"/>
            </w:pPr>
            <w:r>
              <w:t>112</w:t>
            </w:r>
          </w:p>
        </w:tc>
        <w:tc>
          <w:tcPr>
            <w:tcW w:w="850" w:type="dxa"/>
          </w:tcPr>
          <w:p w14:paraId="62A2C0EA" w14:textId="77777777" w:rsidR="00964B88" w:rsidRDefault="00964B88">
            <w:pPr>
              <w:cnfStyle w:val="000000000000" w:firstRow="0" w:lastRow="0" w:firstColumn="0" w:lastColumn="0" w:oddVBand="0" w:evenVBand="0" w:oddHBand="0" w:evenHBand="0" w:firstRowFirstColumn="0" w:firstRowLastColumn="0" w:lastRowFirstColumn="0" w:lastRowLastColumn="0"/>
            </w:pPr>
            <w:r>
              <w:t>114</w:t>
            </w:r>
          </w:p>
        </w:tc>
        <w:tc>
          <w:tcPr>
            <w:tcW w:w="850" w:type="dxa"/>
          </w:tcPr>
          <w:p w14:paraId="18CFB38B" w14:textId="77777777" w:rsidR="00964B88" w:rsidRDefault="00964B88">
            <w:pPr>
              <w:cnfStyle w:val="000000000000" w:firstRow="0" w:lastRow="0" w:firstColumn="0" w:lastColumn="0" w:oddVBand="0" w:evenVBand="0" w:oddHBand="0" w:evenHBand="0" w:firstRowFirstColumn="0" w:firstRowLastColumn="0" w:lastRowFirstColumn="0" w:lastRowLastColumn="0"/>
            </w:pPr>
            <w:r>
              <w:t>115</w:t>
            </w:r>
          </w:p>
        </w:tc>
      </w:tr>
      <w:tr w:rsidR="00964B88" w14:paraId="3FBBB25A"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4ED2E192" w14:textId="77777777" w:rsidR="00964B88" w:rsidRDefault="00964B88">
            <w:r>
              <w:t>Accumulated amortisation</w:t>
            </w:r>
          </w:p>
        </w:tc>
        <w:tc>
          <w:tcPr>
            <w:tcW w:w="850" w:type="dxa"/>
            <w:tcBorders>
              <w:bottom w:val="single" w:sz="6" w:space="0" w:color="auto"/>
            </w:tcBorders>
          </w:tcPr>
          <w:p w14:paraId="0B247170"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850" w:type="dxa"/>
            <w:tcBorders>
              <w:bottom w:val="single" w:sz="6" w:space="0" w:color="auto"/>
            </w:tcBorders>
          </w:tcPr>
          <w:p w14:paraId="10208F89"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850" w:type="dxa"/>
            <w:tcBorders>
              <w:bottom w:val="single" w:sz="6" w:space="0" w:color="auto"/>
            </w:tcBorders>
          </w:tcPr>
          <w:p w14:paraId="4C2F36F0" w14:textId="77777777" w:rsidR="00964B88" w:rsidRDefault="00964B88">
            <w:pPr>
              <w:cnfStyle w:val="000000000000" w:firstRow="0" w:lastRow="0" w:firstColumn="0" w:lastColumn="0" w:oddVBand="0" w:evenVBand="0" w:oddHBand="0" w:evenHBand="0" w:firstRowFirstColumn="0" w:firstRowLastColumn="0" w:lastRowFirstColumn="0" w:lastRowLastColumn="0"/>
            </w:pPr>
            <w:r>
              <w:t>(51)</w:t>
            </w:r>
          </w:p>
        </w:tc>
        <w:tc>
          <w:tcPr>
            <w:tcW w:w="850" w:type="dxa"/>
            <w:tcBorders>
              <w:bottom w:val="single" w:sz="6" w:space="0" w:color="auto"/>
            </w:tcBorders>
          </w:tcPr>
          <w:p w14:paraId="4A5B698E" w14:textId="77777777" w:rsidR="00964B88" w:rsidRDefault="00964B88">
            <w:pPr>
              <w:cnfStyle w:val="000000000000" w:firstRow="0" w:lastRow="0" w:firstColumn="0" w:lastColumn="0" w:oddVBand="0" w:evenVBand="0" w:oddHBand="0" w:evenHBand="0" w:firstRowFirstColumn="0" w:firstRowLastColumn="0" w:lastRowFirstColumn="0" w:lastRowLastColumn="0"/>
            </w:pPr>
            <w:r>
              <w:t>(56)</w:t>
            </w:r>
          </w:p>
        </w:tc>
        <w:tc>
          <w:tcPr>
            <w:tcW w:w="850" w:type="dxa"/>
            <w:tcBorders>
              <w:bottom w:val="single" w:sz="6" w:space="0" w:color="auto"/>
            </w:tcBorders>
          </w:tcPr>
          <w:p w14:paraId="2FED5AA8" w14:textId="77777777" w:rsidR="00964B88" w:rsidRDefault="00964B88">
            <w:pPr>
              <w:cnfStyle w:val="000000000000" w:firstRow="0" w:lastRow="0" w:firstColumn="0" w:lastColumn="0" w:oddVBand="0" w:evenVBand="0" w:oddHBand="0" w:evenHBand="0" w:firstRowFirstColumn="0" w:firstRowLastColumn="0" w:lastRowFirstColumn="0" w:lastRowLastColumn="0"/>
            </w:pPr>
            <w:r>
              <w:t>(61)</w:t>
            </w:r>
          </w:p>
        </w:tc>
      </w:tr>
      <w:tr w:rsidR="00964B88" w14:paraId="268F6464"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1EB5FFF0" w14:textId="77777777" w:rsidR="00964B88" w:rsidRDefault="00964B88">
            <w:r>
              <w:rPr>
                <w:b/>
              </w:rPr>
              <w:t>Total intangibles</w:t>
            </w:r>
          </w:p>
        </w:tc>
        <w:tc>
          <w:tcPr>
            <w:tcW w:w="850" w:type="dxa"/>
            <w:tcBorders>
              <w:top w:val="single" w:sz="6" w:space="0" w:color="auto"/>
            </w:tcBorders>
          </w:tcPr>
          <w:p w14:paraId="47285A7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1 321</w:t>
            </w:r>
          </w:p>
        </w:tc>
        <w:tc>
          <w:tcPr>
            <w:tcW w:w="850" w:type="dxa"/>
            <w:tcBorders>
              <w:top w:val="single" w:sz="6" w:space="0" w:color="auto"/>
            </w:tcBorders>
          </w:tcPr>
          <w:p w14:paraId="7223CE5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1 403</w:t>
            </w:r>
          </w:p>
        </w:tc>
        <w:tc>
          <w:tcPr>
            <w:tcW w:w="850" w:type="dxa"/>
            <w:tcBorders>
              <w:top w:val="single" w:sz="6" w:space="0" w:color="auto"/>
            </w:tcBorders>
          </w:tcPr>
          <w:p w14:paraId="62AEC4A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1 271</w:t>
            </w:r>
          </w:p>
        </w:tc>
        <w:tc>
          <w:tcPr>
            <w:tcW w:w="850" w:type="dxa"/>
            <w:tcBorders>
              <w:top w:val="single" w:sz="6" w:space="0" w:color="auto"/>
            </w:tcBorders>
          </w:tcPr>
          <w:p w14:paraId="65BB229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1 129</w:t>
            </w:r>
          </w:p>
        </w:tc>
        <w:tc>
          <w:tcPr>
            <w:tcW w:w="850" w:type="dxa"/>
            <w:tcBorders>
              <w:top w:val="single" w:sz="6" w:space="0" w:color="auto"/>
            </w:tcBorders>
          </w:tcPr>
          <w:p w14:paraId="572AF89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985</w:t>
            </w:r>
          </w:p>
        </w:tc>
      </w:tr>
      <w:tr w:rsidR="00964B88" w14:paraId="7924B187" w14:textId="77777777">
        <w:tc>
          <w:tcPr>
            <w:cnfStyle w:val="001000000000" w:firstRow="0" w:lastRow="0" w:firstColumn="1" w:lastColumn="0" w:oddVBand="0" w:evenVBand="0" w:oddHBand="0" w:evenHBand="0" w:firstRowFirstColumn="0" w:firstRowLastColumn="0" w:lastRowFirstColumn="0" w:lastRowLastColumn="0"/>
            <w:tcW w:w="3518" w:type="dxa"/>
          </w:tcPr>
          <w:p w14:paraId="660B1842" w14:textId="77777777" w:rsidR="00964B88" w:rsidRDefault="00964B88">
            <w:r>
              <w:t>Investment properties</w:t>
            </w:r>
          </w:p>
        </w:tc>
        <w:tc>
          <w:tcPr>
            <w:tcW w:w="850" w:type="dxa"/>
          </w:tcPr>
          <w:p w14:paraId="52AE8433" w14:textId="77777777" w:rsidR="00964B88" w:rsidRDefault="00964B88">
            <w:pPr>
              <w:cnfStyle w:val="000000000000" w:firstRow="0" w:lastRow="0" w:firstColumn="0" w:lastColumn="0" w:oddVBand="0" w:evenVBand="0" w:oddHBand="0" w:evenHBand="0" w:firstRowFirstColumn="0" w:firstRowLastColumn="0" w:lastRowFirstColumn="0" w:lastRowLastColumn="0"/>
            </w:pPr>
            <w:r>
              <w:t>280</w:t>
            </w:r>
          </w:p>
        </w:tc>
        <w:tc>
          <w:tcPr>
            <w:tcW w:w="850" w:type="dxa"/>
          </w:tcPr>
          <w:p w14:paraId="0C128BC5" w14:textId="77777777" w:rsidR="00964B88" w:rsidRDefault="00964B88">
            <w:pPr>
              <w:cnfStyle w:val="000000000000" w:firstRow="0" w:lastRow="0" w:firstColumn="0" w:lastColumn="0" w:oddVBand="0" w:evenVBand="0" w:oddHBand="0" w:evenHBand="0" w:firstRowFirstColumn="0" w:firstRowLastColumn="0" w:lastRowFirstColumn="0" w:lastRowLastColumn="0"/>
            </w:pPr>
            <w:r>
              <w:t>281</w:t>
            </w:r>
          </w:p>
        </w:tc>
        <w:tc>
          <w:tcPr>
            <w:tcW w:w="850" w:type="dxa"/>
          </w:tcPr>
          <w:p w14:paraId="3E88C5FB" w14:textId="77777777" w:rsidR="00964B88" w:rsidRDefault="00964B88">
            <w:pPr>
              <w:cnfStyle w:val="000000000000" w:firstRow="0" w:lastRow="0" w:firstColumn="0" w:lastColumn="0" w:oddVBand="0" w:evenVBand="0" w:oddHBand="0" w:evenHBand="0" w:firstRowFirstColumn="0" w:firstRowLastColumn="0" w:lastRowFirstColumn="0" w:lastRowLastColumn="0"/>
            </w:pPr>
            <w:r>
              <w:t>277</w:t>
            </w:r>
          </w:p>
        </w:tc>
        <w:tc>
          <w:tcPr>
            <w:tcW w:w="850" w:type="dxa"/>
          </w:tcPr>
          <w:p w14:paraId="201FF79E" w14:textId="77777777" w:rsidR="00964B88" w:rsidRDefault="00964B88">
            <w:pPr>
              <w:cnfStyle w:val="000000000000" w:firstRow="0" w:lastRow="0" w:firstColumn="0" w:lastColumn="0" w:oddVBand="0" w:evenVBand="0" w:oddHBand="0" w:evenHBand="0" w:firstRowFirstColumn="0" w:firstRowLastColumn="0" w:lastRowFirstColumn="0" w:lastRowLastColumn="0"/>
            </w:pPr>
            <w:r>
              <w:t>276</w:t>
            </w:r>
          </w:p>
        </w:tc>
        <w:tc>
          <w:tcPr>
            <w:tcW w:w="850" w:type="dxa"/>
          </w:tcPr>
          <w:p w14:paraId="056B1C2E" w14:textId="77777777" w:rsidR="00964B88" w:rsidRDefault="00964B88">
            <w:pPr>
              <w:cnfStyle w:val="000000000000" w:firstRow="0" w:lastRow="0" w:firstColumn="0" w:lastColumn="0" w:oddVBand="0" w:evenVBand="0" w:oddHBand="0" w:evenHBand="0" w:firstRowFirstColumn="0" w:firstRowLastColumn="0" w:lastRowFirstColumn="0" w:lastRowLastColumn="0"/>
            </w:pPr>
            <w:r>
              <w:t>258</w:t>
            </w:r>
          </w:p>
        </w:tc>
      </w:tr>
      <w:tr w:rsidR="00964B88" w14:paraId="30ABE624" w14:textId="77777777">
        <w:tc>
          <w:tcPr>
            <w:cnfStyle w:val="001000000000" w:firstRow="0" w:lastRow="0" w:firstColumn="1" w:lastColumn="0" w:oddVBand="0" w:evenVBand="0" w:oddHBand="0" w:evenHBand="0" w:firstRowFirstColumn="0" w:firstRowLastColumn="0" w:lastRowFirstColumn="0" w:lastRowLastColumn="0"/>
            <w:tcW w:w="3518" w:type="dxa"/>
          </w:tcPr>
          <w:p w14:paraId="0FBB7751" w14:textId="77777777" w:rsidR="00964B88" w:rsidRDefault="00964B88">
            <w:r>
              <w:t>Biological assets</w:t>
            </w:r>
          </w:p>
        </w:tc>
        <w:tc>
          <w:tcPr>
            <w:tcW w:w="850" w:type="dxa"/>
          </w:tcPr>
          <w:p w14:paraId="25DD07DD"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c>
          <w:tcPr>
            <w:tcW w:w="850" w:type="dxa"/>
          </w:tcPr>
          <w:p w14:paraId="2B836DEC"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c>
          <w:tcPr>
            <w:tcW w:w="850" w:type="dxa"/>
          </w:tcPr>
          <w:p w14:paraId="6C1CB8E5" w14:textId="77777777" w:rsidR="00964B88" w:rsidRDefault="00964B88">
            <w:pPr>
              <w:cnfStyle w:val="000000000000" w:firstRow="0" w:lastRow="0" w:firstColumn="0" w:lastColumn="0" w:oddVBand="0" w:evenVBand="0" w:oddHBand="0" w:evenHBand="0" w:firstRowFirstColumn="0" w:firstRowLastColumn="0" w:lastRowFirstColumn="0" w:lastRowLastColumn="0"/>
            </w:pPr>
            <w:r>
              <w:t>5</w:t>
            </w:r>
          </w:p>
        </w:tc>
        <w:tc>
          <w:tcPr>
            <w:tcW w:w="850" w:type="dxa"/>
          </w:tcPr>
          <w:p w14:paraId="24EE11F1" w14:textId="77777777" w:rsidR="00964B88" w:rsidRDefault="00964B88">
            <w:pPr>
              <w:cnfStyle w:val="000000000000" w:firstRow="0" w:lastRow="0" w:firstColumn="0" w:lastColumn="0" w:oddVBand="0" w:evenVBand="0" w:oddHBand="0" w:evenHBand="0" w:firstRowFirstColumn="0" w:firstRowLastColumn="0" w:lastRowFirstColumn="0" w:lastRowLastColumn="0"/>
            </w:pPr>
            <w:r>
              <w:t>7</w:t>
            </w:r>
          </w:p>
        </w:tc>
        <w:tc>
          <w:tcPr>
            <w:tcW w:w="850" w:type="dxa"/>
          </w:tcPr>
          <w:p w14:paraId="5C3321FE" w14:textId="77777777" w:rsidR="00964B88" w:rsidRDefault="00964B88">
            <w:pPr>
              <w:cnfStyle w:val="000000000000" w:firstRow="0" w:lastRow="0" w:firstColumn="0" w:lastColumn="0" w:oddVBand="0" w:evenVBand="0" w:oddHBand="0" w:evenHBand="0" w:firstRowFirstColumn="0" w:firstRowLastColumn="0" w:lastRowFirstColumn="0" w:lastRowLastColumn="0"/>
            </w:pPr>
            <w:r>
              <w:t>8</w:t>
            </w:r>
          </w:p>
        </w:tc>
      </w:tr>
      <w:tr w:rsidR="00964B88" w14:paraId="48104DC9"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4DA8B6E3" w14:textId="77777777" w:rsidR="00964B88" w:rsidRDefault="00964B88">
            <w:r>
              <w:t>Other assets</w:t>
            </w:r>
          </w:p>
        </w:tc>
        <w:tc>
          <w:tcPr>
            <w:tcW w:w="850" w:type="dxa"/>
            <w:tcBorders>
              <w:bottom w:val="single" w:sz="6" w:space="0" w:color="auto"/>
            </w:tcBorders>
          </w:tcPr>
          <w:p w14:paraId="5C7D0B10" w14:textId="77777777" w:rsidR="00964B88" w:rsidRDefault="00964B88">
            <w:pPr>
              <w:cnfStyle w:val="000000000000" w:firstRow="0" w:lastRow="0" w:firstColumn="0" w:lastColumn="0" w:oddVBand="0" w:evenVBand="0" w:oddHBand="0" w:evenHBand="0" w:firstRowFirstColumn="0" w:firstRowLastColumn="0" w:lastRowFirstColumn="0" w:lastRowLastColumn="0"/>
            </w:pPr>
            <w:r>
              <w:t>366</w:t>
            </w:r>
          </w:p>
        </w:tc>
        <w:tc>
          <w:tcPr>
            <w:tcW w:w="850" w:type="dxa"/>
            <w:tcBorders>
              <w:bottom w:val="single" w:sz="6" w:space="0" w:color="auto"/>
            </w:tcBorders>
          </w:tcPr>
          <w:p w14:paraId="441E5488" w14:textId="77777777" w:rsidR="00964B88" w:rsidRDefault="00964B88">
            <w:pPr>
              <w:cnfStyle w:val="000000000000" w:firstRow="0" w:lastRow="0" w:firstColumn="0" w:lastColumn="0" w:oddVBand="0" w:evenVBand="0" w:oddHBand="0" w:evenHBand="0" w:firstRowFirstColumn="0" w:firstRowLastColumn="0" w:lastRowFirstColumn="0" w:lastRowLastColumn="0"/>
            </w:pPr>
            <w:r>
              <w:t>360</w:t>
            </w:r>
          </w:p>
        </w:tc>
        <w:tc>
          <w:tcPr>
            <w:tcW w:w="850" w:type="dxa"/>
            <w:tcBorders>
              <w:bottom w:val="single" w:sz="6" w:space="0" w:color="auto"/>
            </w:tcBorders>
          </w:tcPr>
          <w:p w14:paraId="5A9DB893" w14:textId="77777777" w:rsidR="00964B88" w:rsidRDefault="00964B88">
            <w:pPr>
              <w:cnfStyle w:val="000000000000" w:firstRow="0" w:lastRow="0" w:firstColumn="0" w:lastColumn="0" w:oddVBand="0" w:evenVBand="0" w:oddHBand="0" w:evenHBand="0" w:firstRowFirstColumn="0" w:firstRowLastColumn="0" w:lastRowFirstColumn="0" w:lastRowLastColumn="0"/>
            </w:pPr>
            <w:r>
              <w:t>326</w:t>
            </w:r>
          </w:p>
        </w:tc>
        <w:tc>
          <w:tcPr>
            <w:tcW w:w="850" w:type="dxa"/>
            <w:tcBorders>
              <w:bottom w:val="single" w:sz="6" w:space="0" w:color="auto"/>
            </w:tcBorders>
          </w:tcPr>
          <w:p w14:paraId="6FBED111" w14:textId="77777777" w:rsidR="00964B88" w:rsidRDefault="00964B88">
            <w:pPr>
              <w:cnfStyle w:val="000000000000" w:firstRow="0" w:lastRow="0" w:firstColumn="0" w:lastColumn="0" w:oddVBand="0" w:evenVBand="0" w:oddHBand="0" w:evenHBand="0" w:firstRowFirstColumn="0" w:firstRowLastColumn="0" w:lastRowFirstColumn="0" w:lastRowLastColumn="0"/>
            </w:pPr>
            <w:r>
              <w:t>326</w:t>
            </w:r>
          </w:p>
        </w:tc>
        <w:tc>
          <w:tcPr>
            <w:tcW w:w="850" w:type="dxa"/>
            <w:tcBorders>
              <w:bottom w:val="single" w:sz="6" w:space="0" w:color="auto"/>
            </w:tcBorders>
          </w:tcPr>
          <w:p w14:paraId="06676813" w14:textId="77777777" w:rsidR="00964B88" w:rsidRDefault="00964B88">
            <w:pPr>
              <w:cnfStyle w:val="000000000000" w:firstRow="0" w:lastRow="0" w:firstColumn="0" w:lastColumn="0" w:oddVBand="0" w:evenVBand="0" w:oddHBand="0" w:evenHBand="0" w:firstRowFirstColumn="0" w:firstRowLastColumn="0" w:lastRowFirstColumn="0" w:lastRowLastColumn="0"/>
            </w:pPr>
            <w:r>
              <w:t>325</w:t>
            </w:r>
          </w:p>
        </w:tc>
      </w:tr>
      <w:tr w:rsidR="00964B88" w14:paraId="27B40106"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3484EA4B" w14:textId="77777777" w:rsidR="00964B88" w:rsidRDefault="00964B88">
            <w:r>
              <w:t>Total other non</w:t>
            </w:r>
            <w:r>
              <w:noBreakHyphen/>
              <w:t>financial assets</w:t>
            </w:r>
          </w:p>
        </w:tc>
        <w:tc>
          <w:tcPr>
            <w:tcW w:w="850" w:type="dxa"/>
          </w:tcPr>
          <w:p w14:paraId="6A1D03A7" w14:textId="77777777" w:rsidR="00964B88" w:rsidRDefault="00964B88">
            <w:pPr>
              <w:cnfStyle w:val="010000000000" w:firstRow="0" w:lastRow="1" w:firstColumn="0" w:lastColumn="0" w:oddVBand="0" w:evenVBand="0" w:oddHBand="0" w:evenHBand="0" w:firstRowFirstColumn="0" w:firstRowLastColumn="0" w:lastRowFirstColumn="0" w:lastRowLastColumn="0"/>
            </w:pPr>
            <w:r>
              <w:t>1 971</w:t>
            </w:r>
          </w:p>
        </w:tc>
        <w:tc>
          <w:tcPr>
            <w:tcW w:w="850" w:type="dxa"/>
          </w:tcPr>
          <w:p w14:paraId="762217A6" w14:textId="77777777" w:rsidR="00964B88" w:rsidRDefault="00964B88">
            <w:pPr>
              <w:cnfStyle w:val="010000000000" w:firstRow="0" w:lastRow="1" w:firstColumn="0" w:lastColumn="0" w:oddVBand="0" w:evenVBand="0" w:oddHBand="0" w:evenHBand="0" w:firstRowFirstColumn="0" w:firstRowLastColumn="0" w:lastRowFirstColumn="0" w:lastRowLastColumn="0"/>
            </w:pPr>
            <w:r>
              <w:t>2 048</w:t>
            </w:r>
          </w:p>
        </w:tc>
        <w:tc>
          <w:tcPr>
            <w:tcW w:w="850" w:type="dxa"/>
          </w:tcPr>
          <w:p w14:paraId="14F2306C" w14:textId="77777777" w:rsidR="00964B88" w:rsidRDefault="00964B88">
            <w:pPr>
              <w:cnfStyle w:val="010000000000" w:firstRow="0" w:lastRow="1" w:firstColumn="0" w:lastColumn="0" w:oddVBand="0" w:evenVBand="0" w:oddHBand="0" w:evenHBand="0" w:firstRowFirstColumn="0" w:firstRowLastColumn="0" w:lastRowFirstColumn="0" w:lastRowLastColumn="0"/>
            </w:pPr>
            <w:r>
              <w:t>1 880</w:t>
            </w:r>
          </w:p>
        </w:tc>
        <w:tc>
          <w:tcPr>
            <w:tcW w:w="850" w:type="dxa"/>
          </w:tcPr>
          <w:p w14:paraId="2A384F1D" w14:textId="77777777" w:rsidR="00964B88" w:rsidRDefault="00964B88">
            <w:pPr>
              <w:cnfStyle w:val="010000000000" w:firstRow="0" w:lastRow="1" w:firstColumn="0" w:lastColumn="0" w:oddVBand="0" w:evenVBand="0" w:oddHBand="0" w:evenHBand="0" w:firstRowFirstColumn="0" w:firstRowLastColumn="0" w:lastRowFirstColumn="0" w:lastRowLastColumn="0"/>
            </w:pPr>
            <w:r>
              <w:t>1 737</w:t>
            </w:r>
          </w:p>
        </w:tc>
        <w:tc>
          <w:tcPr>
            <w:tcW w:w="850" w:type="dxa"/>
          </w:tcPr>
          <w:p w14:paraId="4D3FE7FF" w14:textId="77777777" w:rsidR="00964B88" w:rsidRDefault="00964B88">
            <w:pPr>
              <w:cnfStyle w:val="010000000000" w:firstRow="0" w:lastRow="1" w:firstColumn="0" w:lastColumn="0" w:oddVBand="0" w:evenVBand="0" w:oddHBand="0" w:evenHBand="0" w:firstRowFirstColumn="0" w:firstRowLastColumn="0" w:lastRowFirstColumn="0" w:lastRowLastColumn="0"/>
            </w:pPr>
            <w:r>
              <w:t>1 576</w:t>
            </w:r>
          </w:p>
        </w:tc>
      </w:tr>
    </w:tbl>
    <w:p w14:paraId="3F97FF6C" w14:textId="77777777" w:rsidR="00964B88" w:rsidRDefault="00964B88" w:rsidP="00F53820"/>
    <w:p w14:paraId="452EAD92" w14:textId="77777777" w:rsidR="00964B88" w:rsidRDefault="00964B88">
      <w:pPr>
        <w:keepLines w:val="0"/>
        <w:rPr>
          <w:rFonts w:asciiTheme="majorHAnsi" w:eastAsiaTheme="majorEastAsia" w:hAnsiTheme="majorHAnsi" w:cstheme="majorBidi"/>
          <w:b/>
          <w:bCs/>
          <w:spacing w:val="-2"/>
          <w:szCs w:val="26"/>
        </w:rPr>
      </w:pPr>
      <w:bookmarkStart w:id="105" w:name="_Toc530148073"/>
      <w:r>
        <w:br w:type="page"/>
      </w:r>
    </w:p>
    <w:p w14:paraId="2AC5A3FD" w14:textId="77777777" w:rsidR="00964B88" w:rsidRPr="00437060" w:rsidRDefault="00964B88" w:rsidP="00964B88">
      <w:pPr>
        <w:pStyle w:val="Heading3"/>
        <w:numPr>
          <w:ilvl w:val="2"/>
          <w:numId w:val="22"/>
        </w:numPr>
        <w:tabs>
          <w:tab w:val="clear" w:pos="7711"/>
          <w:tab w:val="left" w:pos="850"/>
          <w:tab w:val="right" w:pos="7710"/>
        </w:tabs>
        <w:spacing w:after="60"/>
        <w:rPr>
          <w:lang w:val="en-US"/>
        </w:rPr>
      </w:pPr>
      <w:r>
        <w:lastRenderedPageBreak/>
        <w:t xml:space="preserve">Total assets by </w:t>
      </w:r>
      <w:r w:rsidRPr="00232E5E">
        <w:t>classification</w:t>
      </w:r>
      <w:r>
        <w:t xml:space="preserve"> of the functions of government</w:t>
      </w:r>
      <w:r w:rsidRPr="001D7AD2">
        <w:rPr>
          <w:vertAlign w:val="superscript"/>
        </w:rPr>
        <w:t xml:space="preserve"> </w:t>
      </w:r>
      <w:r>
        <w:tab/>
        <w:t>($ million)</w:t>
      </w:r>
      <w:bookmarkEnd w:id="105"/>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5871F855"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7B30F49A" w14:textId="77777777" w:rsidR="00964B88" w:rsidRDefault="00964B88"/>
        </w:tc>
        <w:tc>
          <w:tcPr>
            <w:tcW w:w="850" w:type="dxa"/>
          </w:tcPr>
          <w:p w14:paraId="2024B40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p>
        </w:tc>
        <w:tc>
          <w:tcPr>
            <w:tcW w:w="850" w:type="dxa"/>
          </w:tcPr>
          <w:p w14:paraId="3B1B429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50" w:type="dxa"/>
          </w:tcPr>
          <w:p w14:paraId="1FD670B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50" w:type="dxa"/>
          </w:tcPr>
          <w:p w14:paraId="00AF493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50" w:type="dxa"/>
          </w:tcPr>
          <w:p w14:paraId="5F97AA6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75D66818" w14:textId="77777777">
        <w:tc>
          <w:tcPr>
            <w:cnfStyle w:val="001000000000" w:firstRow="0" w:lastRow="0" w:firstColumn="1" w:lastColumn="0" w:oddVBand="0" w:evenVBand="0" w:oddHBand="0" w:evenHBand="0" w:firstRowFirstColumn="0" w:firstRowLastColumn="0" w:lastRowFirstColumn="0" w:lastRowLastColumn="0"/>
            <w:tcW w:w="3518" w:type="dxa"/>
          </w:tcPr>
          <w:p w14:paraId="2750A6ED" w14:textId="77777777" w:rsidR="00964B88" w:rsidRDefault="00964B88">
            <w:r>
              <w:t>General public services</w:t>
            </w:r>
          </w:p>
        </w:tc>
        <w:tc>
          <w:tcPr>
            <w:tcW w:w="850" w:type="dxa"/>
          </w:tcPr>
          <w:p w14:paraId="5C20A7F7" w14:textId="77777777" w:rsidR="00964B88" w:rsidRDefault="00964B88">
            <w:pPr>
              <w:cnfStyle w:val="000000000000" w:firstRow="0" w:lastRow="0" w:firstColumn="0" w:lastColumn="0" w:oddVBand="0" w:evenVBand="0" w:oddHBand="0" w:evenHBand="0" w:firstRowFirstColumn="0" w:firstRowLastColumn="0" w:lastRowFirstColumn="0" w:lastRowLastColumn="0"/>
            </w:pPr>
            <w:r>
              <w:t>2 407</w:t>
            </w:r>
          </w:p>
        </w:tc>
        <w:tc>
          <w:tcPr>
            <w:tcW w:w="850" w:type="dxa"/>
          </w:tcPr>
          <w:p w14:paraId="6BD88EB6" w14:textId="77777777" w:rsidR="00964B88" w:rsidRDefault="00964B88">
            <w:pPr>
              <w:cnfStyle w:val="000000000000" w:firstRow="0" w:lastRow="0" w:firstColumn="0" w:lastColumn="0" w:oddVBand="0" w:evenVBand="0" w:oddHBand="0" w:evenHBand="0" w:firstRowFirstColumn="0" w:firstRowLastColumn="0" w:lastRowFirstColumn="0" w:lastRowLastColumn="0"/>
            </w:pPr>
            <w:r>
              <w:t>2 399</w:t>
            </w:r>
          </w:p>
        </w:tc>
        <w:tc>
          <w:tcPr>
            <w:tcW w:w="850" w:type="dxa"/>
          </w:tcPr>
          <w:p w14:paraId="6DE7D01B" w14:textId="77777777" w:rsidR="00964B88" w:rsidRDefault="00964B88">
            <w:pPr>
              <w:cnfStyle w:val="000000000000" w:firstRow="0" w:lastRow="0" w:firstColumn="0" w:lastColumn="0" w:oddVBand="0" w:evenVBand="0" w:oddHBand="0" w:evenHBand="0" w:firstRowFirstColumn="0" w:firstRowLastColumn="0" w:lastRowFirstColumn="0" w:lastRowLastColumn="0"/>
            </w:pPr>
            <w:r>
              <w:t>2 550</w:t>
            </w:r>
          </w:p>
        </w:tc>
        <w:tc>
          <w:tcPr>
            <w:tcW w:w="850" w:type="dxa"/>
          </w:tcPr>
          <w:p w14:paraId="71277C8A" w14:textId="77777777" w:rsidR="00964B88" w:rsidRDefault="00964B88">
            <w:pPr>
              <w:cnfStyle w:val="000000000000" w:firstRow="0" w:lastRow="0" w:firstColumn="0" w:lastColumn="0" w:oddVBand="0" w:evenVBand="0" w:oddHBand="0" w:evenHBand="0" w:firstRowFirstColumn="0" w:firstRowLastColumn="0" w:lastRowFirstColumn="0" w:lastRowLastColumn="0"/>
            </w:pPr>
            <w:r>
              <w:t>2 614</w:t>
            </w:r>
          </w:p>
        </w:tc>
        <w:tc>
          <w:tcPr>
            <w:tcW w:w="850" w:type="dxa"/>
          </w:tcPr>
          <w:p w14:paraId="12E1A728" w14:textId="77777777" w:rsidR="00964B88" w:rsidRDefault="00964B88">
            <w:pPr>
              <w:cnfStyle w:val="000000000000" w:firstRow="0" w:lastRow="0" w:firstColumn="0" w:lastColumn="0" w:oddVBand="0" w:evenVBand="0" w:oddHBand="0" w:evenHBand="0" w:firstRowFirstColumn="0" w:firstRowLastColumn="0" w:lastRowFirstColumn="0" w:lastRowLastColumn="0"/>
            </w:pPr>
            <w:r>
              <w:t>2 607</w:t>
            </w:r>
          </w:p>
        </w:tc>
      </w:tr>
      <w:tr w:rsidR="00964B88" w14:paraId="7415EB13" w14:textId="77777777">
        <w:tc>
          <w:tcPr>
            <w:cnfStyle w:val="001000000000" w:firstRow="0" w:lastRow="0" w:firstColumn="1" w:lastColumn="0" w:oddVBand="0" w:evenVBand="0" w:oddHBand="0" w:evenHBand="0" w:firstRowFirstColumn="0" w:firstRowLastColumn="0" w:lastRowFirstColumn="0" w:lastRowLastColumn="0"/>
            <w:tcW w:w="3518" w:type="dxa"/>
          </w:tcPr>
          <w:p w14:paraId="3D645442" w14:textId="77777777" w:rsidR="00964B88" w:rsidRDefault="00964B88">
            <w:r>
              <w:t>Public order and safety</w:t>
            </w:r>
          </w:p>
        </w:tc>
        <w:tc>
          <w:tcPr>
            <w:tcW w:w="850" w:type="dxa"/>
          </w:tcPr>
          <w:p w14:paraId="4D014569" w14:textId="77777777" w:rsidR="00964B88" w:rsidRDefault="00964B88">
            <w:pPr>
              <w:cnfStyle w:val="000000000000" w:firstRow="0" w:lastRow="0" w:firstColumn="0" w:lastColumn="0" w:oddVBand="0" w:evenVBand="0" w:oddHBand="0" w:evenHBand="0" w:firstRowFirstColumn="0" w:firstRowLastColumn="0" w:lastRowFirstColumn="0" w:lastRowLastColumn="0"/>
            </w:pPr>
            <w:r>
              <w:t>12 458</w:t>
            </w:r>
          </w:p>
        </w:tc>
        <w:tc>
          <w:tcPr>
            <w:tcW w:w="850" w:type="dxa"/>
          </w:tcPr>
          <w:p w14:paraId="44D0BA64" w14:textId="77777777" w:rsidR="00964B88" w:rsidRDefault="00964B88">
            <w:pPr>
              <w:cnfStyle w:val="000000000000" w:firstRow="0" w:lastRow="0" w:firstColumn="0" w:lastColumn="0" w:oddVBand="0" w:evenVBand="0" w:oddHBand="0" w:evenHBand="0" w:firstRowFirstColumn="0" w:firstRowLastColumn="0" w:lastRowFirstColumn="0" w:lastRowLastColumn="0"/>
            </w:pPr>
            <w:r>
              <w:t>13 761</w:t>
            </w:r>
          </w:p>
        </w:tc>
        <w:tc>
          <w:tcPr>
            <w:tcW w:w="850" w:type="dxa"/>
          </w:tcPr>
          <w:p w14:paraId="168B61BA" w14:textId="77777777" w:rsidR="00964B88" w:rsidRDefault="00964B88">
            <w:pPr>
              <w:cnfStyle w:val="000000000000" w:firstRow="0" w:lastRow="0" w:firstColumn="0" w:lastColumn="0" w:oddVBand="0" w:evenVBand="0" w:oddHBand="0" w:evenHBand="0" w:firstRowFirstColumn="0" w:firstRowLastColumn="0" w:lastRowFirstColumn="0" w:lastRowLastColumn="0"/>
            </w:pPr>
            <w:r>
              <w:t>14 886</w:t>
            </w:r>
          </w:p>
        </w:tc>
        <w:tc>
          <w:tcPr>
            <w:tcW w:w="850" w:type="dxa"/>
          </w:tcPr>
          <w:p w14:paraId="7C30D669" w14:textId="77777777" w:rsidR="00964B88" w:rsidRDefault="00964B88">
            <w:pPr>
              <w:cnfStyle w:val="000000000000" w:firstRow="0" w:lastRow="0" w:firstColumn="0" w:lastColumn="0" w:oddVBand="0" w:evenVBand="0" w:oddHBand="0" w:evenHBand="0" w:firstRowFirstColumn="0" w:firstRowLastColumn="0" w:lastRowFirstColumn="0" w:lastRowLastColumn="0"/>
            </w:pPr>
            <w:r>
              <w:t>14 995</w:t>
            </w:r>
          </w:p>
        </w:tc>
        <w:tc>
          <w:tcPr>
            <w:tcW w:w="850" w:type="dxa"/>
          </w:tcPr>
          <w:p w14:paraId="789E8309" w14:textId="77777777" w:rsidR="00964B88" w:rsidRDefault="00964B88">
            <w:pPr>
              <w:cnfStyle w:val="000000000000" w:firstRow="0" w:lastRow="0" w:firstColumn="0" w:lastColumn="0" w:oddVBand="0" w:evenVBand="0" w:oddHBand="0" w:evenHBand="0" w:firstRowFirstColumn="0" w:firstRowLastColumn="0" w:lastRowFirstColumn="0" w:lastRowLastColumn="0"/>
            </w:pPr>
            <w:r>
              <w:t>14 550</w:t>
            </w:r>
          </w:p>
        </w:tc>
      </w:tr>
      <w:tr w:rsidR="00964B88" w14:paraId="7022FF13" w14:textId="77777777">
        <w:tc>
          <w:tcPr>
            <w:cnfStyle w:val="001000000000" w:firstRow="0" w:lastRow="0" w:firstColumn="1" w:lastColumn="0" w:oddVBand="0" w:evenVBand="0" w:oddHBand="0" w:evenHBand="0" w:firstRowFirstColumn="0" w:firstRowLastColumn="0" w:lastRowFirstColumn="0" w:lastRowLastColumn="0"/>
            <w:tcW w:w="3518" w:type="dxa"/>
          </w:tcPr>
          <w:p w14:paraId="07E82D05" w14:textId="77777777" w:rsidR="00964B88" w:rsidRDefault="00964B88">
            <w:r>
              <w:t>Economic affairs</w:t>
            </w:r>
          </w:p>
        </w:tc>
        <w:tc>
          <w:tcPr>
            <w:tcW w:w="850" w:type="dxa"/>
          </w:tcPr>
          <w:p w14:paraId="7113C8B1" w14:textId="77777777" w:rsidR="00964B88" w:rsidRDefault="00964B88">
            <w:pPr>
              <w:cnfStyle w:val="000000000000" w:firstRow="0" w:lastRow="0" w:firstColumn="0" w:lastColumn="0" w:oddVBand="0" w:evenVBand="0" w:oddHBand="0" w:evenHBand="0" w:firstRowFirstColumn="0" w:firstRowLastColumn="0" w:lastRowFirstColumn="0" w:lastRowLastColumn="0"/>
            </w:pPr>
            <w:r>
              <w:t>1 265</w:t>
            </w:r>
          </w:p>
        </w:tc>
        <w:tc>
          <w:tcPr>
            <w:tcW w:w="850" w:type="dxa"/>
          </w:tcPr>
          <w:p w14:paraId="1F073121" w14:textId="77777777" w:rsidR="00964B88" w:rsidRDefault="00964B88">
            <w:pPr>
              <w:cnfStyle w:val="000000000000" w:firstRow="0" w:lastRow="0" w:firstColumn="0" w:lastColumn="0" w:oddVBand="0" w:evenVBand="0" w:oddHBand="0" w:evenHBand="0" w:firstRowFirstColumn="0" w:firstRowLastColumn="0" w:lastRowFirstColumn="0" w:lastRowLastColumn="0"/>
            </w:pPr>
            <w:r>
              <w:t>1 296</w:t>
            </w:r>
          </w:p>
        </w:tc>
        <w:tc>
          <w:tcPr>
            <w:tcW w:w="850" w:type="dxa"/>
          </w:tcPr>
          <w:p w14:paraId="71F47828" w14:textId="77777777" w:rsidR="00964B88" w:rsidRDefault="00964B88">
            <w:pPr>
              <w:cnfStyle w:val="000000000000" w:firstRow="0" w:lastRow="0" w:firstColumn="0" w:lastColumn="0" w:oddVBand="0" w:evenVBand="0" w:oddHBand="0" w:evenHBand="0" w:firstRowFirstColumn="0" w:firstRowLastColumn="0" w:lastRowFirstColumn="0" w:lastRowLastColumn="0"/>
            </w:pPr>
            <w:r>
              <w:t>2 493</w:t>
            </w:r>
          </w:p>
        </w:tc>
        <w:tc>
          <w:tcPr>
            <w:tcW w:w="850" w:type="dxa"/>
          </w:tcPr>
          <w:p w14:paraId="4AB28713" w14:textId="77777777" w:rsidR="00964B88" w:rsidRDefault="00964B88">
            <w:pPr>
              <w:cnfStyle w:val="000000000000" w:firstRow="0" w:lastRow="0" w:firstColumn="0" w:lastColumn="0" w:oddVBand="0" w:evenVBand="0" w:oddHBand="0" w:evenHBand="0" w:firstRowFirstColumn="0" w:firstRowLastColumn="0" w:lastRowFirstColumn="0" w:lastRowLastColumn="0"/>
            </w:pPr>
            <w:r>
              <w:t>2 438</w:t>
            </w:r>
          </w:p>
        </w:tc>
        <w:tc>
          <w:tcPr>
            <w:tcW w:w="850" w:type="dxa"/>
          </w:tcPr>
          <w:p w14:paraId="3DF4B726" w14:textId="77777777" w:rsidR="00964B88" w:rsidRDefault="00964B88">
            <w:pPr>
              <w:cnfStyle w:val="000000000000" w:firstRow="0" w:lastRow="0" w:firstColumn="0" w:lastColumn="0" w:oddVBand="0" w:evenVBand="0" w:oddHBand="0" w:evenHBand="0" w:firstRowFirstColumn="0" w:firstRowLastColumn="0" w:lastRowFirstColumn="0" w:lastRowLastColumn="0"/>
            </w:pPr>
            <w:r>
              <w:t>2 379</w:t>
            </w:r>
          </w:p>
        </w:tc>
      </w:tr>
      <w:tr w:rsidR="00964B88" w14:paraId="4693AD9D" w14:textId="77777777">
        <w:tc>
          <w:tcPr>
            <w:cnfStyle w:val="001000000000" w:firstRow="0" w:lastRow="0" w:firstColumn="1" w:lastColumn="0" w:oddVBand="0" w:evenVBand="0" w:oddHBand="0" w:evenHBand="0" w:firstRowFirstColumn="0" w:firstRowLastColumn="0" w:lastRowFirstColumn="0" w:lastRowLastColumn="0"/>
            <w:tcW w:w="3518" w:type="dxa"/>
          </w:tcPr>
          <w:p w14:paraId="09A066AE" w14:textId="77777777" w:rsidR="00964B88" w:rsidRDefault="00964B88">
            <w:r>
              <w:t>Environmental protection</w:t>
            </w:r>
          </w:p>
        </w:tc>
        <w:tc>
          <w:tcPr>
            <w:tcW w:w="850" w:type="dxa"/>
          </w:tcPr>
          <w:p w14:paraId="698FCE8A" w14:textId="77777777" w:rsidR="00964B88" w:rsidRDefault="00964B88">
            <w:pPr>
              <w:cnfStyle w:val="000000000000" w:firstRow="0" w:lastRow="0" w:firstColumn="0" w:lastColumn="0" w:oddVBand="0" w:evenVBand="0" w:oddHBand="0" w:evenHBand="0" w:firstRowFirstColumn="0" w:firstRowLastColumn="0" w:lastRowFirstColumn="0" w:lastRowLastColumn="0"/>
            </w:pPr>
            <w:r>
              <w:t>11 769</w:t>
            </w:r>
          </w:p>
        </w:tc>
        <w:tc>
          <w:tcPr>
            <w:tcW w:w="850" w:type="dxa"/>
          </w:tcPr>
          <w:p w14:paraId="4CF38037" w14:textId="77777777" w:rsidR="00964B88" w:rsidRDefault="00964B88">
            <w:pPr>
              <w:cnfStyle w:val="000000000000" w:firstRow="0" w:lastRow="0" w:firstColumn="0" w:lastColumn="0" w:oddVBand="0" w:evenVBand="0" w:oddHBand="0" w:evenHBand="0" w:firstRowFirstColumn="0" w:firstRowLastColumn="0" w:lastRowFirstColumn="0" w:lastRowLastColumn="0"/>
            </w:pPr>
            <w:r>
              <w:t>11 777</w:t>
            </w:r>
          </w:p>
        </w:tc>
        <w:tc>
          <w:tcPr>
            <w:tcW w:w="850" w:type="dxa"/>
          </w:tcPr>
          <w:p w14:paraId="348A9007" w14:textId="77777777" w:rsidR="00964B88" w:rsidRDefault="00964B88">
            <w:pPr>
              <w:cnfStyle w:val="000000000000" w:firstRow="0" w:lastRow="0" w:firstColumn="0" w:lastColumn="0" w:oddVBand="0" w:evenVBand="0" w:oddHBand="0" w:evenHBand="0" w:firstRowFirstColumn="0" w:firstRowLastColumn="0" w:lastRowFirstColumn="0" w:lastRowLastColumn="0"/>
            </w:pPr>
            <w:r>
              <w:t>11 823</w:t>
            </w:r>
          </w:p>
        </w:tc>
        <w:tc>
          <w:tcPr>
            <w:tcW w:w="850" w:type="dxa"/>
          </w:tcPr>
          <w:p w14:paraId="42C43269" w14:textId="77777777" w:rsidR="00964B88" w:rsidRDefault="00964B88">
            <w:pPr>
              <w:cnfStyle w:val="000000000000" w:firstRow="0" w:lastRow="0" w:firstColumn="0" w:lastColumn="0" w:oddVBand="0" w:evenVBand="0" w:oddHBand="0" w:evenHBand="0" w:firstRowFirstColumn="0" w:firstRowLastColumn="0" w:lastRowFirstColumn="0" w:lastRowLastColumn="0"/>
            </w:pPr>
            <w:r>
              <w:t>11 797</w:t>
            </w:r>
          </w:p>
        </w:tc>
        <w:tc>
          <w:tcPr>
            <w:tcW w:w="850" w:type="dxa"/>
          </w:tcPr>
          <w:p w14:paraId="7BCEC620" w14:textId="77777777" w:rsidR="00964B88" w:rsidRDefault="00964B88">
            <w:pPr>
              <w:cnfStyle w:val="000000000000" w:firstRow="0" w:lastRow="0" w:firstColumn="0" w:lastColumn="0" w:oddVBand="0" w:evenVBand="0" w:oddHBand="0" w:evenHBand="0" w:firstRowFirstColumn="0" w:firstRowLastColumn="0" w:lastRowFirstColumn="0" w:lastRowLastColumn="0"/>
            </w:pPr>
            <w:r>
              <w:t>11 780</w:t>
            </w:r>
          </w:p>
        </w:tc>
      </w:tr>
      <w:tr w:rsidR="00964B88" w14:paraId="4D6E9D33" w14:textId="77777777">
        <w:tc>
          <w:tcPr>
            <w:cnfStyle w:val="001000000000" w:firstRow="0" w:lastRow="0" w:firstColumn="1" w:lastColumn="0" w:oddVBand="0" w:evenVBand="0" w:oddHBand="0" w:evenHBand="0" w:firstRowFirstColumn="0" w:firstRowLastColumn="0" w:lastRowFirstColumn="0" w:lastRowLastColumn="0"/>
            <w:tcW w:w="3518" w:type="dxa"/>
          </w:tcPr>
          <w:p w14:paraId="2A7840C5" w14:textId="77777777" w:rsidR="00964B88" w:rsidRDefault="00964B88">
            <w:r>
              <w:t>Housing and community amenities</w:t>
            </w:r>
          </w:p>
        </w:tc>
        <w:tc>
          <w:tcPr>
            <w:tcW w:w="850" w:type="dxa"/>
          </w:tcPr>
          <w:p w14:paraId="62598C26" w14:textId="77777777" w:rsidR="00964B88" w:rsidRDefault="00964B88">
            <w:pPr>
              <w:cnfStyle w:val="000000000000" w:firstRow="0" w:lastRow="0" w:firstColumn="0" w:lastColumn="0" w:oddVBand="0" w:evenVBand="0" w:oddHBand="0" w:evenHBand="0" w:firstRowFirstColumn="0" w:firstRowLastColumn="0" w:lastRowFirstColumn="0" w:lastRowLastColumn="0"/>
            </w:pPr>
            <w:r>
              <w:t>2 198</w:t>
            </w:r>
          </w:p>
        </w:tc>
        <w:tc>
          <w:tcPr>
            <w:tcW w:w="850" w:type="dxa"/>
          </w:tcPr>
          <w:p w14:paraId="20626BB1" w14:textId="77777777" w:rsidR="00964B88" w:rsidRDefault="00964B88">
            <w:pPr>
              <w:cnfStyle w:val="000000000000" w:firstRow="0" w:lastRow="0" w:firstColumn="0" w:lastColumn="0" w:oddVBand="0" w:evenVBand="0" w:oddHBand="0" w:evenHBand="0" w:firstRowFirstColumn="0" w:firstRowLastColumn="0" w:lastRowFirstColumn="0" w:lastRowLastColumn="0"/>
            </w:pPr>
            <w:r>
              <w:t>2 202</w:t>
            </w:r>
          </w:p>
        </w:tc>
        <w:tc>
          <w:tcPr>
            <w:tcW w:w="850" w:type="dxa"/>
          </w:tcPr>
          <w:p w14:paraId="7ACA2FA0" w14:textId="77777777" w:rsidR="00964B88" w:rsidRDefault="00964B88">
            <w:pPr>
              <w:cnfStyle w:val="000000000000" w:firstRow="0" w:lastRow="0" w:firstColumn="0" w:lastColumn="0" w:oddVBand="0" w:evenVBand="0" w:oddHBand="0" w:evenHBand="0" w:firstRowFirstColumn="0" w:firstRowLastColumn="0" w:lastRowFirstColumn="0" w:lastRowLastColumn="0"/>
            </w:pPr>
            <w:r>
              <w:t>3 740</w:t>
            </w:r>
          </w:p>
        </w:tc>
        <w:tc>
          <w:tcPr>
            <w:tcW w:w="850" w:type="dxa"/>
          </w:tcPr>
          <w:p w14:paraId="39921485" w14:textId="77777777" w:rsidR="00964B88" w:rsidRDefault="00964B88">
            <w:pPr>
              <w:cnfStyle w:val="000000000000" w:firstRow="0" w:lastRow="0" w:firstColumn="0" w:lastColumn="0" w:oddVBand="0" w:evenVBand="0" w:oddHBand="0" w:evenHBand="0" w:firstRowFirstColumn="0" w:firstRowLastColumn="0" w:lastRowFirstColumn="0" w:lastRowLastColumn="0"/>
            </w:pPr>
            <w:r>
              <w:t>3 861</w:t>
            </w:r>
          </w:p>
        </w:tc>
        <w:tc>
          <w:tcPr>
            <w:tcW w:w="850" w:type="dxa"/>
          </w:tcPr>
          <w:p w14:paraId="342A14D9" w14:textId="77777777" w:rsidR="00964B88" w:rsidRDefault="00964B88">
            <w:pPr>
              <w:cnfStyle w:val="000000000000" w:firstRow="0" w:lastRow="0" w:firstColumn="0" w:lastColumn="0" w:oddVBand="0" w:evenVBand="0" w:oddHBand="0" w:evenHBand="0" w:firstRowFirstColumn="0" w:firstRowLastColumn="0" w:lastRowFirstColumn="0" w:lastRowLastColumn="0"/>
            </w:pPr>
            <w:r>
              <w:t>3 877</w:t>
            </w:r>
          </w:p>
        </w:tc>
      </w:tr>
      <w:tr w:rsidR="00964B88" w14:paraId="2F4B1DE9" w14:textId="77777777">
        <w:tc>
          <w:tcPr>
            <w:cnfStyle w:val="001000000000" w:firstRow="0" w:lastRow="0" w:firstColumn="1" w:lastColumn="0" w:oddVBand="0" w:evenVBand="0" w:oddHBand="0" w:evenHBand="0" w:firstRowFirstColumn="0" w:firstRowLastColumn="0" w:lastRowFirstColumn="0" w:lastRowLastColumn="0"/>
            <w:tcW w:w="3518" w:type="dxa"/>
          </w:tcPr>
          <w:p w14:paraId="27919B99" w14:textId="77777777" w:rsidR="00964B88" w:rsidRDefault="00964B88">
            <w:r>
              <w:t>Health</w:t>
            </w:r>
          </w:p>
        </w:tc>
        <w:tc>
          <w:tcPr>
            <w:tcW w:w="850" w:type="dxa"/>
          </w:tcPr>
          <w:p w14:paraId="180B0FE8" w14:textId="77777777" w:rsidR="00964B88" w:rsidRDefault="00964B88">
            <w:pPr>
              <w:cnfStyle w:val="000000000000" w:firstRow="0" w:lastRow="0" w:firstColumn="0" w:lastColumn="0" w:oddVBand="0" w:evenVBand="0" w:oddHBand="0" w:evenHBand="0" w:firstRowFirstColumn="0" w:firstRowLastColumn="0" w:lastRowFirstColumn="0" w:lastRowLastColumn="0"/>
            </w:pPr>
            <w:r>
              <w:t>20 010</w:t>
            </w:r>
          </w:p>
        </w:tc>
        <w:tc>
          <w:tcPr>
            <w:tcW w:w="850" w:type="dxa"/>
          </w:tcPr>
          <w:p w14:paraId="7B6DEA27" w14:textId="77777777" w:rsidR="00964B88" w:rsidRDefault="00964B88">
            <w:pPr>
              <w:cnfStyle w:val="000000000000" w:firstRow="0" w:lastRow="0" w:firstColumn="0" w:lastColumn="0" w:oddVBand="0" w:evenVBand="0" w:oddHBand="0" w:evenHBand="0" w:firstRowFirstColumn="0" w:firstRowLastColumn="0" w:lastRowFirstColumn="0" w:lastRowLastColumn="0"/>
            </w:pPr>
            <w:r>
              <w:t>20 044</w:t>
            </w:r>
          </w:p>
        </w:tc>
        <w:tc>
          <w:tcPr>
            <w:tcW w:w="850" w:type="dxa"/>
          </w:tcPr>
          <w:p w14:paraId="42BCE72F" w14:textId="77777777" w:rsidR="00964B88" w:rsidRDefault="00964B88">
            <w:pPr>
              <w:cnfStyle w:val="000000000000" w:firstRow="0" w:lastRow="0" w:firstColumn="0" w:lastColumn="0" w:oddVBand="0" w:evenVBand="0" w:oddHBand="0" w:evenHBand="0" w:firstRowFirstColumn="0" w:firstRowLastColumn="0" w:lastRowFirstColumn="0" w:lastRowLastColumn="0"/>
            </w:pPr>
            <w:r>
              <w:t>19 998</w:t>
            </w:r>
          </w:p>
        </w:tc>
        <w:tc>
          <w:tcPr>
            <w:tcW w:w="850" w:type="dxa"/>
          </w:tcPr>
          <w:p w14:paraId="63FDCA38" w14:textId="77777777" w:rsidR="00964B88" w:rsidRDefault="00964B88">
            <w:pPr>
              <w:cnfStyle w:val="000000000000" w:firstRow="0" w:lastRow="0" w:firstColumn="0" w:lastColumn="0" w:oddVBand="0" w:evenVBand="0" w:oddHBand="0" w:evenHBand="0" w:firstRowFirstColumn="0" w:firstRowLastColumn="0" w:lastRowFirstColumn="0" w:lastRowLastColumn="0"/>
            </w:pPr>
            <w:r>
              <w:t>20 395</w:t>
            </w:r>
          </w:p>
        </w:tc>
        <w:tc>
          <w:tcPr>
            <w:tcW w:w="850" w:type="dxa"/>
          </w:tcPr>
          <w:p w14:paraId="1A439F83" w14:textId="77777777" w:rsidR="00964B88" w:rsidRDefault="00964B88">
            <w:pPr>
              <w:cnfStyle w:val="000000000000" w:firstRow="0" w:lastRow="0" w:firstColumn="0" w:lastColumn="0" w:oddVBand="0" w:evenVBand="0" w:oddHBand="0" w:evenHBand="0" w:firstRowFirstColumn="0" w:firstRowLastColumn="0" w:lastRowFirstColumn="0" w:lastRowLastColumn="0"/>
            </w:pPr>
            <w:r>
              <w:t>20 280</w:t>
            </w:r>
          </w:p>
        </w:tc>
      </w:tr>
      <w:tr w:rsidR="00964B88" w14:paraId="0E6DED2D" w14:textId="77777777">
        <w:tc>
          <w:tcPr>
            <w:cnfStyle w:val="001000000000" w:firstRow="0" w:lastRow="0" w:firstColumn="1" w:lastColumn="0" w:oddVBand="0" w:evenVBand="0" w:oddHBand="0" w:evenHBand="0" w:firstRowFirstColumn="0" w:firstRowLastColumn="0" w:lastRowFirstColumn="0" w:lastRowLastColumn="0"/>
            <w:tcW w:w="3518" w:type="dxa"/>
          </w:tcPr>
          <w:p w14:paraId="6FC74BC2" w14:textId="77777777" w:rsidR="00964B88" w:rsidRDefault="00964B88">
            <w:r>
              <w:t>Recreation, culture and religion</w:t>
            </w:r>
          </w:p>
        </w:tc>
        <w:tc>
          <w:tcPr>
            <w:tcW w:w="850" w:type="dxa"/>
          </w:tcPr>
          <w:p w14:paraId="4BB242B1" w14:textId="77777777" w:rsidR="00964B88" w:rsidRDefault="00964B88">
            <w:pPr>
              <w:cnfStyle w:val="000000000000" w:firstRow="0" w:lastRow="0" w:firstColumn="0" w:lastColumn="0" w:oddVBand="0" w:evenVBand="0" w:oddHBand="0" w:evenHBand="0" w:firstRowFirstColumn="0" w:firstRowLastColumn="0" w:lastRowFirstColumn="0" w:lastRowLastColumn="0"/>
            </w:pPr>
            <w:r>
              <w:t>7 683</w:t>
            </w:r>
          </w:p>
        </w:tc>
        <w:tc>
          <w:tcPr>
            <w:tcW w:w="850" w:type="dxa"/>
          </w:tcPr>
          <w:p w14:paraId="10B56BD3" w14:textId="77777777" w:rsidR="00964B88" w:rsidRDefault="00964B88">
            <w:pPr>
              <w:cnfStyle w:val="000000000000" w:firstRow="0" w:lastRow="0" w:firstColumn="0" w:lastColumn="0" w:oddVBand="0" w:evenVBand="0" w:oddHBand="0" w:evenHBand="0" w:firstRowFirstColumn="0" w:firstRowLastColumn="0" w:lastRowFirstColumn="0" w:lastRowLastColumn="0"/>
            </w:pPr>
            <w:r>
              <w:t>7 680</w:t>
            </w:r>
          </w:p>
        </w:tc>
        <w:tc>
          <w:tcPr>
            <w:tcW w:w="850" w:type="dxa"/>
          </w:tcPr>
          <w:p w14:paraId="1AF64A3B" w14:textId="77777777" w:rsidR="00964B88" w:rsidRDefault="00964B88">
            <w:pPr>
              <w:cnfStyle w:val="000000000000" w:firstRow="0" w:lastRow="0" w:firstColumn="0" w:lastColumn="0" w:oddVBand="0" w:evenVBand="0" w:oddHBand="0" w:evenHBand="0" w:firstRowFirstColumn="0" w:firstRowLastColumn="0" w:lastRowFirstColumn="0" w:lastRowLastColumn="0"/>
            </w:pPr>
            <w:r>
              <w:t>7 735</w:t>
            </w:r>
          </w:p>
        </w:tc>
        <w:tc>
          <w:tcPr>
            <w:tcW w:w="850" w:type="dxa"/>
          </w:tcPr>
          <w:p w14:paraId="758A8555" w14:textId="77777777" w:rsidR="00964B88" w:rsidRDefault="00964B88">
            <w:pPr>
              <w:cnfStyle w:val="000000000000" w:firstRow="0" w:lastRow="0" w:firstColumn="0" w:lastColumn="0" w:oddVBand="0" w:evenVBand="0" w:oddHBand="0" w:evenHBand="0" w:firstRowFirstColumn="0" w:firstRowLastColumn="0" w:lastRowFirstColumn="0" w:lastRowLastColumn="0"/>
            </w:pPr>
            <w:r>
              <w:t>7 800</w:t>
            </w:r>
          </w:p>
        </w:tc>
        <w:tc>
          <w:tcPr>
            <w:tcW w:w="850" w:type="dxa"/>
          </w:tcPr>
          <w:p w14:paraId="5E2A0E28" w14:textId="77777777" w:rsidR="00964B88" w:rsidRDefault="00964B88">
            <w:pPr>
              <w:cnfStyle w:val="000000000000" w:firstRow="0" w:lastRow="0" w:firstColumn="0" w:lastColumn="0" w:oddVBand="0" w:evenVBand="0" w:oddHBand="0" w:evenHBand="0" w:firstRowFirstColumn="0" w:firstRowLastColumn="0" w:lastRowFirstColumn="0" w:lastRowLastColumn="0"/>
            </w:pPr>
            <w:r>
              <w:t>7 771</w:t>
            </w:r>
          </w:p>
        </w:tc>
      </w:tr>
      <w:tr w:rsidR="00964B88" w14:paraId="2B093D6E" w14:textId="77777777">
        <w:tc>
          <w:tcPr>
            <w:cnfStyle w:val="001000000000" w:firstRow="0" w:lastRow="0" w:firstColumn="1" w:lastColumn="0" w:oddVBand="0" w:evenVBand="0" w:oddHBand="0" w:evenHBand="0" w:firstRowFirstColumn="0" w:firstRowLastColumn="0" w:lastRowFirstColumn="0" w:lastRowLastColumn="0"/>
            <w:tcW w:w="3518" w:type="dxa"/>
          </w:tcPr>
          <w:p w14:paraId="2A308641" w14:textId="77777777" w:rsidR="00964B88" w:rsidRDefault="00964B88">
            <w:r>
              <w:t>Education</w:t>
            </w:r>
          </w:p>
        </w:tc>
        <w:tc>
          <w:tcPr>
            <w:tcW w:w="850" w:type="dxa"/>
          </w:tcPr>
          <w:p w14:paraId="229B3A37" w14:textId="77777777" w:rsidR="00964B88" w:rsidRDefault="00964B88">
            <w:pPr>
              <w:cnfStyle w:val="000000000000" w:firstRow="0" w:lastRow="0" w:firstColumn="0" w:lastColumn="0" w:oddVBand="0" w:evenVBand="0" w:oddHBand="0" w:evenHBand="0" w:firstRowFirstColumn="0" w:firstRowLastColumn="0" w:lastRowFirstColumn="0" w:lastRowLastColumn="0"/>
            </w:pPr>
            <w:r>
              <w:t>28 442</w:t>
            </w:r>
          </w:p>
        </w:tc>
        <w:tc>
          <w:tcPr>
            <w:tcW w:w="850" w:type="dxa"/>
          </w:tcPr>
          <w:p w14:paraId="38151836" w14:textId="77777777" w:rsidR="00964B88" w:rsidRDefault="00964B88">
            <w:pPr>
              <w:cnfStyle w:val="000000000000" w:firstRow="0" w:lastRow="0" w:firstColumn="0" w:lastColumn="0" w:oddVBand="0" w:evenVBand="0" w:oddHBand="0" w:evenHBand="0" w:firstRowFirstColumn="0" w:firstRowLastColumn="0" w:lastRowFirstColumn="0" w:lastRowLastColumn="0"/>
            </w:pPr>
            <w:r>
              <w:t>28 510</w:t>
            </w:r>
          </w:p>
        </w:tc>
        <w:tc>
          <w:tcPr>
            <w:tcW w:w="850" w:type="dxa"/>
          </w:tcPr>
          <w:p w14:paraId="1C4EAD5B" w14:textId="77777777" w:rsidR="00964B88" w:rsidRDefault="00964B88">
            <w:pPr>
              <w:cnfStyle w:val="000000000000" w:firstRow="0" w:lastRow="0" w:firstColumn="0" w:lastColumn="0" w:oddVBand="0" w:evenVBand="0" w:oddHBand="0" w:evenHBand="0" w:firstRowFirstColumn="0" w:firstRowLastColumn="0" w:lastRowFirstColumn="0" w:lastRowLastColumn="0"/>
            </w:pPr>
            <w:r>
              <w:t>30 797</w:t>
            </w:r>
          </w:p>
        </w:tc>
        <w:tc>
          <w:tcPr>
            <w:tcW w:w="850" w:type="dxa"/>
          </w:tcPr>
          <w:p w14:paraId="115D3874" w14:textId="77777777" w:rsidR="00964B88" w:rsidRDefault="00964B88">
            <w:pPr>
              <w:cnfStyle w:val="000000000000" w:firstRow="0" w:lastRow="0" w:firstColumn="0" w:lastColumn="0" w:oddVBand="0" w:evenVBand="0" w:oddHBand="0" w:evenHBand="0" w:firstRowFirstColumn="0" w:firstRowLastColumn="0" w:lastRowFirstColumn="0" w:lastRowLastColumn="0"/>
            </w:pPr>
            <w:r>
              <w:t>33 348</w:t>
            </w:r>
          </w:p>
        </w:tc>
        <w:tc>
          <w:tcPr>
            <w:tcW w:w="850" w:type="dxa"/>
          </w:tcPr>
          <w:p w14:paraId="404B7D0D" w14:textId="77777777" w:rsidR="00964B88" w:rsidRDefault="00964B88">
            <w:pPr>
              <w:cnfStyle w:val="000000000000" w:firstRow="0" w:lastRow="0" w:firstColumn="0" w:lastColumn="0" w:oddVBand="0" w:evenVBand="0" w:oddHBand="0" w:evenHBand="0" w:firstRowFirstColumn="0" w:firstRowLastColumn="0" w:lastRowFirstColumn="0" w:lastRowLastColumn="0"/>
            </w:pPr>
            <w:r>
              <w:t>37 193</w:t>
            </w:r>
          </w:p>
        </w:tc>
      </w:tr>
      <w:tr w:rsidR="00964B88" w14:paraId="5DF33F58" w14:textId="77777777">
        <w:tc>
          <w:tcPr>
            <w:cnfStyle w:val="001000000000" w:firstRow="0" w:lastRow="0" w:firstColumn="1" w:lastColumn="0" w:oddVBand="0" w:evenVBand="0" w:oddHBand="0" w:evenHBand="0" w:firstRowFirstColumn="0" w:firstRowLastColumn="0" w:lastRowFirstColumn="0" w:lastRowLastColumn="0"/>
            <w:tcW w:w="3518" w:type="dxa"/>
          </w:tcPr>
          <w:p w14:paraId="1C867968" w14:textId="77777777" w:rsidR="00964B88" w:rsidRDefault="00964B88">
            <w:r>
              <w:t>Social protection</w:t>
            </w:r>
          </w:p>
        </w:tc>
        <w:tc>
          <w:tcPr>
            <w:tcW w:w="850" w:type="dxa"/>
          </w:tcPr>
          <w:p w14:paraId="6DEC5974" w14:textId="77777777" w:rsidR="00964B88" w:rsidRDefault="00964B88">
            <w:pPr>
              <w:cnfStyle w:val="000000000000" w:firstRow="0" w:lastRow="0" w:firstColumn="0" w:lastColumn="0" w:oddVBand="0" w:evenVBand="0" w:oddHBand="0" w:evenHBand="0" w:firstRowFirstColumn="0" w:firstRowLastColumn="0" w:lastRowFirstColumn="0" w:lastRowLastColumn="0"/>
            </w:pPr>
            <w:r>
              <w:t>2 361</w:t>
            </w:r>
          </w:p>
        </w:tc>
        <w:tc>
          <w:tcPr>
            <w:tcW w:w="850" w:type="dxa"/>
          </w:tcPr>
          <w:p w14:paraId="1F30ACB5" w14:textId="77777777" w:rsidR="00964B88" w:rsidRDefault="00964B88">
            <w:pPr>
              <w:cnfStyle w:val="000000000000" w:firstRow="0" w:lastRow="0" w:firstColumn="0" w:lastColumn="0" w:oddVBand="0" w:evenVBand="0" w:oddHBand="0" w:evenHBand="0" w:firstRowFirstColumn="0" w:firstRowLastColumn="0" w:lastRowFirstColumn="0" w:lastRowLastColumn="0"/>
            </w:pPr>
            <w:r>
              <w:t>2 378</w:t>
            </w:r>
          </w:p>
        </w:tc>
        <w:tc>
          <w:tcPr>
            <w:tcW w:w="850" w:type="dxa"/>
          </w:tcPr>
          <w:p w14:paraId="295E4F15" w14:textId="77777777" w:rsidR="00964B88" w:rsidRDefault="00964B88">
            <w:pPr>
              <w:cnfStyle w:val="000000000000" w:firstRow="0" w:lastRow="0" w:firstColumn="0" w:lastColumn="0" w:oddVBand="0" w:evenVBand="0" w:oddHBand="0" w:evenHBand="0" w:firstRowFirstColumn="0" w:firstRowLastColumn="0" w:lastRowFirstColumn="0" w:lastRowLastColumn="0"/>
            </w:pPr>
            <w:r>
              <w:t>2 369</w:t>
            </w:r>
          </w:p>
        </w:tc>
        <w:tc>
          <w:tcPr>
            <w:tcW w:w="850" w:type="dxa"/>
          </w:tcPr>
          <w:p w14:paraId="220C9C5E" w14:textId="77777777" w:rsidR="00964B88" w:rsidRDefault="00964B88">
            <w:pPr>
              <w:cnfStyle w:val="000000000000" w:firstRow="0" w:lastRow="0" w:firstColumn="0" w:lastColumn="0" w:oddVBand="0" w:evenVBand="0" w:oddHBand="0" w:evenHBand="0" w:firstRowFirstColumn="0" w:firstRowLastColumn="0" w:lastRowFirstColumn="0" w:lastRowLastColumn="0"/>
            </w:pPr>
            <w:r>
              <w:t>2 359</w:t>
            </w:r>
          </w:p>
        </w:tc>
        <w:tc>
          <w:tcPr>
            <w:tcW w:w="850" w:type="dxa"/>
          </w:tcPr>
          <w:p w14:paraId="58D77D6A" w14:textId="77777777" w:rsidR="00964B88" w:rsidRDefault="00964B88">
            <w:pPr>
              <w:cnfStyle w:val="000000000000" w:firstRow="0" w:lastRow="0" w:firstColumn="0" w:lastColumn="0" w:oddVBand="0" w:evenVBand="0" w:oddHBand="0" w:evenHBand="0" w:firstRowFirstColumn="0" w:firstRowLastColumn="0" w:lastRowFirstColumn="0" w:lastRowLastColumn="0"/>
            </w:pPr>
            <w:r>
              <w:t>2 305</w:t>
            </w:r>
          </w:p>
        </w:tc>
      </w:tr>
      <w:tr w:rsidR="00964B88" w14:paraId="43281906" w14:textId="77777777">
        <w:tc>
          <w:tcPr>
            <w:cnfStyle w:val="001000000000" w:firstRow="0" w:lastRow="0" w:firstColumn="1" w:lastColumn="0" w:oddVBand="0" w:evenVBand="0" w:oddHBand="0" w:evenHBand="0" w:firstRowFirstColumn="0" w:firstRowLastColumn="0" w:lastRowFirstColumn="0" w:lastRowLastColumn="0"/>
            <w:tcW w:w="3518" w:type="dxa"/>
          </w:tcPr>
          <w:p w14:paraId="57D20C20" w14:textId="77777777" w:rsidR="00964B88" w:rsidRDefault="00964B88">
            <w:r>
              <w:t>Transport</w:t>
            </w:r>
          </w:p>
        </w:tc>
        <w:tc>
          <w:tcPr>
            <w:tcW w:w="850" w:type="dxa"/>
          </w:tcPr>
          <w:p w14:paraId="30281CD0" w14:textId="77777777" w:rsidR="00964B88" w:rsidRDefault="00964B88">
            <w:pPr>
              <w:cnfStyle w:val="000000000000" w:firstRow="0" w:lastRow="0" w:firstColumn="0" w:lastColumn="0" w:oddVBand="0" w:evenVBand="0" w:oddHBand="0" w:evenHBand="0" w:firstRowFirstColumn="0" w:firstRowLastColumn="0" w:lastRowFirstColumn="0" w:lastRowLastColumn="0"/>
            </w:pPr>
            <w:r>
              <w:t>81 646</w:t>
            </w:r>
          </w:p>
        </w:tc>
        <w:tc>
          <w:tcPr>
            <w:tcW w:w="850" w:type="dxa"/>
          </w:tcPr>
          <w:p w14:paraId="0DE634B4" w14:textId="77777777" w:rsidR="00964B88" w:rsidRDefault="00964B88">
            <w:pPr>
              <w:cnfStyle w:val="000000000000" w:firstRow="0" w:lastRow="0" w:firstColumn="0" w:lastColumn="0" w:oddVBand="0" w:evenVBand="0" w:oddHBand="0" w:evenHBand="0" w:firstRowFirstColumn="0" w:firstRowLastColumn="0" w:lastRowFirstColumn="0" w:lastRowLastColumn="0"/>
            </w:pPr>
            <w:r>
              <w:t>82 541</w:t>
            </w:r>
          </w:p>
        </w:tc>
        <w:tc>
          <w:tcPr>
            <w:tcW w:w="850" w:type="dxa"/>
          </w:tcPr>
          <w:p w14:paraId="53808866" w14:textId="77777777" w:rsidR="00964B88" w:rsidRDefault="00964B88">
            <w:pPr>
              <w:cnfStyle w:val="000000000000" w:firstRow="0" w:lastRow="0" w:firstColumn="0" w:lastColumn="0" w:oddVBand="0" w:evenVBand="0" w:oddHBand="0" w:evenHBand="0" w:firstRowFirstColumn="0" w:firstRowLastColumn="0" w:lastRowFirstColumn="0" w:lastRowLastColumn="0"/>
            </w:pPr>
            <w:r>
              <w:t>88 663</w:t>
            </w:r>
          </w:p>
        </w:tc>
        <w:tc>
          <w:tcPr>
            <w:tcW w:w="850" w:type="dxa"/>
          </w:tcPr>
          <w:p w14:paraId="04FD94F0" w14:textId="77777777" w:rsidR="00964B88" w:rsidRDefault="00964B88">
            <w:pPr>
              <w:cnfStyle w:val="000000000000" w:firstRow="0" w:lastRow="0" w:firstColumn="0" w:lastColumn="0" w:oddVBand="0" w:evenVBand="0" w:oddHBand="0" w:evenHBand="0" w:firstRowFirstColumn="0" w:firstRowLastColumn="0" w:lastRowFirstColumn="0" w:lastRowLastColumn="0"/>
            </w:pPr>
            <w:r>
              <w:t>93 050</w:t>
            </w:r>
          </w:p>
        </w:tc>
        <w:tc>
          <w:tcPr>
            <w:tcW w:w="850" w:type="dxa"/>
          </w:tcPr>
          <w:p w14:paraId="0F477389" w14:textId="77777777" w:rsidR="00964B88" w:rsidRDefault="00964B88">
            <w:pPr>
              <w:cnfStyle w:val="000000000000" w:firstRow="0" w:lastRow="0" w:firstColumn="0" w:lastColumn="0" w:oddVBand="0" w:evenVBand="0" w:oddHBand="0" w:evenHBand="0" w:firstRowFirstColumn="0" w:firstRowLastColumn="0" w:lastRowFirstColumn="0" w:lastRowLastColumn="0"/>
            </w:pPr>
            <w:r>
              <w:t>97 494</w:t>
            </w:r>
          </w:p>
        </w:tc>
      </w:tr>
      <w:tr w:rsidR="00964B88" w14:paraId="17F44DC6"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7454D53E" w14:textId="77777777" w:rsidR="00964B88" w:rsidRDefault="00964B88">
            <w:r>
              <w:t>Not allocated by purpose</w:t>
            </w:r>
            <w:r>
              <w:rPr>
                <w:vertAlign w:val="superscript"/>
              </w:rPr>
              <w:t xml:space="preserve"> (a)</w:t>
            </w:r>
          </w:p>
        </w:tc>
        <w:tc>
          <w:tcPr>
            <w:tcW w:w="850" w:type="dxa"/>
            <w:tcBorders>
              <w:bottom w:val="single" w:sz="6" w:space="0" w:color="auto"/>
            </w:tcBorders>
          </w:tcPr>
          <w:p w14:paraId="75859219" w14:textId="77777777" w:rsidR="00964B88" w:rsidRDefault="00964B88">
            <w:pPr>
              <w:cnfStyle w:val="000000000000" w:firstRow="0" w:lastRow="0" w:firstColumn="0" w:lastColumn="0" w:oddVBand="0" w:evenVBand="0" w:oddHBand="0" w:evenHBand="0" w:firstRowFirstColumn="0" w:firstRowLastColumn="0" w:lastRowFirstColumn="0" w:lastRowLastColumn="0"/>
            </w:pPr>
            <w:r>
              <w:t>129 220</w:t>
            </w:r>
          </w:p>
        </w:tc>
        <w:tc>
          <w:tcPr>
            <w:tcW w:w="850" w:type="dxa"/>
            <w:tcBorders>
              <w:bottom w:val="single" w:sz="6" w:space="0" w:color="auto"/>
            </w:tcBorders>
          </w:tcPr>
          <w:p w14:paraId="2042BC8C" w14:textId="77777777" w:rsidR="00964B88" w:rsidRDefault="00964B88">
            <w:pPr>
              <w:cnfStyle w:val="000000000000" w:firstRow="0" w:lastRow="0" w:firstColumn="0" w:lastColumn="0" w:oddVBand="0" w:evenVBand="0" w:oddHBand="0" w:evenHBand="0" w:firstRowFirstColumn="0" w:firstRowLastColumn="0" w:lastRowFirstColumn="0" w:lastRowLastColumn="0"/>
            </w:pPr>
            <w:r>
              <w:t>126 848</w:t>
            </w:r>
          </w:p>
        </w:tc>
        <w:tc>
          <w:tcPr>
            <w:tcW w:w="850" w:type="dxa"/>
            <w:tcBorders>
              <w:bottom w:val="single" w:sz="6" w:space="0" w:color="auto"/>
            </w:tcBorders>
          </w:tcPr>
          <w:p w14:paraId="3B481D41" w14:textId="77777777" w:rsidR="00964B88" w:rsidRDefault="00964B88">
            <w:pPr>
              <w:cnfStyle w:val="000000000000" w:firstRow="0" w:lastRow="0" w:firstColumn="0" w:lastColumn="0" w:oddVBand="0" w:evenVBand="0" w:oddHBand="0" w:evenHBand="0" w:firstRowFirstColumn="0" w:firstRowLastColumn="0" w:lastRowFirstColumn="0" w:lastRowLastColumn="0"/>
            </w:pPr>
            <w:r>
              <w:t>129 702</w:t>
            </w:r>
          </w:p>
        </w:tc>
        <w:tc>
          <w:tcPr>
            <w:tcW w:w="850" w:type="dxa"/>
            <w:tcBorders>
              <w:bottom w:val="single" w:sz="6" w:space="0" w:color="auto"/>
            </w:tcBorders>
          </w:tcPr>
          <w:p w14:paraId="58970AA6" w14:textId="77777777" w:rsidR="00964B88" w:rsidRDefault="00964B88">
            <w:pPr>
              <w:cnfStyle w:val="000000000000" w:firstRow="0" w:lastRow="0" w:firstColumn="0" w:lastColumn="0" w:oddVBand="0" w:evenVBand="0" w:oddHBand="0" w:evenHBand="0" w:firstRowFirstColumn="0" w:firstRowLastColumn="0" w:lastRowFirstColumn="0" w:lastRowLastColumn="0"/>
            </w:pPr>
            <w:r>
              <w:t>133 514</w:t>
            </w:r>
          </w:p>
        </w:tc>
        <w:tc>
          <w:tcPr>
            <w:tcW w:w="850" w:type="dxa"/>
            <w:tcBorders>
              <w:bottom w:val="single" w:sz="6" w:space="0" w:color="auto"/>
            </w:tcBorders>
          </w:tcPr>
          <w:p w14:paraId="35805972" w14:textId="77777777" w:rsidR="00964B88" w:rsidRDefault="00964B88">
            <w:pPr>
              <w:cnfStyle w:val="000000000000" w:firstRow="0" w:lastRow="0" w:firstColumn="0" w:lastColumn="0" w:oddVBand="0" w:evenVBand="0" w:oddHBand="0" w:evenHBand="0" w:firstRowFirstColumn="0" w:firstRowLastColumn="0" w:lastRowFirstColumn="0" w:lastRowLastColumn="0"/>
            </w:pPr>
            <w:r>
              <w:t>138 450</w:t>
            </w:r>
          </w:p>
        </w:tc>
      </w:tr>
      <w:tr w:rsidR="00964B88" w14:paraId="7850AA6F"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125852DD" w14:textId="77777777" w:rsidR="00964B88" w:rsidRDefault="00964B88">
            <w:r>
              <w:t>Total assets by the classification of government</w:t>
            </w:r>
          </w:p>
        </w:tc>
        <w:tc>
          <w:tcPr>
            <w:tcW w:w="850" w:type="dxa"/>
          </w:tcPr>
          <w:p w14:paraId="616FA906" w14:textId="77777777" w:rsidR="00964B88" w:rsidRDefault="00964B88">
            <w:pPr>
              <w:cnfStyle w:val="010000000000" w:firstRow="0" w:lastRow="1" w:firstColumn="0" w:lastColumn="0" w:oddVBand="0" w:evenVBand="0" w:oddHBand="0" w:evenHBand="0" w:firstRowFirstColumn="0" w:firstRowLastColumn="0" w:lastRowFirstColumn="0" w:lastRowLastColumn="0"/>
            </w:pPr>
            <w:r>
              <w:t>299 459</w:t>
            </w:r>
          </w:p>
        </w:tc>
        <w:tc>
          <w:tcPr>
            <w:tcW w:w="850" w:type="dxa"/>
          </w:tcPr>
          <w:p w14:paraId="13B422A0" w14:textId="77777777" w:rsidR="00964B88" w:rsidRDefault="00964B88">
            <w:pPr>
              <w:cnfStyle w:val="010000000000" w:firstRow="0" w:lastRow="1" w:firstColumn="0" w:lastColumn="0" w:oddVBand="0" w:evenVBand="0" w:oddHBand="0" w:evenHBand="0" w:firstRowFirstColumn="0" w:firstRowLastColumn="0" w:lastRowFirstColumn="0" w:lastRowLastColumn="0"/>
            </w:pPr>
            <w:r>
              <w:t>299 439</w:t>
            </w:r>
          </w:p>
        </w:tc>
        <w:tc>
          <w:tcPr>
            <w:tcW w:w="850" w:type="dxa"/>
          </w:tcPr>
          <w:p w14:paraId="00A106A2" w14:textId="77777777" w:rsidR="00964B88" w:rsidRDefault="00964B88">
            <w:pPr>
              <w:cnfStyle w:val="010000000000" w:firstRow="0" w:lastRow="1" w:firstColumn="0" w:lastColumn="0" w:oddVBand="0" w:evenVBand="0" w:oddHBand="0" w:evenHBand="0" w:firstRowFirstColumn="0" w:firstRowLastColumn="0" w:lastRowFirstColumn="0" w:lastRowLastColumn="0"/>
            </w:pPr>
            <w:r>
              <w:t>314 758</w:t>
            </w:r>
          </w:p>
        </w:tc>
        <w:tc>
          <w:tcPr>
            <w:tcW w:w="850" w:type="dxa"/>
          </w:tcPr>
          <w:p w14:paraId="3C88124D" w14:textId="77777777" w:rsidR="00964B88" w:rsidRDefault="00964B88">
            <w:pPr>
              <w:cnfStyle w:val="010000000000" w:firstRow="0" w:lastRow="1" w:firstColumn="0" w:lastColumn="0" w:oddVBand="0" w:evenVBand="0" w:oddHBand="0" w:evenHBand="0" w:firstRowFirstColumn="0" w:firstRowLastColumn="0" w:lastRowFirstColumn="0" w:lastRowLastColumn="0"/>
            </w:pPr>
            <w:r>
              <w:t>326 170</w:t>
            </w:r>
          </w:p>
        </w:tc>
        <w:tc>
          <w:tcPr>
            <w:tcW w:w="850" w:type="dxa"/>
          </w:tcPr>
          <w:p w14:paraId="4B32D636" w14:textId="77777777" w:rsidR="00964B88" w:rsidRDefault="00964B88">
            <w:pPr>
              <w:cnfStyle w:val="010000000000" w:firstRow="0" w:lastRow="1" w:firstColumn="0" w:lastColumn="0" w:oddVBand="0" w:evenVBand="0" w:oddHBand="0" w:evenHBand="0" w:firstRowFirstColumn="0" w:firstRowLastColumn="0" w:lastRowFirstColumn="0" w:lastRowLastColumn="0"/>
            </w:pPr>
            <w:r>
              <w:t>338 686</w:t>
            </w:r>
          </w:p>
        </w:tc>
      </w:tr>
    </w:tbl>
    <w:p w14:paraId="49A755D7" w14:textId="77777777" w:rsidR="00964B88" w:rsidRDefault="00964B88" w:rsidP="00F53820">
      <w:pPr>
        <w:pStyle w:val="Note"/>
      </w:pPr>
      <w:r>
        <w:t>Note:</w:t>
      </w:r>
    </w:p>
    <w:p w14:paraId="3394FA24" w14:textId="77777777" w:rsidR="00964B88" w:rsidRPr="002F552E" w:rsidRDefault="00964B88" w:rsidP="00F53820">
      <w:pPr>
        <w:pStyle w:val="Note"/>
      </w:pPr>
      <w:r>
        <w:t>(a)</w:t>
      </w:r>
      <w:r>
        <w:tab/>
        <w:t>Represents financial assets which are not able to be allocated by purpose. This mainly includes balances relating to the general government sector’s investment in other sector entities.</w:t>
      </w:r>
    </w:p>
    <w:bookmarkEnd w:id="101"/>
    <w:p w14:paraId="754CF32B" w14:textId="77777777" w:rsidR="00964B88" w:rsidRDefault="00964B88">
      <w:pPr>
        <w:keepLines w:val="0"/>
      </w:pPr>
      <w:r>
        <w:br w:type="page"/>
      </w:r>
    </w:p>
    <w:p w14:paraId="2419AC63" w14:textId="77777777" w:rsidR="00964B88" w:rsidRDefault="00964B88" w:rsidP="00964B88">
      <w:pPr>
        <w:pStyle w:val="Heading2"/>
        <w:numPr>
          <w:ilvl w:val="1"/>
          <w:numId w:val="22"/>
        </w:numPr>
        <w:sectPr w:rsidR="00964B88" w:rsidSect="00F53820">
          <w:type w:val="continuous"/>
          <w:pgSz w:w="9979" w:h="14175" w:code="9"/>
          <w:pgMar w:top="850" w:right="1134" w:bottom="850" w:left="1134" w:header="624" w:footer="567" w:gutter="0"/>
          <w:cols w:space="567"/>
          <w:titlePg/>
          <w:docGrid w:linePitch="360"/>
        </w:sectPr>
      </w:pPr>
      <w:r w:rsidRPr="00232E5E">
        <w:lastRenderedPageBreak/>
        <w:t>FINANCING STATE OPERATIONS</w:t>
      </w:r>
    </w:p>
    <w:p w14:paraId="07F71DDF" w14:textId="77777777" w:rsidR="00964B88" w:rsidRPr="00FD555B" w:rsidRDefault="00964B88" w:rsidP="00F53820">
      <w:pPr>
        <w:pStyle w:val="Heading30"/>
      </w:pPr>
      <w:r w:rsidRPr="00FD555B">
        <w:t>Introduction</w:t>
      </w:r>
    </w:p>
    <w:p w14:paraId="2E41A790" w14:textId="77777777" w:rsidR="00964B88" w:rsidRDefault="00964B88" w:rsidP="00F53820">
      <w:r>
        <w:t>State operations are financed through a variety of means. Recurrent operations are generally financed from cash flows from operating activities (see consolidated cash flow statement). Asset investment operations are generally financed from a combination of surplus cash flows from operating activities, asset recycling, advances and borrowings.</w:t>
      </w:r>
    </w:p>
    <w:p w14:paraId="27C617F4" w14:textId="77777777" w:rsidR="00964B88" w:rsidRDefault="00964B88" w:rsidP="00F53820">
      <w:r>
        <w:t>This section provides information on the balances related to the financing of the general government sector’s operations.</w:t>
      </w:r>
    </w:p>
    <w:p w14:paraId="7591C0E8" w14:textId="77777777" w:rsidR="00964B88" w:rsidRPr="00FD555B" w:rsidRDefault="00964B88" w:rsidP="00F53820">
      <w:pPr>
        <w:pStyle w:val="Heading30"/>
      </w:pPr>
      <w:r>
        <w:br w:type="column"/>
      </w:r>
      <w:r w:rsidRPr="00FD555B">
        <w:t>Structure</w:t>
      </w:r>
    </w:p>
    <w:p w14:paraId="73A2793E" w14:textId="6344B104" w:rsidR="00964B88" w:rsidRDefault="00964B88">
      <w:pPr>
        <w:pStyle w:val="TOC9"/>
        <w:rPr>
          <w:rFonts w:eastAsiaTheme="minorEastAsia"/>
          <w:noProof/>
          <w:spacing w:val="0"/>
          <w:lang w:eastAsia="en-AU"/>
        </w:rPr>
      </w:pPr>
      <w:r w:rsidRPr="00F033D6">
        <w:rPr>
          <w:noProof/>
          <w:lang w:val="en-US"/>
        </w:rPr>
        <w:t>4.5.1</w:t>
      </w:r>
      <w:r>
        <w:rPr>
          <w:rFonts w:eastAsiaTheme="minorEastAsia"/>
          <w:noProof/>
          <w:spacing w:val="0"/>
          <w:lang w:eastAsia="en-AU"/>
        </w:rPr>
        <w:tab/>
      </w:r>
      <w:r w:rsidRPr="00F033D6">
        <w:rPr>
          <w:noProof/>
        </w:rPr>
        <w:t>Borrowings</w:t>
      </w:r>
      <w:r>
        <w:rPr>
          <w:noProof/>
          <w:webHidden/>
        </w:rPr>
        <w:tab/>
      </w:r>
      <w:r w:rsidR="00F033D6">
        <w:rPr>
          <w:noProof/>
          <w:webHidden/>
        </w:rPr>
        <w:t>68</w:t>
      </w:r>
    </w:p>
    <w:p w14:paraId="3B122E31" w14:textId="537E24BF" w:rsidR="00964B88" w:rsidRDefault="00964B88">
      <w:pPr>
        <w:pStyle w:val="TOC9"/>
        <w:rPr>
          <w:rFonts w:eastAsiaTheme="minorEastAsia"/>
          <w:noProof/>
          <w:spacing w:val="0"/>
          <w:lang w:eastAsia="en-AU"/>
        </w:rPr>
      </w:pPr>
      <w:r w:rsidRPr="00F033D6">
        <w:rPr>
          <w:noProof/>
          <w:lang w:val="en-US"/>
        </w:rPr>
        <w:t>4.5.2</w:t>
      </w:r>
      <w:r>
        <w:rPr>
          <w:rFonts w:eastAsiaTheme="minorEastAsia"/>
          <w:noProof/>
          <w:spacing w:val="0"/>
          <w:lang w:eastAsia="en-AU"/>
        </w:rPr>
        <w:tab/>
      </w:r>
      <w:r w:rsidRPr="00F033D6">
        <w:rPr>
          <w:noProof/>
        </w:rPr>
        <w:t>Advances paid and investments, loans and placements</w:t>
      </w:r>
      <w:r>
        <w:rPr>
          <w:noProof/>
          <w:webHidden/>
        </w:rPr>
        <w:tab/>
      </w:r>
      <w:r w:rsidR="00F033D6">
        <w:rPr>
          <w:noProof/>
          <w:webHidden/>
        </w:rPr>
        <w:t>69</w:t>
      </w:r>
    </w:p>
    <w:p w14:paraId="4382F294" w14:textId="76733FAB" w:rsidR="00964B88" w:rsidRDefault="00964B88">
      <w:pPr>
        <w:pStyle w:val="TOC9"/>
        <w:rPr>
          <w:rFonts w:eastAsiaTheme="minorEastAsia"/>
          <w:noProof/>
          <w:spacing w:val="0"/>
          <w:lang w:eastAsia="en-AU"/>
        </w:rPr>
      </w:pPr>
      <w:r w:rsidRPr="00F033D6">
        <w:rPr>
          <w:noProof/>
          <w:lang w:val="en-US"/>
        </w:rPr>
        <w:t>4.5.3</w:t>
      </w:r>
      <w:r>
        <w:rPr>
          <w:rFonts w:eastAsiaTheme="minorEastAsia"/>
          <w:noProof/>
          <w:spacing w:val="0"/>
          <w:lang w:eastAsia="en-AU"/>
        </w:rPr>
        <w:tab/>
      </w:r>
      <w:r w:rsidRPr="00F033D6">
        <w:rPr>
          <w:noProof/>
        </w:rPr>
        <w:t>Interest expense</w:t>
      </w:r>
      <w:r>
        <w:rPr>
          <w:noProof/>
          <w:webHidden/>
        </w:rPr>
        <w:tab/>
      </w:r>
      <w:r w:rsidR="00F033D6">
        <w:rPr>
          <w:noProof/>
          <w:webHidden/>
        </w:rPr>
        <w:t>69</w:t>
      </w:r>
    </w:p>
    <w:p w14:paraId="11A0FD5F" w14:textId="7C2CF1C9" w:rsidR="00964B88" w:rsidRDefault="00964B88" w:rsidP="00F53820">
      <w:pPr>
        <w:rPr>
          <w:b/>
          <w:bCs/>
          <w:noProof/>
          <w:lang w:val="en-US"/>
        </w:rPr>
        <w:sectPr w:rsidR="00964B88" w:rsidSect="00F53820">
          <w:type w:val="continuous"/>
          <w:pgSz w:w="9979" w:h="14175" w:code="9"/>
          <w:pgMar w:top="850" w:right="1134" w:bottom="850" w:left="1134" w:header="624" w:footer="567" w:gutter="0"/>
          <w:cols w:num="2" w:space="567"/>
          <w:titlePg/>
          <w:docGrid w:linePitch="360"/>
        </w:sectPr>
      </w:pPr>
    </w:p>
    <w:p w14:paraId="6824E4AD" w14:textId="77777777" w:rsidR="00964B88" w:rsidRDefault="00964B88" w:rsidP="00964B88">
      <w:pPr>
        <w:pStyle w:val="Heading3"/>
        <w:numPr>
          <w:ilvl w:val="2"/>
          <w:numId w:val="22"/>
        </w:numPr>
        <w:tabs>
          <w:tab w:val="clear" w:pos="7711"/>
          <w:tab w:val="left" w:pos="850"/>
          <w:tab w:val="right" w:pos="7710"/>
        </w:tabs>
        <w:spacing w:after="60"/>
      </w:pPr>
      <w:bookmarkStart w:id="106" w:name="_Toc530148112"/>
      <w:bookmarkStart w:id="107" w:name="Section_5"/>
      <w:r w:rsidRPr="00564877">
        <w:rPr>
          <w:rStyle w:val="Heading3Char0"/>
          <w:b/>
          <w:bCs/>
          <w:sz w:val="22"/>
        </w:rPr>
        <w:t>Borrowings</w:t>
      </w:r>
      <w:r>
        <w:tab/>
        <w:t>($ million)</w:t>
      </w:r>
      <w:bookmarkEnd w:id="106"/>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04F96D2B"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6A659F68" w14:textId="77777777" w:rsidR="00964B88" w:rsidRDefault="00964B88"/>
        </w:tc>
        <w:tc>
          <w:tcPr>
            <w:tcW w:w="850" w:type="dxa"/>
          </w:tcPr>
          <w:p w14:paraId="57A13B7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p>
        </w:tc>
        <w:tc>
          <w:tcPr>
            <w:tcW w:w="850" w:type="dxa"/>
          </w:tcPr>
          <w:p w14:paraId="5F73002C"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50" w:type="dxa"/>
          </w:tcPr>
          <w:p w14:paraId="59DA7DD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50" w:type="dxa"/>
          </w:tcPr>
          <w:p w14:paraId="2E1968A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50" w:type="dxa"/>
          </w:tcPr>
          <w:p w14:paraId="1FCFE10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08E8931B" w14:textId="77777777">
        <w:tc>
          <w:tcPr>
            <w:cnfStyle w:val="001000000000" w:firstRow="0" w:lastRow="0" w:firstColumn="1" w:lastColumn="0" w:oddVBand="0" w:evenVBand="0" w:oddHBand="0" w:evenHBand="0" w:firstRowFirstColumn="0" w:firstRowLastColumn="0" w:lastRowFirstColumn="0" w:lastRowLastColumn="0"/>
            <w:tcW w:w="3518" w:type="dxa"/>
          </w:tcPr>
          <w:p w14:paraId="6FDDBBFF" w14:textId="77777777" w:rsidR="00964B88" w:rsidRDefault="00964B88">
            <w:r>
              <w:rPr>
                <w:b/>
              </w:rPr>
              <w:t>Current borrowings</w:t>
            </w:r>
          </w:p>
        </w:tc>
        <w:tc>
          <w:tcPr>
            <w:tcW w:w="850" w:type="dxa"/>
          </w:tcPr>
          <w:p w14:paraId="28821A6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223AAEB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404D742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766DD58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EA69D2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254F8F5" w14:textId="77777777">
        <w:tc>
          <w:tcPr>
            <w:cnfStyle w:val="001000000000" w:firstRow="0" w:lastRow="0" w:firstColumn="1" w:lastColumn="0" w:oddVBand="0" w:evenVBand="0" w:oddHBand="0" w:evenHBand="0" w:firstRowFirstColumn="0" w:firstRowLastColumn="0" w:lastRowFirstColumn="0" w:lastRowLastColumn="0"/>
            <w:tcW w:w="3518" w:type="dxa"/>
          </w:tcPr>
          <w:p w14:paraId="5D60187F" w14:textId="77777777" w:rsidR="00964B88" w:rsidRDefault="00964B88">
            <w:r>
              <w:t>Domestic borrowings</w:t>
            </w:r>
          </w:p>
        </w:tc>
        <w:tc>
          <w:tcPr>
            <w:tcW w:w="850" w:type="dxa"/>
          </w:tcPr>
          <w:p w14:paraId="4A98A7FD" w14:textId="77777777" w:rsidR="00964B88" w:rsidRDefault="00964B88">
            <w:pPr>
              <w:cnfStyle w:val="000000000000" w:firstRow="0" w:lastRow="0" w:firstColumn="0" w:lastColumn="0" w:oddVBand="0" w:evenVBand="0" w:oddHBand="0" w:evenHBand="0" w:firstRowFirstColumn="0" w:firstRowLastColumn="0" w:lastRowFirstColumn="0" w:lastRowLastColumn="0"/>
            </w:pPr>
            <w:r>
              <w:t>8 592</w:t>
            </w:r>
          </w:p>
        </w:tc>
        <w:tc>
          <w:tcPr>
            <w:tcW w:w="850" w:type="dxa"/>
          </w:tcPr>
          <w:p w14:paraId="5D71654F" w14:textId="77777777" w:rsidR="00964B88" w:rsidRDefault="00964B88">
            <w:pPr>
              <w:cnfStyle w:val="000000000000" w:firstRow="0" w:lastRow="0" w:firstColumn="0" w:lastColumn="0" w:oddVBand="0" w:evenVBand="0" w:oddHBand="0" w:evenHBand="0" w:firstRowFirstColumn="0" w:firstRowLastColumn="0" w:lastRowFirstColumn="0" w:lastRowLastColumn="0"/>
            </w:pPr>
            <w:r>
              <w:t>7 768</w:t>
            </w:r>
          </w:p>
        </w:tc>
        <w:tc>
          <w:tcPr>
            <w:tcW w:w="850" w:type="dxa"/>
          </w:tcPr>
          <w:p w14:paraId="62485DB7" w14:textId="77777777" w:rsidR="00964B88" w:rsidRDefault="00964B88">
            <w:pPr>
              <w:cnfStyle w:val="000000000000" w:firstRow="0" w:lastRow="0" w:firstColumn="0" w:lastColumn="0" w:oddVBand="0" w:evenVBand="0" w:oddHBand="0" w:evenHBand="0" w:firstRowFirstColumn="0" w:firstRowLastColumn="0" w:lastRowFirstColumn="0" w:lastRowLastColumn="0"/>
            </w:pPr>
            <w:r>
              <w:t>7 666</w:t>
            </w:r>
          </w:p>
        </w:tc>
        <w:tc>
          <w:tcPr>
            <w:tcW w:w="850" w:type="dxa"/>
          </w:tcPr>
          <w:p w14:paraId="0D402367" w14:textId="77777777" w:rsidR="00964B88" w:rsidRDefault="00964B88">
            <w:pPr>
              <w:cnfStyle w:val="000000000000" w:firstRow="0" w:lastRow="0" w:firstColumn="0" w:lastColumn="0" w:oddVBand="0" w:evenVBand="0" w:oddHBand="0" w:evenHBand="0" w:firstRowFirstColumn="0" w:firstRowLastColumn="0" w:lastRowFirstColumn="0" w:lastRowLastColumn="0"/>
            </w:pPr>
            <w:r>
              <w:t>7 771</w:t>
            </w:r>
          </w:p>
        </w:tc>
        <w:tc>
          <w:tcPr>
            <w:tcW w:w="850" w:type="dxa"/>
          </w:tcPr>
          <w:p w14:paraId="709AEBCD" w14:textId="77777777" w:rsidR="00964B88" w:rsidRDefault="00964B88">
            <w:pPr>
              <w:cnfStyle w:val="000000000000" w:firstRow="0" w:lastRow="0" w:firstColumn="0" w:lastColumn="0" w:oddVBand="0" w:evenVBand="0" w:oddHBand="0" w:evenHBand="0" w:firstRowFirstColumn="0" w:firstRowLastColumn="0" w:lastRowFirstColumn="0" w:lastRowLastColumn="0"/>
            </w:pPr>
            <w:r>
              <w:t>8 218</w:t>
            </w:r>
          </w:p>
        </w:tc>
      </w:tr>
      <w:tr w:rsidR="00964B88" w14:paraId="162E35F8" w14:textId="77777777">
        <w:tc>
          <w:tcPr>
            <w:cnfStyle w:val="001000000000" w:firstRow="0" w:lastRow="0" w:firstColumn="1" w:lastColumn="0" w:oddVBand="0" w:evenVBand="0" w:oddHBand="0" w:evenHBand="0" w:firstRowFirstColumn="0" w:firstRowLastColumn="0" w:lastRowFirstColumn="0" w:lastRowLastColumn="0"/>
            <w:tcW w:w="3518" w:type="dxa"/>
          </w:tcPr>
          <w:p w14:paraId="10DF8E9F" w14:textId="77777777" w:rsidR="00964B88" w:rsidRDefault="00964B88">
            <w:r>
              <w:t>Lease liabilities</w:t>
            </w:r>
          </w:p>
        </w:tc>
        <w:tc>
          <w:tcPr>
            <w:tcW w:w="850" w:type="dxa"/>
          </w:tcPr>
          <w:p w14:paraId="6B6F2568" w14:textId="77777777" w:rsidR="00964B88" w:rsidRDefault="00964B88">
            <w:pPr>
              <w:cnfStyle w:val="000000000000" w:firstRow="0" w:lastRow="0" w:firstColumn="0" w:lastColumn="0" w:oddVBand="0" w:evenVBand="0" w:oddHBand="0" w:evenHBand="0" w:firstRowFirstColumn="0" w:firstRowLastColumn="0" w:lastRowFirstColumn="0" w:lastRowLastColumn="0"/>
            </w:pPr>
            <w:r>
              <w:t>660</w:t>
            </w:r>
          </w:p>
        </w:tc>
        <w:tc>
          <w:tcPr>
            <w:tcW w:w="850" w:type="dxa"/>
          </w:tcPr>
          <w:p w14:paraId="21FAE7BE" w14:textId="77777777" w:rsidR="00964B88" w:rsidRDefault="00964B88">
            <w:pPr>
              <w:cnfStyle w:val="000000000000" w:firstRow="0" w:lastRow="0" w:firstColumn="0" w:lastColumn="0" w:oddVBand="0" w:evenVBand="0" w:oddHBand="0" w:evenHBand="0" w:firstRowFirstColumn="0" w:firstRowLastColumn="0" w:lastRowFirstColumn="0" w:lastRowLastColumn="0"/>
            </w:pPr>
            <w:r>
              <w:t>656</w:t>
            </w:r>
          </w:p>
        </w:tc>
        <w:tc>
          <w:tcPr>
            <w:tcW w:w="850" w:type="dxa"/>
          </w:tcPr>
          <w:p w14:paraId="3199194C" w14:textId="77777777" w:rsidR="00964B88" w:rsidRDefault="00964B88">
            <w:pPr>
              <w:cnfStyle w:val="000000000000" w:firstRow="0" w:lastRow="0" w:firstColumn="0" w:lastColumn="0" w:oddVBand="0" w:evenVBand="0" w:oddHBand="0" w:evenHBand="0" w:firstRowFirstColumn="0" w:firstRowLastColumn="0" w:lastRowFirstColumn="0" w:lastRowLastColumn="0"/>
            </w:pPr>
            <w:r>
              <w:t>585</w:t>
            </w:r>
          </w:p>
        </w:tc>
        <w:tc>
          <w:tcPr>
            <w:tcW w:w="850" w:type="dxa"/>
          </w:tcPr>
          <w:p w14:paraId="596C5811" w14:textId="77777777" w:rsidR="00964B88" w:rsidRDefault="00964B88">
            <w:pPr>
              <w:cnfStyle w:val="000000000000" w:firstRow="0" w:lastRow="0" w:firstColumn="0" w:lastColumn="0" w:oddVBand="0" w:evenVBand="0" w:oddHBand="0" w:evenHBand="0" w:firstRowFirstColumn="0" w:firstRowLastColumn="0" w:lastRowFirstColumn="0" w:lastRowLastColumn="0"/>
            </w:pPr>
            <w:r>
              <w:t>585</w:t>
            </w:r>
          </w:p>
        </w:tc>
        <w:tc>
          <w:tcPr>
            <w:tcW w:w="850" w:type="dxa"/>
          </w:tcPr>
          <w:p w14:paraId="2C7B6DC0" w14:textId="77777777" w:rsidR="00964B88" w:rsidRDefault="00964B88">
            <w:pPr>
              <w:cnfStyle w:val="000000000000" w:firstRow="0" w:lastRow="0" w:firstColumn="0" w:lastColumn="0" w:oddVBand="0" w:evenVBand="0" w:oddHBand="0" w:evenHBand="0" w:firstRowFirstColumn="0" w:firstRowLastColumn="0" w:lastRowFirstColumn="0" w:lastRowLastColumn="0"/>
            </w:pPr>
            <w:r>
              <w:t>513</w:t>
            </w:r>
          </w:p>
        </w:tc>
      </w:tr>
      <w:tr w:rsidR="00964B88" w14:paraId="29D916B0" w14:textId="77777777">
        <w:tc>
          <w:tcPr>
            <w:cnfStyle w:val="001000000000" w:firstRow="0" w:lastRow="0" w:firstColumn="1" w:lastColumn="0" w:oddVBand="0" w:evenVBand="0" w:oddHBand="0" w:evenHBand="0" w:firstRowFirstColumn="0" w:firstRowLastColumn="0" w:lastRowFirstColumn="0" w:lastRowLastColumn="0"/>
            <w:tcW w:w="3518" w:type="dxa"/>
          </w:tcPr>
          <w:p w14:paraId="05D92F0F" w14:textId="77777777" w:rsidR="00964B88" w:rsidRDefault="00964B88">
            <w:r>
              <w:t>Service concession arrangement liabilities</w:t>
            </w:r>
          </w:p>
        </w:tc>
        <w:tc>
          <w:tcPr>
            <w:tcW w:w="850" w:type="dxa"/>
          </w:tcPr>
          <w:p w14:paraId="77EEFC42" w14:textId="77777777" w:rsidR="00964B88" w:rsidRDefault="00964B88">
            <w:pPr>
              <w:cnfStyle w:val="000000000000" w:firstRow="0" w:lastRow="0" w:firstColumn="0" w:lastColumn="0" w:oddVBand="0" w:evenVBand="0" w:oddHBand="0" w:evenHBand="0" w:firstRowFirstColumn="0" w:firstRowLastColumn="0" w:lastRowFirstColumn="0" w:lastRowLastColumn="0"/>
            </w:pPr>
            <w:r>
              <w:t>1 307</w:t>
            </w:r>
          </w:p>
        </w:tc>
        <w:tc>
          <w:tcPr>
            <w:tcW w:w="850" w:type="dxa"/>
          </w:tcPr>
          <w:p w14:paraId="26505774" w14:textId="77777777" w:rsidR="00964B88" w:rsidRDefault="00964B88">
            <w:pPr>
              <w:cnfStyle w:val="000000000000" w:firstRow="0" w:lastRow="0" w:firstColumn="0" w:lastColumn="0" w:oddVBand="0" w:evenVBand="0" w:oddHBand="0" w:evenHBand="0" w:firstRowFirstColumn="0" w:firstRowLastColumn="0" w:lastRowFirstColumn="0" w:lastRowLastColumn="0"/>
            </w:pPr>
            <w:r>
              <w:t>1 197</w:t>
            </w:r>
          </w:p>
        </w:tc>
        <w:tc>
          <w:tcPr>
            <w:tcW w:w="850" w:type="dxa"/>
          </w:tcPr>
          <w:p w14:paraId="7337D122" w14:textId="77777777" w:rsidR="00964B88" w:rsidRDefault="00964B88">
            <w:pPr>
              <w:cnfStyle w:val="000000000000" w:firstRow="0" w:lastRow="0" w:firstColumn="0" w:lastColumn="0" w:oddVBand="0" w:evenVBand="0" w:oddHBand="0" w:evenHBand="0" w:firstRowFirstColumn="0" w:firstRowLastColumn="0" w:lastRowFirstColumn="0" w:lastRowLastColumn="0"/>
            </w:pPr>
            <w:r>
              <w:t>1 024</w:t>
            </w:r>
          </w:p>
        </w:tc>
        <w:tc>
          <w:tcPr>
            <w:tcW w:w="850" w:type="dxa"/>
          </w:tcPr>
          <w:p w14:paraId="3F5EF6F1" w14:textId="77777777" w:rsidR="00964B88" w:rsidRDefault="00964B88">
            <w:pPr>
              <w:cnfStyle w:val="000000000000" w:firstRow="0" w:lastRow="0" w:firstColumn="0" w:lastColumn="0" w:oddVBand="0" w:evenVBand="0" w:oddHBand="0" w:evenHBand="0" w:firstRowFirstColumn="0" w:firstRowLastColumn="0" w:lastRowFirstColumn="0" w:lastRowLastColumn="0"/>
            </w:pPr>
            <w:r>
              <w:t>681</w:t>
            </w:r>
          </w:p>
        </w:tc>
        <w:tc>
          <w:tcPr>
            <w:tcW w:w="850" w:type="dxa"/>
          </w:tcPr>
          <w:p w14:paraId="3934637A" w14:textId="77777777" w:rsidR="00964B88" w:rsidRDefault="00964B88">
            <w:pPr>
              <w:cnfStyle w:val="000000000000" w:firstRow="0" w:lastRow="0" w:firstColumn="0" w:lastColumn="0" w:oddVBand="0" w:evenVBand="0" w:oddHBand="0" w:evenHBand="0" w:firstRowFirstColumn="0" w:firstRowLastColumn="0" w:lastRowFirstColumn="0" w:lastRowLastColumn="0"/>
            </w:pPr>
            <w:r>
              <w:t>2 226</w:t>
            </w:r>
          </w:p>
        </w:tc>
      </w:tr>
      <w:tr w:rsidR="00964B88" w14:paraId="1C8A6E17"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08482FD6" w14:textId="77777777" w:rsidR="00964B88" w:rsidRDefault="00964B88">
            <w:r>
              <w:t>Derivative financial instruments</w:t>
            </w:r>
          </w:p>
        </w:tc>
        <w:tc>
          <w:tcPr>
            <w:tcW w:w="850" w:type="dxa"/>
            <w:tcBorders>
              <w:bottom w:val="single" w:sz="6" w:space="0" w:color="auto"/>
            </w:tcBorders>
          </w:tcPr>
          <w:p w14:paraId="545FECAC" w14:textId="77777777" w:rsidR="00964B88" w:rsidRDefault="00964B88">
            <w:pPr>
              <w:cnfStyle w:val="000000000000" w:firstRow="0" w:lastRow="0" w:firstColumn="0" w:lastColumn="0" w:oddVBand="0" w:evenVBand="0" w:oddHBand="0" w:evenHBand="0" w:firstRowFirstColumn="0" w:firstRowLastColumn="0" w:lastRowFirstColumn="0" w:lastRowLastColumn="0"/>
            </w:pPr>
            <w:r>
              <w:t>130</w:t>
            </w:r>
          </w:p>
        </w:tc>
        <w:tc>
          <w:tcPr>
            <w:tcW w:w="850" w:type="dxa"/>
            <w:tcBorders>
              <w:bottom w:val="single" w:sz="6" w:space="0" w:color="auto"/>
            </w:tcBorders>
          </w:tcPr>
          <w:p w14:paraId="7F076AB5" w14:textId="77777777" w:rsidR="00964B88" w:rsidRDefault="00964B88">
            <w:pPr>
              <w:cnfStyle w:val="000000000000" w:firstRow="0" w:lastRow="0" w:firstColumn="0" w:lastColumn="0" w:oddVBand="0" w:evenVBand="0" w:oddHBand="0" w:evenHBand="0" w:firstRowFirstColumn="0" w:firstRowLastColumn="0" w:lastRowFirstColumn="0" w:lastRowLastColumn="0"/>
            </w:pPr>
            <w:r>
              <w:t>104</w:t>
            </w:r>
          </w:p>
        </w:tc>
        <w:tc>
          <w:tcPr>
            <w:tcW w:w="850" w:type="dxa"/>
            <w:tcBorders>
              <w:bottom w:val="single" w:sz="6" w:space="0" w:color="auto"/>
            </w:tcBorders>
          </w:tcPr>
          <w:p w14:paraId="5A9594FE" w14:textId="77777777" w:rsidR="00964B88" w:rsidRDefault="00964B88">
            <w:pPr>
              <w:cnfStyle w:val="000000000000" w:firstRow="0" w:lastRow="0" w:firstColumn="0" w:lastColumn="0" w:oddVBand="0" w:evenVBand="0" w:oddHBand="0" w:evenHBand="0" w:firstRowFirstColumn="0" w:firstRowLastColumn="0" w:lastRowFirstColumn="0" w:lastRowLastColumn="0"/>
            </w:pPr>
            <w:r>
              <w:t>105</w:t>
            </w:r>
          </w:p>
        </w:tc>
        <w:tc>
          <w:tcPr>
            <w:tcW w:w="850" w:type="dxa"/>
            <w:tcBorders>
              <w:bottom w:val="single" w:sz="6" w:space="0" w:color="auto"/>
            </w:tcBorders>
          </w:tcPr>
          <w:p w14:paraId="3781BC33" w14:textId="77777777" w:rsidR="00964B88" w:rsidRDefault="00964B88">
            <w:pPr>
              <w:cnfStyle w:val="000000000000" w:firstRow="0" w:lastRow="0" w:firstColumn="0" w:lastColumn="0" w:oddVBand="0" w:evenVBand="0" w:oddHBand="0" w:evenHBand="0" w:firstRowFirstColumn="0" w:firstRowLastColumn="0" w:lastRowFirstColumn="0" w:lastRowLastColumn="0"/>
            </w:pPr>
            <w:r>
              <w:t>61</w:t>
            </w:r>
          </w:p>
        </w:tc>
        <w:tc>
          <w:tcPr>
            <w:tcW w:w="850" w:type="dxa"/>
            <w:tcBorders>
              <w:bottom w:val="single" w:sz="6" w:space="0" w:color="auto"/>
            </w:tcBorders>
          </w:tcPr>
          <w:p w14:paraId="071DC7E6" w14:textId="77777777" w:rsidR="00964B88" w:rsidRDefault="00964B88">
            <w:pPr>
              <w:cnfStyle w:val="000000000000" w:firstRow="0" w:lastRow="0" w:firstColumn="0" w:lastColumn="0" w:oddVBand="0" w:evenVBand="0" w:oddHBand="0" w:evenHBand="0" w:firstRowFirstColumn="0" w:firstRowLastColumn="0" w:lastRowFirstColumn="0" w:lastRowLastColumn="0"/>
            </w:pPr>
            <w:r>
              <w:t>24</w:t>
            </w:r>
          </w:p>
        </w:tc>
      </w:tr>
      <w:tr w:rsidR="00964B88" w14:paraId="233ABA37"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05AE304A" w14:textId="77777777" w:rsidR="00964B88" w:rsidRDefault="00964B88">
            <w:r>
              <w:rPr>
                <w:b/>
              </w:rPr>
              <w:t>Total current borrowings</w:t>
            </w:r>
          </w:p>
        </w:tc>
        <w:tc>
          <w:tcPr>
            <w:tcW w:w="850" w:type="dxa"/>
            <w:tcBorders>
              <w:top w:val="single" w:sz="6" w:space="0" w:color="auto"/>
            </w:tcBorders>
          </w:tcPr>
          <w:p w14:paraId="067F48C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10 690</w:t>
            </w:r>
          </w:p>
        </w:tc>
        <w:tc>
          <w:tcPr>
            <w:tcW w:w="850" w:type="dxa"/>
            <w:tcBorders>
              <w:top w:val="single" w:sz="6" w:space="0" w:color="auto"/>
            </w:tcBorders>
          </w:tcPr>
          <w:p w14:paraId="5C16944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9 725</w:t>
            </w:r>
          </w:p>
        </w:tc>
        <w:tc>
          <w:tcPr>
            <w:tcW w:w="850" w:type="dxa"/>
            <w:tcBorders>
              <w:top w:val="single" w:sz="6" w:space="0" w:color="auto"/>
            </w:tcBorders>
          </w:tcPr>
          <w:p w14:paraId="6942B61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9 380</w:t>
            </w:r>
          </w:p>
        </w:tc>
        <w:tc>
          <w:tcPr>
            <w:tcW w:w="850" w:type="dxa"/>
            <w:tcBorders>
              <w:top w:val="single" w:sz="6" w:space="0" w:color="auto"/>
            </w:tcBorders>
          </w:tcPr>
          <w:p w14:paraId="3F51665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9 097</w:t>
            </w:r>
          </w:p>
        </w:tc>
        <w:tc>
          <w:tcPr>
            <w:tcW w:w="850" w:type="dxa"/>
            <w:tcBorders>
              <w:top w:val="single" w:sz="6" w:space="0" w:color="auto"/>
            </w:tcBorders>
          </w:tcPr>
          <w:p w14:paraId="30CF7EA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10 981</w:t>
            </w:r>
          </w:p>
        </w:tc>
      </w:tr>
      <w:tr w:rsidR="00964B88" w14:paraId="073C9ADA" w14:textId="77777777">
        <w:tc>
          <w:tcPr>
            <w:cnfStyle w:val="001000000000" w:firstRow="0" w:lastRow="0" w:firstColumn="1" w:lastColumn="0" w:oddVBand="0" w:evenVBand="0" w:oddHBand="0" w:evenHBand="0" w:firstRowFirstColumn="0" w:firstRowLastColumn="0" w:lastRowFirstColumn="0" w:lastRowLastColumn="0"/>
            <w:tcW w:w="3518" w:type="dxa"/>
          </w:tcPr>
          <w:p w14:paraId="1F0698E3" w14:textId="77777777" w:rsidR="00964B88" w:rsidRDefault="00964B88">
            <w:r>
              <w:rPr>
                <w:b/>
              </w:rPr>
              <w:t>Non</w:t>
            </w:r>
            <w:r>
              <w:rPr>
                <w:b/>
              </w:rPr>
              <w:noBreakHyphen/>
              <w:t>current borrowings</w:t>
            </w:r>
          </w:p>
        </w:tc>
        <w:tc>
          <w:tcPr>
            <w:tcW w:w="850" w:type="dxa"/>
          </w:tcPr>
          <w:p w14:paraId="5B240C3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0F4717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CB1CEE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C5A4FC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4FB2539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F16C8C3" w14:textId="77777777">
        <w:tc>
          <w:tcPr>
            <w:cnfStyle w:val="001000000000" w:firstRow="0" w:lastRow="0" w:firstColumn="1" w:lastColumn="0" w:oddVBand="0" w:evenVBand="0" w:oddHBand="0" w:evenHBand="0" w:firstRowFirstColumn="0" w:firstRowLastColumn="0" w:lastRowFirstColumn="0" w:lastRowLastColumn="0"/>
            <w:tcW w:w="3518" w:type="dxa"/>
          </w:tcPr>
          <w:p w14:paraId="3B0D4103" w14:textId="77777777" w:rsidR="00964B88" w:rsidRDefault="00964B88">
            <w:r>
              <w:t>Domestic borrowings</w:t>
            </w:r>
          </w:p>
        </w:tc>
        <w:tc>
          <w:tcPr>
            <w:tcW w:w="850" w:type="dxa"/>
          </w:tcPr>
          <w:p w14:paraId="0683E330" w14:textId="77777777" w:rsidR="00964B88" w:rsidRDefault="00964B88">
            <w:pPr>
              <w:cnfStyle w:val="000000000000" w:firstRow="0" w:lastRow="0" w:firstColumn="0" w:lastColumn="0" w:oddVBand="0" w:evenVBand="0" w:oddHBand="0" w:evenHBand="0" w:firstRowFirstColumn="0" w:firstRowLastColumn="0" w:lastRowFirstColumn="0" w:lastRowLastColumn="0"/>
            </w:pPr>
            <w:r>
              <w:t>24 820</w:t>
            </w:r>
          </w:p>
        </w:tc>
        <w:tc>
          <w:tcPr>
            <w:tcW w:w="850" w:type="dxa"/>
          </w:tcPr>
          <w:p w14:paraId="0CAF6CC7" w14:textId="77777777" w:rsidR="00964B88" w:rsidRDefault="00964B88">
            <w:pPr>
              <w:cnfStyle w:val="000000000000" w:firstRow="0" w:lastRow="0" w:firstColumn="0" w:lastColumn="0" w:oddVBand="0" w:evenVBand="0" w:oddHBand="0" w:evenHBand="0" w:firstRowFirstColumn="0" w:firstRowLastColumn="0" w:lastRowFirstColumn="0" w:lastRowLastColumn="0"/>
            </w:pPr>
            <w:r>
              <w:t>26 213</w:t>
            </w:r>
          </w:p>
        </w:tc>
        <w:tc>
          <w:tcPr>
            <w:tcW w:w="850" w:type="dxa"/>
          </w:tcPr>
          <w:p w14:paraId="40ECB495" w14:textId="77777777" w:rsidR="00964B88" w:rsidRDefault="00964B88">
            <w:pPr>
              <w:cnfStyle w:val="000000000000" w:firstRow="0" w:lastRow="0" w:firstColumn="0" w:lastColumn="0" w:oddVBand="0" w:evenVBand="0" w:oddHBand="0" w:evenHBand="0" w:firstRowFirstColumn="0" w:firstRowLastColumn="0" w:lastRowFirstColumn="0" w:lastRowLastColumn="0"/>
            </w:pPr>
            <w:r>
              <w:t>34 220</w:t>
            </w:r>
          </w:p>
        </w:tc>
        <w:tc>
          <w:tcPr>
            <w:tcW w:w="850" w:type="dxa"/>
          </w:tcPr>
          <w:p w14:paraId="53D88B00" w14:textId="77777777" w:rsidR="00964B88" w:rsidRDefault="00964B88">
            <w:pPr>
              <w:cnfStyle w:val="000000000000" w:firstRow="0" w:lastRow="0" w:firstColumn="0" w:lastColumn="0" w:oddVBand="0" w:evenVBand="0" w:oddHBand="0" w:evenHBand="0" w:firstRowFirstColumn="0" w:firstRowLastColumn="0" w:lastRowFirstColumn="0" w:lastRowLastColumn="0"/>
            </w:pPr>
            <w:r>
              <w:t>37 083</w:t>
            </w:r>
          </w:p>
        </w:tc>
        <w:tc>
          <w:tcPr>
            <w:tcW w:w="850" w:type="dxa"/>
          </w:tcPr>
          <w:p w14:paraId="355954CB" w14:textId="77777777" w:rsidR="00964B88" w:rsidRDefault="00964B88">
            <w:pPr>
              <w:cnfStyle w:val="000000000000" w:firstRow="0" w:lastRow="0" w:firstColumn="0" w:lastColumn="0" w:oddVBand="0" w:evenVBand="0" w:oddHBand="0" w:evenHBand="0" w:firstRowFirstColumn="0" w:firstRowLastColumn="0" w:lastRowFirstColumn="0" w:lastRowLastColumn="0"/>
            </w:pPr>
            <w:r>
              <w:t>39 828</w:t>
            </w:r>
          </w:p>
        </w:tc>
      </w:tr>
      <w:tr w:rsidR="00964B88" w14:paraId="265792B5" w14:textId="77777777">
        <w:tc>
          <w:tcPr>
            <w:cnfStyle w:val="001000000000" w:firstRow="0" w:lastRow="0" w:firstColumn="1" w:lastColumn="0" w:oddVBand="0" w:evenVBand="0" w:oddHBand="0" w:evenHBand="0" w:firstRowFirstColumn="0" w:firstRowLastColumn="0" w:lastRowFirstColumn="0" w:lastRowLastColumn="0"/>
            <w:tcW w:w="3518" w:type="dxa"/>
          </w:tcPr>
          <w:p w14:paraId="6820B296" w14:textId="77777777" w:rsidR="00964B88" w:rsidRDefault="00964B88">
            <w:r>
              <w:t>Lease liabilities</w:t>
            </w:r>
          </w:p>
        </w:tc>
        <w:tc>
          <w:tcPr>
            <w:tcW w:w="850" w:type="dxa"/>
          </w:tcPr>
          <w:p w14:paraId="497004DA" w14:textId="77777777" w:rsidR="00964B88" w:rsidRDefault="00964B88">
            <w:pPr>
              <w:cnfStyle w:val="000000000000" w:firstRow="0" w:lastRow="0" w:firstColumn="0" w:lastColumn="0" w:oddVBand="0" w:evenVBand="0" w:oddHBand="0" w:evenHBand="0" w:firstRowFirstColumn="0" w:firstRowLastColumn="0" w:lastRowFirstColumn="0" w:lastRowLastColumn="0"/>
            </w:pPr>
            <w:r>
              <w:t>11 253</w:t>
            </w:r>
          </w:p>
        </w:tc>
        <w:tc>
          <w:tcPr>
            <w:tcW w:w="850" w:type="dxa"/>
          </w:tcPr>
          <w:p w14:paraId="6976E94C" w14:textId="77777777" w:rsidR="00964B88" w:rsidRDefault="00964B88">
            <w:pPr>
              <w:cnfStyle w:val="000000000000" w:firstRow="0" w:lastRow="0" w:firstColumn="0" w:lastColumn="0" w:oddVBand="0" w:evenVBand="0" w:oddHBand="0" w:evenHBand="0" w:firstRowFirstColumn="0" w:firstRowLastColumn="0" w:lastRowFirstColumn="0" w:lastRowLastColumn="0"/>
            </w:pPr>
            <w:r>
              <w:t>11 127</w:t>
            </w:r>
          </w:p>
        </w:tc>
        <w:tc>
          <w:tcPr>
            <w:tcW w:w="850" w:type="dxa"/>
          </w:tcPr>
          <w:p w14:paraId="11E0FB1A" w14:textId="77777777" w:rsidR="00964B88" w:rsidRDefault="00964B88">
            <w:pPr>
              <w:cnfStyle w:val="000000000000" w:firstRow="0" w:lastRow="0" w:firstColumn="0" w:lastColumn="0" w:oddVBand="0" w:evenVBand="0" w:oddHBand="0" w:evenHBand="0" w:firstRowFirstColumn="0" w:firstRowLastColumn="0" w:lastRowFirstColumn="0" w:lastRowLastColumn="0"/>
            </w:pPr>
            <w:r>
              <w:t>10 928</w:t>
            </w:r>
          </w:p>
        </w:tc>
        <w:tc>
          <w:tcPr>
            <w:tcW w:w="850" w:type="dxa"/>
          </w:tcPr>
          <w:p w14:paraId="7F0DDCE6" w14:textId="77777777" w:rsidR="00964B88" w:rsidRDefault="00964B88">
            <w:pPr>
              <w:cnfStyle w:val="000000000000" w:firstRow="0" w:lastRow="0" w:firstColumn="0" w:lastColumn="0" w:oddVBand="0" w:evenVBand="0" w:oddHBand="0" w:evenHBand="0" w:firstRowFirstColumn="0" w:firstRowLastColumn="0" w:lastRowFirstColumn="0" w:lastRowLastColumn="0"/>
            </w:pPr>
            <w:r>
              <w:t>10 496</w:t>
            </w:r>
          </w:p>
        </w:tc>
        <w:tc>
          <w:tcPr>
            <w:tcW w:w="850" w:type="dxa"/>
          </w:tcPr>
          <w:p w14:paraId="51E05632" w14:textId="77777777" w:rsidR="00964B88" w:rsidRDefault="00964B88">
            <w:pPr>
              <w:cnfStyle w:val="000000000000" w:firstRow="0" w:lastRow="0" w:firstColumn="0" w:lastColumn="0" w:oddVBand="0" w:evenVBand="0" w:oddHBand="0" w:evenHBand="0" w:firstRowFirstColumn="0" w:firstRowLastColumn="0" w:lastRowFirstColumn="0" w:lastRowLastColumn="0"/>
            </w:pPr>
            <w:r>
              <w:t>9 997</w:t>
            </w:r>
          </w:p>
        </w:tc>
      </w:tr>
      <w:tr w:rsidR="00964B88" w14:paraId="493811F2" w14:textId="77777777">
        <w:tc>
          <w:tcPr>
            <w:cnfStyle w:val="001000000000" w:firstRow="0" w:lastRow="0" w:firstColumn="1" w:lastColumn="0" w:oddVBand="0" w:evenVBand="0" w:oddHBand="0" w:evenHBand="0" w:firstRowFirstColumn="0" w:firstRowLastColumn="0" w:lastRowFirstColumn="0" w:lastRowLastColumn="0"/>
            <w:tcW w:w="3518" w:type="dxa"/>
          </w:tcPr>
          <w:p w14:paraId="08A3FBBB" w14:textId="77777777" w:rsidR="00964B88" w:rsidRDefault="00964B88">
            <w:r>
              <w:t>Service concession arrangement liabilities</w:t>
            </w:r>
          </w:p>
        </w:tc>
        <w:tc>
          <w:tcPr>
            <w:tcW w:w="850" w:type="dxa"/>
          </w:tcPr>
          <w:p w14:paraId="15FCDD79" w14:textId="77777777" w:rsidR="00964B88" w:rsidRDefault="00964B88">
            <w:pPr>
              <w:cnfStyle w:val="000000000000" w:firstRow="0" w:lastRow="0" w:firstColumn="0" w:lastColumn="0" w:oddVBand="0" w:evenVBand="0" w:oddHBand="0" w:evenHBand="0" w:firstRowFirstColumn="0" w:firstRowLastColumn="0" w:lastRowFirstColumn="0" w:lastRowLastColumn="0"/>
            </w:pPr>
            <w:r>
              <w:t>4 279</w:t>
            </w:r>
          </w:p>
        </w:tc>
        <w:tc>
          <w:tcPr>
            <w:tcW w:w="850" w:type="dxa"/>
          </w:tcPr>
          <w:p w14:paraId="20C928B3" w14:textId="77777777" w:rsidR="00964B88" w:rsidRDefault="00964B88">
            <w:pPr>
              <w:cnfStyle w:val="000000000000" w:firstRow="0" w:lastRow="0" w:firstColumn="0" w:lastColumn="0" w:oddVBand="0" w:evenVBand="0" w:oddHBand="0" w:evenHBand="0" w:firstRowFirstColumn="0" w:firstRowLastColumn="0" w:lastRowFirstColumn="0" w:lastRowLastColumn="0"/>
            </w:pPr>
            <w:r>
              <w:t>5 473</w:t>
            </w:r>
          </w:p>
        </w:tc>
        <w:tc>
          <w:tcPr>
            <w:tcW w:w="850" w:type="dxa"/>
          </w:tcPr>
          <w:p w14:paraId="602B2847" w14:textId="77777777" w:rsidR="00964B88" w:rsidRDefault="00964B88">
            <w:pPr>
              <w:cnfStyle w:val="000000000000" w:firstRow="0" w:lastRow="0" w:firstColumn="0" w:lastColumn="0" w:oddVBand="0" w:evenVBand="0" w:oddHBand="0" w:evenHBand="0" w:firstRowFirstColumn="0" w:firstRowLastColumn="0" w:lastRowFirstColumn="0" w:lastRowLastColumn="0"/>
            </w:pPr>
            <w:r>
              <w:t>6 942</w:t>
            </w:r>
          </w:p>
        </w:tc>
        <w:tc>
          <w:tcPr>
            <w:tcW w:w="850" w:type="dxa"/>
          </w:tcPr>
          <w:p w14:paraId="72B5100B" w14:textId="77777777" w:rsidR="00964B88" w:rsidRDefault="00964B88">
            <w:pPr>
              <w:cnfStyle w:val="000000000000" w:firstRow="0" w:lastRow="0" w:firstColumn="0" w:lastColumn="0" w:oddVBand="0" w:evenVBand="0" w:oddHBand="0" w:evenHBand="0" w:firstRowFirstColumn="0" w:firstRowLastColumn="0" w:lastRowFirstColumn="0" w:lastRowLastColumn="0"/>
            </w:pPr>
            <w:r>
              <w:t>9 688</w:t>
            </w:r>
          </w:p>
        </w:tc>
        <w:tc>
          <w:tcPr>
            <w:tcW w:w="850" w:type="dxa"/>
          </w:tcPr>
          <w:p w14:paraId="2735778D" w14:textId="77777777" w:rsidR="00964B88" w:rsidRDefault="00964B88">
            <w:pPr>
              <w:cnfStyle w:val="000000000000" w:firstRow="0" w:lastRow="0" w:firstColumn="0" w:lastColumn="0" w:oddVBand="0" w:evenVBand="0" w:oddHBand="0" w:evenHBand="0" w:firstRowFirstColumn="0" w:firstRowLastColumn="0" w:lastRowFirstColumn="0" w:lastRowLastColumn="0"/>
            </w:pPr>
            <w:r>
              <w:t>9 952</w:t>
            </w:r>
          </w:p>
        </w:tc>
      </w:tr>
      <w:tr w:rsidR="00964B88" w14:paraId="78B7F7DB"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071553D3" w14:textId="77777777" w:rsidR="00964B88" w:rsidRDefault="00964B88">
            <w:r>
              <w:t>Derivative financial instruments</w:t>
            </w:r>
          </w:p>
        </w:tc>
        <w:tc>
          <w:tcPr>
            <w:tcW w:w="850" w:type="dxa"/>
            <w:tcBorders>
              <w:bottom w:val="single" w:sz="6" w:space="0" w:color="auto"/>
            </w:tcBorders>
          </w:tcPr>
          <w:p w14:paraId="583D7023" w14:textId="77777777" w:rsidR="00964B88" w:rsidRDefault="00964B88">
            <w:pPr>
              <w:cnfStyle w:val="000000000000" w:firstRow="0" w:lastRow="0" w:firstColumn="0" w:lastColumn="0" w:oddVBand="0" w:evenVBand="0" w:oddHBand="0" w:evenHBand="0" w:firstRowFirstColumn="0" w:firstRowLastColumn="0" w:lastRowFirstColumn="0" w:lastRowLastColumn="0"/>
            </w:pPr>
            <w:r>
              <w:t>194</w:t>
            </w:r>
          </w:p>
        </w:tc>
        <w:tc>
          <w:tcPr>
            <w:tcW w:w="850" w:type="dxa"/>
            <w:tcBorders>
              <w:bottom w:val="single" w:sz="6" w:space="0" w:color="auto"/>
            </w:tcBorders>
          </w:tcPr>
          <w:p w14:paraId="4803C82E" w14:textId="77777777" w:rsidR="00964B88" w:rsidRDefault="00964B88">
            <w:pPr>
              <w:cnfStyle w:val="000000000000" w:firstRow="0" w:lastRow="0" w:firstColumn="0" w:lastColumn="0" w:oddVBand="0" w:evenVBand="0" w:oddHBand="0" w:evenHBand="0" w:firstRowFirstColumn="0" w:firstRowLastColumn="0" w:lastRowFirstColumn="0" w:lastRowLastColumn="0"/>
            </w:pPr>
            <w:r>
              <w:t>194</w:t>
            </w:r>
          </w:p>
        </w:tc>
        <w:tc>
          <w:tcPr>
            <w:tcW w:w="850" w:type="dxa"/>
            <w:tcBorders>
              <w:bottom w:val="single" w:sz="6" w:space="0" w:color="auto"/>
            </w:tcBorders>
          </w:tcPr>
          <w:p w14:paraId="542361E7" w14:textId="77777777" w:rsidR="00964B88" w:rsidRDefault="00964B88">
            <w:pPr>
              <w:cnfStyle w:val="000000000000" w:firstRow="0" w:lastRow="0" w:firstColumn="0" w:lastColumn="0" w:oddVBand="0" w:evenVBand="0" w:oddHBand="0" w:evenHBand="0" w:firstRowFirstColumn="0" w:firstRowLastColumn="0" w:lastRowFirstColumn="0" w:lastRowLastColumn="0"/>
            </w:pPr>
            <w:r>
              <w:t>194</w:t>
            </w:r>
          </w:p>
        </w:tc>
        <w:tc>
          <w:tcPr>
            <w:tcW w:w="850" w:type="dxa"/>
            <w:tcBorders>
              <w:bottom w:val="single" w:sz="6" w:space="0" w:color="auto"/>
            </w:tcBorders>
          </w:tcPr>
          <w:p w14:paraId="6C6FC8E9" w14:textId="77777777" w:rsidR="00964B88" w:rsidRDefault="00964B88">
            <w:pPr>
              <w:cnfStyle w:val="000000000000" w:firstRow="0" w:lastRow="0" w:firstColumn="0" w:lastColumn="0" w:oddVBand="0" w:evenVBand="0" w:oddHBand="0" w:evenHBand="0" w:firstRowFirstColumn="0" w:firstRowLastColumn="0" w:lastRowFirstColumn="0" w:lastRowLastColumn="0"/>
            </w:pPr>
            <w:r>
              <w:t>194</w:t>
            </w:r>
          </w:p>
        </w:tc>
        <w:tc>
          <w:tcPr>
            <w:tcW w:w="850" w:type="dxa"/>
            <w:tcBorders>
              <w:bottom w:val="single" w:sz="6" w:space="0" w:color="auto"/>
            </w:tcBorders>
          </w:tcPr>
          <w:p w14:paraId="177B855D" w14:textId="77777777" w:rsidR="00964B88" w:rsidRDefault="00964B88">
            <w:pPr>
              <w:cnfStyle w:val="000000000000" w:firstRow="0" w:lastRow="0" w:firstColumn="0" w:lastColumn="0" w:oddVBand="0" w:evenVBand="0" w:oddHBand="0" w:evenHBand="0" w:firstRowFirstColumn="0" w:firstRowLastColumn="0" w:lastRowFirstColumn="0" w:lastRowLastColumn="0"/>
            </w:pPr>
            <w:r>
              <w:t>194</w:t>
            </w:r>
          </w:p>
        </w:tc>
      </w:tr>
      <w:tr w:rsidR="00964B88" w14:paraId="73EB3FE9"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6" w:space="0" w:color="auto"/>
            </w:tcBorders>
          </w:tcPr>
          <w:p w14:paraId="44AC79CE" w14:textId="77777777" w:rsidR="00964B88" w:rsidRDefault="00964B88">
            <w:r>
              <w:rPr>
                <w:b/>
              </w:rPr>
              <w:t>Total non</w:t>
            </w:r>
            <w:r>
              <w:rPr>
                <w:b/>
              </w:rPr>
              <w:noBreakHyphen/>
              <w:t>current borrowings</w:t>
            </w:r>
          </w:p>
        </w:tc>
        <w:tc>
          <w:tcPr>
            <w:tcW w:w="850" w:type="dxa"/>
            <w:tcBorders>
              <w:top w:val="single" w:sz="6" w:space="0" w:color="auto"/>
              <w:bottom w:val="single" w:sz="6" w:space="0" w:color="auto"/>
            </w:tcBorders>
          </w:tcPr>
          <w:p w14:paraId="27C9A76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40 547</w:t>
            </w:r>
          </w:p>
        </w:tc>
        <w:tc>
          <w:tcPr>
            <w:tcW w:w="850" w:type="dxa"/>
            <w:tcBorders>
              <w:top w:val="single" w:sz="6" w:space="0" w:color="auto"/>
              <w:bottom w:val="single" w:sz="6" w:space="0" w:color="auto"/>
            </w:tcBorders>
          </w:tcPr>
          <w:p w14:paraId="7E27226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43 007</w:t>
            </w:r>
          </w:p>
        </w:tc>
        <w:tc>
          <w:tcPr>
            <w:tcW w:w="850" w:type="dxa"/>
            <w:tcBorders>
              <w:top w:val="single" w:sz="6" w:space="0" w:color="auto"/>
              <w:bottom w:val="single" w:sz="6" w:space="0" w:color="auto"/>
            </w:tcBorders>
          </w:tcPr>
          <w:p w14:paraId="3E5EE3E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52 283</w:t>
            </w:r>
          </w:p>
        </w:tc>
        <w:tc>
          <w:tcPr>
            <w:tcW w:w="850" w:type="dxa"/>
            <w:tcBorders>
              <w:top w:val="single" w:sz="6" w:space="0" w:color="auto"/>
              <w:bottom w:val="single" w:sz="6" w:space="0" w:color="auto"/>
            </w:tcBorders>
          </w:tcPr>
          <w:p w14:paraId="5959770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57 461</w:t>
            </w:r>
          </w:p>
        </w:tc>
        <w:tc>
          <w:tcPr>
            <w:tcW w:w="850" w:type="dxa"/>
            <w:tcBorders>
              <w:top w:val="single" w:sz="6" w:space="0" w:color="auto"/>
              <w:bottom w:val="single" w:sz="6" w:space="0" w:color="auto"/>
            </w:tcBorders>
          </w:tcPr>
          <w:p w14:paraId="5837E8C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59 972</w:t>
            </w:r>
          </w:p>
        </w:tc>
      </w:tr>
      <w:tr w:rsidR="00964B88" w14:paraId="75673F82"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22FFD15F" w14:textId="77777777" w:rsidR="00964B88" w:rsidRDefault="00964B88">
            <w:r>
              <w:t>Total borrowings</w:t>
            </w:r>
          </w:p>
        </w:tc>
        <w:tc>
          <w:tcPr>
            <w:tcW w:w="850" w:type="dxa"/>
          </w:tcPr>
          <w:p w14:paraId="4B0FE993" w14:textId="77777777" w:rsidR="00964B88" w:rsidRDefault="00964B88">
            <w:pPr>
              <w:cnfStyle w:val="010000000000" w:firstRow="0" w:lastRow="1" w:firstColumn="0" w:lastColumn="0" w:oddVBand="0" w:evenVBand="0" w:oddHBand="0" w:evenHBand="0" w:firstRowFirstColumn="0" w:firstRowLastColumn="0" w:lastRowFirstColumn="0" w:lastRowLastColumn="0"/>
            </w:pPr>
            <w:r>
              <w:t>51 237</w:t>
            </w:r>
          </w:p>
        </w:tc>
        <w:tc>
          <w:tcPr>
            <w:tcW w:w="850" w:type="dxa"/>
          </w:tcPr>
          <w:p w14:paraId="3C8091DB" w14:textId="77777777" w:rsidR="00964B88" w:rsidRDefault="00964B88">
            <w:pPr>
              <w:cnfStyle w:val="010000000000" w:firstRow="0" w:lastRow="1" w:firstColumn="0" w:lastColumn="0" w:oddVBand="0" w:evenVBand="0" w:oddHBand="0" w:evenHBand="0" w:firstRowFirstColumn="0" w:firstRowLastColumn="0" w:lastRowFirstColumn="0" w:lastRowLastColumn="0"/>
            </w:pPr>
            <w:r>
              <w:t>52 732</w:t>
            </w:r>
          </w:p>
        </w:tc>
        <w:tc>
          <w:tcPr>
            <w:tcW w:w="850" w:type="dxa"/>
          </w:tcPr>
          <w:p w14:paraId="2B685627" w14:textId="77777777" w:rsidR="00964B88" w:rsidRDefault="00964B88">
            <w:pPr>
              <w:cnfStyle w:val="010000000000" w:firstRow="0" w:lastRow="1" w:firstColumn="0" w:lastColumn="0" w:oddVBand="0" w:evenVBand="0" w:oddHBand="0" w:evenHBand="0" w:firstRowFirstColumn="0" w:firstRowLastColumn="0" w:lastRowFirstColumn="0" w:lastRowLastColumn="0"/>
            </w:pPr>
            <w:r>
              <w:t>61 663</w:t>
            </w:r>
          </w:p>
        </w:tc>
        <w:tc>
          <w:tcPr>
            <w:tcW w:w="850" w:type="dxa"/>
          </w:tcPr>
          <w:p w14:paraId="5CBDD69B" w14:textId="77777777" w:rsidR="00964B88" w:rsidRDefault="00964B88">
            <w:pPr>
              <w:cnfStyle w:val="010000000000" w:firstRow="0" w:lastRow="1" w:firstColumn="0" w:lastColumn="0" w:oddVBand="0" w:evenVBand="0" w:oddHBand="0" w:evenHBand="0" w:firstRowFirstColumn="0" w:firstRowLastColumn="0" w:lastRowFirstColumn="0" w:lastRowLastColumn="0"/>
            </w:pPr>
            <w:r>
              <w:t>66 558</w:t>
            </w:r>
          </w:p>
        </w:tc>
        <w:tc>
          <w:tcPr>
            <w:tcW w:w="850" w:type="dxa"/>
          </w:tcPr>
          <w:p w14:paraId="79DEDA3D" w14:textId="77777777" w:rsidR="00964B88" w:rsidRDefault="00964B88">
            <w:pPr>
              <w:cnfStyle w:val="010000000000" w:firstRow="0" w:lastRow="1" w:firstColumn="0" w:lastColumn="0" w:oddVBand="0" w:evenVBand="0" w:oddHBand="0" w:evenHBand="0" w:firstRowFirstColumn="0" w:firstRowLastColumn="0" w:lastRowFirstColumn="0" w:lastRowLastColumn="0"/>
            </w:pPr>
            <w:r>
              <w:t>70 953</w:t>
            </w:r>
          </w:p>
        </w:tc>
      </w:tr>
    </w:tbl>
    <w:p w14:paraId="14FC470E" w14:textId="77777777" w:rsidR="00964B88" w:rsidRDefault="00964B88" w:rsidP="00F53820"/>
    <w:p w14:paraId="2D3E9C0F" w14:textId="77777777" w:rsidR="00964B88" w:rsidRDefault="00964B88" w:rsidP="00F53820"/>
    <w:p w14:paraId="55F5B939" w14:textId="77777777" w:rsidR="00964B88" w:rsidRPr="00B41AC3" w:rsidRDefault="00964B88" w:rsidP="00F53820">
      <w:pPr>
        <w:pStyle w:val="Heading10"/>
      </w:pPr>
      <w:r>
        <w:br w:type="page"/>
      </w:r>
    </w:p>
    <w:p w14:paraId="4ECFAE60" w14:textId="77777777" w:rsidR="00964B88" w:rsidRPr="001D7AD2" w:rsidRDefault="00964B88" w:rsidP="00964B88">
      <w:pPr>
        <w:pStyle w:val="Heading3"/>
        <w:numPr>
          <w:ilvl w:val="2"/>
          <w:numId w:val="22"/>
        </w:numPr>
        <w:tabs>
          <w:tab w:val="clear" w:pos="7711"/>
          <w:tab w:val="left" w:pos="850"/>
          <w:tab w:val="right" w:pos="7710"/>
        </w:tabs>
        <w:spacing w:after="60"/>
        <w:rPr>
          <w:lang w:val="en-US"/>
        </w:rPr>
      </w:pPr>
      <w:bookmarkStart w:id="108" w:name="_Toc530148113"/>
      <w:r>
        <w:lastRenderedPageBreak/>
        <w:t>Advances paid and investments, loans and placements</w:t>
      </w:r>
      <w:r>
        <w:tab/>
        <w:t>($ million)</w:t>
      </w:r>
      <w:bookmarkEnd w:id="108"/>
    </w:p>
    <w:tbl>
      <w:tblPr>
        <w:tblStyle w:val="DTFTable"/>
        <w:tblW w:w="7768" w:type="dxa"/>
        <w:tblLayout w:type="fixed"/>
        <w:tblLook w:val="06A0" w:firstRow="1" w:lastRow="0" w:firstColumn="1" w:lastColumn="0" w:noHBand="1" w:noVBand="1"/>
      </w:tblPr>
      <w:tblGrid>
        <w:gridCol w:w="3518"/>
        <w:gridCol w:w="850"/>
        <w:gridCol w:w="850"/>
        <w:gridCol w:w="850"/>
        <w:gridCol w:w="850"/>
        <w:gridCol w:w="850"/>
      </w:tblGrid>
      <w:tr w:rsidR="00964B88" w14:paraId="165FC284"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10617D95" w14:textId="77777777" w:rsidR="00964B88" w:rsidRDefault="00964B88"/>
        </w:tc>
        <w:tc>
          <w:tcPr>
            <w:tcW w:w="850" w:type="dxa"/>
          </w:tcPr>
          <w:p w14:paraId="071B756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p>
        </w:tc>
        <w:tc>
          <w:tcPr>
            <w:tcW w:w="850" w:type="dxa"/>
          </w:tcPr>
          <w:p w14:paraId="4373B3B4"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50" w:type="dxa"/>
          </w:tcPr>
          <w:p w14:paraId="48C1DE9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50" w:type="dxa"/>
          </w:tcPr>
          <w:p w14:paraId="5084939B"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50" w:type="dxa"/>
          </w:tcPr>
          <w:p w14:paraId="091F71DC"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57F5F864" w14:textId="77777777">
        <w:tc>
          <w:tcPr>
            <w:cnfStyle w:val="001000000000" w:firstRow="0" w:lastRow="0" w:firstColumn="1" w:lastColumn="0" w:oddVBand="0" w:evenVBand="0" w:oddHBand="0" w:evenHBand="0" w:firstRowFirstColumn="0" w:firstRowLastColumn="0" w:lastRowFirstColumn="0" w:lastRowLastColumn="0"/>
            <w:tcW w:w="3518" w:type="dxa"/>
          </w:tcPr>
          <w:p w14:paraId="72B60144" w14:textId="77777777" w:rsidR="00964B88" w:rsidRDefault="00964B88">
            <w:r>
              <w:rPr>
                <w:b/>
              </w:rPr>
              <w:t>Current advances paid and investments,</w:t>
            </w:r>
            <w:r>
              <w:br/>
            </w:r>
            <w:r>
              <w:rPr>
                <w:b/>
              </w:rPr>
              <w:t>loans and placements</w:t>
            </w:r>
          </w:p>
        </w:tc>
        <w:tc>
          <w:tcPr>
            <w:tcW w:w="850" w:type="dxa"/>
          </w:tcPr>
          <w:p w14:paraId="4B5B7A3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F6BD0F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63C76C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48A5DBC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DEE3F1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80FFF5E" w14:textId="77777777">
        <w:tc>
          <w:tcPr>
            <w:cnfStyle w:val="001000000000" w:firstRow="0" w:lastRow="0" w:firstColumn="1" w:lastColumn="0" w:oddVBand="0" w:evenVBand="0" w:oddHBand="0" w:evenHBand="0" w:firstRowFirstColumn="0" w:firstRowLastColumn="0" w:lastRowFirstColumn="0" w:lastRowLastColumn="0"/>
            <w:tcW w:w="3518" w:type="dxa"/>
          </w:tcPr>
          <w:p w14:paraId="1246FB48" w14:textId="77777777" w:rsidR="00964B88" w:rsidRDefault="00964B88">
            <w:r>
              <w:t>Loans and advances paid</w:t>
            </w:r>
          </w:p>
        </w:tc>
        <w:tc>
          <w:tcPr>
            <w:tcW w:w="850" w:type="dxa"/>
          </w:tcPr>
          <w:p w14:paraId="4822C2A9" w14:textId="77777777" w:rsidR="00964B88" w:rsidRDefault="00964B88">
            <w:pPr>
              <w:cnfStyle w:val="000000000000" w:firstRow="0" w:lastRow="0" w:firstColumn="0" w:lastColumn="0" w:oddVBand="0" w:evenVBand="0" w:oddHBand="0" w:evenHBand="0" w:firstRowFirstColumn="0" w:firstRowLastColumn="0" w:lastRowFirstColumn="0" w:lastRowLastColumn="0"/>
            </w:pPr>
            <w:r>
              <w:t>1 276</w:t>
            </w:r>
          </w:p>
        </w:tc>
        <w:tc>
          <w:tcPr>
            <w:tcW w:w="850" w:type="dxa"/>
          </w:tcPr>
          <w:p w14:paraId="7892AE80" w14:textId="77777777" w:rsidR="00964B88" w:rsidRDefault="00964B88">
            <w:pPr>
              <w:cnfStyle w:val="000000000000" w:firstRow="0" w:lastRow="0" w:firstColumn="0" w:lastColumn="0" w:oddVBand="0" w:evenVBand="0" w:oddHBand="0" w:evenHBand="0" w:firstRowFirstColumn="0" w:firstRowLastColumn="0" w:lastRowFirstColumn="0" w:lastRowLastColumn="0"/>
            </w:pPr>
            <w:r>
              <w:t>1 499</w:t>
            </w:r>
          </w:p>
        </w:tc>
        <w:tc>
          <w:tcPr>
            <w:tcW w:w="850" w:type="dxa"/>
          </w:tcPr>
          <w:p w14:paraId="2E3D4DED" w14:textId="77777777" w:rsidR="00964B88" w:rsidRDefault="00964B88">
            <w:pPr>
              <w:cnfStyle w:val="000000000000" w:firstRow="0" w:lastRow="0" w:firstColumn="0" w:lastColumn="0" w:oddVBand="0" w:evenVBand="0" w:oddHBand="0" w:evenHBand="0" w:firstRowFirstColumn="0" w:firstRowLastColumn="0" w:lastRowFirstColumn="0" w:lastRowLastColumn="0"/>
            </w:pPr>
            <w:r>
              <w:t>800</w:t>
            </w:r>
          </w:p>
        </w:tc>
        <w:tc>
          <w:tcPr>
            <w:tcW w:w="850" w:type="dxa"/>
          </w:tcPr>
          <w:p w14:paraId="00E34675" w14:textId="77777777" w:rsidR="00964B88" w:rsidRDefault="00964B88">
            <w:pPr>
              <w:cnfStyle w:val="000000000000" w:firstRow="0" w:lastRow="0" w:firstColumn="0" w:lastColumn="0" w:oddVBand="0" w:evenVBand="0" w:oddHBand="0" w:evenHBand="0" w:firstRowFirstColumn="0" w:firstRowLastColumn="0" w:lastRowFirstColumn="0" w:lastRowLastColumn="0"/>
            </w:pPr>
            <w:r>
              <w:t>329</w:t>
            </w:r>
          </w:p>
        </w:tc>
        <w:tc>
          <w:tcPr>
            <w:tcW w:w="850" w:type="dxa"/>
          </w:tcPr>
          <w:p w14:paraId="2A12A350" w14:textId="77777777" w:rsidR="00964B88" w:rsidRDefault="00964B88">
            <w:pPr>
              <w:cnfStyle w:val="000000000000" w:firstRow="0" w:lastRow="0" w:firstColumn="0" w:lastColumn="0" w:oddVBand="0" w:evenVBand="0" w:oddHBand="0" w:evenHBand="0" w:firstRowFirstColumn="0" w:firstRowLastColumn="0" w:lastRowFirstColumn="0" w:lastRowLastColumn="0"/>
            </w:pPr>
            <w:r>
              <w:t>278</w:t>
            </w:r>
          </w:p>
        </w:tc>
      </w:tr>
      <w:tr w:rsidR="00964B88" w14:paraId="36C1EF29" w14:textId="77777777">
        <w:tc>
          <w:tcPr>
            <w:cnfStyle w:val="001000000000" w:firstRow="0" w:lastRow="0" w:firstColumn="1" w:lastColumn="0" w:oddVBand="0" w:evenVBand="0" w:oddHBand="0" w:evenHBand="0" w:firstRowFirstColumn="0" w:firstRowLastColumn="0" w:lastRowFirstColumn="0" w:lastRowLastColumn="0"/>
            <w:tcW w:w="3518" w:type="dxa"/>
          </w:tcPr>
          <w:p w14:paraId="08C48D2F" w14:textId="77777777" w:rsidR="00964B88" w:rsidRDefault="00964B88">
            <w:r>
              <w:t>Equities and managed investment schemes</w:t>
            </w:r>
          </w:p>
        </w:tc>
        <w:tc>
          <w:tcPr>
            <w:tcW w:w="850" w:type="dxa"/>
          </w:tcPr>
          <w:p w14:paraId="7768FF9A" w14:textId="77777777" w:rsidR="00964B88" w:rsidRDefault="00964B88">
            <w:pPr>
              <w:cnfStyle w:val="000000000000" w:firstRow="0" w:lastRow="0" w:firstColumn="0" w:lastColumn="0" w:oddVBand="0" w:evenVBand="0" w:oddHBand="0" w:evenHBand="0" w:firstRowFirstColumn="0" w:firstRowLastColumn="0" w:lastRowFirstColumn="0" w:lastRowLastColumn="0"/>
            </w:pPr>
            <w:r>
              <w:t>921</w:t>
            </w:r>
          </w:p>
        </w:tc>
        <w:tc>
          <w:tcPr>
            <w:tcW w:w="850" w:type="dxa"/>
          </w:tcPr>
          <w:p w14:paraId="1222AFFF" w14:textId="77777777" w:rsidR="00964B88" w:rsidRDefault="00964B88">
            <w:pPr>
              <w:cnfStyle w:val="000000000000" w:firstRow="0" w:lastRow="0" w:firstColumn="0" w:lastColumn="0" w:oddVBand="0" w:evenVBand="0" w:oddHBand="0" w:evenHBand="0" w:firstRowFirstColumn="0" w:firstRowLastColumn="0" w:lastRowFirstColumn="0" w:lastRowLastColumn="0"/>
            </w:pPr>
            <w:r>
              <w:t>856</w:t>
            </w:r>
          </w:p>
        </w:tc>
        <w:tc>
          <w:tcPr>
            <w:tcW w:w="850" w:type="dxa"/>
          </w:tcPr>
          <w:p w14:paraId="57C67ADD" w14:textId="77777777" w:rsidR="00964B88" w:rsidRDefault="00964B88">
            <w:pPr>
              <w:cnfStyle w:val="000000000000" w:firstRow="0" w:lastRow="0" w:firstColumn="0" w:lastColumn="0" w:oddVBand="0" w:evenVBand="0" w:oddHBand="0" w:evenHBand="0" w:firstRowFirstColumn="0" w:firstRowLastColumn="0" w:lastRowFirstColumn="0" w:lastRowLastColumn="0"/>
            </w:pPr>
            <w:r>
              <w:t>873</w:t>
            </w:r>
          </w:p>
        </w:tc>
        <w:tc>
          <w:tcPr>
            <w:tcW w:w="850" w:type="dxa"/>
          </w:tcPr>
          <w:p w14:paraId="74645715" w14:textId="77777777" w:rsidR="00964B88" w:rsidRDefault="00964B88">
            <w:pPr>
              <w:cnfStyle w:val="000000000000" w:firstRow="0" w:lastRow="0" w:firstColumn="0" w:lastColumn="0" w:oddVBand="0" w:evenVBand="0" w:oddHBand="0" w:evenHBand="0" w:firstRowFirstColumn="0" w:firstRowLastColumn="0" w:lastRowFirstColumn="0" w:lastRowLastColumn="0"/>
            </w:pPr>
            <w:r>
              <w:t>900</w:t>
            </w:r>
          </w:p>
        </w:tc>
        <w:tc>
          <w:tcPr>
            <w:tcW w:w="850" w:type="dxa"/>
          </w:tcPr>
          <w:p w14:paraId="486DC8EC" w14:textId="77777777" w:rsidR="00964B88" w:rsidRDefault="00964B88">
            <w:pPr>
              <w:cnfStyle w:val="000000000000" w:firstRow="0" w:lastRow="0" w:firstColumn="0" w:lastColumn="0" w:oddVBand="0" w:evenVBand="0" w:oddHBand="0" w:evenHBand="0" w:firstRowFirstColumn="0" w:firstRowLastColumn="0" w:lastRowFirstColumn="0" w:lastRowLastColumn="0"/>
            </w:pPr>
            <w:r>
              <w:t>927</w:t>
            </w:r>
          </w:p>
        </w:tc>
      </w:tr>
      <w:tr w:rsidR="00964B88" w14:paraId="7D126177" w14:textId="77777777">
        <w:tc>
          <w:tcPr>
            <w:cnfStyle w:val="001000000000" w:firstRow="0" w:lastRow="0" w:firstColumn="1" w:lastColumn="0" w:oddVBand="0" w:evenVBand="0" w:oddHBand="0" w:evenHBand="0" w:firstRowFirstColumn="0" w:firstRowLastColumn="0" w:lastRowFirstColumn="0" w:lastRowLastColumn="0"/>
            <w:tcW w:w="3518" w:type="dxa"/>
          </w:tcPr>
          <w:p w14:paraId="4900C12D" w14:textId="77777777" w:rsidR="00964B88" w:rsidRDefault="00964B88">
            <w:r>
              <w:t>Australian dollar term deposits</w:t>
            </w:r>
          </w:p>
        </w:tc>
        <w:tc>
          <w:tcPr>
            <w:tcW w:w="850" w:type="dxa"/>
          </w:tcPr>
          <w:p w14:paraId="3CFFA78D" w14:textId="77777777" w:rsidR="00964B88" w:rsidRDefault="00964B88">
            <w:pPr>
              <w:cnfStyle w:val="000000000000" w:firstRow="0" w:lastRow="0" w:firstColumn="0" w:lastColumn="0" w:oddVBand="0" w:evenVBand="0" w:oddHBand="0" w:evenHBand="0" w:firstRowFirstColumn="0" w:firstRowLastColumn="0" w:lastRowFirstColumn="0" w:lastRowLastColumn="0"/>
            </w:pPr>
            <w:r>
              <w:t>119</w:t>
            </w:r>
          </w:p>
        </w:tc>
        <w:tc>
          <w:tcPr>
            <w:tcW w:w="850" w:type="dxa"/>
          </w:tcPr>
          <w:p w14:paraId="36CB9BA6" w14:textId="77777777" w:rsidR="00964B88" w:rsidRDefault="00964B88">
            <w:pPr>
              <w:cnfStyle w:val="000000000000" w:firstRow="0" w:lastRow="0" w:firstColumn="0" w:lastColumn="0" w:oddVBand="0" w:evenVBand="0" w:oddHBand="0" w:evenHBand="0" w:firstRowFirstColumn="0" w:firstRowLastColumn="0" w:lastRowFirstColumn="0" w:lastRowLastColumn="0"/>
            </w:pPr>
            <w:r>
              <w:t>150</w:t>
            </w:r>
          </w:p>
        </w:tc>
        <w:tc>
          <w:tcPr>
            <w:tcW w:w="850" w:type="dxa"/>
          </w:tcPr>
          <w:p w14:paraId="3C1EF776" w14:textId="77777777" w:rsidR="00964B88" w:rsidRDefault="00964B88">
            <w:pPr>
              <w:cnfStyle w:val="000000000000" w:firstRow="0" w:lastRow="0" w:firstColumn="0" w:lastColumn="0" w:oddVBand="0" w:evenVBand="0" w:oddHBand="0" w:evenHBand="0" w:firstRowFirstColumn="0" w:firstRowLastColumn="0" w:lastRowFirstColumn="0" w:lastRowLastColumn="0"/>
            </w:pPr>
            <w:r>
              <w:t>138</w:t>
            </w:r>
          </w:p>
        </w:tc>
        <w:tc>
          <w:tcPr>
            <w:tcW w:w="850" w:type="dxa"/>
          </w:tcPr>
          <w:p w14:paraId="0B0840A3" w14:textId="77777777" w:rsidR="00964B88" w:rsidRDefault="00964B88">
            <w:pPr>
              <w:cnfStyle w:val="000000000000" w:firstRow="0" w:lastRow="0" w:firstColumn="0" w:lastColumn="0" w:oddVBand="0" w:evenVBand="0" w:oddHBand="0" w:evenHBand="0" w:firstRowFirstColumn="0" w:firstRowLastColumn="0" w:lastRowFirstColumn="0" w:lastRowLastColumn="0"/>
            </w:pPr>
            <w:r>
              <w:t>81</w:t>
            </w:r>
          </w:p>
        </w:tc>
        <w:tc>
          <w:tcPr>
            <w:tcW w:w="850" w:type="dxa"/>
          </w:tcPr>
          <w:p w14:paraId="56A46DBA" w14:textId="77777777" w:rsidR="00964B88" w:rsidRDefault="00964B88">
            <w:pPr>
              <w:cnfStyle w:val="000000000000" w:firstRow="0" w:lastRow="0" w:firstColumn="0" w:lastColumn="0" w:oddVBand="0" w:evenVBand="0" w:oddHBand="0" w:evenHBand="0" w:firstRowFirstColumn="0" w:firstRowLastColumn="0" w:lastRowFirstColumn="0" w:lastRowLastColumn="0"/>
            </w:pPr>
            <w:r>
              <w:t>58</w:t>
            </w:r>
          </w:p>
        </w:tc>
      </w:tr>
      <w:tr w:rsidR="00964B88" w14:paraId="01145F79" w14:textId="77777777">
        <w:tc>
          <w:tcPr>
            <w:cnfStyle w:val="001000000000" w:firstRow="0" w:lastRow="0" w:firstColumn="1" w:lastColumn="0" w:oddVBand="0" w:evenVBand="0" w:oddHBand="0" w:evenHBand="0" w:firstRowFirstColumn="0" w:firstRowLastColumn="0" w:lastRowFirstColumn="0" w:lastRowLastColumn="0"/>
            <w:tcW w:w="3518" w:type="dxa"/>
          </w:tcPr>
          <w:p w14:paraId="45321DD2" w14:textId="77777777" w:rsidR="00964B88" w:rsidRDefault="00964B88">
            <w:r>
              <w:t>Debt securities</w:t>
            </w:r>
          </w:p>
        </w:tc>
        <w:tc>
          <w:tcPr>
            <w:tcW w:w="850" w:type="dxa"/>
          </w:tcPr>
          <w:p w14:paraId="2EAEEA6A" w14:textId="77777777" w:rsidR="00964B88" w:rsidRDefault="00964B88">
            <w:pPr>
              <w:cnfStyle w:val="000000000000" w:firstRow="0" w:lastRow="0" w:firstColumn="0" w:lastColumn="0" w:oddVBand="0" w:evenVBand="0" w:oddHBand="0" w:evenHBand="0" w:firstRowFirstColumn="0" w:firstRowLastColumn="0" w:lastRowFirstColumn="0" w:lastRowLastColumn="0"/>
            </w:pPr>
            <w:r>
              <w:t>9</w:t>
            </w:r>
          </w:p>
        </w:tc>
        <w:tc>
          <w:tcPr>
            <w:tcW w:w="850" w:type="dxa"/>
          </w:tcPr>
          <w:p w14:paraId="0763B848" w14:textId="77777777" w:rsidR="00964B88" w:rsidRDefault="00964B88">
            <w:pPr>
              <w:cnfStyle w:val="000000000000" w:firstRow="0" w:lastRow="0" w:firstColumn="0" w:lastColumn="0" w:oddVBand="0" w:evenVBand="0" w:oddHBand="0" w:evenHBand="0" w:firstRowFirstColumn="0" w:firstRowLastColumn="0" w:lastRowFirstColumn="0" w:lastRowLastColumn="0"/>
            </w:pPr>
            <w:r>
              <w:t>9</w:t>
            </w:r>
          </w:p>
        </w:tc>
        <w:tc>
          <w:tcPr>
            <w:tcW w:w="850" w:type="dxa"/>
          </w:tcPr>
          <w:p w14:paraId="17A1587B" w14:textId="77777777" w:rsidR="00964B88" w:rsidRDefault="00964B88">
            <w:pPr>
              <w:cnfStyle w:val="000000000000" w:firstRow="0" w:lastRow="0" w:firstColumn="0" w:lastColumn="0" w:oddVBand="0" w:evenVBand="0" w:oddHBand="0" w:evenHBand="0" w:firstRowFirstColumn="0" w:firstRowLastColumn="0" w:lastRowFirstColumn="0" w:lastRowLastColumn="0"/>
            </w:pPr>
            <w:r>
              <w:t>9</w:t>
            </w:r>
          </w:p>
        </w:tc>
        <w:tc>
          <w:tcPr>
            <w:tcW w:w="850" w:type="dxa"/>
          </w:tcPr>
          <w:p w14:paraId="23CC349C" w14:textId="77777777" w:rsidR="00964B88" w:rsidRDefault="00964B88">
            <w:pPr>
              <w:cnfStyle w:val="000000000000" w:firstRow="0" w:lastRow="0" w:firstColumn="0" w:lastColumn="0" w:oddVBand="0" w:evenVBand="0" w:oddHBand="0" w:evenHBand="0" w:firstRowFirstColumn="0" w:firstRowLastColumn="0" w:lastRowFirstColumn="0" w:lastRowLastColumn="0"/>
            </w:pPr>
            <w:r>
              <w:t>9</w:t>
            </w:r>
          </w:p>
        </w:tc>
        <w:tc>
          <w:tcPr>
            <w:tcW w:w="850" w:type="dxa"/>
          </w:tcPr>
          <w:p w14:paraId="6C0B1AE9" w14:textId="77777777" w:rsidR="00964B88" w:rsidRDefault="00964B88">
            <w:pPr>
              <w:cnfStyle w:val="000000000000" w:firstRow="0" w:lastRow="0" w:firstColumn="0" w:lastColumn="0" w:oddVBand="0" w:evenVBand="0" w:oddHBand="0" w:evenHBand="0" w:firstRowFirstColumn="0" w:firstRowLastColumn="0" w:lastRowFirstColumn="0" w:lastRowLastColumn="0"/>
            </w:pPr>
            <w:r>
              <w:t>9</w:t>
            </w:r>
          </w:p>
        </w:tc>
      </w:tr>
      <w:tr w:rsidR="00964B88" w14:paraId="721FEC91"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059F5E22" w14:textId="77777777" w:rsidR="00964B88" w:rsidRDefault="00964B88">
            <w:r>
              <w:t>Derivative financial instruments</w:t>
            </w:r>
          </w:p>
        </w:tc>
        <w:tc>
          <w:tcPr>
            <w:tcW w:w="850" w:type="dxa"/>
            <w:tcBorders>
              <w:bottom w:val="single" w:sz="6" w:space="0" w:color="auto"/>
            </w:tcBorders>
          </w:tcPr>
          <w:p w14:paraId="4DEAE22B" w14:textId="77777777" w:rsidR="00964B88" w:rsidRDefault="00964B88">
            <w:pPr>
              <w:cnfStyle w:val="000000000000" w:firstRow="0" w:lastRow="0" w:firstColumn="0" w:lastColumn="0" w:oddVBand="0" w:evenVBand="0" w:oddHBand="0" w:evenHBand="0" w:firstRowFirstColumn="0" w:firstRowLastColumn="0" w:lastRowFirstColumn="0" w:lastRowLastColumn="0"/>
            </w:pPr>
            <w:r>
              <w:t>328</w:t>
            </w:r>
          </w:p>
        </w:tc>
        <w:tc>
          <w:tcPr>
            <w:tcW w:w="850" w:type="dxa"/>
            <w:tcBorders>
              <w:bottom w:val="single" w:sz="6" w:space="0" w:color="auto"/>
            </w:tcBorders>
          </w:tcPr>
          <w:p w14:paraId="46F36A37" w14:textId="77777777" w:rsidR="00964B88" w:rsidRDefault="00964B88">
            <w:pPr>
              <w:cnfStyle w:val="000000000000" w:firstRow="0" w:lastRow="0" w:firstColumn="0" w:lastColumn="0" w:oddVBand="0" w:evenVBand="0" w:oddHBand="0" w:evenHBand="0" w:firstRowFirstColumn="0" w:firstRowLastColumn="0" w:lastRowFirstColumn="0" w:lastRowLastColumn="0"/>
            </w:pPr>
            <w:r>
              <w:t>302</w:t>
            </w:r>
          </w:p>
        </w:tc>
        <w:tc>
          <w:tcPr>
            <w:tcW w:w="850" w:type="dxa"/>
            <w:tcBorders>
              <w:bottom w:val="single" w:sz="6" w:space="0" w:color="auto"/>
            </w:tcBorders>
          </w:tcPr>
          <w:p w14:paraId="033E8B5D" w14:textId="77777777" w:rsidR="00964B88" w:rsidRDefault="00964B88">
            <w:pPr>
              <w:cnfStyle w:val="000000000000" w:firstRow="0" w:lastRow="0" w:firstColumn="0" w:lastColumn="0" w:oddVBand="0" w:evenVBand="0" w:oddHBand="0" w:evenHBand="0" w:firstRowFirstColumn="0" w:firstRowLastColumn="0" w:lastRowFirstColumn="0" w:lastRowLastColumn="0"/>
            </w:pPr>
            <w:r>
              <w:t>306</w:t>
            </w:r>
          </w:p>
        </w:tc>
        <w:tc>
          <w:tcPr>
            <w:tcW w:w="850" w:type="dxa"/>
            <w:tcBorders>
              <w:bottom w:val="single" w:sz="6" w:space="0" w:color="auto"/>
            </w:tcBorders>
          </w:tcPr>
          <w:p w14:paraId="117517ED" w14:textId="77777777" w:rsidR="00964B88" w:rsidRDefault="00964B88">
            <w:pPr>
              <w:cnfStyle w:val="000000000000" w:firstRow="0" w:lastRow="0" w:firstColumn="0" w:lastColumn="0" w:oddVBand="0" w:evenVBand="0" w:oddHBand="0" w:evenHBand="0" w:firstRowFirstColumn="0" w:firstRowLastColumn="0" w:lastRowFirstColumn="0" w:lastRowLastColumn="0"/>
            </w:pPr>
            <w:r>
              <w:t>309</w:t>
            </w:r>
          </w:p>
        </w:tc>
        <w:tc>
          <w:tcPr>
            <w:tcW w:w="850" w:type="dxa"/>
            <w:tcBorders>
              <w:bottom w:val="single" w:sz="6" w:space="0" w:color="auto"/>
            </w:tcBorders>
          </w:tcPr>
          <w:p w14:paraId="542387DC" w14:textId="77777777" w:rsidR="00964B88" w:rsidRDefault="00964B88">
            <w:pPr>
              <w:cnfStyle w:val="000000000000" w:firstRow="0" w:lastRow="0" w:firstColumn="0" w:lastColumn="0" w:oddVBand="0" w:evenVBand="0" w:oddHBand="0" w:evenHBand="0" w:firstRowFirstColumn="0" w:firstRowLastColumn="0" w:lastRowFirstColumn="0" w:lastRowLastColumn="0"/>
            </w:pPr>
            <w:r>
              <w:t>322</w:t>
            </w:r>
          </w:p>
        </w:tc>
      </w:tr>
      <w:tr w:rsidR="00964B88" w14:paraId="4E7F4015"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4DC37B39" w14:textId="77777777" w:rsidR="00964B88" w:rsidRDefault="00964B88">
            <w:r>
              <w:rPr>
                <w:b/>
              </w:rPr>
              <w:t>Total current advances paid and investments, loans and placements</w:t>
            </w:r>
          </w:p>
        </w:tc>
        <w:tc>
          <w:tcPr>
            <w:tcW w:w="850" w:type="dxa"/>
            <w:tcBorders>
              <w:top w:val="single" w:sz="6" w:space="0" w:color="auto"/>
            </w:tcBorders>
          </w:tcPr>
          <w:p w14:paraId="5F5B1FF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2 653</w:t>
            </w:r>
          </w:p>
        </w:tc>
        <w:tc>
          <w:tcPr>
            <w:tcW w:w="850" w:type="dxa"/>
            <w:tcBorders>
              <w:top w:val="single" w:sz="6" w:space="0" w:color="auto"/>
            </w:tcBorders>
          </w:tcPr>
          <w:p w14:paraId="45E6DE1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2 816</w:t>
            </w:r>
          </w:p>
        </w:tc>
        <w:tc>
          <w:tcPr>
            <w:tcW w:w="850" w:type="dxa"/>
            <w:tcBorders>
              <w:top w:val="single" w:sz="6" w:space="0" w:color="auto"/>
            </w:tcBorders>
          </w:tcPr>
          <w:p w14:paraId="44E1EBA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2 126</w:t>
            </w:r>
          </w:p>
        </w:tc>
        <w:tc>
          <w:tcPr>
            <w:tcW w:w="850" w:type="dxa"/>
            <w:tcBorders>
              <w:top w:val="single" w:sz="6" w:space="0" w:color="auto"/>
            </w:tcBorders>
          </w:tcPr>
          <w:p w14:paraId="2A19FEF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1 628</w:t>
            </w:r>
          </w:p>
        </w:tc>
        <w:tc>
          <w:tcPr>
            <w:tcW w:w="850" w:type="dxa"/>
            <w:tcBorders>
              <w:top w:val="single" w:sz="6" w:space="0" w:color="auto"/>
            </w:tcBorders>
          </w:tcPr>
          <w:p w14:paraId="42583F4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1 593</w:t>
            </w:r>
          </w:p>
        </w:tc>
      </w:tr>
      <w:tr w:rsidR="00964B88" w14:paraId="7B000012" w14:textId="77777777">
        <w:tc>
          <w:tcPr>
            <w:cnfStyle w:val="001000000000" w:firstRow="0" w:lastRow="0" w:firstColumn="1" w:lastColumn="0" w:oddVBand="0" w:evenVBand="0" w:oddHBand="0" w:evenHBand="0" w:firstRowFirstColumn="0" w:firstRowLastColumn="0" w:lastRowFirstColumn="0" w:lastRowLastColumn="0"/>
            <w:tcW w:w="3518" w:type="dxa"/>
          </w:tcPr>
          <w:p w14:paraId="02CA4A90" w14:textId="77777777" w:rsidR="00964B88" w:rsidRDefault="00964B88">
            <w:r>
              <w:rPr>
                <w:b/>
              </w:rPr>
              <w:t>Non</w:t>
            </w:r>
            <w:r>
              <w:rPr>
                <w:b/>
              </w:rPr>
              <w:noBreakHyphen/>
              <w:t>current advances paid and investments, loans and placements</w:t>
            </w:r>
          </w:p>
        </w:tc>
        <w:tc>
          <w:tcPr>
            <w:tcW w:w="850" w:type="dxa"/>
          </w:tcPr>
          <w:p w14:paraId="259B1D2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4AB931E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DBCADF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A6A629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2E5481B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EC4843C" w14:textId="77777777">
        <w:tc>
          <w:tcPr>
            <w:cnfStyle w:val="001000000000" w:firstRow="0" w:lastRow="0" w:firstColumn="1" w:lastColumn="0" w:oddVBand="0" w:evenVBand="0" w:oddHBand="0" w:evenHBand="0" w:firstRowFirstColumn="0" w:firstRowLastColumn="0" w:lastRowFirstColumn="0" w:lastRowLastColumn="0"/>
            <w:tcW w:w="3518" w:type="dxa"/>
          </w:tcPr>
          <w:p w14:paraId="4A0FA926" w14:textId="77777777" w:rsidR="00964B88" w:rsidRDefault="00964B88">
            <w:r>
              <w:t>Loans and advances paid</w:t>
            </w:r>
          </w:p>
        </w:tc>
        <w:tc>
          <w:tcPr>
            <w:tcW w:w="850" w:type="dxa"/>
          </w:tcPr>
          <w:p w14:paraId="55D90553" w14:textId="77777777" w:rsidR="00964B88" w:rsidRDefault="00964B88">
            <w:pPr>
              <w:cnfStyle w:val="000000000000" w:firstRow="0" w:lastRow="0" w:firstColumn="0" w:lastColumn="0" w:oddVBand="0" w:evenVBand="0" w:oddHBand="0" w:evenHBand="0" w:firstRowFirstColumn="0" w:firstRowLastColumn="0" w:lastRowFirstColumn="0" w:lastRowLastColumn="0"/>
            </w:pPr>
            <w:r>
              <w:t>4 966</w:t>
            </w:r>
          </w:p>
        </w:tc>
        <w:tc>
          <w:tcPr>
            <w:tcW w:w="850" w:type="dxa"/>
          </w:tcPr>
          <w:p w14:paraId="01AE17EC" w14:textId="77777777" w:rsidR="00964B88" w:rsidRDefault="00964B88">
            <w:pPr>
              <w:cnfStyle w:val="000000000000" w:firstRow="0" w:lastRow="0" w:firstColumn="0" w:lastColumn="0" w:oddVBand="0" w:evenVBand="0" w:oddHBand="0" w:evenHBand="0" w:firstRowFirstColumn="0" w:firstRowLastColumn="0" w:lastRowFirstColumn="0" w:lastRowLastColumn="0"/>
            </w:pPr>
            <w:r>
              <w:t>4 979</w:t>
            </w:r>
          </w:p>
        </w:tc>
        <w:tc>
          <w:tcPr>
            <w:tcW w:w="850" w:type="dxa"/>
          </w:tcPr>
          <w:p w14:paraId="0ED87940" w14:textId="77777777" w:rsidR="00964B88" w:rsidRDefault="00964B88">
            <w:pPr>
              <w:cnfStyle w:val="000000000000" w:firstRow="0" w:lastRow="0" w:firstColumn="0" w:lastColumn="0" w:oddVBand="0" w:evenVBand="0" w:oddHBand="0" w:evenHBand="0" w:firstRowFirstColumn="0" w:firstRowLastColumn="0" w:lastRowFirstColumn="0" w:lastRowLastColumn="0"/>
            </w:pPr>
            <w:r>
              <w:t>4 394</w:t>
            </w:r>
          </w:p>
        </w:tc>
        <w:tc>
          <w:tcPr>
            <w:tcW w:w="850" w:type="dxa"/>
          </w:tcPr>
          <w:p w14:paraId="21B04ECA" w14:textId="77777777" w:rsidR="00964B88" w:rsidRDefault="00964B88">
            <w:pPr>
              <w:cnfStyle w:val="000000000000" w:firstRow="0" w:lastRow="0" w:firstColumn="0" w:lastColumn="0" w:oddVBand="0" w:evenVBand="0" w:oddHBand="0" w:evenHBand="0" w:firstRowFirstColumn="0" w:firstRowLastColumn="0" w:lastRowFirstColumn="0" w:lastRowLastColumn="0"/>
            </w:pPr>
            <w:r>
              <w:t>4 339</w:t>
            </w:r>
          </w:p>
        </w:tc>
        <w:tc>
          <w:tcPr>
            <w:tcW w:w="850" w:type="dxa"/>
          </w:tcPr>
          <w:p w14:paraId="03CB7141" w14:textId="77777777" w:rsidR="00964B88" w:rsidRDefault="00964B88">
            <w:pPr>
              <w:cnfStyle w:val="000000000000" w:firstRow="0" w:lastRow="0" w:firstColumn="0" w:lastColumn="0" w:oddVBand="0" w:evenVBand="0" w:oddHBand="0" w:evenHBand="0" w:firstRowFirstColumn="0" w:firstRowLastColumn="0" w:lastRowFirstColumn="0" w:lastRowLastColumn="0"/>
            </w:pPr>
            <w:r>
              <w:t>4 422</w:t>
            </w:r>
          </w:p>
        </w:tc>
      </w:tr>
      <w:tr w:rsidR="00964B88" w14:paraId="1F1B6223" w14:textId="77777777">
        <w:tc>
          <w:tcPr>
            <w:cnfStyle w:val="001000000000" w:firstRow="0" w:lastRow="0" w:firstColumn="1" w:lastColumn="0" w:oddVBand="0" w:evenVBand="0" w:oddHBand="0" w:evenHBand="0" w:firstRowFirstColumn="0" w:firstRowLastColumn="0" w:lastRowFirstColumn="0" w:lastRowLastColumn="0"/>
            <w:tcW w:w="3518" w:type="dxa"/>
          </w:tcPr>
          <w:p w14:paraId="4411BF6C" w14:textId="77777777" w:rsidR="00964B88" w:rsidRDefault="00964B88">
            <w:r>
              <w:t>Equities and managed investment schemes</w:t>
            </w:r>
          </w:p>
        </w:tc>
        <w:tc>
          <w:tcPr>
            <w:tcW w:w="850" w:type="dxa"/>
          </w:tcPr>
          <w:p w14:paraId="77E972F7" w14:textId="77777777" w:rsidR="00964B88" w:rsidRDefault="00964B88">
            <w:pPr>
              <w:cnfStyle w:val="000000000000" w:firstRow="0" w:lastRow="0" w:firstColumn="0" w:lastColumn="0" w:oddVBand="0" w:evenVBand="0" w:oddHBand="0" w:evenHBand="0" w:firstRowFirstColumn="0" w:firstRowLastColumn="0" w:lastRowFirstColumn="0" w:lastRowLastColumn="0"/>
            </w:pPr>
            <w:r>
              <w:t>1 500</w:t>
            </w:r>
          </w:p>
        </w:tc>
        <w:tc>
          <w:tcPr>
            <w:tcW w:w="850" w:type="dxa"/>
          </w:tcPr>
          <w:p w14:paraId="51EC5AAD" w14:textId="77777777" w:rsidR="00964B88" w:rsidRDefault="00964B88">
            <w:pPr>
              <w:cnfStyle w:val="000000000000" w:firstRow="0" w:lastRow="0" w:firstColumn="0" w:lastColumn="0" w:oddVBand="0" w:evenVBand="0" w:oddHBand="0" w:evenHBand="0" w:firstRowFirstColumn="0" w:firstRowLastColumn="0" w:lastRowFirstColumn="0" w:lastRowLastColumn="0"/>
            </w:pPr>
            <w:r>
              <w:t>1 484</w:t>
            </w:r>
          </w:p>
        </w:tc>
        <w:tc>
          <w:tcPr>
            <w:tcW w:w="850" w:type="dxa"/>
          </w:tcPr>
          <w:p w14:paraId="735F7CE1" w14:textId="77777777" w:rsidR="00964B88" w:rsidRDefault="00964B88">
            <w:pPr>
              <w:cnfStyle w:val="000000000000" w:firstRow="0" w:lastRow="0" w:firstColumn="0" w:lastColumn="0" w:oddVBand="0" w:evenVBand="0" w:oddHBand="0" w:evenHBand="0" w:firstRowFirstColumn="0" w:firstRowLastColumn="0" w:lastRowFirstColumn="0" w:lastRowLastColumn="0"/>
            </w:pPr>
            <w:r>
              <w:t>1 530</w:t>
            </w:r>
          </w:p>
        </w:tc>
        <w:tc>
          <w:tcPr>
            <w:tcW w:w="850" w:type="dxa"/>
          </w:tcPr>
          <w:p w14:paraId="3146C25E" w14:textId="77777777" w:rsidR="00964B88" w:rsidRDefault="00964B88">
            <w:pPr>
              <w:cnfStyle w:val="000000000000" w:firstRow="0" w:lastRow="0" w:firstColumn="0" w:lastColumn="0" w:oddVBand="0" w:evenVBand="0" w:oddHBand="0" w:evenHBand="0" w:firstRowFirstColumn="0" w:firstRowLastColumn="0" w:lastRowFirstColumn="0" w:lastRowLastColumn="0"/>
            </w:pPr>
            <w:r>
              <w:t>1 534</w:t>
            </w:r>
          </w:p>
        </w:tc>
        <w:tc>
          <w:tcPr>
            <w:tcW w:w="850" w:type="dxa"/>
          </w:tcPr>
          <w:p w14:paraId="029B6918" w14:textId="77777777" w:rsidR="00964B88" w:rsidRDefault="00964B88">
            <w:pPr>
              <w:cnfStyle w:val="000000000000" w:firstRow="0" w:lastRow="0" w:firstColumn="0" w:lastColumn="0" w:oddVBand="0" w:evenVBand="0" w:oddHBand="0" w:evenHBand="0" w:firstRowFirstColumn="0" w:firstRowLastColumn="0" w:lastRowFirstColumn="0" w:lastRowLastColumn="0"/>
            </w:pPr>
            <w:r>
              <w:t>1 583</w:t>
            </w:r>
          </w:p>
        </w:tc>
      </w:tr>
      <w:tr w:rsidR="00964B88" w14:paraId="40A0068B" w14:textId="77777777">
        <w:tc>
          <w:tcPr>
            <w:cnfStyle w:val="001000000000" w:firstRow="0" w:lastRow="0" w:firstColumn="1" w:lastColumn="0" w:oddVBand="0" w:evenVBand="0" w:oddHBand="0" w:evenHBand="0" w:firstRowFirstColumn="0" w:firstRowLastColumn="0" w:lastRowFirstColumn="0" w:lastRowLastColumn="0"/>
            <w:tcW w:w="3518" w:type="dxa"/>
          </w:tcPr>
          <w:p w14:paraId="789096D4" w14:textId="77777777" w:rsidR="00964B88" w:rsidRDefault="00964B88">
            <w:r>
              <w:t>Australian dollar term deposits</w:t>
            </w:r>
          </w:p>
        </w:tc>
        <w:tc>
          <w:tcPr>
            <w:tcW w:w="850" w:type="dxa"/>
          </w:tcPr>
          <w:p w14:paraId="5DF74A1C" w14:textId="77777777" w:rsidR="00964B88" w:rsidRDefault="00964B88">
            <w:pPr>
              <w:cnfStyle w:val="000000000000" w:firstRow="0" w:lastRow="0" w:firstColumn="0" w:lastColumn="0" w:oddVBand="0" w:evenVBand="0" w:oddHBand="0" w:evenHBand="0" w:firstRowFirstColumn="0" w:firstRowLastColumn="0" w:lastRowFirstColumn="0" w:lastRowLastColumn="0"/>
            </w:pPr>
            <w:r>
              <w:t>64</w:t>
            </w:r>
          </w:p>
        </w:tc>
        <w:tc>
          <w:tcPr>
            <w:tcW w:w="850" w:type="dxa"/>
          </w:tcPr>
          <w:p w14:paraId="72E30131" w14:textId="77777777" w:rsidR="00964B88" w:rsidRDefault="00964B88">
            <w:pPr>
              <w:cnfStyle w:val="000000000000" w:firstRow="0" w:lastRow="0" w:firstColumn="0" w:lastColumn="0" w:oddVBand="0" w:evenVBand="0" w:oddHBand="0" w:evenHBand="0" w:firstRowFirstColumn="0" w:firstRowLastColumn="0" w:lastRowFirstColumn="0" w:lastRowLastColumn="0"/>
            </w:pPr>
            <w:r>
              <w:t>17</w:t>
            </w:r>
          </w:p>
        </w:tc>
        <w:tc>
          <w:tcPr>
            <w:tcW w:w="850" w:type="dxa"/>
          </w:tcPr>
          <w:p w14:paraId="09B199A8" w14:textId="77777777" w:rsidR="00964B88" w:rsidRDefault="00964B88">
            <w:pPr>
              <w:cnfStyle w:val="000000000000" w:firstRow="0" w:lastRow="0" w:firstColumn="0" w:lastColumn="0" w:oddVBand="0" w:evenVBand="0" w:oddHBand="0" w:evenHBand="0" w:firstRowFirstColumn="0" w:firstRowLastColumn="0" w:lastRowFirstColumn="0" w:lastRowLastColumn="0"/>
            </w:pPr>
            <w:r>
              <w:t>17</w:t>
            </w:r>
          </w:p>
        </w:tc>
        <w:tc>
          <w:tcPr>
            <w:tcW w:w="850" w:type="dxa"/>
          </w:tcPr>
          <w:p w14:paraId="7D608863" w14:textId="77777777" w:rsidR="00964B88" w:rsidRDefault="00964B88">
            <w:pPr>
              <w:cnfStyle w:val="000000000000" w:firstRow="0" w:lastRow="0" w:firstColumn="0" w:lastColumn="0" w:oddVBand="0" w:evenVBand="0" w:oddHBand="0" w:evenHBand="0" w:firstRowFirstColumn="0" w:firstRowLastColumn="0" w:lastRowFirstColumn="0" w:lastRowLastColumn="0"/>
            </w:pPr>
            <w:r>
              <w:t>17</w:t>
            </w:r>
          </w:p>
        </w:tc>
        <w:tc>
          <w:tcPr>
            <w:tcW w:w="850" w:type="dxa"/>
          </w:tcPr>
          <w:p w14:paraId="7B5D2D4E" w14:textId="77777777" w:rsidR="00964B88" w:rsidRDefault="00964B88">
            <w:pPr>
              <w:cnfStyle w:val="000000000000" w:firstRow="0" w:lastRow="0" w:firstColumn="0" w:lastColumn="0" w:oddVBand="0" w:evenVBand="0" w:oddHBand="0" w:evenHBand="0" w:firstRowFirstColumn="0" w:firstRowLastColumn="0" w:lastRowFirstColumn="0" w:lastRowLastColumn="0"/>
            </w:pPr>
            <w:r>
              <w:t>17</w:t>
            </w:r>
          </w:p>
        </w:tc>
      </w:tr>
      <w:tr w:rsidR="00964B88" w14:paraId="29A4471C" w14:textId="77777777">
        <w:tc>
          <w:tcPr>
            <w:cnfStyle w:val="001000000000" w:firstRow="0" w:lastRow="0" w:firstColumn="1" w:lastColumn="0" w:oddVBand="0" w:evenVBand="0" w:oddHBand="0" w:evenHBand="0" w:firstRowFirstColumn="0" w:firstRowLastColumn="0" w:lastRowFirstColumn="0" w:lastRowLastColumn="0"/>
            <w:tcW w:w="3518" w:type="dxa"/>
          </w:tcPr>
          <w:p w14:paraId="5627CA0D" w14:textId="77777777" w:rsidR="00964B88" w:rsidRDefault="00964B88">
            <w:r>
              <w:t>Debt securities</w:t>
            </w:r>
          </w:p>
        </w:tc>
        <w:tc>
          <w:tcPr>
            <w:tcW w:w="850" w:type="dxa"/>
          </w:tcPr>
          <w:p w14:paraId="4F7F4078" w14:textId="77777777" w:rsidR="00964B88" w:rsidRDefault="00964B88">
            <w:pPr>
              <w:cnfStyle w:val="000000000000" w:firstRow="0" w:lastRow="0" w:firstColumn="0" w:lastColumn="0" w:oddVBand="0" w:evenVBand="0" w:oddHBand="0" w:evenHBand="0" w:firstRowFirstColumn="0" w:firstRowLastColumn="0" w:lastRowFirstColumn="0" w:lastRowLastColumn="0"/>
            </w:pPr>
            <w:r>
              <w:t>25</w:t>
            </w:r>
          </w:p>
        </w:tc>
        <w:tc>
          <w:tcPr>
            <w:tcW w:w="850" w:type="dxa"/>
          </w:tcPr>
          <w:p w14:paraId="5FD91D13" w14:textId="77777777" w:rsidR="00964B88" w:rsidRDefault="00964B88">
            <w:pPr>
              <w:cnfStyle w:val="000000000000" w:firstRow="0" w:lastRow="0" w:firstColumn="0" w:lastColumn="0" w:oddVBand="0" w:evenVBand="0" w:oddHBand="0" w:evenHBand="0" w:firstRowFirstColumn="0" w:firstRowLastColumn="0" w:lastRowFirstColumn="0" w:lastRowLastColumn="0"/>
            </w:pPr>
            <w:r>
              <w:t>25</w:t>
            </w:r>
          </w:p>
        </w:tc>
        <w:tc>
          <w:tcPr>
            <w:tcW w:w="850" w:type="dxa"/>
          </w:tcPr>
          <w:p w14:paraId="273D47CF" w14:textId="77777777" w:rsidR="00964B88" w:rsidRDefault="00964B88">
            <w:pPr>
              <w:cnfStyle w:val="000000000000" w:firstRow="0" w:lastRow="0" w:firstColumn="0" w:lastColumn="0" w:oddVBand="0" w:evenVBand="0" w:oddHBand="0" w:evenHBand="0" w:firstRowFirstColumn="0" w:firstRowLastColumn="0" w:lastRowFirstColumn="0" w:lastRowLastColumn="0"/>
            </w:pPr>
            <w:r>
              <w:t>25</w:t>
            </w:r>
          </w:p>
        </w:tc>
        <w:tc>
          <w:tcPr>
            <w:tcW w:w="850" w:type="dxa"/>
          </w:tcPr>
          <w:p w14:paraId="74F884DF" w14:textId="77777777" w:rsidR="00964B88" w:rsidRDefault="00964B88">
            <w:pPr>
              <w:cnfStyle w:val="000000000000" w:firstRow="0" w:lastRow="0" w:firstColumn="0" w:lastColumn="0" w:oddVBand="0" w:evenVBand="0" w:oddHBand="0" w:evenHBand="0" w:firstRowFirstColumn="0" w:firstRowLastColumn="0" w:lastRowFirstColumn="0" w:lastRowLastColumn="0"/>
            </w:pPr>
            <w:r>
              <w:t>25</w:t>
            </w:r>
          </w:p>
        </w:tc>
        <w:tc>
          <w:tcPr>
            <w:tcW w:w="850" w:type="dxa"/>
          </w:tcPr>
          <w:p w14:paraId="7D0E5372" w14:textId="77777777" w:rsidR="00964B88" w:rsidRDefault="00964B88">
            <w:pPr>
              <w:cnfStyle w:val="000000000000" w:firstRow="0" w:lastRow="0" w:firstColumn="0" w:lastColumn="0" w:oddVBand="0" w:evenVBand="0" w:oddHBand="0" w:evenHBand="0" w:firstRowFirstColumn="0" w:firstRowLastColumn="0" w:lastRowFirstColumn="0" w:lastRowLastColumn="0"/>
            </w:pPr>
            <w:r>
              <w:t>25</w:t>
            </w:r>
          </w:p>
        </w:tc>
      </w:tr>
      <w:tr w:rsidR="00964B88" w14:paraId="17C539E9"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1E48B90B" w14:textId="77777777" w:rsidR="00964B88" w:rsidRDefault="00964B88">
            <w:r>
              <w:t>Derivative financial instruments</w:t>
            </w:r>
          </w:p>
        </w:tc>
        <w:tc>
          <w:tcPr>
            <w:tcW w:w="850" w:type="dxa"/>
            <w:tcBorders>
              <w:bottom w:val="single" w:sz="6" w:space="0" w:color="auto"/>
            </w:tcBorders>
          </w:tcPr>
          <w:p w14:paraId="66EF937D"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c>
          <w:tcPr>
            <w:tcW w:w="850" w:type="dxa"/>
            <w:tcBorders>
              <w:bottom w:val="single" w:sz="6" w:space="0" w:color="auto"/>
            </w:tcBorders>
          </w:tcPr>
          <w:p w14:paraId="0FFA20F8"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c>
          <w:tcPr>
            <w:tcW w:w="850" w:type="dxa"/>
            <w:tcBorders>
              <w:bottom w:val="single" w:sz="6" w:space="0" w:color="auto"/>
            </w:tcBorders>
          </w:tcPr>
          <w:p w14:paraId="09CF758E"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c>
          <w:tcPr>
            <w:tcW w:w="850" w:type="dxa"/>
            <w:tcBorders>
              <w:bottom w:val="single" w:sz="6" w:space="0" w:color="auto"/>
            </w:tcBorders>
          </w:tcPr>
          <w:p w14:paraId="76DD898C"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c>
          <w:tcPr>
            <w:tcW w:w="850" w:type="dxa"/>
            <w:tcBorders>
              <w:bottom w:val="single" w:sz="6" w:space="0" w:color="auto"/>
            </w:tcBorders>
          </w:tcPr>
          <w:p w14:paraId="2BF2AC35"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r>
      <w:tr w:rsidR="00964B88" w14:paraId="774887E8"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6" w:space="0" w:color="auto"/>
            </w:tcBorders>
          </w:tcPr>
          <w:p w14:paraId="044B4C28" w14:textId="77777777" w:rsidR="00964B88" w:rsidRDefault="00964B88">
            <w:r>
              <w:rPr>
                <w:b/>
              </w:rPr>
              <w:t>Total non</w:t>
            </w:r>
            <w:r>
              <w:rPr>
                <w:b/>
              </w:rPr>
              <w:noBreakHyphen/>
              <w:t>current advances paid and investments, loans and placements</w:t>
            </w:r>
          </w:p>
        </w:tc>
        <w:tc>
          <w:tcPr>
            <w:tcW w:w="850" w:type="dxa"/>
            <w:tcBorders>
              <w:top w:val="single" w:sz="6" w:space="0" w:color="auto"/>
              <w:bottom w:val="single" w:sz="6" w:space="0" w:color="auto"/>
            </w:tcBorders>
          </w:tcPr>
          <w:p w14:paraId="57B549F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6 558</w:t>
            </w:r>
          </w:p>
        </w:tc>
        <w:tc>
          <w:tcPr>
            <w:tcW w:w="850" w:type="dxa"/>
            <w:tcBorders>
              <w:top w:val="single" w:sz="6" w:space="0" w:color="auto"/>
              <w:bottom w:val="single" w:sz="6" w:space="0" w:color="auto"/>
            </w:tcBorders>
          </w:tcPr>
          <w:p w14:paraId="60E33B6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6 507</w:t>
            </w:r>
          </w:p>
        </w:tc>
        <w:tc>
          <w:tcPr>
            <w:tcW w:w="850" w:type="dxa"/>
            <w:tcBorders>
              <w:top w:val="single" w:sz="6" w:space="0" w:color="auto"/>
              <w:bottom w:val="single" w:sz="6" w:space="0" w:color="auto"/>
            </w:tcBorders>
          </w:tcPr>
          <w:p w14:paraId="0869F05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5 968</w:t>
            </w:r>
          </w:p>
        </w:tc>
        <w:tc>
          <w:tcPr>
            <w:tcW w:w="850" w:type="dxa"/>
            <w:tcBorders>
              <w:top w:val="single" w:sz="6" w:space="0" w:color="auto"/>
              <w:bottom w:val="single" w:sz="6" w:space="0" w:color="auto"/>
            </w:tcBorders>
          </w:tcPr>
          <w:p w14:paraId="633666B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5 918</w:t>
            </w:r>
          </w:p>
        </w:tc>
        <w:tc>
          <w:tcPr>
            <w:tcW w:w="850" w:type="dxa"/>
            <w:tcBorders>
              <w:top w:val="single" w:sz="6" w:space="0" w:color="auto"/>
              <w:bottom w:val="single" w:sz="6" w:space="0" w:color="auto"/>
            </w:tcBorders>
          </w:tcPr>
          <w:p w14:paraId="390E5E6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6 050</w:t>
            </w:r>
          </w:p>
        </w:tc>
      </w:tr>
      <w:tr w:rsidR="00964B88" w14:paraId="765ACAE8"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12" w:space="0" w:color="auto"/>
            </w:tcBorders>
          </w:tcPr>
          <w:p w14:paraId="3492BE1A" w14:textId="77777777" w:rsidR="00964B88" w:rsidRDefault="00964B88">
            <w:r>
              <w:rPr>
                <w:b/>
              </w:rPr>
              <w:t>Total advances paid and investments,</w:t>
            </w:r>
            <w:r>
              <w:br/>
            </w:r>
            <w:r>
              <w:rPr>
                <w:b/>
              </w:rPr>
              <w:t>loans and placements</w:t>
            </w:r>
          </w:p>
        </w:tc>
        <w:tc>
          <w:tcPr>
            <w:tcW w:w="850" w:type="dxa"/>
            <w:tcBorders>
              <w:top w:val="single" w:sz="6" w:space="0" w:color="auto"/>
              <w:bottom w:val="single" w:sz="12" w:space="0" w:color="auto"/>
            </w:tcBorders>
          </w:tcPr>
          <w:p w14:paraId="7C93B7CB" w14:textId="77777777" w:rsidR="00964B88" w:rsidRPr="00373CDB" w:rsidRDefault="00964B88">
            <w:pPr>
              <w:cnfStyle w:val="000000000000" w:firstRow="0" w:lastRow="0" w:firstColumn="0" w:lastColumn="0" w:oddVBand="0" w:evenVBand="0" w:oddHBand="0" w:evenHBand="0" w:firstRowFirstColumn="0" w:firstRowLastColumn="0" w:lastRowFirstColumn="0" w:lastRowLastColumn="0"/>
              <w:rPr>
                <w:b/>
              </w:rPr>
            </w:pPr>
            <w:r w:rsidRPr="00373CDB">
              <w:rPr>
                <w:b/>
              </w:rPr>
              <w:t>9 211</w:t>
            </w:r>
          </w:p>
        </w:tc>
        <w:tc>
          <w:tcPr>
            <w:tcW w:w="850" w:type="dxa"/>
            <w:tcBorders>
              <w:top w:val="single" w:sz="6" w:space="0" w:color="auto"/>
              <w:bottom w:val="single" w:sz="12" w:space="0" w:color="auto"/>
            </w:tcBorders>
          </w:tcPr>
          <w:p w14:paraId="49FEEA78" w14:textId="77777777" w:rsidR="00964B88" w:rsidRPr="00373CDB" w:rsidRDefault="00964B88">
            <w:pPr>
              <w:cnfStyle w:val="000000000000" w:firstRow="0" w:lastRow="0" w:firstColumn="0" w:lastColumn="0" w:oddVBand="0" w:evenVBand="0" w:oddHBand="0" w:evenHBand="0" w:firstRowFirstColumn="0" w:firstRowLastColumn="0" w:lastRowFirstColumn="0" w:lastRowLastColumn="0"/>
              <w:rPr>
                <w:b/>
              </w:rPr>
            </w:pPr>
            <w:r w:rsidRPr="00373CDB">
              <w:rPr>
                <w:b/>
              </w:rPr>
              <w:t>9 323</w:t>
            </w:r>
          </w:p>
        </w:tc>
        <w:tc>
          <w:tcPr>
            <w:tcW w:w="850" w:type="dxa"/>
            <w:tcBorders>
              <w:top w:val="single" w:sz="6" w:space="0" w:color="auto"/>
              <w:bottom w:val="single" w:sz="12" w:space="0" w:color="auto"/>
            </w:tcBorders>
          </w:tcPr>
          <w:p w14:paraId="5375E405" w14:textId="77777777" w:rsidR="00964B88" w:rsidRPr="00373CDB" w:rsidRDefault="00964B88">
            <w:pPr>
              <w:cnfStyle w:val="000000000000" w:firstRow="0" w:lastRow="0" w:firstColumn="0" w:lastColumn="0" w:oddVBand="0" w:evenVBand="0" w:oddHBand="0" w:evenHBand="0" w:firstRowFirstColumn="0" w:firstRowLastColumn="0" w:lastRowFirstColumn="0" w:lastRowLastColumn="0"/>
              <w:rPr>
                <w:b/>
              </w:rPr>
            </w:pPr>
            <w:r w:rsidRPr="00373CDB">
              <w:rPr>
                <w:b/>
              </w:rPr>
              <w:t>8 093</w:t>
            </w:r>
          </w:p>
        </w:tc>
        <w:tc>
          <w:tcPr>
            <w:tcW w:w="850" w:type="dxa"/>
            <w:tcBorders>
              <w:top w:val="single" w:sz="6" w:space="0" w:color="auto"/>
              <w:bottom w:val="single" w:sz="12" w:space="0" w:color="auto"/>
            </w:tcBorders>
          </w:tcPr>
          <w:p w14:paraId="6CB97944" w14:textId="77777777" w:rsidR="00964B88" w:rsidRPr="00373CDB" w:rsidRDefault="00964B88">
            <w:pPr>
              <w:cnfStyle w:val="000000000000" w:firstRow="0" w:lastRow="0" w:firstColumn="0" w:lastColumn="0" w:oddVBand="0" w:evenVBand="0" w:oddHBand="0" w:evenHBand="0" w:firstRowFirstColumn="0" w:firstRowLastColumn="0" w:lastRowFirstColumn="0" w:lastRowLastColumn="0"/>
              <w:rPr>
                <w:b/>
              </w:rPr>
            </w:pPr>
            <w:r w:rsidRPr="00373CDB">
              <w:rPr>
                <w:b/>
              </w:rPr>
              <w:t>7 545</w:t>
            </w:r>
          </w:p>
        </w:tc>
        <w:tc>
          <w:tcPr>
            <w:tcW w:w="850" w:type="dxa"/>
            <w:tcBorders>
              <w:top w:val="single" w:sz="6" w:space="0" w:color="auto"/>
              <w:bottom w:val="single" w:sz="12" w:space="0" w:color="auto"/>
            </w:tcBorders>
          </w:tcPr>
          <w:p w14:paraId="226E23A9" w14:textId="77777777" w:rsidR="00964B88" w:rsidRPr="00373CDB" w:rsidRDefault="00964B88">
            <w:pPr>
              <w:cnfStyle w:val="000000000000" w:firstRow="0" w:lastRow="0" w:firstColumn="0" w:lastColumn="0" w:oddVBand="0" w:evenVBand="0" w:oddHBand="0" w:evenHBand="0" w:firstRowFirstColumn="0" w:firstRowLastColumn="0" w:lastRowFirstColumn="0" w:lastRowLastColumn="0"/>
              <w:rPr>
                <w:b/>
              </w:rPr>
            </w:pPr>
            <w:r w:rsidRPr="00373CDB">
              <w:rPr>
                <w:b/>
              </w:rPr>
              <w:t>7 643</w:t>
            </w:r>
          </w:p>
        </w:tc>
      </w:tr>
      <w:tr w:rsidR="00964B88" w14:paraId="3B211A65"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14270F2F" w14:textId="77777777" w:rsidR="00964B88" w:rsidRDefault="00964B88">
            <w:r>
              <w:rPr>
                <w:b/>
              </w:rPr>
              <w:t>Represented by:</w:t>
            </w:r>
          </w:p>
        </w:tc>
        <w:tc>
          <w:tcPr>
            <w:tcW w:w="850" w:type="dxa"/>
            <w:tcBorders>
              <w:top w:val="single" w:sz="6" w:space="0" w:color="auto"/>
            </w:tcBorders>
          </w:tcPr>
          <w:p w14:paraId="397E3CF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AF4AC3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7806CF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74E0FA2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75EA5DE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52A2F195" w14:textId="77777777">
        <w:tc>
          <w:tcPr>
            <w:cnfStyle w:val="001000000000" w:firstRow="0" w:lastRow="0" w:firstColumn="1" w:lastColumn="0" w:oddVBand="0" w:evenVBand="0" w:oddHBand="0" w:evenHBand="0" w:firstRowFirstColumn="0" w:firstRowLastColumn="0" w:lastRowFirstColumn="0" w:lastRowLastColumn="0"/>
            <w:tcW w:w="3518" w:type="dxa"/>
          </w:tcPr>
          <w:p w14:paraId="7FFE666F" w14:textId="77777777" w:rsidR="00964B88" w:rsidRDefault="00964B88">
            <w:r>
              <w:t>Advances paid</w:t>
            </w:r>
          </w:p>
        </w:tc>
        <w:tc>
          <w:tcPr>
            <w:tcW w:w="850" w:type="dxa"/>
          </w:tcPr>
          <w:p w14:paraId="5DACB70B" w14:textId="77777777" w:rsidR="00964B88" w:rsidRDefault="00964B88">
            <w:pPr>
              <w:cnfStyle w:val="000000000000" w:firstRow="0" w:lastRow="0" w:firstColumn="0" w:lastColumn="0" w:oddVBand="0" w:evenVBand="0" w:oddHBand="0" w:evenHBand="0" w:firstRowFirstColumn="0" w:firstRowLastColumn="0" w:lastRowFirstColumn="0" w:lastRowLastColumn="0"/>
            </w:pPr>
            <w:r>
              <w:t>6 243</w:t>
            </w:r>
          </w:p>
        </w:tc>
        <w:tc>
          <w:tcPr>
            <w:tcW w:w="850" w:type="dxa"/>
          </w:tcPr>
          <w:p w14:paraId="45F7119D" w14:textId="77777777" w:rsidR="00964B88" w:rsidRDefault="00964B88">
            <w:pPr>
              <w:cnfStyle w:val="000000000000" w:firstRow="0" w:lastRow="0" w:firstColumn="0" w:lastColumn="0" w:oddVBand="0" w:evenVBand="0" w:oddHBand="0" w:evenHBand="0" w:firstRowFirstColumn="0" w:firstRowLastColumn="0" w:lastRowFirstColumn="0" w:lastRowLastColumn="0"/>
            </w:pPr>
            <w:r>
              <w:t>6 478</w:t>
            </w:r>
          </w:p>
        </w:tc>
        <w:tc>
          <w:tcPr>
            <w:tcW w:w="850" w:type="dxa"/>
          </w:tcPr>
          <w:p w14:paraId="326B8E1A" w14:textId="77777777" w:rsidR="00964B88" w:rsidRDefault="00964B88">
            <w:pPr>
              <w:cnfStyle w:val="000000000000" w:firstRow="0" w:lastRow="0" w:firstColumn="0" w:lastColumn="0" w:oddVBand="0" w:evenVBand="0" w:oddHBand="0" w:evenHBand="0" w:firstRowFirstColumn="0" w:firstRowLastColumn="0" w:lastRowFirstColumn="0" w:lastRowLastColumn="0"/>
            </w:pPr>
            <w:r>
              <w:t>5 193</w:t>
            </w:r>
          </w:p>
        </w:tc>
        <w:tc>
          <w:tcPr>
            <w:tcW w:w="850" w:type="dxa"/>
          </w:tcPr>
          <w:p w14:paraId="63373BA8" w14:textId="77777777" w:rsidR="00964B88" w:rsidRDefault="00964B88">
            <w:pPr>
              <w:cnfStyle w:val="000000000000" w:firstRow="0" w:lastRow="0" w:firstColumn="0" w:lastColumn="0" w:oddVBand="0" w:evenVBand="0" w:oddHBand="0" w:evenHBand="0" w:firstRowFirstColumn="0" w:firstRowLastColumn="0" w:lastRowFirstColumn="0" w:lastRowLastColumn="0"/>
            </w:pPr>
            <w:r>
              <w:t>4 669</w:t>
            </w:r>
          </w:p>
        </w:tc>
        <w:tc>
          <w:tcPr>
            <w:tcW w:w="850" w:type="dxa"/>
          </w:tcPr>
          <w:p w14:paraId="58F88F6B" w14:textId="77777777" w:rsidR="00964B88" w:rsidRDefault="00964B88">
            <w:pPr>
              <w:cnfStyle w:val="000000000000" w:firstRow="0" w:lastRow="0" w:firstColumn="0" w:lastColumn="0" w:oddVBand="0" w:evenVBand="0" w:oddHBand="0" w:evenHBand="0" w:firstRowFirstColumn="0" w:firstRowLastColumn="0" w:lastRowFirstColumn="0" w:lastRowLastColumn="0"/>
            </w:pPr>
            <w:r>
              <w:t>4 701</w:t>
            </w:r>
          </w:p>
        </w:tc>
      </w:tr>
      <w:tr w:rsidR="00964B88" w14:paraId="750626BA" w14:textId="77777777">
        <w:tc>
          <w:tcPr>
            <w:cnfStyle w:val="001000000000" w:firstRow="0" w:lastRow="0" w:firstColumn="1" w:lastColumn="0" w:oddVBand="0" w:evenVBand="0" w:oddHBand="0" w:evenHBand="0" w:firstRowFirstColumn="0" w:firstRowLastColumn="0" w:lastRowFirstColumn="0" w:lastRowLastColumn="0"/>
            <w:tcW w:w="3518" w:type="dxa"/>
          </w:tcPr>
          <w:p w14:paraId="501AC8AE" w14:textId="77777777" w:rsidR="00964B88" w:rsidRDefault="00964B88">
            <w:r>
              <w:t>Investments, loans and placements</w:t>
            </w:r>
          </w:p>
        </w:tc>
        <w:tc>
          <w:tcPr>
            <w:tcW w:w="850" w:type="dxa"/>
          </w:tcPr>
          <w:p w14:paraId="2E91961A" w14:textId="77777777" w:rsidR="00964B88" w:rsidRDefault="00964B88">
            <w:pPr>
              <w:cnfStyle w:val="000000000000" w:firstRow="0" w:lastRow="0" w:firstColumn="0" w:lastColumn="0" w:oddVBand="0" w:evenVBand="0" w:oddHBand="0" w:evenHBand="0" w:firstRowFirstColumn="0" w:firstRowLastColumn="0" w:lastRowFirstColumn="0" w:lastRowLastColumn="0"/>
            </w:pPr>
            <w:r>
              <w:t>2 968</w:t>
            </w:r>
          </w:p>
        </w:tc>
        <w:tc>
          <w:tcPr>
            <w:tcW w:w="850" w:type="dxa"/>
          </w:tcPr>
          <w:p w14:paraId="22382396" w14:textId="77777777" w:rsidR="00964B88" w:rsidRDefault="00964B88">
            <w:pPr>
              <w:cnfStyle w:val="000000000000" w:firstRow="0" w:lastRow="0" w:firstColumn="0" w:lastColumn="0" w:oddVBand="0" w:evenVBand="0" w:oddHBand="0" w:evenHBand="0" w:firstRowFirstColumn="0" w:firstRowLastColumn="0" w:lastRowFirstColumn="0" w:lastRowLastColumn="0"/>
            </w:pPr>
            <w:r>
              <w:t>2 846</w:t>
            </w:r>
          </w:p>
        </w:tc>
        <w:tc>
          <w:tcPr>
            <w:tcW w:w="850" w:type="dxa"/>
          </w:tcPr>
          <w:p w14:paraId="5EB9F78C" w14:textId="77777777" w:rsidR="00964B88" w:rsidRDefault="00964B88">
            <w:pPr>
              <w:cnfStyle w:val="000000000000" w:firstRow="0" w:lastRow="0" w:firstColumn="0" w:lastColumn="0" w:oddVBand="0" w:evenVBand="0" w:oddHBand="0" w:evenHBand="0" w:firstRowFirstColumn="0" w:firstRowLastColumn="0" w:lastRowFirstColumn="0" w:lastRowLastColumn="0"/>
            </w:pPr>
            <w:r>
              <w:t>2 900</w:t>
            </w:r>
          </w:p>
        </w:tc>
        <w:tc>
          <w:tcPr>
            <w:tcW w:w="850" w:type="dxa"/>
          </w:tcPr>
          <w:p w14:paraId="1F5AAFB2" w14:textId="77777777" w:rsidR="00964B88" w:rsidRDefault="00964B88">
            <w:pPr>
              <w:cnfStyle w:val="000000000000" w:firstRow="0" w:lastRow="0" w:firstColumn="0" w:lastColumn="0" w:oddVBand="0" w:evenVBand="0" w:oddHBand="0" w:evenHBand="0" w:firstRowFirstColumn="0" w:firstRowLastColumn="0" w:lastRowFirstColumn="0" w:lastRowLastColumn="0"/>
            </w:pPr>
            <w:r>
              <w:t>2 877</w:t>
            </w:r>
          </w:p>
        </w:tc>
        <w:tc>
          <w:tcPr>
            <w:tcW w:w="850" w:type="dxa"/>
          </w:tcPr>
          <w:p w14:paraId="75130079" w14:textId="77777777" w:rsidR="00964B88" w:rsidRDefault="00964B88">
            <w:pPr>
              <w:cnfStyle w:val="000000000000" w:firstRow="0" w:lastRow="0" w:firstColumn="0" w:lastColumn="0" w:oddVBand="0" w:evenVBand="0" w:oddHBand="0" w:evenHBand="0" w:firstRowFirstColumn="0" w:firstRowLastColumn="0" w:lastRowFirstColumn="0" w:lastRowLastColumn="0"/>
            </w:pPr>
            <w:r>
              <w:t>2 942</w:t>
            </w:r>
          </w:p>
        </w:tc>
      </w:tr>
    </w:tbl>
    <w:p w14:paraId="0808A8AE" w14:textId="77777777" w:rsidR="00964B88" w:rsidRDefault="00964B88" w:rsidP="00F53820"/>
    <w:p w14:paraId="4F3BDF78" w14:textId="77777777" w:rsidR="00964B88" w:rsidRPr="00B41AC3" w:rsidRDefault="00964B88" w:rsidP="00F53820"/>
    <w:p w14:paraId="46F8EAA4" w14:textId="77777777" w:rsidR="00964B88" w:rsidRPr="001D7AD2" w:rsidRDefault="00964B88" w:rsidP="00964B88">
      <w:pPr>
        <w:pStyle w:val="Heading3"/>
        <w:numPr>
          <w:ilvl w:val="2"/>
          <w:numId w:val="22"/>
        </w:numPr>
        <w:tabs>
          <w:tab w:val="clear" w:pos="7711"/>
          <w:tab w:val="left" w:pos="850"/>
          <w:tab w:val="right" w:pos="7710"/>
        </w:tabs>
        <w:spacing w:after="60"/>
        <w:rPr>
          <w:lang w:val="en-US"/>
        </w:rPr>
      </w:pPr>
      <w:bookmarkStart w:id="109" w:name="_Toc530148114"/>
      <w:r>
        <w:t>Interest expense</w:t>
      </w:r>
      <w:r>
        <w:tab/>
        <w:t>($ million)</w:t>
      </w:r>
      <w:bookmarkEnd w:id="109"/>
    </w:p>
    <w:tbl>
      <w:tblPr>
        <w:tblStyle w:val="DTFTable"/>
        <w:tblW w:w="7768" w:type="dxa"/>
        <w:tblLayout w:type="fixed"/>
        <w:tblLook w:val="06E0" w:firstRow="1" w:lastRow="1" w:firstColumn="1" w:lastColumn="0" w:noHBand="1" w:noVBand="1"/>
      </w:tblPr>
      <w:tblGrid>
        <w:gridCol w:w="3613"/>
        <w:gridCol w:w="755"/>
        <w:gridCol w:w="850"/>
        <w:gridCol w:w="850"/>
        <w:gridCol w:w="850"/>
        <w:gridCol w:w="850"/>
      </w:tblGrid>
      <w:tr w:rsidR="00964B88" w14:paraId="358553D4"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13" w:type="dxa"/>
          </w:tcPr>
          <w:p w14:paraId="564E6C92" w14:textId="77777777" w:rsidR="00964B88" w:rsidRDefault="00964B88"/>
        </w:tc>
        <w:tc>
          <w:tcPr>
            <w:tcW w:w="755" w:type="dxa"/>
          </w:tcPr>
          <w:p w14:paraId="19A7F276"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5B0D4F0A"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289E18F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54315A0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0457C09F"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04A4537F" w14:textId="77777777">
        <w:tc>
          <w:tcPr>
            <w:cnfStyle w:val="001000000000" w:firstRow="0" w:lastRow="0" w:firstColumn="1" w:lastColumn="0" w:oddVBand="0" w:evenVBand="0" w:oddHBand="0" w:evenHBand="0" w:firstRowFirstColumn="0" w:firstRowLastColumn="0" w:lastRowFirstColumn="0" w:lastRowLastColumn="0"/>
            <w:tcW w:w="3613" w:type="dxa"/>
          </w:tcPr>
          <w:p w14:paraId="56EDAB1B" w14:textId="77777777" w:rsidR="00964B88" w:rsidRDefault="00964B88">
            <w:r>
              <w:t>Interest on interest</w:t>
            </w:r>
            <w:r>
              <w:noBreakHyphen/>
              <w:t>bearing liabilities and deposits</w:t>
            </w:r>
          </w:p>
        </w:tc>
        <w:tc>
          <w:tcPr>
            <w:tcW w:w="755" w:type="dxa"/>
          </w:tcPr>
          <w:p w14:paraId="76CA0266" w14:textId="77777777" w:rsidR="00964B88" w:rsidRDefault="00964B88">
            <w:pPr>
              <w:cnfStyle w:val="000000000000" w:firstRow="0" w:lastRow="0" w:firstColumn="0" w:lastColumn="0" w:oddVBand="0" w:evenVBand="0" w:oddHBand="0" w:evenHBand="0" w:firstRowFirstColumn="0" w:firstRowLastColumn="0" w:lastRowFirstColumn="0" w:lastRowLastColumn="0"/>
            </w:pPr>
            <w:r>
              <w:t>1 218</w:t>
            </w:r>
          </w:p>
        </w:tc>
        <w:tc>
          <w:tcPr>
            <w:tcW w:w="850" w:type="dxa"/>
          </w:tcPr>
          <w:p w14:paraId="3ECAE9DB" w14:textId="77777777" w:rsidR="00964B88" w:rsidRDefault="00964B88">
            <w:pPr>
              <w:cnfStyle w:val="000000000000" w:firstRow="0" w:lastRow="0" w:firstColumn="0" w:lastColumn="0" w:oddVBand="0" w:evenVBand="0" w:oddHBand="0" w:evenHBand="0" w:firstRowFirstColumn="0" w:firstRowLastColumn="0" w:lastRowFirstColumn="0" w:lastRowLastColumn="0"/>
            </w:pPr>
            <w:r>
              <w:t>1 200</w:t>
            </w:r>
          </w:p>
        </w:tc>
        <w:tc>
          <w:tcPr>
            <w:tcW w:w="850" w:type="dxa"/>
          </w:tcPr>
          <w:p w14:paraId="097A587E" w14:textId="77777777" w:rsidR="00964B88" w:rsidRDefault="00964B88">
            <w:pPr>
              <w:cnfStyle w:val="000000000000" w:firstRow="0" w:lastRow="0" w:firstColumn="0" w:lastColumn="0" w:oddVBand="0" w:evenVBand="0" w:oddHBand="0" w:evenHBand="0" w:firstRowFirstColumn="0" w:firstRowLastColumn="0" w:lastRowFirstColumn="0" w:lastRowLastColumn="0"/>
            </w:pPr>
            <w:r>
              <w:t>1 224</w:t>
            </w:r>
          </w:p>
        </w:tc>
        <w:tc>
          <w:tcPr>
            <w:tcW w:w="850" w:type="dxa"/>
          </w:tcPr>
          <w:p w14:paraId="35A19CC3" w14:textId="77777777" w:rsidR="00964B88" w:rsidRDefault="00964B88">
            <w:pPr>
              <w:cnfStyle w:val="000000000000" w:firstRow="0" w:lastRow="0" w:firstColumn="0" w:lastColumn="0" w:oddVBand="0" w:evenVBand="0" w:oddHBand="0" w:evenHBand="0" w:firstRowFirstColumn="0" w:firstRowLastColumn="0" w:lastRowFirstColumn="0" w:lastRowLastColumn="0"/>
            </w:pPr>
            <w:r>
              <w:t>1 267</w:t>
            </w:r>
          </w:p>
        </w:tc>
        <w:tc>
          <w:tcPr>
            <w:tcW w:w="850" w:type="dxa"/>
          </w:tcPr>
          <w:p w14:paraId="1407A728" w14:textId="77777777" w:rsidR="00964B88" w:rsidRDefault="00964B88">
            <w:pPr>
              <w:cnfStyle w:val="000000000000" w:firstRow="0" w:lastRow="0" w:firstColumn="0" w:lastColumn="0" w:oddVBand="0" w:evenVBand="0" w:oddHBand="0" w:evenHBand="0" w:firstRowFirstColumn="0" w:firstRowLastColumn="0" w:lastRowFirstColumn="0" w:lastRowLastColumn="0"/>
            </w:pPr>
            <w:r>
              <w:t>1 274</w:t>
            </w:r>
          </w:p>
        </w:tc>
      </w:tr>
      <w:tr w:rsidR="00964B88" w14:paraId="0A58A357" w14:textId="77777777">
        <w:tc>
          <w:tcPr>
            <w:cnfStyle w:val="001000000000" w:firstRow="0" w:lastRow="0" w:firstColumn="1" w:lastColumn="0" w:oddVBand="0" w:evenVBand="0" w:oddHBand="0" w:evenHBand="0" w:firstRowFirstColumn="0" w:firstRowLastColumn="0" w:lastRowFirstColumn="0" w:lastRowLastColumn="0"/>
            <w:tcW w:w="3613" w:type="dxa"/>
          </w:tcPr>
          <w:p w14:paraId="2F23D7D3" w14:textId="77777777" w:rsidR="00964B88" w:rsidRDefault="00964B88">
            <w:r>
              <w:t>Finance charges on lease liabilities</w:t>
            </w:r>
          </w:p>
        </w:tc>
        <w:tc>
          <w:tcPr>
            <w:tcW w:w="755" w:type="dxa"/>
          </w:tcPr>
          <w:p w14:paraId="0D1B8555" w14:textId="77777777" w:rsidR="00964B88" w:rsidRDefault="00964B88">
            <w:pPr>
              <w:cnfStyle w:val="000000000000" w:firstRow="0" w:lastRow="0" w:firstColumn="0" w:lastColumn="0" w:oddVBand="0" w:evenVBand="0" w:oddHBand="0" w:evenHBand="0" w:firstRowFirstColumn="0" w:firstRowLastColumn="0" w:lastRowFirstColumn="0" w:lastRowLastColumn="0"/>
            </w:pPr>
            <w:r>
              <w:t>863</w:t>
            </w:r>
          </w:p>
        </w:tc>
        <w:tc>
          <w:tcPr>
            <w:tcW w:w="850" w:type="dxa"/>
          </w:tcPr>
          <w:p w14:paraId="73D6D2E3" w14:textId="77777777" w:rsidR="00964B88" w:rsidRDefault="00964B88">
            <w:pPr>
              <w:cnfStyle w:val="000000000000" w:firstRow="0" w:lastRow="0" w:firstColumn="0" w:lastColumn="0" w:oddVBand="0" w:evenVBand="0" w:oddHBand="0" w:evenHBand="0" w:firstRowFirstColumn="0" w:firstRowLastColumn="0" w:lastRowFirstColumn="0" w:lastRowLastColumn="0"/>
            </w:pPr>
            <w:r>
              <w:t>853</w:t>
            </w:r>
          </w:p>
        </w:tc>
        <w:tc>
          <w:tcPr>
            <w:tcW w:w="850" w:type="dxa"/>
          </w:tcPr>
          <w:p w14:paraId="13653379" w14:textId="77777777" w:rsidR="00964B88" w:rsidRDefault="00964B88">
            <w:pPr>
              <w:cnfStyle w:val="000000000000" w:firstRow="0" w:lastRow="0" w:firstColumn="0" w:lastColumn="0" w:oddVBand="0" w:evenVBand="0" w:oddHBand="0" w:evenHBand="0" w:firstRowFirstColumn="0" w:firstRowLastColumn="0" w:lastRowFirstColumn="0" w:lastRowLastColumn="0"/>
            </w:pPr>
            <w:r>
              <w:t>827</w:t>
            </w:r>
          </w:p>
        </w:tc>
        <w:tc>
          <w:tcPr>
            <w:tcW w:w="850" w:type="dxa"/>
          </w:tcPr>
          <w:p w14:paraId="2C7456BD" w14:textId="77777777" w:rsidR="00964B88" w:rsidRDefault="00964B88">
            <w:pPr>
              <w:cnfStyle w:val="000000000000" w:firstRow="0" w:lastRow="0" w:firstColumn="0" w:lastColumn="0" w:oddVBand="0" w:evenVBand="0" w:oddHBand="0" w:evenHBand="0" w:firstRowFirstColumn="0" w:firstRowLastColumn="0" w:lastRowFirstColumn="0" w:lastRowLastColumn="0"/>
            </w:pPr>
            <w:r>
              <w:t>809</w:t>
            </w:r>
          </w:p>
        </w:tc>
        <w:tc>
          <w:tcPr>
            <w:tcW w:w="850" w:type="dxa"/>
          </w:tcPr>
          <w:p w14:paraId="063069D4" w14:textId="77777777" w:rsidR="00964B88" w:rsidRDefault="00964B88">
            <w:pPr>
              <w:cnfStyle w:val="000000000000" w:firstRow="0" w:lastRow="0" w:firstColumn="0" w:lastColumn="0" w:oddVBand="0" w:evenVBand="0" w:oddHBand="0" w:evenHBand="0" w:firstRowFirstColumn="0" w:firstRowLastColumn="0" w:lastRowFirstColumn="0" w:lastRowLastColumn="0"/>
            </w:pPr>
            <w:r>
              <w:t>778</w:t>
            </w:r>
          </w:p>
        </w:tc>
      </w:tr>
      <w:tr w:rsidR="00964B88" w14:paraId="4C7794E9" w14:textId="77777777">
        <w:tc>
          <w:tcPr>
            <w:cnfStyle w:val="001000000000" w:firstRow="0" w:lastRow="0" w:firstColumn="1" w:lastColumn="0" w:oddVBand="0" w:evenVBand="0" w:oddHBand="0" w:evenHBand="0" w:firstRowFirstColumn="0" w:firstRowLastColumn="0" w:lastRowFirstColumn="0" w:lastRowLastColumn="0"/>
            <w:tcW w:w="3613" w:type="dxa"/>
          </w:tcPr>
          <w:p w14:paraId="057EF25D" w14:textId="77777777" w:rsidR="00964B88" w:rsidRDefault="00964B88">
            <w:r>
              <w:t>Finance charges on service concession liabilities</w:t>
            </w:r>
          </w:p>
        </w:tc>
        <w:tc>
          <w:tcPr>
            <w:tcW w:w="755" w:type="dxa"/>
          </w:tcPr>
          <w:p w14:paraId="72247E46" w14:textId="77777777" w:rsidR="00964B88" w:rsidRDefault="00964B88">
            <w:pPr>
              <w:cnfStyle w:val="000000000000" w:firstRow="0" w:lastRow="0" w:firstColumn="0" w:lastColumn="0" w:oddVBand="0" w:evenVBand="0" w:oddHBand="0" w:evenHBand="0" w:firstRowFirstColumn="0" w:firstRowLastColumn="0" w:lastRowFirstColumn="0" w:lastRowLastColumn="0"/>
            </w:pPr>
            <w:r>
              <w:t>494</w:t>
            </w:r>
          </w:p>
        </w:tc>
        <w:tc>
          <w:tcPr>
            <w:tcW w:w="850" w:type="dxa"/>
          </w:tcPr>
          <w:p w14:paraId="7D0D2EE0" w14:textId="77777777" w:rsidR="00964B88" w:rsidRDefault="00964B88">
            <w:pPr>
              <w:cnfStyle w:val="000000000000" w:firstRow="0" w:lastRow="0" w:firstColumn="0" w:lastColumn="0" w:oddVBand="0" w:evenVBand="0" w:oddHBand="0" w:evenHBand="0" w:firstRowFirstColumn="0" w:firstRowLastColumn="0" w:lastRowFirstColumn="0" w:lastRowLastColumn="0"/>
            </w:pPr>
            <w:r>
              <w:t>466</w:t>
            </w:r>
          </w:p>
        </w:tc>
        <w:tc>
          <w:tcPr>
            <w:tcW w:w="850" w:type="dxa"/>
          </w:tcPr>
          <w:p w14:paraId="7DCC337E" w14:textId="77777777" w:rsidR="00964B88" w:rsidRDefault="00964B88">
            <w:pPr>
              <w:cnfStyle w:val="000000000000" w:firstRow="0" w:lastRow="0" w:firstColumn="0" w:lastColumn="0" w:oddVBand="0" w:evenVBand="0" w:oddHBand="0" w:evenHBand="0" w:firstRowFirstColumn="0" w:firstRowLastColumn="0" w:lastRowFirstColumn="0" w:lastRowLastColumn="0"/>
            </w:pPr>
            <w:r>
              <w:t>534</w:t>
            </w:r>
          </w:p>
        </w:tc>
        <w:tc>
          <w:tcPr>
            <w:tcW w:w="850" w:type="dxa"/>
          </w:tcPr>
          <w:p w14:paraId="1DE06D2D" w14:textId="77777777" w:rsidR="00964B88" w:rsidRDefault="00964B88">
            <w:pPr>
              <w:cnfStyle w:val="000000000000" w:firstRow="0" w:lastRow="0" w:firstColumn="0" w:lastColumn="0" w:oddVBand="0" w:evenVBand="0" w:oddHBand="0" w:evenHBand="0" w:firstRowFirstColumn="0" w:firstRowLastColumn="0" w:lastRowFirstColumn="0" w:lastRowLastColumn="0"/>
            </w:pPr>
            <w:r>
              <w:t>640</w:t>
            </w:r>
          </w:p>
        </w:tc>
        <w:tc>
          <w:tcPr>
            <w:tcW w:w="850" w:type="dxa"/>
          </w:tcPr>
          <w:p w14:paraId="45C90953" w14:textId="77777777" w:rsidR="00964B88" w:rsidRDefault="00964B88">
            <w:pPr>
              <w:cnfStyle w:val="000000000000" w:firstRow="0" w:lastRow="0" w:firstColumn="0" w:lastColumn="0" w:oddVBand="0" w:evenVBand="0" w:oddHBand="0" w:evenHBand="0" w:firstRowFirstColumn="0" w:firstRowLastColumn="0" w:lastRowFirstColumn="0" w:lastRowLastColumn="0"/>
            </w:pPr>
            <w:r>
              <w:t>786</w:t>
            </w:r>
          </w:p>
        </w:tc>
      </w:tr>
      <w:tr w:rsidR="00964B88" w14:paraId="5BB5A72A" w14:textId="77777777" w:rsidTr="00F53820">
        <w:tc>
          <w:tcPr>
            <w:cnfStyle w:val="001000000000" w:firstRow="0" w:lastRow="0" w:firstColumn="1" w:lastColumn="0" w:oddVBand="0" w:evenVBand="0" w:oddHBand="0" w:evenHBand="0" w:firstRowFirstColumn="0" w:firstRowLastColumn="0" w:lastRowFirstColumn="0" w:lastRowLastColumn="0"/>
            <w:tcW w:w="3613" w:type="dxa"/>
            <w:tcBorders>
              <w:bottom w:val="single" w:sz="6" w:space="0" w:color="auto"/>
            </w:tcBorders>
          </w:tcPr>
          <w:p w14:paraId="22988DBB" w14:textId="77777777" w:rsidR="00964B88" w:rsidRDefault="00964B88">
            <w:r>
              <w:t>Discount interest on payables</w:t>
            </w:r>
          </w:p>
        </w:tc>
        <w:tc>
          <w:tcPr>
            <w:tcW w:w="755" w:type="dxa"/>
            <w:tcBorders>
              <w:bottom w:val="single" w:sz="6" w:space="0" w:color="auto"/>
            </w:tcBorders>
          </w:tcPr>
          <w:p w14:paraId="518205AA" w14:textId="77777777" w:rsidR="00964B88" w:rsidRDefault="00964B88">
            <w:pPr>
              <w:cnfStyle w:val="000000000000" w:firstRow="0" w:lastRow="0" w:firstColumn="0" w:lastColumn="0" w:oddVBand="0" w:evenVBand="0" w:oddHBand="0" w:evenHBand="0" w:firstRowFirstColumn="0" w:firstRowLastColumn="0" w:lastRowFirstColumn="0" w:lastRowLastColumn="0"/>
            </w:pPr>
            <w:r>
              <w:t>37</w:t>
            </w:r>
          </w:p>
        </w:tc>
        <w:tc>
          <w:tcPr>
            <w:tcW w:w="850" w:type="dxa"/>
            <w:tcBorders>
              <w:bottom w:val="single" w:sz="6" w:space="0" w:color="auto"/>
            </w:tcBorders>
          </w:tcPr>
          <w:p w14:paraId="04203695" w14:textId="77777777" w:rsidR="00964B88" w:rsidRDefault="00964B88">
            <w:pPr>
              <w:cnfStyle w:val="000000000000" w:firstRow="0" w:lastRow="0" w:firstColumn="0" w:lastColumn="0" w:oddVBand="0" w:evenVBand="0" w:oddHBand="0" w:evenHBand="0" w:firstRowFirstColumn="0" w:firstRowLastColumn="0" w:lastRowFirstColumn="0" w:lastRowLastColumn="0"/>
            </w:pPr>
            <w:r>
              <w:t>37</w:t>
            </w:r>
          </w:p>
        </w:tc>
        <w:tc>
          <w:tcPr>
            <w:tcW w:w="850" w:type="dxa"/>
            <w:tcBorders>
              <w:bottom w:val="single" w:sz="6" w:space="0" w:color="auto"/>
            </w:tcBorders>
          </w:tcPr>
          <w:p w14:paraId="62DAB437" w14:textId="77777777" w:rsidR="00964B88" w:rsidRDefault="00964B88">
            <w:pPr>
              <w:cnfStyle w:val="000000000000" w:firstRow="0" w:lastRow="0" w:firstColumn="0" w:lastColumn="0" w:oddVBand="0" w:evenVBand="0" w:oddHBand="0" w:evenHBand="0" w:firstRowFirstColumn="0" w:firstRowLastColumn="0" w:lastRowFirstColumn="0" w:lastRowLastColumn="0"/>
            </w:pPr>
            <w:r>
              <w:t>37</w:t>
            </w:r>
          </w:p>
        </w:tc>
        <w:tc>
          <w:tcPr>
            <w:tcW w:w="850" w:type="dxa"/>
            <w:tcBorders>
              <w:bottom w:val="single" w:sz="6" w:space="0" w:color="auto"/>
            </w:tcBorders>
          </w:tcPr>
          <w:p w14:paraId="7B4083C2" w14:textId="77777777" w:rsidR="00964B88" w:rsidRDefault="00964B88">
            <w:pPr>
              <w:cnfStyle w:val="000000000000" w:firstRow="0" w:lastRow="0" w:firstColumn="0" w:lastColumn="0" w:oddVBand="0" w:evenVBand="0" w:oddHBand="0" w:evenHBand="0" w:firstRowFirstColumn="0" w:firstRowLastColumn="0" w:lastRowFirstColumn="0" w:lastRowLastColumn="0"/>
            </w:pPr>
            <w:r>
              <w:t>37</w:t>
            </w:r>
          </w:p>
        </w:tc>
        <w:tc>
          <w:tcPr>
            <w:tcW w:w="850" w:type="dxa"/>
            <w:tcBorders>
              <w:bottom w:val="single" w:sz="6" w:space="0" w:color="auto"/>
            </w:tcBorders>
          </w:tcPr>
          <w:p w14:paraId="750BAB40" w14:textId="77777777" w:rsidR="00964B88" w:rsidRDefault="00964B88">
            <w:pPr>
              <w:cnfStyle w:val="000000000000" w:firstRow="0" w:lastRow="0" w:firstColumn="0" w:lastColumn="0" w:oddVBand="0" w:evenVBand="0" w:oddHBand="0" w:evenHBand="0" w:firstRowFirstColumn="0" w:firstRowLastColumn="0" w:lastRowFirstColumn="0" w:lastRowLastColumn="0"/>
            </w:pPr>
            <w:r>
              <w:t>37</w:t>
            </w:r>
          </w:p>
        </w:tc>
      </w:tr>
      <w:tr w:rsidR="00964B88" w14:paraId="6BBCE4C3"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62DAEC45" w14:textId="77777777" w:rsidR="00964B88" w:rsidRDefault="00964B88">
            <w:r>
              <w:t>Total interest expense</w:t>
            </w:r>
          </w:p>
        </w:tc>
        <w:tc>
          <w:tcPr>
            <w:tcW w:w="755" w:type="dxa"/>
          </w:tcPr>
          <w:p w14:paraId="03A6F022" w14:textId="77777777" w:rsidR="00964B88" w:rsidRDefault="00964B88">
            <w:pPr>
              <w:cnfStyle w:val="010000000000" w:firstRow="0" w:lastRow="1" w:firstColumn="0" w:lastColumn="0" w:oddVBand="0" w:evenVBand="0" w:oddHBand="0" w:evenHBand="0" w:firstRowFirstColumn="0" w:firstRowLastColumn="0" w:lastRowFirstColumn="0" w:lastRowLastColumn="0"/>
            </w:pPr>
            <w:r>
              <w:t>2 611</w:t>
            </w:r>
          </w:p>
        </w:tc>
        <w:tc>
          <w:tcPr>
            <w:tcW w:w="850" w:type="dxa"/>
          </w:tcPr>
          <w:p w14:paraId="3656EC65" w14:textId="77777777" w:rsidR="00964B88" w:rsidRDefault="00964B88">
            <w:pPr>
              <w:cnfStyle w:val="010000000000" w:firstRow="0" w:lastRow="1" w:firstColumn="0" w:lastColumn="0" w:oddVBand="0" w:evenVBand="0" w:oddHBand="0" w:evenHBand="0" w:firstRowFirstColumn="0" w:firstRowLastColumn="0" w:lastRowFirstColumn="0" w:lastRowLastColumn="0"/>
            </w:pPr>
            <w:r>
              <w:t>2 556</w:t>
            </w:r>
          </w:p>
        </w:tc>
        <w:tc>
          <w:tcPr>
            <w:tcW w:w="850" w:type="dxa"/>
          </w:tcPr>
          <w:p w14:paraId="3FB7A054" w14:textId="77777777" w:rsidR="00964B88" w:rsidRDefault="00964B88">
            <w:pPr>
              <w:cnfStyle w:val="010000000000" w:firstRow="0" w:lastRow="1" w:firstColumn="0" w:lastColumn="0" w:oddVBand="0" w:evenVBand="0" w:oddHBand="0" w:evenHBand="0" w:firstRowFirstColumn="0" w:firstRowLastColumn="0" w:lastRowFirstColumn="0" w:lastRowLastColumn="0"/>
            </w:pPr>
            <w:r>
              <w:t>2 622</w:t>
            </w:r>
          </w:p>
        </w:tc>
        <w:tc>
          <w:tcPr>
            <w:tcW w:w="850" w:type="dxa"/>
          </w:tcPr>
          <w:p w14:paraId="028E94DB" w14:textId="77777777" w:rsidR="00964B88" w:rsidRDefault="00964B88">
            <w:pPr>
              <w:cnfStyle w:val="010000000000" w:firstRow="0" w:lastRow="1" w:firstColumn="0" w:lastColumn="0" w:oddVBand="0" w:evenVBand="0" w:oddHBand="0" w:evenHBand="0" w:firstRowFirstColumn="0" w:firstRowLastColumn="0" w:lastRowFirstColumn="0" w:lastRowLastColumn="0"/>
            </w:pPr>
            <w:r>
              <w:t>2 752</w:t>
            </w:r>
          </w:p>
        </w:tc>
        <w:tc>
          <w:tcPr>
            <w:tcW w:w="850" w:type="dxa"/>
          </w:tcPr>
          <w:p w14:paraId="32F13CF9" w14:textId="77777777" w:rsidR="00964B88" w:rsidRDefault="00964B88">
            <w:pPr>
              <w:cnfStyle w:val="010000000000" w:firstRow="0" w:lastRow="1" w:firstColumn="0" w:lastColumn="0" w:oddVBand="0" w:evenVBand="0" w:oddHBand="0" w:evenHBand="0" w:firstRowFirstColumn="0" w:firstRowLastColumn="0" w:lastRowFirstColumn="0" w:lastRowLastColumn="0"/>
            </w:pPr>
            <w:r>
              <w:t>2 875</w:t>
            </w:r>
          </w:p>
        </w:tc>
      </w:tr>
    </w:tbl>
    <w:p w14:paraId="48A1088C" w14:textId="77777777" w:rsidR="00964B88" w:rsidRDefault="00964B88" w:rsidP="00F53820"/>
    <w:bookmarkEnd w:id="107"/>
    <w:p w14:paraId="64D1B880" w14:textId="77777777" w:rsidR="00964B88" w:rsidRDefault="00964B88" w:rsidP="00F53820"/>
    <w:p w14:paraId="5C9FF7F1" w14:textId="77777777" w:rsidR="00964B88" w:rsidRDefault="00964B88">
      <w:pPr>
        <w:keepLines w:val="0"/>
        <w:rPr>
          <w:rFonts w:asciiTheme="majorHAnsi" w:eastAsiaTheme="majorEastAsia" w:hAnsiTheme="majorHAnsi" w:cstheme="majorBidi"/>
          <w:b/>
          <w:spacing w:val="-2"/>
          <w:sz w:val="26"/>
          <w:szCs w:val="26"/>
        </w:rPr>
      </w:pPr>
      <w:r>
        <w:br w:type="page"/>
      </w:r>
    </w:p>
    <w:p w14:paraId="7FF7B289" w14:textId="77777777" w:rsidR="00964B88" w:rsidRDefault="00964B88" w:rsidP="00964B88">
      <w:pPr>
        <w:pStyle w:val="Heading2"/>
        <w:numPr>
          <w:ilvl w:val="1"/>
          <w:numId w:val="22"/>
        </w:numPr>
      </w:pPr>
      <w:bookmarkStart w:id="110" w:name="Section_6"/>
      <w:r w:rsidRPr="00232E5E">
        <w:lastRenderedPageBreak/>
        <w:t>OTHER ASSETS AND LIABILITIES</w:t>
      </w:r>
    </w:p>
    <w:p w14:paraId="5C8937BD" w14:textId="77777777" w:rsidR="00964B88" w:rsidRDefault="00964B88" w:rsidP="00964B88">
      <w:pPr>
        <w:pStyle w:val="Heading2"/>
        <w:numPr>
          <w:ilvl w:val="1"/>
          <w:numId w:val="22"/>
        </w:numPr>
        <w:sectPr w:rsidR="00964B88" w:rsidSect="00F53820">
          <w:type w:val="continuous"/>
          <w:pgSz w:w="9979" w:h="14175" w:code="9"/>
          <w:pgMar w:top="850" w:right="1134" w:bottom="850" w:left="1134" w:header="624" w:footer="567" w:gutter="0"/>
          <w:cols w:space="567"/>
          <w:titlePg/>
          <w:docGrid w:linePitch="360"/>
        </w:sectPr>
      </w:pPr>
    </w:p>
    <w:p w14:paraId="172C452C" w14:textId="77777777" w:rsidR="00964B88" w:rsidRDefault="00964B88" w:rsidP="00F53820">
      <w:pPr>
        <w:pStyle w:val="Heading30"/>
        <w:pBdr>
          <w:bottom w:val="single" w:sz="4" w:space="1" w:color="auto"/>
        </w:pBdr>
      </w:pPr>
      <w:r>
        <w:t>Introduction</w:t>
      </w:r>
    </w:p>
    <w:p w14:paraId="186677F6" w14:textId="77777777" w:rsidR="00964B88" w:rsidRDefault="00964B88" w:rsidP="00F53820">
      <w:r>
        <w:t>This section sets out other assets and liabilities that arise from the general government’s operations.</w:t>
      </w:r>
    </w:p>
    <w:p w14:paraId="2E14DD14" w14:textId="77777777" w:rsidR="00964B88" w:rsidRDefault="00964B88" w:rsidP="00F53820">
      <w:pPr>
        <w:pStyle w:val="Heading30"/>
        <w:pBdr>
          <w:bottom w:val="single" w:sz="4" w:space="1" w:color="auto"/>
        </w:pBdr>
      </w:pPr>
      <w:r>
        <w:br w:type="column"/>
      </w:r>
      <w:r>
        <w:t>Structure</w:t>
      </w:r>
    </w:p>
    <w:p w14:paraId="71721165" w14:textId="370AE6A0" w:rsidR="00964B88" w:rsidRDefault="00964B88">
      <w:pPr>
        <w:pStyle w:val="TOC9"/>
        <w:rPr>
          <w:rFonts w:eastAsiaTheme="minorEastAsia"/>
          <w:noProof/>
          <w:spacing w:val="0"/>
          <w:lang w:eastAsia="en-AU"/>
        </w:rPr>
      </w:pPr>
      <w:r w:rsidRPr="00F033D6">
        <w:rPr>
          <w:noProof/>
          <w:lang w:val="en-US"/>
        </w:rPr>
        <w:t>4.6.1</w:t>
      </w:r>
      <w:r>
        <w:rPr>
          <w:rFonts w:eastAsiaTheme="minorEastAsia"/>
          <w:noProof/>
          <w:spacing w:val="0"/>
          <w:lang w:eastAsia="en-AU"/>
        </w:rPr>
        <w:tab/>
      </w:r>
      <w:r w:rsidRPr="00F033D6">
        <w:rPr>
          <w:noProof/>
        </w:rPr>
        <w:t>Investments in other sector entities</w:t>
      </w:r>
      <w:r>
        <w:rPr>
          <w:noProof/>
          <w:webHidden/>
        </w:rPr>
        <w:tab/>
      </w:r>
      <w:r w:rsidR="00F033D6">
        <w:rPr>
          <w:noProof/>
          <w:webHidden/>
        </w:rPr>
        <w:t>70</w:t>
      </w:r>
    </w:p>
    <w:p w14:paraId="40123452" w14:textId="64EBB625" w:rsidR="00964B88" w:rsidRDefault="00964B88">
      <w:pPr>
        <w:pStyle w:val="TOC9"/>
        <w:rPr>
          <w:rFonts w:eastAsiaTheme="minorEastAsia"/>
          <w:noProof/>
          <w:spacing w:val="0"/>
          <w:lang w:eastAsia="en-AU"/>
        </w:rPr>
      </w:pPr>
      <w:r w:rsidRPr="00F033D6">
        <w:rPr>
          <w:noProof/>
        </w:rPr>
        <w:t>4.6.2</w:t>
      </w:r>
      <w:r>
        <w:rPr>
          <w:rFonts w:eastAsiaTheme="minorEastAsia"/>
          <w:noProof/>
          <w:spacing w:val="0"/>
          <w:lang w:eastAsia="en-AU"/>
        </w:rPr>
        <w:tab/>
      </w:r>
      <w:r w:rsidRPr="00F033D6">
        <w:rPr>
          <w:noProof/>
        </w:rPr>
        <w:t>Payables</w:t>
      </w:r>
      <w:r>
        <w:rPr>
          <w:noProof/>
          <w:webHidden/>
        </w:rPr>
        <w:tab/>
      </w:r>
      <w:r w:rsidR="00F033D6">
        <w:rPr>
          <w:noProof/>
          <w:webHidden/>
        </w:rPr>
        <w:t>70</w:t>
      </w:r>
    </w:p>
    <w:p w14:paraId="156E0588" w14:textId="73D2000C" w:rsidR="00964B88" w:rsidRDefault="00964B88">
      <w:pPr>
        <w:pStyle w:val="TOC9"/>
        <w:rPr>
          <w:rFonts w:eastAsiaTheme="minorEastAsia"/>
          <w:noProof/>
          <w:spacing w:val="0"/>
          <w:lang w:eastAsia="en-AU"/>
        </w:rPr>
      </w:pPr>
      <w:r w:rsidRPr="00F033D6">
        <w:rPr>
          <w:noProof/>
        </w:rPr>
        <w:t>4.6.3</w:t>
      </w:r>
      <w:r>
        <w:rPr>
          <w:rFonts w:eastAsiaTheme="minorEastAsia"/>
          <w:noProof/>
          <w:spacing w:val="0"/>
          <w:lang w:eastAsia="en-AU"/>
        </w:rPr>
        <w:tab/>
      </w:r>
      <w:r w:rsidRPr="00F033D6">
        <w:rPr>
          <w:noProof/>
        </w:rPr>
        <w:t>Superannuation</w:t>
      </w:r>
      <w:r>
        <w:rPr>
          <w:noProof/>
          <w:webHidden/>
        </w:rPr>
        <w:tab/>
      </w:r>
      <w:r w:rsidR="00F033D6">
        <w:rPr>
          <w:noProof/>
          <w:webHidden/>
        </w:rPr>
        <w:t>71</w:t>
      </w:r>
    </w:p>
    <w:p w14:paraId="38D700C8" w14:textId="658B961E" w:rsidR="00964B88" w:rsidRDefault="00964B88" w:rsidP="00F53820">
      <w:pPr>
        <w:rPr>
          <w:b/>
          <w:bCs/>
          <w:noProof/>
          <w:lang w:val="en-US"/>
        </w:rPr>
        <w:sectPr w:rsidR="00964B88" w:rsidSect="00F53820">
          <w:type w:val="continuous"/>
          <w:pgSz w:w="9979" w:h="14175" w:code="9"/>
          <w:pgMar w:top="850" w:right="1134" w:bottom="850" w:left="1134" w:header="624" w:footer="567" w:gutter="0"/>
          <w:cols w:num="2" w:space="567"/>
          <w:titlePg/>
          <w:docGrid w:linePitch="360"/>
        </w:sectPr>
      </w:pPr>
    </w:p>
    <w:p w14:paraId="2B45D259" w14:textId="77777777" w:rsidR="00964B88" w:rsidRPr="00437060" w:rsidRDefault="00964B88" w:rsidP="00964B88">
      <w:pPr>
        <w:pStyle w:val="Heading3"/>
        <w:numPr>
          <w:ilvl w:val="2"/>
          <w:numId w:val="22"/>
        </w:numPr>
        <w:tabs>
          <w:tab w:val="clear" w:pos="7711"/>
          <w:tab w:val="left" w:pos="850"/>
          <w:tab w:val="right" w:pos="7710"/>
        </w:tabs>
        <w:spacing w:after="60"/>
        <w:rPr>
          <w:lang w:val="en-US"/>
        </w:rPr>
      </w:pPr>
      <w:bookmarkStart w:id="111" w:name="_Toc26283264"/>
      <w:r>
        <w:t>Investments in other sector entities</w:t>
      </w:r>
      <w:r>
        <w:tab/>
        <w:t>($ million)</w:t>
      </w:r>
      <w:bookmarkEnd w:id="111"/>
    </w:p>
    <w:tbl>
      <w:tblPr>
        <w:tblStyle w:val="DTFTable"/>
        <w:tblW w:w="7768" w:type="dxa"/>
        <w:tblLayout w:type="fixed"/>
        <w:tblLook w:val="06E0" w:firstRow="1" w:lastRow="1" w:firstColumn="1" w:lastColumn="0" w:noHBand="1" w:noVBand="1"/>
      </w:tblPr>
      <w:tblGrid>
        <w:gridCol w:w="3857"/>
        <w:gridCol w:w="782"/>
        <w:gridCol w:w="782"/>
        <w:gridCol w:w="782"/>
        <w:gridCol w:w="782"/>
        <w:gridCol w:w="783"/>
      </w:tblGrid>
      <w:tr w:rsidR="00964B88" w14:paraId="7300490D" w14:textId="77777777" w:rsidTr="00D95F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57" w:type="dxa"/>
          </w:tcPr>
          <w:p w14:paraId="30A36412" w14:textId="77777777" w:rsidR="00964B88" w:rsidRDefault="00964B88"/>
        </w:tc>
        <w:tc>
          <w:tcPr>
            <w:tcW w:w="782" w:type="dxa"/>
          </w:tcPr>
          <w:p w14:paraId="0742C1D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p>
        </w:tc>
        <w:tc>
          <w:tcPr>
            <w:tcW w:w="782" w:type="dxa"/>
          </w:tcPr>
          <w:p w14:paraId="2711EFA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782" w:type="dxa"/>
          </w:tcPr>
          <w:p w14:paraId="762492A4"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782" w:type="dxa"/>
          </w:tcPr>
          <w:p w14:paraId="741A92C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783" w:type="dxa"/>
          </w:tcPr>
          <w:p w14:paraId="3A7D465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1DAABF8E" w14:textId="77777777" w:rsidTr="00D95F31">
        <w:tc>
          <w:tcPr>
            <w:cnfStyle w:val="001000000000" w:firstRow="0" w:lastRow="0" w:firstColumn="1" w:lastColumn="0" w:oddVBand="0" w:evenVBand="0" w:oddHBand="0" w:evenHBand="0" w:firstRowFirstColumn="0" w:firstRowLastColumn="0" w:lastRowFirstColumn="0" w:lastRowLastColumn="0"/>
            <w:tcW w:w="3857" w:type="dxa"/>
          </w:tcPr>
          <w:p w14:paraId="6CFF6291" w14:textId="77777777" w:rsidR="00964B88" w:rsidRDefault="00964B88">
            <w:r>
              <w:t>Balance of investment in PNFC and PFC sectors at beginning of period</w:t>
            </w:r>
          </w:p>
        </w:tc>
        <w:tc>
          <w:tcPr>
            <w:tcW w:w="782" w:type="dxa"/>
          </w:tcPr>
          <w:p w14:paraId="1C7555C8" w14:textId="77777777" w:rsidR="00964B88" w:rsidRDefault="00964B88">
            <w:pPr>
              <w:cnfStyle w:val="000000000000" w:firstRow="0" w:lastRow="0" w:firstColumn="0" w:lastColumn="0" w:oddVBand="0" w:evenVBand="0" w:oddHBand="0" w:evenHBand="0" w:firstRowFirstColumn="0" w:firstRowLastColumn="0" w:lastRowFirstColumn="0" w:lastRowLastColumn="0"/>
            </w:pPr>
            <w:r>
              <w:t>101 825</w:t>
            </w:r>
          </w:p>
        </w:tc>
        <w:tc>
          <w:tcPr>
            <w:tcW w:w="782" w:type="dxa"/>
          </w:tcPr>
          <w:p w14:paraId="5C688BEF" w14:textId="77777777" w:rsidR="00964B88" w:rsidRDefault="00964B88">
            <w:pPr>
              <w:cnfStyle w:val="000000000000" w:firstRow="0" w:lastRow="0" w:firstColumn="0" w:lastColumn="0" w:oddVBand="0" w:evenVBand="0" w:oddHBand="0" w:evenHBand="0" w:firstRowFirstColumn="0" w:firstRowLastColumn="0" w:lastRowFirstColumn="0" w:lastRowLastColumn="0"/>
            </w:pPr>
            <w:r>
              <w:t>101 825</w:t>
            </w:r>
          </w:p>
        </w:tc>
        <w:tc>
          <w:tcPr>
            <w:tcW w:w="782" w:type="dxa"/>
          </w:tcPr>
          <w:p w14:paraId="31CD2518" w14:textId="77777777" w:rsidR="00964B88" w:rsidRDefault="00964B88">
            <w:pPr>
              <w:cnfStyle w:val="000000000000" w:firstRow="0" w:lastRow="0" w:firstColumn="0" w:lastColumn="0" w:oddVBand="0" w:evenVBand="0" w:oddHBand="0" w:evenHBand="0" w:firstRowFirstColumn="0" w:firstRowLastColumn="0" w:lastRowFirstColumn="0" w:lastRowLastColumn="0"/>
            </w:pPr>
            <w:r>
              <w:t>106 310</w:t>
            </w:r>
          </w:p>
        </w:tc>
        <w:tc>
          <w:tcPr>
            <w:tcW w:w="782" w:type="dxa"/>
          </w:tcPr>
          <w:p w14:paraId="2614D852" w14:textId="77777777" w:rsidR="00964B88" w:rsidRDefault="00964B88">
            <w:pPr>
              <w:cnfStyle w:val="000000000000" w:firstRow="0" w:lastRow="0" w:firstColumn="0" w:lastColumn="0" w:oddVBand="0" w:evenVBand="0" w:oddHBand="0" w:evenHBand="0" w:firstRowFirstColumn="0" w:firstRowLastColumn="0" w:lastRowFirstColumn="0" w:lastRowLastColumn="0"/>
            </w:pPr>
            <w:r>
              <w:t>111 030</w:t>
            </w:r>
          </w:p>
        </w:tc>
        <w:tc>
          <w:tcPr>
            <w:tcW w:w="783" w:type="dxa"/>
          </w:tcPr>
          <w:p w14:paraId="08BB8A06" w14:textId="77777777" w:rsidR="00964B88" w:rsidRDefault="00964B88">
            <w:pPr>
              <w:cnfStyle w:val="000000000000" w:firstRow="0" w:lastRow="0" w:firstColumn="0" w:lastColumn="0" w:oddVBand="0" w:evenVBand="0" w:oddHBand="0" w:evenHBand="0" w:firstRowFirstColumn="0" w:firstRowLastColumn="0" w:lastRowFirstColumn="0" w:lastRowLastColumn="0"/>
            </w:pPr>
            <w:r>
              <w:t>114 644</w:t>
            </w:r>
          </w:p>
        </w:tc>
      </w:tr>
      <w:tr w:rsidR="00964B88" w14:paraId="740F49ED" w14:textId="77777777" w:rsidTr="00D95F31">
        <w:tc>
          <w:tcPr>
            <w:cnfStyle w:val="001000000000" w:firstRow="0" w:lastRow="0" w:firstColumn="1" w:lastColumn="0" w:oddVBand="0" w:evenVBand="0" w:oddHBand="0" w:evenHBand="0" w:firstRowFirstColumn="0" w:firstRowLastColumn="0" w:lastRowFirstColumn="0" w:lastRowLastColumn="0"/>
            <w:tcW w:w="3857" w:type="dxa"/>
          </w:tcPr>
          <w:p w14:paraId="3A8366FB" w14:textId="77777777" w:rsidR="00964B88" w:rsidRDefault="00964B88">
            <w:r>
              <w:t>Net contributions to other sectors by owner</w:t>
            </w:r>
          </w:p>
        </w:tc>
        <w:tc>
          <w:tcPr>
            <w:tcW w:w="782" w:type="dxa"/>
          </w:tcPr>
          <w:p w14:paraId="5E126E18" w14:textId="77777777" w:rsidR="00964B88" w:rsidRDefault="00964B88">
            <w:pPr>
              <w:cnfStyle w:val="000000000000" w:firstRow="0" w:lastRow="0" w:firstColumn="0" w:lastColumn="0" w:oddVBand="0" w:evenVBand="0" w:oddHBand="0" w:evenHBand="0" w:firstRowFirstColumn="0" w:firstRowLastColumn="0" w:lastRowFirstColumn="0" w:lastRowLastColumn="0"/>
            </w:pPr>
            <w:r>
              <w:t>5 206</w:t>
            </w:r>
          </w:p>
        </w:tc>
        <w:tc>
          <w:tcPr>
            <w:tcW w:w="782" w:type="dxa"/>
          </w:tcPr>
          <w:p w14:paraId="0416706E" w14:textId="77777777" w:rsidR="00964B88" w:rsidRDefault="00964B88">
            <w:pPr>
              <w:cnfStyle w:val="000000000000" w:firstRow="0" w:lastRow="0" w:firstColumn="0" w:lastColumn="0" w:oddVBand="0" w:evenVBand="0" w:oddHBand="0" w:evenHBand="0" w:firstRowFirstColumn="0" w:firstRowLastColumn="0" w:lastRowFirstColumn="0" w:lastRowLastColumn="0"/>
            </w:pPr>
            <w:r>
              <w:t>4 101</w:t>
            </w:r>
          </w:p>
        </w:tc>
        <w:tc>
          <w:tcPr>
            <w:tcW w:w="782" w:type="dxa"/>
          </w:tcPr>
          <w:p w14:paraId="6BE3DA0A" w14:textId="77777777" w:rsidR="00964B88" w:rsidRDefault="00964B88">
            <w:pPr>
              <w:cnfStyle w:val="000000000000" w:firstRow="0" w:lastRow="0" w:firstColumn="0" w:lastColumn="0" w:oddVBand="0" w:evenVBand="0" w:oddHBand="0" w:evenHBand="0" w:firstRowFirstColumn="0" w:firstRowLastColumn="0" w:lastRowFirstColumn="0" w:lastRowLastColumn="0"/>
            </w:pPr>
            <w:r>
              <w:t>4 068</w:t>
            </w:r>
          </w:p>
        </w:tc>
        <w:tc>
          <w:tcPr>
            <w:tcW w:w="782" w:type="dxa"/>
          </w:tcPr>
          <w:p w14:paraId="1F30A6AC" w14:textId="77777777" w:rsidR="00964B88" w:rsidRDefault="00964B88">
            <w:pPr>
              <w:cnfStyle w:val="000000000000" w:firstRow="0" w:lastRow="0" w:firstColumn="0" w:lastColumn="0" w:oddVBand="0" w:evenVBand="0" w:oddHBand="0" w:evenHBand="0" w:firstRowFirstColumn="0" w:firstRowLastColumn="0" w:lastRowFirstColumn="0" w:lastRowLastColumn="0"/>
            </w:pPr>
            <w:r>
              <w:t>4 194</w:t>
            </w:r>
          </w:p>
        </w:tc>
        <w:tc>
          <w:tcPr>
            <w:tcW w:w="783" w:type="dxa"/>
          </w:tcPr>
          <w:p w14:paraId="2876E3D6" w14:textId="77777777" w:rsidR="00964B88" w:rsidRDefault="00964B88">
            <w:pPr>
              <w:cnfStyle w:val="000000000000" w:firstRow="0" w:lastRow="0" w:firstColumn="0" w:lastColumn="0" w:oddVBand="0" w:evenVBand="0" w:oddHBand="0" w:evenHBand="0" w:firstRowFirstColumn="0" w:firstRowLastColumn="0" w:lastRowFirstColumn="0" w:lastRowLastColumn="0"/>
            </w:pPr>
            <w:r>
              <w:t>4 350</w:t>
            </w:r>
          </w:p>
        </w:tc>
      </w:tr>
      <w:tr w:rsidR="00964B88" w14:paraId="176045D6" w14:textId="77777777" w:rsidTr="00D95F31">
        <w:tc>
          <w:tcPr>
            <w:cnfStyle w:val="001000000000" w:firstRow="0" w:lastRow="0" w:firstColumn="1" w:lastColumn="0" w:oddVBand="0" w:evenVBand="0" w:oddHBand="0" w:evenHBand="0" w:firstRowFirstColumn="0" w:firstRowLastColumn="0" w:lastRowFirstColumn="0" w:lastRowLastColumn="0"/>
            <w:tcW w:w="3857" w:type="dxa"/>
            <w:tcBorders>
              <w:bottom w:val="single" w:sz="6" w:space="0" w:color="auto"/>
            </w:tcBorders>
          </w:tcPr>
          <w:p w14:paraId="09940A5A" w14:textId="77777777" w:rsidR="00964B88" w:rsidRDefault="00964B88">
            <w:r>
              <w:t>Revaluation gain/(loss) for period</w:t>
            </w:r>
          </w:p>
        </w:tc>
        <w:tc>
          <w:tcPr>
            <w:tcW w:w="782" w:type="dxa"/>
            <w:tcBorders>
              <w:bottom w:val="single" w:sz="6" w:space="0" w:color="auto"/>
            </w:tcBorders>
          </w:tcPr>
          <w:p w14:paraId="0F5DDEEA" w14:textId="77777777" w:rsidR="00964B88" w:rsidRDefault="00964B88">
            <w:pPr>
              <w:cnfStyle w:val="000000000000" w:firstRow="0" w:lastRow="0" w:firstColumn="0" w:lastColumn="0" w:oddVBand="0" w:evenVBand="0" w:oddHBand="0" w:evenHBand="0" w:firstRowFirstColumn="0" w:firstRowLastColumn="0" w:lastRowFirstColumn="0" w:lastRowLastColumn="0"/>
            </w:pPr>
            <w:r>
              <w:t>692</w:t>
            </w:r>
          </w:p>
        </w:tc>
        <w:tc>
          <w:tcPr>
            <w:tcW w:w="782" w:type="dxa"/>
            <w:tcBorders>
              <w:bottom w:val="single" w:sz="6" w:space="0" w:color="auto"/>
            </w:tcBorders>
          </w:tcPr>
          <w:p w14:paraId="1F3D5DAC" w14:textId="77777777" w:rsidR="00964B88" w:rsidRDefault="00964B88">
            <w:pPr>
              <w:cnfStyle w:val="000000000000" w:firstRow="0" w:lastRow="0" w:firstColumn="0" w:lastColumn="0" w:oddVBand="0" w:evenVBand="0" w:oddHBand="0" w:evenHBand="0" w:firstRowFirstColumn="0" w:firstRowLastColumn="0" w:lastRowFirstColumn="0" w:lastRowLastColumn="0"/>
            </w:pPr>
            <w:r>
              <w:t>383</w:t>
            </w:r>
          </w:p>
        </w:tc>
        <w:tc>
          <w:tcPr>
            <w:tcW w:w="782" w:type="dxa"/>
            <w:tcBorders>
              <w:bottom w:val="single" w:sz="6" w:space="0" w:color="auto"/>
            </w:tcBorders>
          </w:tcPr>
          <w:p w14:paraId="103F5ED6" w14:textId="77777777" w:rsidR="00964B88" w:rsidRDefault="00964B88">
            <w:pPr>
              <w:cnfStyle w:val="000000000000" w:firstRow="0" w:lastRow="0" w:firstColumn="0" w:lastColumn="0" w:oddVBand="0" w:evenVBand="0" w:oddHBand="0" w:evenHBand="0" w:firstRowFirstColumn="0" w:firstRowLastColumn="0" w:lastRowFirstColumn="0" w:lastRowLastColumn="0"/>
            </w:pPr>
            <w:r>
              <w:t>651</w:t>
            </w:r>
          </w:p>
        </w:tc>
        <w:tc>
          <w:tcPr>
            <w:tcW w:w="782" w:type="dxa"/>
            <w:tcBorders>
              <w:bottom w:val="single" w:sz="6" w:space="0" w:color="auto"/>
            </w:tcBorders>
          </w:tcPr>
          <w:p w14:paraId="6A25F8ED" w14:textId="77777777" w:rsidR="00964B88" w:rsidRDefault="00964B88">
            <w:pPr>
              <w:cnfStyle w:val="000000000000" w:firstRow="0" w:lastRow="0" w:firstColumn="0" w:lastColumn="0" w:oddVBand="0" w:evenVBand="0" w:oddHBand="0" w:evenHBand="0" w:firstRowFirstColumn="0" w:firstRowLastColumn="0" w:lastRowFirstColumn="0" w:lastRowLastColumn="0"/>
            </w:pPr>
            <w:r>
              <w:t>(579)</w:t>
            </w:r>
          </w:p>
        </w:tc>
        <w:tc>
          <w:tcPr>
            <w:tcW w:w="783" w:type="dxa"/>
            <w:tcBorders>
              <w:bottom w:val="single" w:sz="6" w:space="0" w:color="auto"/>
            </w:tcBorders>
          </w:tcPr>
          <w:p w14:paraId="4DCB9D59" w14:textId="77777777" w:rsidR="00964B88" w:rsidRDefault="00964B88">
            <w:pPr>
              <w:cnfStyle w:val="000000000000" w:firstRow="0" w:lastRow="0" w:firstColumn="0" w:lastColumn="0" w:oddVBand="0" w:evenVBand="0" w:oddHBand="0" w:evenHBand="0" w:firstRowFirstColumn="0" w:firstRowLastColumn="0" w:lastRowFirstColumn="0" w:lastRowLastColumn="0"/>
            </w:pPr>
            <w:r>
              <w:t>(670)</w:t>
            </w:r>
          </w:p>
        </w:tc>
      </w:tr>
      <w:tr w:rsidR="00964B88" w14:paraId="25D29A2C" w14:textId="77777777" w:rsidTr="00D95F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7" w:type="dxa"/>
          </w:tcPr>
          <w:p w14:paraId="6363E8CC" w14:textId="77777777" w:rsidR="00964B88" w:rsidRDefault="00964B88">
            <w:r>
              <w:t>Investment in other sector entities at end of period</w:t>
            </w:r>
          </w:p>
        </w:tc>
        <w:tc>
          <w:tcPr>
            <w:tcW w:w="782" w:type="dxa"/>
          </w:tcPr>
          <w:p w14:paraId="0AE6D3F2" w14:textId="77777777" w:rsidR="00964B88" w:rsidRDefault="00964B88">
            <w:pPr>
              <w:cnfStyle w:val="010000000000" w:firstRow="0" w:lastRow="1" w:firstColumn="0" w:lastColumn="0" w:oddVBand="0" w:evenVBand="0" w:oddHBand="0" w:evenHBand="0" w:firstRowFirstColumn="0" w:firstRowLastColumn="0" w:lastRowFirstColumn="0" w:lastRowLastColumn="0"/>
            </w:pPr>
            <w:r>
              <w:t>107 723</w:t>
            </w:r>
          </w:p>
        </w:tc>
        <w:tc>
          <w:tcPr>
            <w:tcW w:w="782" w:type="dxa"/>
          </w:tcPr>
          <w:p w14:paraId="545DABBA" w14:textId="77777777" w:rsidR="00964B88" w:rsidRDefault="00964B88">
            <w:pPr>
              <w:cnfStyle w:val="010000000000" w:firstRow="0" w:lastRow="1" w:firstColumn="0" w:lastColumn="0" w:oddVBand="0" w:evenVBand="0" w:oddHBand="0" w:evenHBand="0" w:firstRowFirstColumn="0" w:firstRowLastColumn="0" w:lastRowFirstColumn="0" w:lastRowLastColumn="0"/>
            </w:pPr>
            <w:r>
              <w:t>106 310</w:t>
            </w:r>
          </w:p>
        </w:tc>
        <w:tc>
          <w:tcPr>
            <w:tcW w:w="782" w:type="dxa"/>
          </w:tcPr>
          <w:p w14:paraId="2891DCFB" w14:textId="77777777" w:rsidR="00964B88" w:rsidRDefault="00964B88">
            <w:pPr>
              <w:cnfStyle w:val="010000000000" w:firstRow="0" w:lastRow="1" w:firstColumn="0" w:lastColumn="0" w:oddVBand="0" w:evenVBand="0" w:oddHBand="0" w:evenHBand="0" w:firstRowFirstColumn="0" w:firstRowLastColumn="0" w:lastRowFirstColumn="0" w:lastRowLastColumn="0"/>
            </w:pPr>
            <w:r>
              <w:t>111 030</w:t>
            </w:r>
          </w:p>
        </w:tc>
        <w:tc>
          <w:tcPr>
            <w:tcW w:w="782" w:type="dxa"/>
          </w:tcPr>
          <w:p w14:paraId="7ED75DED" w14:textId="77777777" w:rsidR="00964B88" w:rsidRDefault="00964B88">
            <w:pPr>
              <w:cnfStyle w:val="010000000000" w:firstRow="0" w:lastRow="1" w:firstColumn="0" w:lastColumn="0" w:oddVBand="0" w:evenVBand="0" w:oddHBand="0" w:evenHBand="0" w:firstRowFirstColumn="0" w:firstRowLastColumn="0" w:lastRowFirstColumn="0" w:lastRowLastColumn="0"/>
            </w:pPr>
            <w:r>
              <w:t>114 644</w:t>
            </w:r>
          </w:p>
        </w:tc>
        <w:tc>
          <w:tcPr>
            <w:tcW w:w="783" w:type="dxa"/>
          </w:tcPr>
          <w:p w14:paraId="273B37A6" w14:textId="77777777" w:rsidR="00964B88" w:rsidRDefault="00964B88">
            <w:pPr>
              <w:cnfStyle w:val="010000000000" w:firstRow="0" w:lastRow="1" w:firstColumn="0" w:lastColumn="0" w:oddVBand="0" w:evenVBand="0" w:oddHBand="0" w:evenHBand="0" w:firstRowFirstColumn="0" w:firstRowLastColumn="0" w:lastRowFirstColumn="0" w:lastRowLastColumn="0"/>
            </w:pPr>
            <w:r>
              <w:t>118 325</w:t>
            </w:r>
          </w:p>
        </w:tc>
      </w:tr>
    </w:tbl>
    <w:p w14:paraId="1B714CAC" w14:textId="77777777" w:rsidR="00964B88" w:rsidRDefault="00964B88" w:rsidP="00F53820"/>
    <w:p w14:paraId="64972F49" w14:textId="77777777" w:rsidR="00964B88" w:rsidRPr="00B41AC3" w:rsidRDefault="00964B88" w:rsidP="00F53820"/>
    <w:p w14:paraId="16FDE454" w14:textId="77777777" w:rsidR="00964B88" w:rsidRDefault="00964B88" w:rsidP="00964B88">
      <w:pPr>
        <w:pStyle w:val="Heading3"/>
        <w:numPr>
          <w:ilvl w:val="2"/>
          <w:numId w:val="22"/>
        </w:numPr>
        <w:tabs>
          <w:tab w:val="clear" w:pos="7711"/>
          <w:tab w:val="left" w:pos="850"/>
          <w:tab w:val="right" w:pos="7710"/>
        </w:tabs>
        <w:spacing w:after="60"/>
      </w:pPr>
      <w:bookmarkStart w:id="112" w:name="_Toc26283265"/>
      <w:r>
        <w:t>Payables</w:t>
      </w:r>
      <w:r>
        <w:tab/>
        <w:t>($ million)</w:t>
      </w:r>
      <w:bookmarkEnd w:id="112"/>
    </w:p>
    <w:tbl>
      <w:tblPr>
        <w:tblStyle w:val="DTFTable"/>
        <w:tblW w:w="7768" w:type="dxa"/>
        <w:tblLayout w:type="fixed"/>
        <w:tblLook w:val="06E0" w:firstRow="1" w:lastRow="1" w:firstColumn="1" w:lastColumn="0" w:noHBand="1" w:noVBand="1"/>
      </w:tblPr>
      <w:tblGrid>
        <w:gridCol w:w="3857"/>
        <w:gridCol w:w="782"/>
        <w:gridCol w:w="782"/>
        <w:gridCol w:w="782"/>
        <w:gridCol w:w="782"/>
        <w:gridCol w:w="783"/>
      </w:tblGrid>
      <w:tr w:rsidR="00964B88" w14:paraId="42C76BAC" w14:textId="77777777" w:rsidTr="00D95F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57" w:type="dxa"/>
          </w:tcPr>
          <w:p w14:paraId="252D3812" w14:textId="77777777" w:rsidR="00964B88" w:rsidRDefault="00964B88"/>
        </w:tc>
        <w:tc>
          <w:tcPr>
            <w:tcW w:w="782" w:type="dxa"/>
          </w:tcPr>
          <w:p w14:paraId="52CCBDF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p>
        </w:tc>
        <w:tc>
          <w:tcPr>
            <w:tcW w:w="782" w:type="dxa"/>
          </w:tcPr>
          <w:p w14:paraId="139F914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782" w:type="dxa"/>
          </w:tcPr>
          <w:p w14:paraId="6B94481F"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782" w:type="dxa"/>
          </w:tcPr>
          <w:p w14:paraId="329FC17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783" w:type="dxa"/>
          </w:tcPr>
          <w:p w14:paraId="35CE34AC"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637E6983" w14:textId="77777777" w:rsidTr="00D95F31">
        <w:tc>
          <w:tcPr>
            <w:cnfStyle w:val="001000000000" w:firstRow="0" w:lastRow="0" w:firstColumn="1" w:lastColumn="0" w:oddVBand="0" w:evenVBand="0" w:oddHBand="0" w:evenHBand="0" w:firstRowFirstColumn="0" w:firstRowLastColumn="0" w:lastRowFirstColumn="0" w:lastRowLastColumn="0"/>
            <w:tcW w:w="3857" w:type="dxa"/>
          </w:tcPr>
          <w:p w14:paraId="777A805F" w14:textId="77777777" w:rsidR="00964B88" w:rsidRDefault="00964B88">
            <w:r>
              <w:rPr>
                <w:b/>
              </w:rPr>
              <w:t>Current payables</w:t>
            </w:r>
          </w:p>
        </w:tc>
        <w:tc>
          <w:tcPr>
            <w:tcW w:w="782" w:type="dxa"/>
          </w:tcPr>
          <w:p w14:paraId="319BA30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3AC9968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629FF30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2D3C6DA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Pr>
          <w:p w14:paraId="0246718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3EC9195" w14:textId="77777777" w:rsidTr="00D95F31">
        <w:tc>
          <w:tcPr>
            <w:cnfStyle w:val="001000000000" w:firstRow="0" w:lastRow="0" w:firstColumn="1" w:lastColumn="0" w:oddVBand="0" w:evenVBand="0" w:oddHBand="0" w:evenHBand="0" w:firstRowFirstColumn="0" w:firstRowLastColumn="0" w:lastRowFirstColumn="0" w:lastRowLastColumn="0"/>
            <w:tcW w:w="3857" w:type="dxa"/>
          </w:tcPr>
          <w:p w14:paraId="03A2B125" w14:textId="77777777" w:rsidR="00964B88" w:rsidRDefault="00964B88">
            <w:r>
              <w:t>Accounts payable and accrued expenses</w:t>
            </w:r>
          </w:p>
        </w:tc>
        <w:tc>
          <w:tcPr>
            <w:tcW w:w="782" w:type="dxa"/>
          </w:tcPr>
          <w:p w14:paraId="137287CD" w14:textId="77777777" w:rsidR="00964B88" w:rsidRDefault="00964B88">
            <w:pPr>
              <w:cnfStyle w:val="000000000000" w:firstRow="0" w:lastRow="0" w:firstColumn="0" w:lastColumn="0" w:oddVBand="0" w:evenVBand="0" w:oddHBand="0" w:evenHBand="0" w:firstRowFirstColumn="0" w:firstRowLastColumn="0" w:lastRowFirstColumn="0" w:lastRowLastColumn="0"/>
            </w:pPr>
            <w:r>
              <w:t>4 511</w:t>
            </w:r>
          </w:p>
        </w:tc>
        <w:tc>
          <w:tcPr>
            <w:tcW w:w="782" w:type="dxa"/>
          </w:tcPr>
          <w:p w14:paraId="2BD06F28" w14:textId="77777777" w:rsidR="00964B88" w:rsidRDefault="00964B88">
            <w:pPr>
              <w:cnfStyle w:val="000000000000" w:firstRow="0" w:lastRow="0" w:firstColumn="0" w:lastColumn="0" w:oddVBand="0" w:evenVBand="0" w:oddHBand="0" w:evenHBand="0" w:firstRowFirstColumn="0" w:firstRowLastColumn="0" w:lastRowFirstColumn="0" w:lastRowLastColumn="0"/>
            </w:pPr>
            <w:r>
              <w:t>4 107</w:t>
            </w:r>
          </w:p>
        </w:tc>
        <w:tc>
          <w:tcPr>
            <w:tcW w:w="782" w:type="dxa"/>
          </w:tcPr>
          <w:p w14:paraId="76452765" w14:textId="77777777" w:rsidR="00964B88" w:rsidRDefault="00964B88">
            <w:pPr>
              <w:cnfStyle w:val="000000000000" w:firstRow="0" w:lastRow="0" w:firstColumn="0" w:lastColumn="0" w:oddVBand="0" w:evenVBand="0" w:oddHBand="0" w:evenHBand="0" w:firstRowFirstColumn="0" w:firstRowLastColumn="0" w:lastRowFirstColumn="0" w:lastRowLastColumn="0"/>
            </w:pPr>
            <w:r>
              <w:t>4 098</w:t>
            </w:r>
          </w:p>
        </w:tc>
        <w:tc>
          <w:tcPr>
            <w:tcW w:w="782" w:type="dxa"/>
          </w:tcPr>
          <w:p w14:paraId="56055409" w14:textId="77777777" w:rsidR="00964B88" w:rsidRDefault="00964B88">
            <w:pPr>
              <w:cnfStyle w:val="000000000000" w:firstRow="0" w:lastRow="0" w:firstColumn="0" w:lastColumn="0" w:oddVBand="0" w:evenVBand="0" w:oddHBand="0" w:evenHBand="0" w:firstRowFirstColumn="0" w:firstRowLastColumn="0" w:lastRowFirstColumn="0" w:lastRowLastColumn="0"/>
            </w:pPr>
            <w:r>
              <w:t>4 075</w:t>
            </w:r>
          </w:p>
        </w:tc>
        <w:tc>
          <w:tcPr>
            <w:tcW w:w="783" w:type="dxa"/>
          </w:tcPr>
          <w:p w14:paraId="2575D156" w14:textId="77777777" w:rsidR="00964B88" w:rsidRDefault="00964B88">
            <w:pPr>
              <w:cnfStyle w:val="000000000000" w:firstRow="0" w:lastRow="0" w:firstColumn="0" w:lastColumn="0" w:oddVBand="0" w:evenVBand="0" w:oddHBand="0" w:evenHBand="0" w:firstRowFirstColumn="0" w:firstRowLastColumn="0" w:lastRowFirstColumn="0" w:lastRowLastColumn="0"/>
            </w:pPr>
            <w:r>
              <w:t>3 863</w:t>
            </w:r>
          </w:p>
        </w:tc>
      </w:tr>
      <w:tr w:rsidR="00964B88" w14:paraId="2B50BA46" w14:textId="77777777" w:rsidTr="00D95F31">
        <w:tc>
          <w:tcPr>
            <w:cnfStyle w:val="001000000000" w:firstRow="0" w:lastRow="0" w:firstColumn="1" w:lastColumn="0" w:oddVBand="0" w:evenVBand="0" w:oddHBand="0" w:evenHBand="0" w:firstRowFirstColumn="0" w:firstRowLastColumn="0" w:lastRowFirstColumn="0" w:lastRowLastColumn="0"/>
            <w:tcW w:w="3857" w:type="dxa"/>
          </w:tcPr>
          <w:p w14:paraId="1599C398" w14:textId="77777777" w:rsidR="00964B88" w:rsidRDefault="00964B88">
            <w:r>
              <w:t>Accrued taxes payable</w:t>
            </w:r>
          </w:p>
        </w:tc>
        <w:tc>
          <w:tcPr>
            <w:tcW w:w="782" w:type="dxa"/>
          </w:tcPr>
          <w:p w14:paraId="46F1561D" w14:textId="77777777" w:rsidR="00964B88" w:rsidRDefault="00964B88">
            <w:pPr>
              <w:cnfStyle w:val="000000000000" w:firstRow="0" w:lastRow="0" w:firstColumn="0" w:lastColumn="0" w:oddVBand="0" w:evenVBand="0" w:oddHBand="0" w:evenHBand="0" w:firstRowFirstColumn="0" w:firstRowLastColumn="0" w:lastRowFirstColumn="0" w:lastRowLastColumn="0"/>
            </w:pPr>
            <w:r>
              <w:t>60</w:t>
            </w:r>
          </w:p>
        </w:tc>
        <w:tc>
          <w:tcPr>
            <w:tcW w:w="782" w:type="dxa"/>
          </w:tcPr>
          <w:p w14:paraId="338183B5" w14:textId="77777777" w:rsidR="00964B88" w:rsidRDefault="00964B88">
            <w:pPr>
              <w:cnfStyle w:val="000000000000" w:firstRow="0" w:lastRow="0" w:firstColumn="0" w:lastColumn="0" w:oddVBand="0" w:evenVBand="0" w:oddHBand="0" w:evenHBand="0" w:firstRowFirstColumn="0" w:firstRowLastColumn="0" w:lastRowFirstColumn="0" w:lastRowLastColumn="0"/>
            </w:pPr>
            <w:r>
              <w:t>61</w:t>
            </w:r>
          </w:p>
        </w:tc>
        <w:tc>
          <w:tcPr>
            <w:tcW w:w="782" w:type="dxa"/>
          </w:tcPr>
          <w:p w14:paraId="0AA6832F" w14:textId="77777777" w:rsidR="00964B88" w:rsidRDefault="00964B88">
            <w:pPr>
              <w:cnfStyle w:val="000000000000" w:firstRow="0" w:lastRow="0" w:firstColumn="0" w:lastColumn="0" w:oddVBand="0" w:evenVBand="0" w:oddHBand="0" w:evenHBand="0" w:firstRowFirstColumn="0" w:firstRowLastColumn="0" w:lastRowFirstColumn="0" w:lastRowLastColumn="0"/>
            </w:pPr>
            <w:r>
              <w:t>60</w:t>
            </w:r>
          </w:p>
        </w:tc>
        <w:tc>
          <w:tcPr>
            <w:tcW w:w="782" w:type="dxa"/>
          </w:tcPr>
          <w:p w14:paraId="3103600B" w14:textId="77777777" w:rsidR="00964B88" w:rsidRDefault="00964B88">
            <w:pPr>
              <w:cnfStyle w:val="000000000000" w:firstRow="0" w:lastRow="0" w:firstColumn="0" w:lastColumn="0" w:oddVBand="0" w:evenVBand="0" w:oddHBand="0" w:evenHBand="0" w:firstRowFirstColumn="0" w:firstRowLastColumn="0" w:lastRowFirstColumn="0" w:lastRowLastColumn="0"/>
            </w:pPr>
            <w:r>
              <w:t>60</w:t>
            </w:r>
          </w:p>
        </w:tc>
        <w:tc>
          <w:tcPr>
            <w:tcW w:w="783" w:type="dxa"/>
          </w:tcPr>
          <w:p w14:paraId="698841C9" w14:textId="77777777" w:rsidR="00964B88" w:rsidRDefault="00964B88">
            <w:pPr>
              <w:cnfStyle w:val="000000000000" w:firstRow="0" w:lastRow="0" w:firstColumn="0" w:lastColumn="0" w:oddVBand="0" w:evenVBand="0" w:oddHBand="0" w:evenHBand="0" w:firstRowFirstColumn="0" w:firstRowLastColumn="0" w:lastRowFirstColumn="0" w:lastRowLastColumn="0"/>
            </w:pPr>
            <w:r>
              <w:t>61</w:t>
            </w:r>
          </w:p>
        </w:tc>
      </w:tr>
      <w:tr w:rsidR="00964B88" w14:paraId="6F8DA514" w14:textId="77777777" w:rsidTr="00D95F31">
        <w:tc>
          <w:tcPr>
            <w:cnfStyle w:val="001000000000" w:firstRow="0" w:lastRow="0" w:firstColumn="1" w:lastColumn="0" w:oddVBand="0" w:evenVBand="0" w:oddHBand="0" w:evenHBand="0" w:firstRowFirstColumn="0" w:firstRowLastColumn="0" w:lastRowFirstColumn="0" w:lastRowLastColumn="0"/>
            <w:tcW w:w="3857" w:type="dxa"/>
          </w:tcPr>
          <w:p w14:paraId="5306EBBE" w14:textId="77777777" w:rsidR="00964B88" w:rsidRDefault="00964B88">
            <w:r>
              <w:t>Grant of right to operate liability</w:t>
            </w:r>
            <w:r>
              <w:rPr>
                <w:vertAlign w:val="superscript"/>
              </w:rPr>
              <w:t xml:space="preserve"> (a)</w:t>
            </w:r>
          </w:p>
        </w:tc>
        <w:tc>
          <w:tcPr>
            <w:tcW w:w="782" w:type="dxa"/>
          </w:tcPr>
          <w:p w14:paraId="4B8EA978" w14:textId="77777777" w:rsidR="00964B88" w:rsidRDefault="00964B88">
            <w:pPr>
              <w:cnfStyle w:val="000000000000" w:firstRow="0" w:lastRow="0" w:firstColumn="0" w:lastColumn="0" w:oddVBand="0" w:evenVBand="0" w:oddHBand="0" w:evenHBand="0" w:firstRowFirstColumn="0" w:firstRowLastColumn="0" w:lastRowFirstColumn="0" w:lastRowLastColumn="0"/>
            </w:pPr>
            <w:r>
              <w:t>354</w:t>
            </w:r>
          </w:p>
        </w:tc>
        <w:tc>
          <w:tcPr>
            <w:tcW w:w="782" w:type="dxa"/>
          </w:tcPr>
          <w:p w14:paraId="3B084B71" w14:textId="77777777" w:rsidR="00964B88" w:rsidRDefault="00964B88">
            <w:pPr>
              <w:cnfStyle w:val="000000000000" w:firstRow="0" w:lastRow="0" w:firstColumn="0" w:lastColumn="0" w:oddVBand="0" w:evenVBand="0" w:oddHBand="0" w:evenHBand="0" w:firstRowFirstColumn="0" w:firstRowLastColumn="0" w:lastRowFirstColumn="0" w:lastRowLastColumn="0"/>
            </w:pPr>
            <w:r>
              <w:t>354</w:t>
            </w:r>
          </w:p>
        </w:tc>
        <w:tc>
          <w:tcPr>
            <w:tcW w:w="782" w:type="dxa"/>
          </w:tcPr>
          <w:p w14:paraId="484308A4" w14:textId="77777777" w:rsidR="00964B88" w:rsidRDefault="00964B88">
            <w:pPr>
              <w:cnfStyle w:val="000000000000" w:firstRow="0" w:lastRow="0" w:firstColumn="0" w:lastColumn="0" w:oddVBand="0" w:evenVBand="0" w:oddHBand="0" w:evenHBand="0" w:firstRowFirstColumn="0" w:firstRowLastColumn="0" w:lastRowFirstColumn="0" w:lastRowLastColumn="0"/>
            </w:pPr>
            <w:r>
              <w:t>363</w:t>
            </w:r>
          </w:p>
        </w:tc>
        <w:tc>
          <w:tcPr>
            <w:tcW w:w="782" w:type="dxa"/>
          </w:tcPr>
          <w:p w14:paraId="4EAF4635" w14:textId="77777777" w:rsidR="00964B88" w:rsidRDefault="00964B88">
            <w:pPr>
              <w:cnfStyle w:val="000000000000" w:firstRow="0" w:lastRow="0" w:firstColumn="0" w:lastColumn="0" w:oddVBand="0" w:evenVBand="0" w:oddHBand="0" w:evenHBand="0" w:firstRowFirstColumn="0" w:firstRowLastColumn="0" w:lastRowFirstColumn="0" w:lastRowLastColumn="0"/>
            </w:pPr>
            <w:r>
              <w:t>451</w:t>
            </w:r>
          </w:p>
        </w:tc>
        <w:tc>
          <w:tcPr>
            <w:tcW w:w="783" w:type="dxa"/>
          </w:tcPr>
          <w:p w14:paraId="352535CC" w14:textId="77777777" w:rsidR="00964B88" w:rsidRDefault="00964B88">
            <w:pPr>
              <w:cnfStyle w:val="000000000000" w:firstRow="0" w:lastRow="0" w:firstColumn="0" w:lastColumn="0" w:oddVBand="0" w:evenVBand="0" w:oddHBand="0" w:evenHBand="0" w:firstRowFirstColumn="0" w:firstRowLastColumn="0" w:lastRowFirstColumn="0" w:lastRowLastColumn="0"/>
            </w:pPr>
            <w:r>
              <w:t>542</w:t>
            </w:r>
          </w:p>
        </w:tc>
      </w:tr>
      <w:tr w:rsidR="00964B88" w14:paraId="1C66B053" w14:textId="77777777" w:rsidTr="00D95F31">
        <w:tc>
          <w:tcPr>
            <w:cnfStyle w:val="001000000000" w:firstRow="0" w:lastRow="0" w:firstColumn="1" w:lastColumn="0" w:oddVBand="0" w:evenVBand="0" w:oddHBand="0" w:evenHBand="0" w:firstRowFirstColumn="0" w:firstRowLastColumn="0" w:lastRowFirstColumn="0" w:lastRowLastColumn="0"/>
            <w:tcW w:w="3857" w:type="dxa"/>
            <w:tcBorders>
              <w:bottom w:val="single" w:sz="6" w:space="0" w:color="auto"/>
            </w:tcBorders>
          </w:tcPr>
          <w:p w14:paraId="2802E588" w14:textId="77777777" w:rsidR="00964B88" w:rsidRDefault="00964B88">
            <w:r>
              <w:t>Unearned income</w:t>
            </w:r>
          </w:p>
        </w:tc>
        <w:tc>
          <w:tcPr>
            <w:tcW w:w="782" w:type="dxa"/>
            <w:tcBorders>
              <w:bottom w:val="single" w:sz="6" w:space="0" w:color="auto"/>
            </w:tcBorders>
          </w:tcPr>
          <w:p w14:paraId="122C503A" w14:textId="77777777" w:rsidR="00964B88" w:rsidRDefault="00964B88">
            <w:pPr>
              <w:cnfStyle w:val="000000000000" w:firstRow="0" w:lastRow="0" w:firstColumn="0" w:lastColumn="0" w:oddVBand="0" w:evenVBand="0" w:oddHBand="0" w:evenHBand="0" w:firstRowFirstColumn="0" w:firstRowLastColumn="0" w:lastRowFirstColumn="0" w:lastRowLastColumn="0"/>
            </w:pPr>
            <w:r>
              <w:t>601</w:t>
            </w:r>
          </w:p>
        </w:tc>
        <w:tc>
          <w:tcPr>
            <w:tcW w:w="782" w:type="dxa"/>
            <w:tcBorders>
              <w:bottom w:val="single" w:sz="6" w:space="0" w:color="auto"/>
            </w:tcBorders>
          </w:tcPr>
          <w:p w14:paraId="490E6EED" w14:textId="77777777" w:rsidR="00964B88" w:rsidRDefault="00964B88">
            <w:pPr>
              <w:cnfStyle w:val="000000000000" w:firstRow="0" w:lastRow="0" w:firstColumn="0" w:lastColumn="0" w:oddVBand="0" w:evenVBand="0" w:oddHBand="0" w:evenHBand="0" w:firstRowFirstColumn="0" w:firstRowLastColumn="0" w:lastRowFirstColumn="0" w:lastRowLastColumn="0"/>
            </w:pPr>
            <w:r>
              <w:t>609</w:t>
            </w:r>
          </w:p>
        </w:tc>
        <w:tc>
          <w:tcPr>
            <w:tcW w:w="782" w:type="dxa"/>
            <w:tcBorders>
              <w:bottom w:val="single" w:sz="6" w:space="0" w:color="auto"/>
            </w:tcBorders>
          </w:tcPr>
          <w:p w14:paraId="49C25A3B" w14:textId="77777777" w:rsidR="00964B88" w:rsidRDefault="00964B88">
            <w:pPr>
              <w:cnfStyle w:val="000000000000" w:firstRow="0" w:lastRow="0" w:firstColumn="0" w:lastColumn="0" w:oddVBand="0" w:evenVBand="0" w:oddHBand="0" w:evenHBand="0" w:firstRowFirstColumn="0" w:firstRowLastColumn="0" w:lastRowFirstColumn="0" w:lastRowLastColumn="0"/>
            </w:pPr>
            <w:r>
              <w:t>610</w:t>
            </w:r>
          </w:p>
        </w:tc>
        <w:tc>
          <w:tcPr>
            <w:tcW w:w="782" w:type="dxa"/>
            <w:tcBorders>
              <w:bottom w:val="single" w:sz="6" w:space="0" w:color="auto"/>
            </w:tcBorders>
          </w:tcPr>
          <w:p w14:paraId="400C64FF" w14:textId="77777777" w:rsidR="00964B88" w:rsidRDefault="00964B88">
            <w:pPr>
              <w:cnfStyle w:val="000000000000" w:firstRow="0" w:lastRow="0" w:firstColumn="0" w:lastColumn="0" w:oddVBand="0" w:evenVBand="0" w:oddHBand="0" w:evenHBand="0" w:firstRowFirstColumn="0" w:firstRowLastColumn="0" w:lastRowFirstColumn="0" w:lastRowLastColumn="0"/>
            </w:pPr>
            <w:r>
              <w:t>605</w:t>
            </w:r>
          </w:p>
        </w:tc>
        <w:tc>
          <w:tcPr>
            <w:tcW w:w="783" w:type="dxa"/>
            <w:tcBorders>
              <w:bottom w:val="single" w:sz="6" w:space="0" w:color="auto"/>
            </w:tcBorders>
          </w:tcPr>
          <w:p w14:paraId="368B6321" w14:textId="77777777" w:rsidR="00964B88" w:rsidRDefault="00964B88">
            <w:pPr>
              <w:cnfStyle w:val="000000000000" w:firstRow="0" w:lastRow="0" w:firstColumn="0" w:lastColumn="0" w:oddVBand="0" w:evenVBand="0" w:oddHBand="0" w:evenHBand="0" w:firstRowFirstColumn="0" w:firstRowLastColumn="0" w:lastRowFirstColumn="0" w:lastRowLastColumn="0"/>
            </w:pPr>
            <w:r>
              <w:t>603</w:t>
            </w:r>
          </w:p>
        </w:tc>
      </w:tr>
      <w:tr w:rsidR="00964B88" w14:paraId="59D03516" w14:textId="77777777" w:rsidTr="00D95F31">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tcBorders>
          </w:tcPr>
          <w:p w14:paraId="2A8710A2" w14:textId="77777777" w:rsidR="00964B88" w:rsidRDefault="00964B88">
            <w:r>
              <w:rPr>
                <w:b/>
              </w:rPr>
              <w:t>Total current payables</w:t>
            </w:r>
          </w:p>
        </w:tc>
        <w:tc>
          <w:tcPr>
            <w:tcW w:w="782" w:type="dxa"/>
            <w:tcBorders>
              <w:top w:val="single" w:sz="6" w:space="0" w:color="auto"/>
            </w:tcBorders>
          </w:tcPr>
          <w:p w14:paraId="1A95DE5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5 526</w:t>
            </w:r>
          </w:p>
        </w:tc>
        <w:tc>
          <w:tcPr>
            <w:tcW w:w="782" w:type="dxa"/>
            <w:tcBorders>
              <w:top w:val="single" w:sz="6" w:space="0" w:color="auto"/>
            </w:tcBorders>
          </w:tcPr>
          <w:p w14:paraId="027F47A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5 131</w:t>
            </w:r>
          </w:p>
        </w:tc>
        <w:tc>
          <w:tcPr>
            <w:tcW w:w="782" w:type="dxa"/>
            <w:tcBorders>
              <w:top w:val="single" w:sz="6" w:space="0" w:color="auto"/>
            </w:tcBorders>
          </w:tcPr>
          <w:p w14:paraId="67ECDDA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5 130</w:t>
            </w:r>
          </w:p>
        </w:tc>
        <w:tc>
          <w:tcPr>
            <w:tcW w:w="782" w:type="dxa"/>
            <w:tcBorders>
              <w:top w:val="single" w:sz="6" w:space="0" w:color="auto"/>
            </w:tcBorders>
          </w:tcPr>
          <w:p w14:paraId="04FF756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5 191</w:t>
            </w:r>
          </w:p>
        </w:tc>
        <w:tc>
          <w:tcPr>
            <w:tcW w:w="783" w:type="dxa"/>
            <w:tcBorders>
              <w:top w:val="single" w:sz="6" w:space="0" w:color="auto"/>
            </w:tcBorders>
          </w:tcPr>
          <w:p w14:paraId="5746FFC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5 069</w:t>
            </w:r>
          </w:p>
        </w:tc>
      </w:tr>
      <w:tr w:rsidR="00964B88" w14:paraId="0F4C1613" w14:textId="77777777" w:rsidTr="00D95F31">
        <w:tc>
          <w:tcPr>
            <w:cnfStyle w:val="001000000000" w:firstRow="0" w:lastRow="0" w:firstColumn="1" w:lastColumn="0" w:oddVBand="0" w:evenVBand="0" w:oddHBand="0" w:evenHBand="0" w:firstRowFirstColumn="0" w:firstRowLastColumn="0" w:lastRowFirstColumn="0" w:lastRowLastColumn="0"/>
            <w:tcW w:w="3857" w:type="dxa"/>
          </w:tcPr>
          <w:p w14:paraId="23917020" w14:textId="77777777" w:rsidR="00964B88" w:rsidRDefault="00964B88">
            <w:r>
              <w:rPr>
                <w:b/>
              </w:rPr>
              <w:t>Non</w:t>
            </w:r>
            <w:r>
              <w:rPr>
                <w:b/>
              </w:rPr>
              <w:noBreakHyphen/>
              <w:t>current payables</w:t>
            </w:r>
          </w:p>
        </w:tc>
        <w:tc>
          <w:tcPr>
            <w:tcW w:w="782" w:type="dxa"/>
          </w:tcPr>
          <w:p w14:paraId="1D873B0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67EFD58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76E07EE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1D71475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Pr>
          <w:p w14:paraId="1DCAFCA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7C2DCF0D" w14:textId="77777777" w:rsidTr="00D95F31">
        <w:tc>
          <w:tcPr>
            <w:cnfStyle w:val="001000000000" w:firstRow="0" w:lastRow="0" w:firstColumn="1" w:lastColumn="0" w:oddVBand="0" w:evenVBand="0" w:oddHBand="0" w:evenHBand="0" w:firstRowFirstColumn="0" w:firstRowLastColumn="0" w:lastRowFirstColumn="0" w:lastRowLastColumn="0"/>
            <w:tcW w:w="3857" w:type="dxa"/>
          </w:tcPr>
          <w:p w14:paraId="74F7843B" w14:textId="77777777" w:rsidR="00964B88" w:rsidRDefault="00964B88">
            <w:r>
              <w:t>Accounts payable and other payables</w:t>
            </w:r>
          </w:p>
        </w:tc>
        <w:tc>
          <w:tcPr>
            <w:tcW w:w="782" w:type="dxa"/>
          </w:tcPr>
          <w:p w14:paraId="5698C784" w14:textId="77777777" w:rsidR="00964B88" w:rsidRDefault="00964B88">
            <w:pPr>
              <w:cnfStyle w:val="000000000000" w:firstRow="0" w:lastRow="0" w:firstColumn="0" w:lastColumn="0" w:oddVBand="0" w:evenVBand="0" w:oddHBand="0" w:evenHBand="0" w:firstRowFirstColumn="0" w:firstRowLastColumn="0" w:lastRowFirstColumn="0" w:lastRowLastColumn="0"/>
            </w:pPr>
            <w:r>
              <w:t>204</w:t>
            </w:r>
          </w:p>
        </w:tc>
        <w:tc>
          <w:tcPr>
            <w:tcW w:w="782" w:type="dxa"/>
          </w:tcPr>
          <w:p w14:paraId="3E2AE500" w14:textId="77777777" w:rsidR="00964B88" w:rsidRDefault="00964B88">
            <w:pPr>
              <w:cnfStyle w:val="000000000000" w:firstRow="0" w:lastRow="0" w:firstColumn="0" w:lastColumn="0" w:oddVBand="0" w:evenVBand="0" w:oddHBand="0" w:evenHBand="0" w:firstRowFirstColumn="0" w:firstRowLastColumn="0" w:lastRowFirstColumn="0" w:lastRowLastColumn="0"/>
            </w:pPr>
            <w:r>
              <w:t>188</w:t>
            </w:r>
          </w:p>
        </w:tc>
        <w:tc>
          <w:tcPr>
            <w:tcW w:w="782" w:type="dxa"/>
          </w:tcPr>
          <w:p w14:paraId="0EA006DF" w14:textId="77777777" w:rsidR="00964B88" w:rsidRDefault="00964B88">
            <w:pPr>
              <w:cnfStyle w:val="000000000000" w:firstRow="0" w:lastRow="0" w:firstColumn="0" w:lastColumn="0" w:oddVBand="0" w:evenVBand="0" w:oddHBand="0" w:evenHBand="0" w:firstRowFirstColumn="0" w:firstRowLastColumn="0" w:lastRowFirstColumn="0" w:lastRowLastColumn="0"/>
            </w:pPr>
            <w:r>
              <w:t>184</w:t>
            </w:r>
          </w:p>
        </w:tc>
        <w:tc>
          <w:tcPr>
            <w:tcW w:w="782" w:type="dxa"/>
          </w:tcPr>
          <w:p w14:paraId="2C3452A2" w14:textId="77777777" w:rsidR="00964B88" w:rsidRDefault="00964B88">
            <w:pPr>
              <w:cnfStyle w:val="000000000000" w:firstRow="0" w:lastRow="0" w:firstColumn="0" w:lastColumn="0" w:oddVBand="0" w:evenVBand="0" w:oddHBand="0" w:evenHBand="0" w:firstRowFirstColumn="0" w:firstRowLastColumn="0" w:lastRowFirstColumn="0" w:lastRowLastColumn="0"/>
            </w:pPr>
            <w:r>
              <w:t>180</w:t>
            </w:r>
          </w:p>
        </w:tc>
        <w:tc>
          <w:tcPr>
            <w:tcW w:w="783" w:type="dxa"/>
          </w:tcPr>
          <w:p w14:paraId="6E52DE7A" w14:textId="77777777" w:rsidR="00964B88" w:rsidRDefault="00964B88">
            <w:pPr>
              <w:cnfStyle w:val="000000000000" w:firstRow="0" w:lastRow="0" w:firstColumn="0" w:lastColumn="0" w:oddVBand="0" w:evenVBand="0" w:oddHBand="0" w:evenHBand="0" w:firstRowFirstColumn="0" w:firstRowLastColumn="0" w:lastRowFirstColumn="0" w:lastRowLastColumn="0"/>
            </w:pPr>
            <w:r>
              <w:t>176</w:t>
            </w:r>
          </w:p>
        </w:tc>
      </w:tr>
      <w:tr w:rsidR="00964B88" w14:paraId="0D1367D5" w14:textId="77777777" w:rsidTr="00D95F31">
        <w:tc>
          <w:tcPr>
            <w:cnfStyle w:val="001000000000" w:firstRow="0" w:lastRow="0" w:firstColumn="1" w:lastColumn="0" w:oddVBand="0" w:evenVBand="0" w:oddHBand="0" w:evenHBand="0" w:firstRowFirstColumn="0" w:firstRowLastColumn="0" w:lastRowFirstColumn="0" w:lastRowLastColumn="0"/>
            <w:tcW w:w="3857" w:type="dxa"/>
          </w:tcPr>
          <w:p w14:paraId="046D12BF" w14:textId="77777777" w:rsidR="00964B88" w:rsidRDefault="00964B88">
            <w:r>
              <w:t>Grant of right to operate liability</w:t>
            </w:r>
            <w:r>
              <w:rPr>
                <w:vertAlign w:val="superscript"/>
              </w:rPr>
              <w:t xml:space="preserve"> (a)</w:t>
            </w:r>
          </w:p>
        </w:tc>
        <w:tc>
          <w:tcPr>
            <w:tcW w:w="782" w:type="dxa"/>
          </w:tcPr>
          <w:p w14:paraId="6774E7F3" w14:textId="77777777" w:rsidR="00964B88" w:rsidRDefault="00964B88">
            <w:pPr>
              <w:cnfStyle w:val="000000000000" w:firstRow="0" w:lastRow="0" w:firstColumn="0" w:lastColumn="0" w:oddVBand="0" w:evenVBand="0" w:oddHBand="0" w:evenHBand="0" w:firstRowFirstColumn="0" w:firstRowLastColumn="0" w:lastRowFirstColumn="0" w:lastRowLastColumn="0"/>
            </w:pPr>
            <w:r>
              <w:t>9 756</w:t>
            </w:r>
          </w:p>
        </w:tc>
        <w:tc>
          <w:tcPr>
            <w:tcW w:w="782" w:type="dxa"/>
          </w:tcPr>
          <w:p w14:paraId="0AF348D2" w14:textId="77777777" w:rsidR="00964B88" w:rsidRDefault="00964B88">
            <w:pPr>
              <w:cnfStyle w:val="000000000000" w:firstRow="0" w:lastRow="0" w:firstColumn="0" w:lastColumn="0" w:oddVBand="0" w:evenVBand="0" w:oddHBand="0" w:evenHBand="0" w:firstRowFirstColumn="0" w:firstRowLastColumn="0" w:lastRowFirstColumn="0" w:lastRowLastColumn="0"/>
            </w:pPr>
            <w:r>
              <w:t>9 756</w:t>
            </w:r>
          </w:p>
        </w:tc>
        <w:tc>
          <w:tcPr>
            <w:tcW w:w="782" w:type="dxa"/>
          </w:tcPr>
          <w:p w14:paraId="323D5736" w14:textId="77777777" w:rsidR="00964B88" w:rsidRDefault="00964B88">
            <w:pPr>
              <w:cnfStyle w:val="000000000000" w:firstRow="0" w:lastRow="0" w:firstColumn="0" w:lastColumn="0" w:oddVBand="0" w:evenVBand="0" w:oddHBand="0" w:evenHBand="0" w:firstRowFirstColumn="0" w:firstRowLastColumn="0" w:lastRowFirstColumn="0" w:lastRowLastColumn="0"/>
            </w:pPr>
            <w:r>
              <w:t>10 486</w:t>
            </w:r>
          </w:p>
        </w:tc>
        <w:tc>
          <w:tcPr>
            <w:tcW w:w="782" w:type="dxa"/>
          </w:tcPr>
          <w:p w14:paraId="764791EC" w14:textId="77777777" w:rsidR="00964B88" w:rsidRDefault="00964B88">
            <w:pPr>
              <w:cnfStyle w:val="000000000000" w:firstRow="0" w:lastRow="0" w:firstColumn="0" w:lastColumn="0" w:oddVBand="0" w:evenVBand="0" w:oddHBand="0" w:evenHBand="0" w:firstRowFirstColumn="0" w:firstRowLastColumn="0" w:lastRowFirstColumn="0" w:lastRowLastColumn="0"/>
            </w:pPr>
            <w:r>
              <w:t>10 830</w:t>
            </w:r>
          </w:p>
        </w:tc>
        <w:tc>
          <w:tcPr>
            <w:tcW w:w="783" w:type="dxa"/>
          </w:tcPr>
          <w:p w14:paraId="32B60CBC" w14:textId="77777777" w:rsidR="00964B88" w:rsidRDefault="00964B88">
            <w:pPr>
              <w:cnfStyle w:val="000000000000" w:firstRow="0" w:lastRow="0" w:firstColumn="0" w:lastColumn="0" w:oddVBand="0" w:evenVBand="0" w:oddHBand="0" w:evenHBand="0" w:firstRowFirstColumn="0" w:firstRowLastColumn="0" w:lastRowFirstColumn="0" w:lastRowLastColumn="0"/>
            </w:pPr>
            <w:r>
              <w:t>10 365</w:t>
            </w:r>
          </w:p>
        </w:tc>
      </w:tr>
      <w:tr w:rsidR="00964B88" w14:paraId="5CF75D6E" w14:textId="77777777" w:rsidTr="00D95F31">
        <w:tc>
          <w:tcPr>
            <w:cnfStyle w:val="001000000000" w:firstRow="0" w:lastRow="0" w:firstColumn="1" w:lastColumn="0" w:oddVBand="0" w:evenVBand="0" w:oddHBand="0" w:evenHBand="0" w:firstRowFirstColumn="0" w:firstRowLastColumn="0" w:lastRowFirstColumn="0" w:lastRowLastColumn="0"/>
            <w:tcW w:w="3857" w:type="dxa"/>
            <w:tcBorders>
              <w:bottom w:val="single" w:sz="6" w:space="0" w:color="auto"/>
            </w:tcBorders>
          </w:tcPr>
          <w:p w14:paraId="3C83208F" w14:textId="77777777" w:rsidR="00964B88" w:rsidRDefault="00964B88">
            <w:r>
              <w:t>Unearned income</w:t>
            </w:r>
          </w:p>
        </w:tc>
        <w:tc>
          <w:tcPr>
            <w:tcW w:w="782" w:type="dxa"/>
            <w:tcBorders>
              <w:bottom w:val="single" w:sz="6" w:space="0" w:color="auto"/>
            </w:tcBorders>
          </w:tcPr>
          <w:p w14:paraId="0D84E10C" w14:textId="77777777" w:rsidR="00964B88" w:rsidRDefault="00964B88">
            <w:pPr>
              <w:cnfStyle w:val="000000000000" w:firstRow="0" w:lastRow="0" w:firstColumn="0" w:lastColumn="0" w:oddVBand="0" w:evenVBand="0" w:oddHBand="0" w:evenHBand="0" w:firstRowFirstColumn="0" w:firstRowLastColumn="0" w:lastRowFirstColumn="0" w:lastRowLastColumn="0"/>
            </w:pPr>
            <w:r>
              <w:t>943</w:t>
            </w:r>
          </w:p>
        </w:tc>
        <w:tc>
          <w:tcPr>
            <w:tcW w:w="782" w:type="dxa"/>
            <w:tcBorders>
              <w:bottom w:val="single" w:sz="6" w:space="0" w:color="auto"/>
            </w:tcBorders>
          </w:tcPr>
          <w:p w14:paraId="3DBA4DB2" w14:textId="77777777" w:rsidR="00964B88" w:rsidRDefault="00964B88">
            <w:pPr>
              <w:cnfStyle w:val="000000000000" w:firstRow="0" w:lastRow="0" w:firstColumn="0" w:lastColumn="0" w:oddVBand="0" w:evenVBand="0" w:oddHBand="0" w:evenHBand="0" w:firstRowFirstColumn="0" w:firstRowLastColumn="0" w:lastRowFirstColumn="0" w:lastRowLastColumn="0"/>
            </w:pPr>
            <w:r>
              <w:t>938</w:t>
            </w:r>
          </w:p>
        </w:tc>
        <w:tc>
          <w:tcPr>
            <w:tcW w:w="782" w:type="dxa"/>
            <w:tcBorders>
              <w:bottom w:val="single" w:sz="6" w:space="0" w:color="auto"/>
            </w:tcBorders>
          </w:tcPr>
          <w:p w14:paraId="2F437251" w14:textId="77777777" w:rsidR="00964B88" w:rsidRDefault="00964B88">
            <w:pPr>
              <w:cnfStyle w:val="000000000000" w:firstRow="0" w:lastRow="0" w:firstColumn="0" w:lastColumn="0" w:oddVBand="0" w:evenVBand="0" w:oddHBand="0" w:evenHBand="0" w:firstRowFirstColumn="0" w:firstRowLastColumn="0" w:lastRowFirstColumn="0" w:lastRowLastColumn="0"/>
            </w:pPr>
            <w:r>
              <w:t>772</w:t>
            </w:r>
          </w:p>
        </w:tc>
        <w:tc>
          <w:tcPr>
            <w:tcW w:w="782" w:type="dxa"/>
            <w:tcBorders>
              <w:bottom w:val="single" w:sz="6" w:space="0" w:color="auto"/>
            </w:tcBorders>
          </w:tcPr>
          <w:p w14:paraId="4985604C" w14:textId="77777777" w:rsidR="00964B88" w:rsidRDefault="00964B88">
            <w:pPr>
              <w:cnfStyle w:val="000000000000" w:firstRow="0" w:lastRow="0" w:firstColumn="0" w:lastColumn="0" w:oddVBand="0" w:evenVBand="0" w:oddHBand="0" w:evenHBand="0" w:firstRowFirstColumn="0" w:firstRowLastColumn="0" w:lastRowFirstColumn="0" w:lastRowLastColumn="0"/>
            </w:pPr>
            <w:r>
              <w:t>606</w:t>
            </w:r>
          </w:p>
        </w:tc>
        <w:tc>
          <w:tcPr>
            <w:tcW w:w="783" w:type="dxa"/>
            <w:tcBorders>
              <w:bottom w:val="single" w:sz="6" w:space="0" w:color="auto"/>
            </w:tcBorders>
          </w:tcPr>
          <w:p w14:paraId="1CCC1968" w14:textId="77777777" w:rsidR="00964B88" w:rsidRDefault="00964B88">
            <w:pPr>
              <w:cnfStyle w:val="000000000000" w:firstRow="0" w:lastRow="0" w:firstColumn="0" w:lastColumn="0" w:oddVBand="0" w:evenVBand="0" w:oddHBand="0" w:evenHBand="0" w:firstRowFirstColumn="0" w:firstRowLastColumn="0" w:lastRowFirstColumn="0" w:lastRowLastColumn="0"/>
            </w:pPr>
            <w:r>
              <w:t>487</w:t>
            </w:r>
          </w:p>
        </w:tc>
      </w:tr>
      <w:tr w:rsidR="00964B88" w14:paraId="49A4D8AA" w14:textId="77777777" w:rsidTr="00D95F31">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bottom w:val="single" w:sz="6" w:space="0" w:color="auto"/>
            </w:tcBorders>
          </w:tcPr>
          <w:p w14:paraId="18C83D13" w14:textId="77777777" w:rsidR="00964B88" w:rsidRDefault="00964B88">
            <w:r>
              <w:rPr>
                <w:b/>
              </w:rPr>
              <w:t>Total non</w:t>
            </w:r>
            <w:r>
              <w:rPr>
                <w:b/>
              </w:rPr>
              <w:noBreakHyphen/>
              <w:t>current payables</w:t>
            </w:r>
          </w:p>
        </w:tc>
        <w:tc>
          <w:tcPr>
            <w:tcW w:w="782" w:type="dxa"/>
            <w:tcBorders>
              <w:top w:val="single" w:sz="6" w:space="0" w:color="auto"/>
              <w:bottom w:val="single" w:sz="6" w:space="0" w:color="auto"/>
            </w:tcBorders>
          </w:tcPr>
          <w:p w14:paraId="54DBBBE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10 903</w:t>
            </w:r>
          </w:p>
        </w:tc>
        <w:tc>
          <w:tcPr>
            <w:tcW w:w="782" w:type="dxa"/>
            <w:tcBorders>
              <w:top w:val="single" w:sz="6" w:space="0" w:color="auto"/>
              <w:bottom w:val="single" w:sz="6" w:space="0" w:color="auto"/>
            </w:tcBorders>
          </w:tcPr>
          <w:p w14:paraId="0CC430A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10 883</w:t>
            </w:r>
          </w:p>
        </w:tc>
        <w:tc>
          <w:tcPr>
            <w:tcW w:w="782" w:type="dxa"/>
            <w:tcBorders>
              <w:top w:val="single" w:sz="6" w:space="0" w:color="auto"/>
              <w:bottom w:val="single" w:sz="6" w:space="0" w:color="auto"/>
            </w:tcBorders>
          </w:tcPr>
          <w:p w14:paraId="5D8B8F8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11 443</w:t>
            </w:r>
          </w:p>
        </w:tc>
        <w:tc>
          <w:tcPr>
            <w:tcW w:w="782" w:type="dxa"/>
            <w:tcBorders>
              <w:top w:val="single" w:sz="6" w:space="0" w:color="auto"/>
              <w:bottom w:val="single" w:sz="6" w:space="0" w:color="auto"/>
            </w:tcBorders>
          </w:tcPr>
          <w:p w14:paraId="4E0DD02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11 617</w:t>
            </w:r>
          </w:p>
        </w:tc>
        <w:tc>
          <w:tcPr>
            <w:tcW w:w="783" w:type="dxa"/>
            <w:tcBorders>
              <w:top w:val="single" w:sz="6" w:space="0" w:color="auto"/>
              <w:bottom w:val="single" w:sz="6" w:space="0" w:color="auto"/>
            </w:tcBorders>
          </w:tcPr>
          <w:p w14:paraId="02F69AF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11 028</w:t>
            </w:r>
          </w:p>
        </w:tc>
      </w:tr>
      <w:tr w:rsidR="00964B88" w14:paraId="4DB73878" w14:textId="77777777" w:rsidTr="00D95F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7" w:type="dxa"/>
          </w:tcPr>
          <w:p w14:paraId="5418DC28" w14:textId="77777777" w:rsidR="00964B88" w:rsidRDefault="00964B88">
            <w:r>
              <w:t>Total payables</w:t>
            </w:r>
          </w:p>
        </w:tc>
        <w:tc>
          <w:tcPr>
            <w:tcW w:w="782" w:type="dxa"/>
          </w:tcPr>
          <w:p w14:paraId="58C2D8AD" w14:textId="77777777" w:rsidR="00964B88" w:rsidRDefault="00964B88">
            <w:pPr>
              <w:cnfStyle w:val="010000000000" w:firstRow="0" w:lastRow="1" w:firstColumn="0" w:lastColumn="0" w:oddVBand="0" w:evenVBand="0" w:oddHBand="0" w:evenHBand="0" w:firstRowFirstColumn="0" w:firstRowLastColumn="0" w:lastRowFirstColumn="0" w:lastRowLastColumn="0"/>
            </w:pPr>
            <w:r>
              <w:t>16 430</w:t>
            </w:r>
          </w:p>
        </w:tc>
        <w:tc>
          <w:tcPr>
            <w:tcW w:w="782" w:type="dxa"/>
          </w:tcPr>
          <w:p w14:paraId="45FF3F23" w14:textId="77777777" w:rsidR="00964B88" w:rsidRDefault="00964B88">
            <w:pPr>
              <w:cnfStyle w:val="010000000000" w:firstRow="0" w:lastRow="1" w:firstColumn="0" w:lastColumn="0" w:oddVBand="0" w:evenVBand="0" w:oddHBand="0" w:evenHBand="0" w:firstRowFirstColumn="0" w:firstRowLastColumn="0" w:lastRowFirstColumn="0" w:lastRowLastColumn="0"/>
            </w:pPr>
            <w:r>
              <w:t>16 014</w:t>
            </w:r>
          </w:p>
        </w:tc>
        <w:tc>
          <w:tcPr>
            <w:tcW w:w="782" w:type="dxa"/>
          </w:tcPr>
          <w:p w14:paraId="6C25F6D5" w14:textId="77777777" w:rsidR="00964B88" w:rsidRDefault="00964B88">
            <w:pPr>
              <w:cnfStyle w:val="010000000000" w:firstRow="0" w:lastRow="1" w:firstColumn="0" w:lastColumn="0" w:oddVBand="0" w:evenVBand="0" w:oddHBand="0" w:evenHBand="0" w:firstRowFirstColumn="0" w:firstRowLastColumn="0" w:lastRowFirstColumn="0" w:lastRowLastColumn="0"/>
            </w:pPr>
            <w:r>
              <w:t>16 573</w:t>
            </w:r>
          </w:p>
        </w:tc>
        <w:tc>
          <w:tcPr>
            <w:tcW w:w="782" w:type="dxa"/>
          </w:tcPr>
          <w:p w14:paraId="077B3069" w14:textId="77777777" w:rsidR="00964B88" w:rsidRDefault="00964B88">
            <w:pPr>
              <w:cnfStyle w:val="010000000000" w:firstRow="0" w:lastRow="1" w:firstColumn="0" w:lastColumn="0" w:oddVBand="0" w:evenVBand="0" w:oddHBand="0" w:evenHBand="0" w:firstRowFirstColumn="0" w:firstRowLastColumn="0" w:lastRowFirstColumn="0" w:lastRowLastColumn="0"/>
            </w:pPr>
            <w:r>
              <w:t>16 807</w:t>
            </w:r>
          </w:p>
        </w:tc>
        <w:tc>
          <w:tcPr>
            <w:tcW w:w="783" w:type="dxa"/>
          </w:tcPr>
          <w:p w14:paraId="1BFCD655" w14:textId="77777777" w:rsidR="00964B88" w:rsidRDefault="00964B88">
            <w:pPr>
              <w:cnfStyle w:val="010000000000" w:firstRow="0" w:lastRow="1" w:firstColumn="0" w:lastColumn="0" w:oddVBand="0" w:evenVBand="0" w:oddHBand="0" w:evenHBand="0" w:firstRowFirstColumn="0" w:firstRowLastColumn="0" w:lastRowFirstColumn="0" w:lastRowLastColumn="0"/>
            </w:pPr>
            <w:r>
              <w:t>16 096</w:t>
            </w:r>
          </w:p>
        </w:tc>
      </w:tr>
    </w:tbl>
    <w:p w14:paraId="08FE3946" w14:textId="77777777" w:rsidR="00964B88" w:rsidRPr="00805437" w:rsidRDefault="00964B88" w:rsidP="00F53820">
      <w:pPr>
        <w:pStyle w:val="Note"/>
      </w:pPr>
      <w:r w:rsidRPr="00805437">
        <w:t>Note:</w:t>
      </w:r>
    </w:p>
    <w:p w14:paraId="1BE7F891" w14:textId="77777777" w:rsidR="00964B88" w:rsidRDefault="00964B88" w:rsidP="00F53820">
      <w:pPr>
        <w:pStyle w:val="Note"/>
      </w:pPr>
      <w:r w:rsidRPr="00805437">
        <w:t>(a)</w:t>
      </w:r>
      <w:r w:rsidRPr="00805437">
        <w:tab/>
        <w:t>Related to unearned income resulting from economic service concession arrangements.</w:t>
      </w:r>
    </w:p>
    <w:p w14:paraId="2D3786C1" w14:textId="77777777" w:rsidR="00964B88" w:rsidRDefault="00964B88" w:rsidP="00F53820"/>
    <w:p w14:paraId="463956CE" w14:textId="77777777" w:rsidR="00964B88" w:rsidRPr="00B41AC3" w:rsidRDefault="00964B88" w:rsidP="00F53820">
      <w:pPr>
        <w:pStyle w:val="Heading10"/>
      </w:pPr>
      <w:r>
        <w:br w:type="page"/>
      </w:r>
    </w:p>
    <w:p w14:paraId="20C3FB9F" w14:textId="77777777" w:rsidR="00964B88" w:rsidRPr="00100807" w:rsidRDefault="00964B88" w:rsidP="00964B88">
      <w:pPr>
        <w:pStyle w:val="Heading3"/>
        <w:numPr>
          <w:ilvl w:val="2"/>
          <w:numId w:val="22"/>
        </w:numPr>
        <w:tabs>
          <w:tab w:val="clear" w:pos="7711"/>
          <w:tab w:val="left" w:pos="850"/>
          <w:tab w:val="right" w:pos="7710"/>
        </w:tabs>
        <w:spacing w:after="60"/>
      </w:pPr>
      <w:bookmarkStart w:id="113" w:name="_Toc26283266"/>
      <w:r w:rsidRPr="00100807">
        <w:lastRenderedPageBreak/>
        <w:t>Superannuation</w:t>
      </w:r>
      <w:bookmarkEnd w:id="113"/>
    </w:p>
    <w:p w14:paraId="1998D3FD" w14:textId="77777777" w:rsidR="00964B88" w:rsidRDefault="00964B88" w:rsidP="00F53820">
      <w:pPr>
        <w:pStyle w:val="TableHeading"/>
      </w:pPr>
      <w:r>
        <w:t>Reconciliation of the superannuation liabilities</w:t>
      </w:r>
      <w:r>
        <w:ta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5E831DE1"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1709407E" w14:textId="77777777" w:rsidR="00964B88" w:rsidRDefault="00964B88"/>
        </w:tc>
        <w:tc>
          <w:tcPr>
            <w:tcW w:w="850" w:type="dxa"/>
          </w:tcPr>
          <w:p w14:paraId="58FBE25C"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5227D34A"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estimate</w:t>
            </w:r>
          </w:p>
        </w:tc>
        <w:tc>
          <w:tcPr>
            <w:tcW w:w="850" w:type="dxa"/>
          </w:tcPr>
          <w:p w14:paraId="5CE19EF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569D3955"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68AD6185"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35C24434" w14:textId="77777777">
        <w:tc>
          <w:tcPr>
            <w:cnfStyle w:val="001000000000" w:firstRow="0" w:lastRow="0" w:firstColumn="1" w:lastColumn="0" w:oddVBand="0" w:evenVBand="0" w:oddHBand="0" w:evenHBand="0" w:firstRowFirstColumn="0" w:firstRowLastColumn="0" w:lastRowFirstColumn="0" w:lastRowLastColumn="0"/>
            <w:tcW w:w="3518" w:type="dxa"/>
          </w:tcPr>
          <w:p w14:paraId="671E3686" w14:textId="77777777" w:rsidR="00964B88" w:rsidRDefault="00964B88">
            <w:r>
              <w:rPr>
                <w:b/>
              </w:rPr>
              <w:t>Emergency Services and State Super</w:t>
            </w:r>
          </w:p>
        </w:tc>
        <w:tc>
          <w:tcPr>
            <w:tcW w:w="850" w:type="dxa"/>
          </w:tcPr>
          <w:p w14:paraId="0D1EA13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6B1AF84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4B43C2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1735A3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11599BF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51AF9FC6" w14:textId="77777777">
        <w:tc>
          <w:tcPr>
            <w:cnfStyle w:val="001000000000" w:firstRow="0" w:lastRow="0" w:firstColumn="1" w:lastColumn="0" w:oddVBand="0" w:evenVBand="0" w:oddHBand="0" w:evenHBand="0" w:firstRowFirstColumn="0" w:firstRowLastColumn="0" w:lastRowFirstColumn="0" w:lastRowLastColumn="0"/>
            <w:tcW w:w="3518" w:type="dxa"/>
          </w:tcPr>
          <w:p w14:paraId="78BF4C10" w14:textId="77777777" w:rsidR="00964B88" w:rsidRDefault="00964B88">
            <w:r>
              <w:t>Defined benefit obligation</w:t>
            </w:r>
          </w:p>
        </w:tc>
        <w:tc>
          <w:tcPr>
            <w:tcW w:w="850" w:type="dxa"/>
          </w:tcPr>
          <w:p w14:paraId="5DD60576" w14:textId="77777777" w:rsidR="00964B88" w:rsidRDefault="00964B88">
            <w:pPr>
              <w:cnfStyle w:val="000000000000" w:firstRow="0" w:lastRow="0" w:firstColumn="0" w:lastColumn="0" w:oddVBand="0" w:evenVBand="0" w:oddHBand="0" w:evenHBand="0" w:firstRowFirstColumn="0" w:firstRowLastColumn="0" w:lastRowFirstColumn="0" w:lastRowLastColumn="0"/>
            </w:pPr>
            <w:r>
              <w:t>46 835</w:t>
            </w:r>
          </w:p>
        </w:tc>
        <w:tc>
          <w:tcPr>
            <w:tcW w:w="850" w:type="dxa"/>
          </w:tcPr>
          <w:p w14:paraId="769C5F3F" w14:textId="77777777" w:rsidR="00964B88" w:rsidRDefault="00964B88">
            <w:pPr>
              <w:cnfStyle w:val="000000000000" w:firstRow="0" w:lastRow="0" w:firstColumn="0" w:lastColumn="0" w:oddVBand="0" w:evenVBand="0" w:oddHBand="0" w:evenHBand="0" w:firstRowFirstColumn="0" w:firstRowLastColumn="0" w:lastRowFirstColumn="0" w:lastRowLastColumn="0"/>
            </w:pPr>
            <w:r>
              <w:t>47 895</w:t>
            </w:r>
          </w:p>
        </w:tc>
        <w:tc>
          <w:tcPr>
            <w:tcW w:w="850" w:type="dxa"/>
          </w:tcPr>
          <w:p w14:paraId="67FEFCDB" w14:textId="77777777" w:rsidR="00964B88" w:rsidRDefault="00964B88">
            <w:pPr>
              <w:cnfStyle w:val="000000000000" w:firstRow="0" w:lastRow="0" w:firstColumn="0" w:lastColumn="0" w:oddVBand="0" w:evenVBand="0" w:oddHBand="0" w:evenHBand="0" w:firstRowFirstColumn="0" w:firstRowLastColumn="0" w:lastRowFirstColumn="0" w:lastRowLastColumn="0"/>
            </w:pPr>
            <w:r>
              <w:t>47 050</w:t>
            </w:r>
          </w:p>
        </w:tc>
        <w:tc>
          <w:tcPr>
            <w:tcW w:w="850" w:type="dxa"/>
          </w:tcPr>
          <w:p w14:paraId="3C3738E6" w14:textId="77777777" w:rsidR="00964B88" w:rsidRDefault="00964B88">
            <w:pPr>
              <w:cnfStyle w:val="000000000000" w:firstRow="0" w:lastRow="0" w:firstColumn="0" w:lastColumn="0" w:oddVBand="0" w:evenVBand="0" w:oddHBand="0" w:evenHBand="0" w:firstRowFirstColumn="0" w:firstRowLastColumn="0" w:lastRowFirstColumn="0" w:lastRowLastColumn="0"/>
            </w:pPr>
            <w:r>
              <w:t>46 192</w:t>
            </w:r>
          </w:p>
        </w:tc>
        <w:tc>
          <w:tcPr>
            <w:tcW w:w="850" w:type="dxa"/>
          </w:tcPr>
          <w:p w14:paraId="2D8E9324" w14:textId="77777777" w:rsidR="00964B88" w:rsidRDefault="00964B88">
            <w:pPr>
              <w:cnfStyle w:val="000000000000" w:firstRow="0" w:lastRow="0" w:firstColumn="0" w:lastColumn="0" w:oddVBand="0" w:evenVBand="0" w:oddHBand="0" w:evenHBand="0" w:firstRowFirstColumn="0" w:firstRowLastColumn="0" w:lastRowFirstColumn="0" w:lastRowLastColumn="0"/>
            </w:pPr>
            <w:r>
              <w:t>45 353</w:t>
            </w:r>
          </w:p>
        </w:tc>
      </w:tr>
      <w:tr w:rsidR="00964B88" w14:paraId="4F06EAFD" w14:textId="77777777">
        <w:tc>
          <w:tcPr>
            <w:cnfStyle w:val="001000000000" w:firstRow="0" w:lastRow="0" w:firstColumn="1" w:lastColumn="0" w:oddVBand="0" w:evenVBand="0" w:oddHBand="0" w:evenHBand="0" w:firstRowFirstColumn="0" w:firstRowLastColumn="0" w:lastRowFirstColumn="0" w:lastRowLastColumn="0"/>
            <w:tcW w:w="3518" w:type="dxa"/>
          </w:tcPr>
          <w:p w14:paraId="599144A5" w14:textId="77777777" w:rsidR="00964B88" w:rsidRDefault="00964B88">
            <w:r>
              <w:t xml:space="preserve">Tax liability </w:t>
            </w:r>
            <w:r>
              <w:rPr>
                <w:vertAlign w:val="superscript"/>
              </w:rPr>
              <w:t xml:space="preserve"> (a)</w:t>
            </w:r>
          </w:p>
        </w:tc>
        <w:tc>
          <w:tcPr>
            <w:tcW w:w="850" w:type="dxa"/>
          </w:tcPr>
          <w:p w14:paraId="3503665A" w14:textId="77777777" w:rsidR="00964B88" w:rsidRDefault="00964B88">
            <w:pPr>
              <w:cnfStyle w:val="000000000000" w:firstRow="0" w:lastRow="0" w:firstColumn="0" w:lastColumn="0" w:oddVBand="0" w:evenVBand="0" w:oddHBand="0" w:evenHBand="0" w:firstRowFirstColumn="0" w:firstRowLastColumn="0" w:lastRowFirstColumn="0" w:lastRowLastColumn="0"/>
            </w:pPr>
            <w:r>
              <w:t>2 643</w:t>
            </w:r>
          </w:p>
        </w:tc>
        <w:tc>
          <w:tcPr>
            <w:tcW w:w="850" w:type="dxa"/>
          </w:tcPr>
          <w:p w14:paraId="5E7A6090" w14:textId="77777777" w:rsidR="00964B88" w:rsidRDefault="00964B88">
            <w:pPr>
              <w:cnfStyle w:val="000000000000" w:firstRow="0" w:lastRow="0" w:firstColumn="0" w:lastColumn="0" w:oddVBand="0" w:evenVBand="0" w:oddHBand="0" w:evenHBand="0" w:firstRowFirstColumn="0" w:firstRowLastColumn="0" w:lastRowFirstColumn="0" w:lastRowLastColumn="0"/>
            </w:pPr>
            <w:r>
              <w:t>2 551</w:t>
            </w:r>
          </w:p>
        </w:tc>
        <w:tc>
          <w:tcPr>
            <w:tcW w:w="850" w:type="dxa"/>
          </w:tcPr>
          <w:p w14:paraId="17D7544C" w14:textId="77777777" w:rsidR="00964B88" w:rsidRDefault="00964B88">
            <w:pPr>
              <w:cnfStyle w:val="000000000000" w:firstRow="0" w:lastRow="0" w:firstColumn="0" w:lastColumn="0" w:oddVBand="0" w:evenVBand="0" w:oddHBand="0" w:evenHBand="0" w:firstRowFirstColumn="0" w:firstRowLastColumn="0" w:lastRowFirstColumn="0" w:lastRowLastColumn="0"/>
            </w:pPr>
            <w:r>
              <w:t>2 424</w:t>
            </w:r>
          </w:p>
        </w:tc>
        <w:tc>
          <w:tcPr>
            <w:tcW w:w="850" w:type="dxa"/>
          </w:tcPr>
          <w:p w14:paraId="3AC9B53C" w14:textId="77777777" w:rsidR="00964B88" w:rsidRDefault="00964B88">
            <w:pPr>
              <w:cnfStyle w:val="000000000000" w:firstRow="0" w:lastRow="0" w:firstColumn="0" w:lastColumn="0" w:oddVBand="0" w:evenVBand="0" w:oddHBand="0" w:evenHBand="0" w:firstRowFirstColumn="0" w:firstRowLastColumn="0" w:lastRowFirstColumn="0" w:lastRowLastColumn="0"/>
            </w:pPr>
            <w:r>
              <w:t>2 304</w:t>
            </w:r>
          </w:p>
        </w:tc>
        <w:tc>
          <w:tcPr>
            <w:tcW w:w="850" w:type="dxa"/>
          </w:tcPr>
          <w:p w14:paraId="673A9F87" w14:textId="77777777" w:rsidR="00964B88" w:rsidRDefault="00964B88">
            <w:pPr>
              <w:cnfStyle w:val="000000000000" w:firstRow="0" w:lastRow="0" w:firstColumn="0" w:lastColumn="0" w:oddVBand="0" w:evenVBand="0" w:oddHBand="0" w:evenHBand="0" w:firstRowFirstColumn="0" w:firstRowLastColumn="0" w:lastRowFirstColumn="0" w:lastRowLastColumn="0"/>
            </w:pPr>
            <w:r>
              <w:t>2 183</w:t>
            </w:r>
          </w:p>
        </w:tc>
      </w:tr>
      <w:tr w:rsidR="00964B88" w14:paraId="59BBE056"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5771C9CB" w14:textId="77777777" w:rsidR="00964B88" w:rsidRDefault="00964B88">
            <w:r>
              <w:t>Plan assets</w:t>
            </w:r>
          </w:p>
        </w:tc>
        <w:tc>
          <w:tcPr>
            <w:tcW w:w="850" w:type="dxa"/>
            <w:tcBorders>
              <w:bottom w:val="single" w:sz="6" w:space="0" w:color="auto"/>
            </w:tcBorders>
          </w:tcPr>
          <w:p w14:paraId="43576170" w14:textId="77777777" w:rsidR="00964B88" w:rsidRDefault="00964B88">
            <w:pPr>
              <w:cnfStyle w:val="000000000000" w:firstRow="0" w:lastRow="0" w:firstColumn="0" w:lastColumn="0" w:oddVBand="0" w:evenVBand="0" w:oddHBand="0" w:evenHBand="0" w:firstRowFirstColumn="0" w:firstRowLastColumn="0" w:lastRowFirstColumn="0" w:lastRowLastColumn="0"/>
            </w:pPr>
            <w:r>
              <w:t>(23 236)</w:t>
            </w:r>
          </w:p>
        </w:tc>
        <w:tc>
          <w:tcPr>
            <w:tcW w:w="850" w:type="dxa"/>
            <w:tcBorders>
              <w:bottom w:val="single" w:sz="6" w:space="0" w:color="auto"/>
            </w:tcBorders>
          </w:tcPr>
          <w:p w14:paraId="0A41E6B9" w14:textId="77777777" w:rsidR="00964B88" w:rsidRDefault="00964B88">
            <w:pPr>
              <w:cnfStyle w:val="000000000000" w:firstRow="0" w:lastRow="0" w:firstColumn="0" w:lastColumn="0" w:oddVBand="0" w:evenVBand="0" w:oddHBand="0" w:evenHBand="0" w:firstRowFirstColumn="0" w:firstRowLastColumn="0" w:lastRowFirstColumn="0" w:lastRowLastColumn="0"/>
            </w:pPr>
            <w:r>
              <w:t>(23 395)</w:t>
            </w:r>
          </w:p>
        </w:tc>
        <w:tc>
          <w:tcPr>
            <w:tcW w:w="850" w:type="dxa"/>
            <w:tcBorders>
              <w:bottom w:val="single" w:sz="6" w:space="0" w:color="auto"/>
            </w:tcBorders>
          </w:tcPr>
          <w:p w14:paraId="1D3D034D" w14:textId="77777777" w:rsidR="00964B88" w:rsidRDefault="00964B88">
            <w:pPr>
              <w:cnfStyle w:val="000000000000" w:firstRow="0" w:lastRow="0" w:firstColumn="0" w:lastColumn="0" w:oddVBand="0" w:evenVBand="0" w:oddHBand="0" w:evenHBand="0" w:firstRowFirstColumn="0" w:firstRowLastColumn="0" w:lastRowFirstColumn="0" w:lastRowLastColumn="0"/>
            </w:pPr>
            <w:r>
              <w:t>(24 034)</w:t>
            </w:r>
          </w:p>
        </w:tc>
        <w:tc>
          <w:tcPr>
            <w:tcW w:w="850" w:type="dxa"/>
            <w:tcBorders>
              <w:bottom w:val="single" w:sz="6" w:space="0" w:color="auto"/>
            </w:tcBorders>
          </w:tcPr>
          <w:p w14:paraId="48B46E60" w14:textId="77777777" w:rsidR="00964B88" w:rsidRDefault="00964B88">
            <w:pPr>
              <w:cnfStyle w:val="000000000000" w:firstRow="0" w:lastRow="0" w:firstColumn="0" w:lastColumn="0" w:oddVBand="0" w:evenVBand="0" w:oddHBand="0" w:evenHBand="0" w:firstRowFirstColumn="0" w:firstRowLastColumn="0" w:lastRowFirstColumn="0" w:lastRowLastColumn="0"/>
            </w:pPr>
            <w:r>
              <w:t>(24 607)</w:t>
            </w:r>
          </w:p>
        </w:tc>
        <w:tc>
          <w:tcPr>
            <w:tcW w:w="850" w:type="dxa"/>
            <w:tcBorders>
              <w:bottom w:val="single" w:sz="6" w:space="0" w:color="auto"/>
            </w:tcBorders>
          </w:tcPr>
          <w:p w14:paraId="4CFB24B4" w14:textId="77777777" w:rsidR="00964B88" w:rsidRDefault="00964B88">
            <w:pPr>
              <w:cnfStyle w:val="000000000000" w:firstRow="0" w:lastRow="0" w:firstColumn="0" w:lastColumn="0" w:oddVBand="0" w:evenVBand="0" w:oddHBand="0" w:evenHBand="0" w:firstRowFirstColumn="0" w:firstRowLastColumn="0" w:lastRowFirstColumn="0" w:lastRowLastColumn="0"/>
            </w:pPr>
            <w:r>
              <w:t>(25 193)</w:t>
            </w:r>
          </w:p>
        </w:tc>
      </w:tr>
      <w:tr w:rsidR="00964B88" w14:paraId="49933552"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6" w:space="0" w:color="auto"/>
            </w:tcBorders>
          </w:tcPr>
          <w:p w14:paraId="179A2002" w14:textId="77777777" w:rsidR="00964B88" w:rsidRDefault="00964B88">
            <w:r>
              <w:rPr>
                <w:b/>
              </w:rPr>
              <w:t>Net liability/(asset)</w:t>
            </w:r>
          </w:p>
        </w:tc>
        <w:tc>
          <w:tcPr>
            <w:tcW w:w="850" w:type="dxa"/>
            <w:tcBorders>
              <w:top w:val="single" w:sz="6" w:space="0" w:color="auto"/>
              <w:bottom w:val="single" w:sz="6" w:space="0" w:color="auto"/>
            </w:tcBorders>
          </w:tcPr>
          <w:p w14:paraId="0ECA9B4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26 242</w:t>
            </w:r>
          </w:p>
        </w:tc>
        <w:tc>
          <w:tcPr>
            <w:tcW w:w="850" w:type="dxa"/>
            <w:tcBorders>
              <w:top w:val="single" w:sz="6" w:space="0" w:color="auto"/>
              <w:bottom w:val="single" w:sz="6" w:space="0" w:color="auto"/>
            </w:tcBorders>
          </w:tcPr>
          <w:p w14:paraId="0DB3051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27 051</w:t>
            </w:r>
          </w:p>
        </w:tc>
        <w:tc>
          <w:tcPr>
            <w:tcW w:w="850" w:type="dxa"/>
            <w:tcBorders>
              <w:top w:val="single" w:sz="6" w:space="0" w:color="auto"/>
              <w:bottom w:val="single" w:sz="6" w:space="0" w:color="auto"/>
            </w:tcBorders>
          </w:tcPr>
          <w:p w14:paraId="27D76CE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25 439</w:t>
            </w:r>
          </w:p>
        </w:tc>
        <w:tc>
          <w:tcPr>
            <w:tcW w:w="850" w:type="dxa"/>
            <w:tcBorders>
              <w:top w:val="single" w:sz="6" w:space="0" w:color="auto"/>
              <w:bottom w:val="single" w:sz="6" w:space="0" w:color="auto"/>
            </w:tcBorders>
          </w:tcPr>
          <w:p w14:paraId="0E7A4F3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23 890</w:t>
            </w:r>
          </w:p>
        </w:tc>
        <w:tc>
          <w:tcPr>
            <w:tcW w:w="850" w:type="dxa"/>
            <w:tcBorders>
              <w:top w:val="single" w:sz="6" w:space="0" w:color="auto"/>
              <w:bottom w:val="single" w:sz="6" w:space="0" w:color="auto"/>
            </w:tcBorders>
          </w:tcPr>
          <w:p w14:paraId="053E7EC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22 343</w:t>
            </w:r>
          </w:p>
        </w:tc>
      </w:tr>
      <w:tr w:rsidR="00964B88" w14:paraId="65AEA907"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2F716321" w14:textId="77777777" w:rsidR="00964B88" w:rsidRDefault="00964B88">
            <w:r>
              <w:rPr>
                <w:b/>
              </w:rPr>
              <w:t xml:space="preserve">Other funds </w:t>
            </w:r>
            <w:r>
              <w:rPr>
                <w:b/>
                <w:vertAlign w:val="superscript"/>
              </w:rPr>
              <w:t xml:space="preserve"> (b)</w:t>
            </w:r>
          </w:p>
        </w:tc>
        <w:tc>
          <w:tcPr>
            <w:tcW w:w="850" w:type="dxa"/>
            <w:tcBorders>
              <w:top w:val="single" w:sz="6" w:space="0" w:color="auto"/>
            </w:tcBorders>
          </w:tcPr>
          <w:p w14:paraId="2BF4C8C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68C6267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14BEB6B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737369C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2DAD1FE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E2B3C29" w14:textId="77777777">
        <w:tc>
          <w:tcPr>
            <w:cnfStyle w:val="001000000000" w:firstRow="0" w:lastRow="0" w:firstColumn="1" w:lastColumn="0" w:oddVBand="0" w:evenVBand="0" w:oddHBand="0" w:evenHBand="0" w:firstRowFirstColumn="0" w:firstRowLastColumn="0" w:lastRowFirstColumn="0" w:lastRowLastColumn="0"/>
            <w:tcW w:w="3518" w:type="dxa"/>
          </w:tcPr>
          <w:p w14:paraId="78975AE4" w14:textId="77777777" w:rsidR="00964B88" w:rsidRDefault="00964B88">
            <w:r>
              <w:t>Defined benefit obligation</w:t>
            </w:r>
          </w:p>
        </w:tc>
        <w:tc>
          <w:tcPr>
            <w:tcW w:w="850" w:type="dxa"/>
          </w:tcPr>
          <w:p w14:paraId="6186C580" w14:textId="77777777" w:rsidR="00964B88" w:rsidRDefault="00964B88">
            <w:pPr>
              <w:cnfStyle w:val="000000000000" w:firstRow="0" w:lastRow="0" w:firstColumn="0" w:lastColumn="0" w:oddVBand="0" w:evenVBand="0" w:oddHBand="0" w:evenHBand="0" w:firstRowFirstColumn="0" w:firstRowLastColumn="0" w:lastRowFirstColumn="0" w:lastRowLastColumn="0"/>
            </w:pPr>
            <w:r>
              <w:t>2 279</w:t>
            </w:r>
          </w:p>
        </w:tc>
        <w:tc>
          <w:tcPr>
            <w:tcW w:w="850" w:type="dxa"/>
          </w:tcPr>
          <w:p w14:paraId="0A53B644" w14:textId="77777777" w:rsidR="00964B88" w:rsidRDefault="00964B88">
            <w:pPr>
              <w:cnfStyle w:val="000000000000" w:firstRow="0" w:lastRow="0" w:firstColumn="0" w:lastColumn="0" w:oddVBand="0" w:evenVBand="0" w:oddHBand="0" w:evenHBand="0" w:firstRowFirstColumn="0" w:firstRowLastColumn="0" w:lastRowFirstColumn="0" w:lastRowLastColumn="0"/>
            </w:pPr>
            <w:r>
              <w:t>2 335</w:t>
            </w:r>
          </w:p>
        </w:tc>
        <w:tc>
          <w:tcPr>
            <w:tcW w:w="850" w:type="dxa"/>
          </w:tcPr>
          <w:p w14:paraId="4883FE5B" w14:textId="77777777" w:rsidR="00964B88" w:rsidRDefault="00964B88">
            <w:pPr>
              <w:cnfStyle w:val="000000000000" w:firstRow="0" w:lastRow="0" w:firstColumn="0" w:lastColumn="0" w:oddVBand="0" w:evenVBand="0" w:oddHBand="0" w:evenHBand="0" w:firstRowFirstColumn="0" w:firstRowLastColumn="0" w:lastRowFirstColumn="0" w:lastRowLastColumn="0"/>
            </w:pPr>
            <w:r>
              <w:t>2 332</w:t>
            </w:r>
          </w:p>
        </w:tc>
        <w:tc>
          <w:tcPr>
            <w:tcW w:w="850" w:type="dxa"/>
          </w:tcPr>
          <w:p w14:paraId="0AC1D6FB" w14:textId="77777777" w:rsidR="00964B88" w:rsidRDefault="00964B88">
            <w:pPr>
              <w:cnfStyle w:val="000000000000" w:firstRow="0" w:lastRow="0" w:firstColumn="0" w:lastColumn="0" w:oddVBand="0" w:evenVBand="0" w:oddHBand="0" w:evenHBand="0" w:firstRowFirstColumn="0" w:firstRowLastColumn="0" w:lastRowFirstColumn="0" w:lastRowLastColumn="0"/>
            </w:pPr>
            <w:r>
              <w:t>2 348</w:t>
            </w:r>
          </w:p>
        </w:tc>
        <w:tc>
          <w:tcPr>
            <w:tcW w:w="850" w:type="dxa"/>
          </w:tcPr>
          <w:p w14:paraId="49612091" w14:textId="77777777" w:rsidR="00964B88" w:rsidRDefault="00964B88">
            <w:pPr>
              <w:cnfStyle w:val="000000000000" w:firstRow="0" w:lastRow="0" w:firstColumn="0" w:lastColumn="0" w:oddVBand="0" w:evenVBand="0" w:oddHBand="0" w:evenHBand="0" w:firstRowFirstColumn="0" w:firstRowLastColumn="0" w:lastRowFirstColumn="0" w:lastRowLastColumn="0"/>
            </w:pPr>
            <w:r>
              <w:t>2 365</w:t>
            </w:r>
          </w:p>
        </w:tc>
      </w:tr>
      <w:tr w:rsidR="00964B88" w14:paraId="46EF1E64" w14:textId="77777777">
        <w:tc>
          <w:tcPr>
            <w:cnfStyle w:val="001000000000" w:firstRow="0" w:lastRow="0" w:firstColumn="1" w:lastColumn="0" w:oddVBand="0" w:evenVBand="0" w:oddHBand="0" w:evenHBand="0" w:firstRowFirstColumn="0" w:firstRowLastColumn="0" w:lastRowFirstColumn="0" w:lastRowLastColumn="0"/>
            <w:tcW w:w="3518" w:type="dxa"/>
          </w:tcPr>
          <w:p w14:paraId="4BAFB06F" w14:textId="77777777" w:rsidR="00964B88" w:rsidRDefault="00964B88">
            <w:r>
              <w:t xml:space="preserve">Tax liability </w:t>
            </w:r>
            <w:r>
              <w:rPr>
                <w:vertAlign w:val="superscript"/>
              </w:rPr>
              <w:t xml:space="preserve"> (a)</w:t>
            </w:r>
          </w:p>
        </w:tc>
        <w:tc>
          <w:tcPr>
            <w:tcW w:w="850" w:type="dxa"/>
          </w:tcPr>
          <w:p w14:paraId="2E106D5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474056D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0A511A1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64632BAA"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4B8EF8E4"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48DBA972"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5E6DBAD1" w14:textId="77777777" w:rsidR="00964B88" w:rsidRDefault="00964B88">
            <w:r>
              <w:t>Plan assets</w:t>
            </w:r>
          </w:p>
        </w:tc>
        <w:tc>
          <w:tcPr>
            <w:tcW w:w="850" w:type="dxa"/>
            <w:tcBorders>
              <w:bottom w:val="single" w:sz="6" w:space="0" w:color="auto"/>
            </w:tcBorders>
          </w:tcPr>
          <w:p w14:paraId="32A4D19F" w14:textId="77777777" w:rsidR="00964B88" w:rsidRDefault="00964B88">
            <w:pPr>
              <w:cnfStyle w:val="000000000000" w:firstRow="0" w:lastRow="0" w:firstColumn="0" w:lastColumn="0" w:oddVBand="0" w:evenVBand="0" w:oddHBand="0" w:evenHBand="0" w:firstRowFirstColumn="0" w:firstRowLastColumn="0" w:lastRowFirstColumn="0" w:lastRowLastColumn="0"/>
            </w:pPr>
            <w:r>
              <w:t>(969)</w:t>
            </w:r>
          </w:p>
        </w:tc>
        <w:tc>
          <w:tcPr>
            <w:tcW w:w="850" w:type="dxa"/>
            <w:tcBorders>
              <w:bottom w:val="single" w:sz="6" w:space="0" w:color="auto"/>
            </w:tcBorders>
          </w:tcPr>
          <w:p w14:paraId="780A979A" w14:textId="77777777" w:rsidR="00964B88" w:rsidRDefault="00964B88">
            <w:pPr>
              <w:cnfStyle w:val="000000000000" w:firstRow="0" w:lastRow="0" w:firstColumn="0" w:lastColumn="0" w:oddVBand="0" w:evenVBand="0" w:oddHBand="0" w:evenHBand="0" w:firstRowFirstColumn="0" w:firstRowLastColumn="0" w:lastRowFirstColumn="0" w:lastRowLastColumn="0"/>
            </w:pPr>
            <w:r>
              <w:t>(949)</w:t>
            </w:r>
          </w:p>
        </w:tc>
        <w:tc>
          <w:tcPr>
            <w:tcW w:w="850" w:type="dxa"/>
            <w:tcBorders>
              <w:bottom w:val="single" w:sz="6" w:space="0" w:color="auto"/>
            </w:tcBorders>
          </w:tcPr>
          <w:p w14:paraId="4966DCCA" w14:textId="77777777" w:rsidR="00964B88" w:rsidRDefault="00964B88">
            <w:pPr>
              <w:cnfStyle w:val="000000000000" w:firstRow="0" w:lastRow="0" w:firstColumn="0" w:lastColumn="0" w:oddVBand="0" w:evenVBand="0" w:oddHBand="0" w:evenHBand="0" w:firstRowFirstColumn="0" w:firstRowLastColumn="0" w:lastRowFirstColumn="0" w:lastRowLastColumn="0"/>
            </w:pPr>
            <w:r>
              <w:t>(927)</w:t>
            </w:r>
          </w:p>
        </w:tc>
        <w:tc>
          <w:tcPr>
            <w:tcW w:w="850" w:type="dxa"/>
            <w:tcBorders>
              <w:bottom w:val="single" w:sz="6" w:space="0" w:color="auto"/>
            </w:tcBorders>
          </w:tcPr>
          <w:p w14:paraId="0A311651" w14:textId="77777777" w:rsidR="00964B88" w:rsidRDefault="00964B88">
            <w:pPr>
              <w:cnfStyle w:val="000000000000" w:firstRow="0" w:lastRow="0" w:firstColumn="0" w:lastColumn="0" w:oddVBand="0" w:evenVBand="0" w:oddHBand="0" w:evenHBand="0" w:firstRowFirstColumn="0" w:firstRowLastColumn="0" w:lastRowFirstColumn="0" w:lastRowLastColumn="0"/>
            </w:pPr>
            <w:r>
              <w:t>(908)</w:t>
            </w:r>
          </w:p>
        </w:tc>
        <w:tc>
          <w:tcPr>
            <w:tcW w:w="850" w:type="dxa"/>
            <w:tcBorders>
              <w:bottom w:val="single" w:sz="6" w:space="0" w:color="auto"/>
            </w:tcBorders>
          </w:tcPr>
          <w:p w14:paraId="1831C83E" w14:textId="77777777" w:rsidR="00964B88" w:rsidRDefault="00964B88">
            <w:pPr>
              <w:cnfStyle w:val="000000000000" w:firstRow="0" w:lastRow="0" w:firstColumn="0" w:lastColumn="0" w:oddVBand="0" w:evenVBand="0" w:oddHBand="0" w:evenHBand="0" w:firstRowFirstColumn="0" w:firstRowLastColumn="0" w:lastRowFirstColumn="0" w:lastRowLastColumn="0"/>
            </w:pPr>
            <w:r>
              <w:t>(891)</w:t>
            </w:r>
          </w:p>
        </w:tc>
      </w:tr>
      <w:tr w:rsidR="00964B88" w14:paraId="18FFDDF2"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6" w:space="0" w:color="auto"/>
            </w:tcBorders>
          </w:tcPr>
          <w:p w14:paraId="2E0059B9" w14:textId="77777777" w:rsidR="00964B88" w:rsidRDefault="00964B88">
            <w:r>
              <w:rPr>
                <w:b/>
              </w:rPr>
              <w:t>Net liability/(asset)</w:t>
            </w:r>
          </w:p>
        </w:tc>
        <w:tc>
          <w:tcPr>
            <w:tcW w:w="850" w:type="dxa"/>
            <w:tcBorders>
              <w:top w:val="single" w:sz="6" w:space="0" w:color="auto"/>
              <w:bottom w:val="single" w:sz="6" w:space="0" w:color="auto"/>
            </w:tcBorders>
          </w:tcPr>
          <w:p w14:paraId="5E7EE9D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1 309</w:t>
            </w:r>
          </w:p>
        </w:tc>
        <w:tc>
          <w:tcPr>
            <w:tcW w:w="850" w:type="dxa"/>
            <w:tcBorders>
              <w:top w:val="single" w:sz="6" w:space="0" w:color="auto"/>
              <w:bottom w:val="single" w:sz="6" w:space="0" w:color="auto"/>
            </w:tcBorders>
          </w:tcPr>
          <w:p w14:paraId="45DDE2E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1 386</w:t>
            </w:r>
          </w:p>
        </w:tc>
        <w:tc>
          <w:tcPr>
            <w:tcW w:w="850" w:type="dxa"/>
            <w:tcBorders>
              <w:top w:val="single" w:sz="6" w:space="0" w:color="auto"/>
              <w:bottom w:val="single" w:sz="6" w:space="0" w:color="auto"/>
            </w:tcBorders>
          </w:tcPr>
          <w:p w14:paraId="6C5787A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1 405</w:t>
            </w:r>
          </w:p>
        </w:tc>
        <w:tc>
          <w:tcPr>
            <w:tcW w:w="850" w:type="dxa"/>
            <w:tcBorders>
              <w:top w:val="single" w:sz="6" w:space="0" w:color="auto"/>
              <w:bottom w:val="single" w:sz="6" w:space="0" w:color="auto"/>
            </w:tcBorders>
          </w:tcPr>
          <w:p w14:paraId="74FCA8B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1 440</w:t>
            </w:r>
          </w:p>
        </w:tc>
        <w:tc>
          <w:tcPr>
            <w:tcW w:w="850" w:type="dxa"/>
            <w:tcBorders>
              <w:top w:val="single" w:sz="6" w:space="0" w:color="auto"/>
              <w:bottom w:val="single" w:sz="6" w:space="0" w:color="auto"/>
            </w:tcBorders>
          </w:tcPr>
          <w:p w14:paraId="1BE0C55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1 474</w:t>
            </w:r>
          </w:p>
        </w:tc>
      </w:tr>
      <w:tr w:rsidR="00964B88" w14:paraId="0D0AFC7E"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2AF254FF" w14:textId="77777777" w:rsidR="00964B88" w:rsidRDefault="00964B88">
            <w:r>
              <w:rPr>
                <w:b/>
              </w:rPr>
              <w:t>Total superannuation</w:t>
            </w:r>
          </w:p>
        </w:tc>
        <w:tc>
          <w:tcPr>
            <w:tcW w:w="850" w:type="dxa"/>
            <w:tcBorders>
              <w:top w:val="single" w:sz="6" w:space="0" w:color="auto"/>
            </w:tcBorders>
          </w:tcPr>
          <w:p w14:paraId="2DB38A7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BD2AF5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C9CC55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654A76C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74BCE0D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79842315" w14:textId="77777777">
        <w:tc>
          <w:tcPr>
            <w:cnfStyle w:val="001000000000" w:firstRow="0" w:lastRow="0" w:firstColumn="1" w:lastColumn="0" w:oddVBand="0" w:evenVBand="0" w:oddHBand="0" w:evenHBand="0" w:firstRowFirstColumn="0" w:firstRowLastColumn="0" w:lastRowFirstColumn="0" w:lastRowLastColumn="0"/>
            <w:tcW w:w="3518" w:type="dxa"/>
          </w:tcPr>
          <w:p w14:paraId="79851376" w14:textId="77777777" w:rsidR="00964B88" w:rsidRDefault="00964B88">
            <w:r>
              <w:t>Defined benefit obligation</w:t>
            </w:r>
          </w:p>
        </w:tc>
        <w:tc>
          <w:tcPr>
            <w:tcW w:w="850" w:type="dxa"/>
          </w:tcPr>
          <w:p w14:paraId="01487DB9" w14:textId="77777777" w:rsidR="00964B88" w:rsidRDefault="00964B88">
            <w:pPr>
              <w:cnfStyle w:val="000000000000" w:firstRow="0" w:lastRow="0" w:firstColumn="0" w:lastColumn="0" w:oddVBand="0" w:evenVBand="0" w:oddHBand="0" w:evenHBand="0" w:firstRowFirstColumn="0" w:firstRowLastColumn="0" w:lastRowFirstColumn="0" w:lastRowLastColumn="0"/>
            </w:pPr>
            <w:r>
              <w:t>49 113</w:t>
            </w:r>
          </w:p>
        </w:tc>
        <w:tc>
          <w:tcPr>
            <w:tcW w:w="850" w:type="dxa"/>
          </w:tcPr>
          <w:p w14:paraId="550BCC64" w14:textId="77777777" w:rsidR="00964B88" w:rsidRDefault="00964B88">
            <w:pPr>
              <w:cnfStyle w:val="000000000000" w:firstRow="0" w:lastRow="0" w:firstColumn="0" w:lastColumn="0" w:oddVBand="0" w:evenVBand="0" w:oddHBand="0" w:evenHBand="0" w:firstRowFirstColumn="0" w:firstRowLastColumn="0" w:lastRowFirstColumn="0" w:lastRowLastColumn="0"/>
            </w:pPr>
            <w:r>
              <w:t>50 231</w:t>
            </w:r>
          </w:p>
        </w:tc>
        <w:tc>
          <w:tcPr>
            <w:tcW w:w="850" w:type="dxa"/>
          </w:tcPr>
          <w:p w14:paraId="40ACFC49" w14:textId="77777777" w:rsidR="00964B88" w:rsidRDefault="00964B88">
            <w:pPr>
              <w:cnfStyle w:val="000000000000" w:firstRow="0" w:lastRow="0" w:firstColumn="0" w:lastColumn="0" w:oddVBand="0" w:evenVBand="0" w:oddHBand="0" w:evenHBand="0" w:firstRowFirstColumn="0" w:firstRowLastColumn="0" w:lastRowFirstColumn="0" w:lastRowLastColumn="0"/>
            </w:pPr>
            <w:r>
              <w:t>49 382</w:t>
            </w:r>
          </w:p>
        </w:tc>
        <w:tc>
          <w:tcPr>
            <w:tcW w:w="850" w:type="dxa"/>
          </w:tcPr>
          <w:p w14:paraId="4757474C" w14:textId="77777777" w:rsidR="00964B88" w:rsidRDefault="00964B88">
            <w:pPr>
              <w:cnfStyle w:val="000000000000" w:firstRow="0" w:lastRow="0" w:firstColumn="0" w:lastColumn="0" w:oddVBand="0" w:evenVBand="0" w:oddHBand="0" w:evenHBand="0" w:firstRowFirstColumn="0" w:firstRowLastColumn="0" w:lastRowFirstColumn="0" w:lastRowLastColumn="0"/>
            </w:pPr>
            <w:r>
              <w:t>48 541</w:t>
            </w:r>
          </w:p>
        </w:tc>
        <w:tc>
          <w:tcPr>
            <w:tcW w:w="850" w:type="dxa"/>
          </w:tcPr>
          <w:p w14:paraId="7A571316" w14:textId="77777777" w:rsidR="00964B88" w:rsidRDefault="00964B88">
            <w:pPr>
              <w:cnfStyle w:val="000000000000" w:firstRow="0" w:lastRow="0" w:firstColumn="0" w:lastColumn="0" w:oddVBand="0" w:evenVBand="0" w:oddHBand="0" w:evenHBand="0" w:firstRowFirstColumn="0" w:firstRowLastColumn="0" w:lastRowFirstColumn="0" w:lastRowLastColumn="0"/>
            </w:pPr>
            <w:r>
              <w:t>47 718</w:t>
            </w:r>
          </w:p>
        </w:tc>
      </w:tr>
      <w:tr w:rsidR="00964B88" w14:paraId="76D0D6F2" w14:textId="77777777">
        <w:tc>
          <w:tcPr>
            <w:cnfStyle w:val="001000000000" w:firstRow="0" w:lastRow="0" w:firstColumn="1" w:lastColumn="0" w:oddVBand="0" w:evenVBand="0" w:oddHBand="0" w:evenHBand="0" w:firstRowFirstColumn="0" w:firstRowLastColumn="0" w:lastRowFirstColumn="0" w:lastRowLastColumn="0"/>
            <w:tcW w:w="3518" w:type="dxa"/>
          </w:tcPr>
          <w:p w14:paraId="5D42D2A4" w14:textId="77777777" w:rsidR="00964B88" w:rsidRDefault="00964B88">
            <w:r>
              <w:t xml:space="preserve">Tax liability </w:t>
            </w:r>
            <w:r>
              <w:rPr>
                <w:vertAlign w:val="superscript"/>
              </w:rPr>
              <w:t xml:space="preserve"> (a)</w:t>
            </w:r>
          </w:p>
        </w:tc>
        <w:tc>
          <w:tcPr>
            <w:tcW w:w="850" w:type="dxa"/>
          </w:tcPr>
          <w:p w14:paraId="6797BAB6" w14:textId="77777777" w:rsidR="00964B88" w:rsidRDefault="00964B88">
            <w:pPr>
              <w:cnfStyle w:val="000000000000" w:firstRow="0" w:lastRow="0" w:firstColumn="0" w:lastColumn="0" w:oddVBand="0" w:evenVBand="0" w:oddHBand="0" w:evenHBand="0" w:firstRowFirstColumn="0" w:firstRowLastColumn="0" w:lastRowFirstColumn="0" w:lastRowLastColumn="0"/>
            </w:pPr>
            <w:r>
              <w:t>2 643</w:t>
            </w:r>
          </w:p>
        </w:tc>
        <w:tc>
          <w:tcPr>
            <w:tcW w:w="850" w:type="dxa"/>
          </w:tcPr>
          <w:p w14:paraId="42E2CFDA" w14:textId="77777777" w:rsidR="00964B88" w:rsidRDefault="00964B88">
            <w:pPr>
              <w:cnfStyle w:val="000000000000" w:firstRow="0" w:lastRow="0" w:firstColumn="0" w:lastColumn="0" w:oddVBand="0" w:evenVBand="0" w:oddHBand="0" w:evenHBand="0" w:firstRowFirstColumn="0" w:firstRowLastColumn="0" w:lastRowFirstColumn="0" w:lastRowLastColumn="0"/>
            </w:pPr>
            <w:r>
              <w:t>2 551</w:t>
            </w:r>
          </w:p>
        </w:tc>
        <w:tc>
          <w:tcPr>
            <w:tcW w:w="850" w:type="dxa"/>
          </w:tcPr>
          <w:p w14:paraId="124CC214" w14:textId="77777777" w:rsidR="00964B88" w:rsidRDefault="00964B88">
            <w:pPr>
              <w:cnfStyle w:val="000000000000" w:firstRow="0" w:lastRow="0" w:firstColumn="0" w:lastColumn="0" w:oddVBand="0" w:evenVBand="0" w:oddHBand="0" w:evenHBand="0" w:firstRowFirstColumn="0" w:firstRowLastColumn="0" w:lastRowFirstColumn="0" w:lastRowLastColumn="0"/>
            </w:pPr>
            <w:r>
              <w:t>2 424</w:t>
            </w:r>
          </w:p>
        </w:tc>
        <w:tc>
          <w:tcPr>
            <w:tcW w:w="850" w:type="dxa"/>
          </w:tcPr>
          <w:p w14:paraId="25BE319D" w14:textId="77777777" w:rsidR="00964B88" w:rsidRDefault="00964B88">
            <w:pPr>
              <w:cnfStyle w:val="000000000000" w:firstRow="0" w:lastRow="0" w:firstColumn="0" w:lastColumn="0" w:oddVBand="0" w:evenVBand="0" w:oddHBand="0" w:evenHBand="0" w:firstRowFirstColumn="0" w:firstRowLastColumn="0" w:lastRowFirstColumn="0" w:lastRowLastColumn="0"/>
            </w:pPr>
            <w:r>
              <w:t>2 304</w:t>
            </w:r>
          </w:p>
        </w:tc>
        <w:tc>
          <w:tcPr>
            <w:tcW w:w="850" w:type="dxa"/>
          </w:tcPr>
          <w:p w14:paraId="0C821E4B" w14:textId="77777777" w:rsidR="00964B88" w:rsidRDefault="00964B88">
            <w:pPr>
              <w:cnfStyle w:val="000000000000" w:firstRow="0" w:lastRow="0" w:firstColumn="0" w:lastColumn="0" w:oddVBand="0" w:evenVBand="0" w:oddHBand="0" w:evenHBand="0" w:firstRowFirstColumn="0" w:firstRowLastColumn="0" w:lastRowFirstColumn="0" w:lastRowLastColumn="0"/>
            </w:pPr>
            <w:r>
              <w:t>2 183</w:t>
            </w:r>
          </w:p>
        </w:tc>
      </w:tr>
      <w:tr w:rsidR="00964B88" w14:paraId="3492126E"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44D2E87E" w14:textId="77777777" w:rsidR="00964B88" w:rsidRDefault="00964B88">
            <w:r>
              <w:t>Plan assets</w:t>
            </w:r>
          </w:p>
        </w:tc>
        <w:tc>
          <w:tcPr>
            <w:tcW w:w="850" w:type="dxa"/>
            <w:tcBorders>
              <w:bottom w:val="single" w:sz="6" w:space="0" w:color="auto"/>
            </w:tcBorders>
          </w:tcPr>
          <w:p w14:paraId="6A2DF6DF" w14:textId="77777777" w:rsidR="00964B88" w:rsidRDefault="00964B88">
            <w:pPr>
              <w:cnfStyle w:val="000000000000" w:firstRow="0" w:lastRow="0" w:firstColumn="0" w:lastColumn="0" w:oddVBand="0" w:evenVBand="0" w:oddHBand="0" w:evenHBand="0" w:firstRowFirstColumn="0" w:firstRowLastColumn="0" w:lastRowFirstColumn="0" w:lastRowLastColumn="0"/>
            </w:pPr>
            <w:r>
              <w:t>(24 206)</w:t>
            </w:r>
          </w:p>
        </w:tc>
        <w:tc>
          <w:tcPr>
            <w:tcW w:w="850" w:type="dxa"/>
            <w:tcBorders>
              <w:bottom w:val="single" w:sz="6" w:space="0" w:color="auto"/>
            </w:tcBorders>
          </w:tcPr>
          <w:p w14:paraId="0064C5B2" w14:textId="77777777" w:rsidR="00964B88" w:rsidRDefault="00964B88">
            <w:pPr>
              <w:cnfStyle w:val="000000000000" w:firstRow="0" w:lastRow="0" w:firstColumn="0" w:lastColumn="0" w:oddVBand="0" w:evenVBand="0" w:oddHBand="0" w:evenHBand="0" w:firstRowFirstColumn="0" w:firstRowLastColumn="0" w:lastRowFirstColumn="0" w:lastRowLastColumn="0"/>
            </w:pPr>
            <w:r>
              <w:t>(24 345)</w:t>
            </w:r>
          </w:p>
        </w:tc>
        <w:tc>
          <w:tcPr>
            <w:tcW w:w="850" w:type="dxa"/>
            <w:tcBorders>
              <w:bottom w:val="single" w:sz="6" w:space="0" w:color="auto"/>
            </w:tcBorders>
          </w:tcPr>
          <w:p w14:paraId="3500FABB" w14:textId="77777777" w:rsidR="00964B88" w:rsidRDefault="00964B88">
            <w:pPr>
              <w:cnfStyle w:val="000000000000" w:firstRow="0" w:lastRow="0" w:firstColumn="0" w:lastColumn="0" w:oddVBand="0" w:evenVBand="0" w:oddHBand="0" w:evenHBand="0" w:firstRowFirstColumn="0" w:firstRowLastColumn="0" w:lastRowFirstColumn="0" w:lastRowLastColumn="0"/>
            </w:pPr>
            <w:r>
              <w:t>(24 961)</w:t>
            </w:r>
          </w:p>
        </w:tc>
        <w:tc>
          <w:tcPr>
            <w:tcW w:w="850" w:type="dxa"/>
            <w:tcBorders>
              <w:bottom w:val="single" w:sz="6" w:space="0" w:color="auto"/>
            </w:tcBorders>
          </w:tcPr>
          <w:p w14:paraId="019FB334" w14:textId="77777777" w:rsidR="00964B88" w:rsidRDefault="00964B88">
            <w:pPr>
              <w:cnfStyle w:val="000000000000" w:firstRow="0" w:lastRow="0" w:firstColumn="0" w:lastColumn="0" w:oddVBand="0" w:evenVBand="0" w:oddHBand="0" w:evenHBand="0" w:firstRowFirstColumn="0" w:firstRowLastColumn="0" w:lastRowFirstColumn="0" w:lastRowLastColumn="0"/>
            </w:pPr>
            <w:r>
              <w:t>(25 515)</w:t>
            </w:r>
          </w:p>
        </w:tc>
        <w:tc>
          <w:tcPr>
            <w:tcW w:w="850" w:type="dxa"/>
            <w:tcBorders>
              <w:bottom w:val="single" w:sz="6" w:space="0" w:color="auto"/>
            </w:tcBorders>
          </w:tcPr>
          <w:p w14:paraId="66AA7687" w14:textId="77777777" w:rsidR="00964B88" w:rsidRDefault="00964B88">
            <w:pPr>
              <w:cnfStyle w:val="000000000000" w:firstRow="0" w:lastRow="0" w:firstColumn="0" w:lastColumn="0" w:oddVBand="0" w:evenVBand="0" w:oddHBand="0" w:evenHBand="0" w:firstRowFirstColumn="0" w:firstRowLastColumn="0" w:lastRowFirstColumn="0" w:lastRowLastColumn="0"/>
            </w:pPr>
            <w:r>
              <w:t>(26 084)</w:t>
            </w:r>
          </w:p>
        </w:tc>
      </w:tr>
      <w:tr w:rsidR="00964B88" w14:paraId="45517A18"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bottom w:val="single" w:sz="6" w:space="0" w:color="auto"/>
            </w:tcBorders>
          </w:tcPr>
          <w:p w14:paraId="62D9CECA" w14:textId="77777777" w:rsidR="00964B88" w:rsidRDefault="00964B88">
            <w:r>
              <w:rPr>
                <w:b/>
              </w:rPr>
              <w:t>Superannuation liability</w:t>
            </w:r>
          </w:p>
        </w:tc>
        <w:tc>
          <w:tcPr>
            <w:tcW w:w="850" w:type="dxa"/>
            <w:tcBorders>
              <w:top w:val="single" w:sz="6" w:space="0" w:color="auto"/>
              <w:bottom w:val="single" w:sz="6" w:space="0" w:color="auto"/>
            </w:tcBorders>
          </w:tcPr>
          <w:p w14:paraId="58DF0A8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27 551</w:t>
            </w:r>
          </w:p>
        </w:tc>
        <w:tc>
          <w:tcPr>
            <w:tcW w:w="850" w:type="dxa"/>
            <w:tcBorders>
              <w:top w:val="single" w:sz="6" w:space="0" w:color="auto"/>
              <w:bottom w:val="single" w:sz="6" w:space="0" w:color="auto"/>
            </w:tcBorders>
          </w:tcPr>
          <w:p w14:paraId="7FA2B8A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28 437</w:t>
            </w:r>
          </w:p>
        </w:tc>
        <w:tc>
          <w:tcPr>
            <w:tcW w:w="850" w:type="dxa"/>
            <w:tcBorders>
              <w:top w:val="single" w:sz="6" w:space="0" w:color="auto"/>
              <w:bottom w:val="single" w:sz="6" w:space="0" w:color="auto"/>
            </w:tcBorders>
          </w:tcPr>
          <w:p w14:paraId="2092A49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26 844</w:t>
            </w:r>
          </w:p>
        </w:tc>
        <w:tc>
          <w:tcPr>
            <w:tcW w:w="850" w:type="dxa"/>
            <w:tcBorders>
              <w:top w:val="single" w:sz="6" w:space="0" w:color="auto"/>
              <w:bottom w:val="single" w:sz="6" w:space="0" w:color="auto"/>
            </w:tcBorders>
          </w:tcPr>
          <w:p w14:paraId="34C0876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25 331</w:t>
            </w:r>
          </w:p>
        </w:tc>
        <w:tc>
          <w:tcPr>
            <w:tcW w:w="850" w:type="dxa"/>
            <w:tcBorders>
              <w:top w:val="single" w:sz="6" w:space="0" w:color="auto"/>
              <w:bottom w:val="single" w:sz="6" w:space="0" w:color="auto"/>
            </w:tcBorders>
          </w:tcPr>
          <w:p w14:paraId="59163DE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23 817</w:t>
            </w:r>
          </w:p>
        </w:tc>
      </w:tr>
      <w:tr w:rsidR="00964B88" w14:paraId="61A5AEFF"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top w:val="single" w:sz="6" w:space="0" w:color="auto"/>
            </w:tcBorders>
          </w:tcPr>
          <w:p w14:paraId="61C5C6E1" w14:textId="77777777" w:rsidR="00964B88" w:rsidRDefault="00964B88">
            <w:r>
              <w:rPr>
                <w:b/>
              </w:rPr>
              <w:t>Represented by:</w:t>
            </w:r>
          </w:p>
        </w:tc>
        <w:tc>
          <w:tcPr>
            <w:tcW w:w="850" w:type="dxa"/>
            <w:tcBorders>
              <w:top w:val="single" w:sz="6" w:space="0" w:color="auto"/>
            </w:tcBorders>
          </w:tcPr>
          <w:p w14:paraId="7B6B8F9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687146C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CB480A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13B964E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4A600B7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2213C35" w14:textId="77777777">
        <w:tc>
          <w:tcPr>
            <w:cnfStyle w:val="001000000000" w:firstRow="0" w:lastRow="0" w:firstColumn="1" w:lastColumn="0" w:oddVBand="0" w:evenVBand="0" w:oddHBand="0" w:evenHBand="0" w:firstRowFirstColumn="0" w:firstRowLastColumn="0" w:lastRowFirstColumn="0" w:lastRowLastColumn="0"/>
            <w:tcW w:w="3518" w:type="dxa"/>
          </w:tcPr>
          <w:p w14:paraId="2C375EC1" w14:textId="77777777" w:rsidR="00964B88" w:rsidRDefault="00964B88">
            <w:r>
              <w:t>Current liability</w:t>
            </w:r>
          </w:p>
        </w:tc>
        <w:tc>
          <w:tcPr>
            <w:tcW w:w="850" w:type="dxa"/>
          </w:tcPr>
          <w:p w14:paraId="633ADE17" w14:textId="77777777" w:rsidR="00964B88" w:rsidRDefault="00964B88">
            <w:pPr>
              <w:cnfStyle w:val="000000000000" w:firstRow="0" w:lastRow="0" w:firstColumn="0" w:lastColumn="0" w:oddVBand="0" w:evenVBand="0" w:oddHBand="0" w:evenHBand="0" w:firstRowFirstColumn="0" w:firstRowLastColumn="0" w:lastRowFirstColumn="0" w:lastRowLastColumn="0"/>
            </w:pPr>
            <w:r>
              <w:t>1 075</w:t>
            </w:r>
          </w:p>
        </w:tc>
        <w:tc>
          <w:tcPr>
            <w:tcW w:w="850" w:type="dxa"/>
          </w:tcPr>
          <w:p w14:paraId="6466F93C" w14:textId="77777777" w:rsidR="00964B88" w:rsidRDefault="00964B88">
            <w:pPr>
              <w:cnfStyle w:val="000000000000" w:firstRow="0" w:lastRow="0" w:firstColumn="0" w:lastColumn="0" w:oddVBand="0" w:evenVBand="0" w:oddHBand="0" w:evenHBand="0" w:firstRowFirstColumn="0" w:firstRowLastColumn="0" w:lastRowFirstColumn="0" w:lastRowLastColumn="0"/>
            </w:pPr>
            <w:r>
              <w:t>1 075</w:t>
            </w:r>
          </w:p>
        </w:tc>
        <w:tc>
          <w:tcPr>
            <w:tcW w:w="850" w:type="dxa"/>
          </w:tcPr>
          <w:p w14:paraId="5D746DAE" w14:textId="77777777" w:rsidR="00964B88" w:rsidRDefault="00964B88">
            <w:pPr>
              <w:cnfStyle w:val="000000000000" w:firstRow="0" w:lastRow="0" w:firstColumn="0" w:lastColumn="0" w:oddVBand="0" w:evenVBand="0" w:oddHBand="0" w:evenHBand="0" w:firstRowFirstColumn="0" w:firstRowLastColumn="0" w:lastRowFirstColumn="0" w:lastRowLastColumn="0"/>
            </w:pPr>
            <w:r>
              <w:t>1 007</w:t>
            </w:r>
          </w:p>
        </w:tc>
        <w:tc>
          <w:tcPr>
            <w:tcW w:w="850" w:type="dxa"/>
          </w:tcPr>
          <w:p w14:paraId="56A081DA" w14:textId="77777777" w:rsidR="00964B88" w:rsidRDefault="00964B88">
            <w:pPr>
              <w:cnfStyle w:val="000000000000" w:firstRow="0" w:lastRow="0" w:firstColumn="0" w:lastColumn="0" w:oddVBand="0" w:evenVBand="0" w:oddHBand="0" w:evenHBand="0" w:firstRowFirstColumn="0" w:firstRowLastColumn="0" w:lastRowFirstColumn="0" w:lastRowLastColumn="0"/>
            </w:pPr>
            <w:r>
              <w:t>1 007</w:t>
            </w:r>
          </w:p>
        </w:tc>
        <w:tc>
          <w:tcPr>
            <w:tcW w:w="850" w:type="dxa"/>
          </w:tcPr>
          <w:p w14:paraId="66A279A2" w14:textId="77777777" w:rsidR="00964B88" w:rsidRDefault="00964B88">
            <w:pPr>
              <w:cnfStyle w:val="000000000000" w:firstRow="0" w:lastRow="0" w:firstColumn="0" w:lastColumn="0" w:oddVBand="0" w:evenVBand="0" w:oddHBand="0" w:evenHBand="0" w:firstRowFirstColumn="0" w:firstRowLastColumn="0" w:lastRowFirstColumn="0" w:lastRowLastColumn="0"/>
            </w:pPr>
            <w:r>
              <w:t>1 123</w:t>
            </w:r>
          </w:p>
        </w:tc>
      </w:tr>
      <w:tr w:rsidR="00964B88" w14:paraId="19805CF6"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500F7680" w14:textId="77777777" w:rsidR="00964B88" w:rsidRDefault="00964B88">
            <w:r>
              <w:t>Non</w:t>
            </w:r>
            <w:r>
              <w:noBreakHyphen/>
              <w:t>current liability</w:t>
            </w:r>
          </w:p>
        </w:tc>
        <w:tc>
          <w:tcPr>
            <w:tcW w:w="850" w:type="dxa"/>
            <w:tcBorders>
              <w:bottom w:val="single" w:sz="6" w:space="0" w:color="auto"/>
            </w:tcBorders>
          </w:tcPr>
          <w:p w14:paraId="7C41DDA5" w14:textId="77777777" w:rsidR="00964B88" w:rsidRDefault="00964B88">
            <w:pPr>
              <w:cnfStyle w:val="000000000000" w:firstRow="0" w:lastRow="0" w:firstColumn="0" w:lastColumn="0" w:oddVBand="0" w:evenVBand="0" w:oddHBand="0" w:evenHBand="0" w:firstRowFirstColumn="0" w:firstRowLastColumn="0" w:lastRowFirstColumn="0" w:lastRowLastColumn="0"/>
            </w:pPr>
            <w:r>
              <w:t>26 476</w:t>
            </w:r>
          </w:p>
        </w:tc>
        <w:tc>
          <w:tcPr>
            <w:tcW w:w="850" w:type="dxa"/>
            <w:tcBorders>
              <w:bottom w:val="single" w:sz="6" w:space="0" w:color="auto"/>
            </w:tcBorders>
          </w:tcPr>
          <w:p w14:paraId="05E10F49" w14:textId="77777777" w:rsidR="00964B88" w:rsidRDefault="00964B88">
            <w:pPr>
              <w:cnfStyle w:val="000000000000" w:firstRow="0" w:lastRow="0" w:firstColumn="0" w:lastColumn="0" w:oddVBand="0" w:evenVBand="0" w:oddHBand="0" w:evenHBand="0" w:firstRowFirstColumn="0" w:firstRowLastColumn="0" w:lastRowFirstColumn="0" w:lastRowLastColumn="0"/>
            </w:pPr>
            <w:r>
              <w:t>27 362</w:t>
            </w:r>
          </w:p>
        </w:tc>
        <w:tc>
          <w:tcPr>
            <w:tcW w:w="850" w:type="dxa"/>
            <w:tcBorders>
              <w:bottom w:val="single" w:sz="6" w:space="0" w:color="auto"/>
            </w:tcBorders>
          </w:tcPr>
          <w:p w14:paraId="26141F3D" w14:textId="77777777" w:rsidR="00964B88" w:rsidRDefault="00964B88">
            <w:pPr>
              <w:cnfStyle w:val="000000000000" w:firstRow="0" w:lastRow="0" w:firstColumn="0" w:lastColumn="0" w:oddVBand="0" w:evenVBand="0" w:oddHBand="0" w:evenHBand="0" w:firstRowFirstColumn="0" w:firstRowLastColumn="0" w:lastRowFirstColumn="0" w:lastRowLastColumn="0"/>
            </w:pPr>
            <w:r>
              <w:t>25 837</w:t>
            </w:r>
          </w:p>
        </w:tc>
        <w:tc>
          <w:tcPr>
            <w:tcW w:w="850" w:type="dxa"/>
            <w:tcBorders>
              <w:bottom w:val="single" w:sz="6" w:space="0" w:color="auto"/>
            </w:tcBorders>
          </w:tcPr>
          <w:p w14:paraId="6CFF3815" w14:textId="77777777" w:rsidR="00964B88" w:rsidRDefault="00964B88">
            <w:pPr>
              <w:cnfStyle w:val="000000000000" w:firstRow="0" w:lastRow="0" w:firstColumn="0" w:lastColumn="0" w:oddVBand="0" w:evenVBand="0" w:oddHBand="0" w:evenHBand="0" w:firstRowFirstColumn="0" w:firstRowLastColumn="0" w:lastRowFirstColumn="0" w:lastRowLastColumn="0"/>
            </w:pPr>
            <w:r>
              <w:t>24 323</w:t>
            </w:r>
          </w:p>
        </w:tc>
        <w:tc>
          <w:tcPr>
            <w:tcW w:w="850" w:type="dxa"/>
            <w:tcBorders>
              <w:bottom w:val="single" w:sz="6" w:space="0" w:color="auto"/>
            </w:tcBorders>
          </w:tcPr>
          <w:p w14:paraId="16175E11" w14:textId="77777777" w:rsidR="00964B88" w:rsidRDefault="00964B88">
            <w:pPr>
              <w:cnfStyle w:val="000000000000" w:firstRow="0" w:lastRow="0" w:firstColumn="0" w:lastColumn="0" w:oddVBand="0" w:evenVBand="0" w:oddHBand="0" w:evenHBand="0" w:firstRowFirstColumn="0" w:firstRowLastColumn="0" w:lastRowFirstColumn="0" w:lastRowLastColumn="0"/>
            </w:pPr>
            <w:r>
              <w:t>22 694</w:t>
            </w:r>
          </w:p>
        </w:tc>
      </w:tr>
      <w:tr w:rsidR="00964B88" w14:paraId="26DD8965"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6C7B1857" w14:textId="77777777" w:rsidR="00964B88" w:rsidRDefault="00964B88">
            <w:r>
              <w:t>Total superannuation liability</w:t>
            </w:r>
          </w:p>
        </w:tc>
        <w:tc>
          <w:tcPr>
            <w:tcW w:w="850" w:type="dxa"/>
          </w:tcPr>
          <w:p w14:paraId="4961ACAE" w14:textId="77777777" w:rsidR="00964B88" w:rsidRDefault="00964B88">
            <w:pPr>
              <w:cnfStyle w:val="010000000000" w:firstRow="0" w:lastRow="1" w:firstColumn="0" w:lastColumn="0" w:oddVBand="0" w:evenVBand="0" w:oddHBand="0" w:evenHBand="0" w:firstRowFirstColumn="0" w:firstRowLastColumn="0" w:lastRowFirstColumn="0" w:lastRowLastColumn="0"/>
            </w:pPr>
            <w:r>
              <w:t>27 551</w:t>
            </w:r>
          </w:p>
        </w:tc>
        <w:tc>
          <w:tcPr>
            <w:tcW w:w="850" w:type="dxa"/>
          </w:tcPr>
          <w:p w14:paraId="432A586A" w14:textId="77777777" w:rsidR="00964B88" w:rsidRDefault="00964B88">
            <w:pPr>
              <w:cnfStyle w:val="010000000000" w:firstRow="0" w:lastRow="1" w:firstColumn="0" w:lastColumn="0" w:oddVBand="0" w:evenVBand="0" w:oddHBand="0" w:evenHBand="0" w:firstRowFirstColumn="0" w:firstRowLastColumn="0" w:lastRowFirstColumn="0" w:lastRowLastColumn="0"/>
            </w:pPr>
            <w:r>
              <w:t>28 437</w:t>
            </w:r>
          </w:p>
        </w:tc>
        <w:tc>
          <w:tcPr>
            <w:tcW w:w="850" w:type="dxa"/>
          </w:tcPr>
          <w:p w14:paraId="4A8EC61B" w14:textId="77777777" w:rsidR="00964B88" w:rsidRDefault="00964B88">
            <w:pPr>
              <w:cnfStyle w:val="010000000000" w:firstRow="0" w:lastRow="1" w:firstColumn="0" w:lastColumn="0" w:oddVBand="0" w:evenVBand="0" w:oddHBand="0" w:evenHBand="0" w:firstRowFirstColumn="0" w:firstRowLastColumn="0" w:lastRowFirstColumn="0" w:lastRowLastColumn="0"/>
            </w:pPr>
            <w:r>
              <w:t>26 844</w:t>
            </w:r>
          </w:p>
        </w:tc>
        <w:tc>
          <w:tcPr>
            <w:tcW w:w="850" w:type="dxa"/>
          </w:tcPr>
          <w:p w14:paraId="6252CD5A" w14:textId="77777777" w:rsidR="00964B88" w:rsidRDefault="00964B88">
            <w:pPr>
              <w:cnfStyle w:val="010000000000" w:firstRow="0" w:lastRow="1" w:firstColumn="0" w:lastColumn="0" w:oddVBand="0" w:evenVBand="0" w:oddHBand="0" w:evenHBand="0" w:firstRowFirstColumn="0" w:firstRowLastColumn="0" w:lastRowFirstColumn="0" w:lastRowLastColumn="0"/>
            </w:pPr>
            <w:r>
              <w:t>25 331</w:t>
            </w:r>
          </w:p>
        </w:tc>
        <w:tc>
          <w:tcPr>
            <w:tcW w:w="850" w:type="dxa"/>
          </w:tcPr>
          <w:p w14:paraId="1D9CE3D8" w14:textId="77777777" w:rsidR="00964B88" w:rsidRDefault="00964B88">
            <w:pPr>
              <w:cnfStyle w:val="010000000000" w:firstRow="0" w:lastRow="1" w:firstColumn="0" w:lastColumn="0" w:oddVBand="0" w:evenVBand="0" w:oddHBand="0" w:evenHBand="0" w:firstRowFirstColumn="0" w:firstRowLastColumn="0" w:lastRowFirstColumn="0" w:lastRowLastColumn="0"/>
            </w:pPr>
            <w:r>
              <w:t>23 817</w:t>
            </w:r>
          </w:p>
        </w:tc>
      </w:tr>
    </w:tbl>
    <w:p w14:paraId="1BECBCD0" w14:textId="77777777" w:rsidR="00964B88" w:rsidRDefault="00964B88" w:rsidP="00F53820">
      <w:pPr>
        <w:pStyle w:val="Note"/>
      </w:pPr>
      <w:r>
        <w:t>Notes:</w:t>
      </w:r>
    </w:p>
    <w:p w14:paraId="64143839" w14:textId="77777777" w:rsidR="00964B88" w:rsidRDefault="00964B88" w:rsidP="00F53820">
      <w:pPr>
        <w:pStyle w:val="Note"/>
      </w:pPr>
      <w:r>
        <w:t>(a)</w:t>
      </w:r>
      <w:r>
        <w:tab/>
        <w:t>Tax liability is the present value of tax payments on contributions that are expected to be required to fund accrued benefits.</w:t>
      </w:r>
    </w:p>
    <w:p w14:paraId="76BDD98A" w14:textId="77777777" w:rsidR="00964B88" w:rsidRDefault="00964B88" w:rsidP="00F53820">
      <w:pPr>
        <w:pStyle w:val="Note"/>
      </w:pPr>
      <w:r>
        <w:t>(b)</w:t>
      </w:r>
      <w:r>
        <w:tab/>
        <w:t>Other funds include constitutionally protected schemes and the State’s share of liabilities of the Defined Benefit Scheme of the former Health Super Fund.</w:t>
      </w:r>
    </w:p>
    <w:p w14:paraId="6C4F867B" w14:textId="77777777" w:rsidR="00964B88" w:rsidRPr="00964DF6" w:rsidRDefault="00964B88" w:rsidP="00F53820"/>
    <w:p w14:paraId="41E7068F" w14:textId="77777777" w:rsidR="00964B88" w:rsidRDefault="00964B88" w:rsidP="00F53820">
      <w:pPr>
        <w:pStyle w:val="TableHeading"/>
      </w:pPr>
      <w:r w:rsidRPr="00771D23">
        <w:t>Reconciliation of the present value of the defined benefit obligation</w:t>
      </w:r>
      <w:r>
        <w:ta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7B250E18"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56F368C0" w14:textId="77777777" w:rsidR="00964B88" w:rsidRDefault="00964B88"/>
        </w:tc>
        <w:tc>
          <w:tcPr>
            <w:tcW w:w="850" w:type="dxa"/>
          </w:tcPr>
          <w:p w14:paraId="53066E8E"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38CC3180"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estimate</w:t>
            </w:r>
          </w:p>
        </w:tc>
        <w:tc>
          <w:tcPr>
            <w:tcW w:w="850" w:type="dxa"/>
          </w:tcPr>
          <w:p w14:paraId="0C93D544"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1E695C6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4B0ADF4B"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1F088D54" w14:textId="77777777">
        <w:tc>
          <w:tcPr>
            <w:cnfStyle w:val="001000000000" w:firstRow="0" w:lastRow="0" w:firstColumn="1" w:lastColumn="0" w:oddVBand="0" w:evenVBand="0" w:oddHBand="0" w:evenHBand="0" w:firstRowFirstColumn="0" w:firstRowLastColumn="0" w:lastRowFirstColumn="0" w:lastRowLastColumn="0"/>
            <w:tcW w:w="3518" w:type="dxa"/>
          </w:tcPr>
          <w:p w14:paraId="579AA45B" w14:textId="77777777" w:rsidR="00964B88" w:rsidRDefault="00964B88">
            <w:r>
              <w:rPr>
                <w:b/>
              </w:rPr>
              <w:t>Opening balance of defined benefit obligation</w:t>
            </w:r>
          </w:p>
        </w:tc>
        <w:tc>
          <w:tcPr>
            <w:tcW w:w="850" w:type="dxa"/>
          </w:tcPr>
          <w:p w14:paraId="62A017C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52 413</w:t>
            </w:r>
          </w:p>
        </w:tc>
        <w:tc>
          <w:tcPr>
            <w:tcW w:w="850" w:type="dxa"/>
          </w:tcPr>
          <w:p w14:paraId="32BD8D5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52 413</w:t>
            </w:r>
          </w:p>
        </w:tc>
        <w:tc>
          <w:tcPr>
            <w:tcW w:w="850" w:type="dxa"/>
          </w:tcPr>
          <w:p w14:paraId="2CE3AD6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52 782</w:t>
            </w:r>
          </w:p>
        </w:tc>
        <w:tc>
          <w:tcPr>
            <w:tcW w:w="850" w:type="dxa"/>
          </w:tcPr>
          <w:p w14:paraId="358012B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51 805</w:t>
            </w:r>
          </w:p>
        </w:tc>
        <w:tc>
          <w:tcPr>
            <w:tcW w:w="850" w:type="dxa"/>
          </w:tcPr>
          <w:p w14:paraId="0D5C0A6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50 845</w:t>
            </w:r>
          </w:p>
        </w:tc>
      </w:tr>
      <w:tr w:rsidR="00964B88" w14:paraId="1C2EBC47" w14:textId="77777777">
        <w:tc>
          <w:tcPr>
            <w:cnfStyle w:val="001000000000" w:firstRow="0" w:lastRow="0" w:firstColumn="1" w:lastColumn="0" w:oddVBand="0" w:evenVBand="0" w:oddHBand="0" w:evenHBand="0" w:firstRowFirstColumn="0" w:firstRowLastColumn="0" w:lastRowFirstColumn="0" w:lastRowLastColumn="0"/>
            <w:tcW w:w="3518" w:type="dxa"/>
          </w:tcPr>
          <w:p w14:paraId="26229CEB" w14:textId="77777777" w:rsidR="00964B88" w:rsidRDefault="00964B88">
            <w:r>
              <w:t>Current service cost</w:t>
            </w:r>
          </w:p>
        </w:tc>
        <w:tc>
          <w:tcPr>
            <w:tcW w:w="850" w:type="dxa"/>
          </w:tcPr>
          <w:p w14:paraId="18EAAF34" w14:textId="77777777" w:rsidR="00964B88" w:rsidRDefault="00964B88">
            <w:pPr>
              <w:cnfStyle w:val="000000000000" w:firstRow="0" w:lastRow="0" w:firstColumn="0" w:lastColumn="0" w:oddVBand="0" w:evenVBand="0" w:oddHBand="0" w:evenHBand="0" w:firstRowFirstColumn="0" w:firstRowLastColumn="0" w:lastRowFirstColumn="0" w:lastRowLastColumn="0"/>
            </w:pPr>
            <w:r>
              <w:t>1 093</w:t>
            </w:r>
          </w:p>
        </w:tc>
        <w:tc>
          <w:tcPr>
            <w:tcW w:w="850" w:type="dxa"/>
          </w:tcPr>
          <w:p w14:paraId="7E500A78" w14:textId="77777777" w:rsidR="00964B88" w:rsidRDefault="00964B88">
            <w:pPr>
              <w:cnfStyle w:val="000000000000" w:firstRow="0" w:lastRow="0" w:firstColumn="0" w:lastColumn="0" w:oddVBand="0" w:evenVBand="0" w:oddHBand="0" w:evenHBand="0" w:firstRowFirstColumn="0" w:firstRowLastColumn="0" w:lastRowFirstColumn="0" w:lastRowLastColumn="0"/>
            </w:pPr>
            <w:r>
              <w:t>1 108</w:t>
            </w:r>
          </w:p>
        </w:tc>
        <w:tc>
          <w:tcPr>
            <w:tcW w:w="850" w:type="dxa"/>
          </w:tcPr>
          <w:p w14:paraId="5FAEA0B7" w14:textId="77777777" w:rsidR="00964B88" w:rsidRDefault="00964B88">
            <w:pPr>
              <w:cnfStyle w:val="000000000000" w:firstRow="0" w:lastRow="0" w:firstColumn="0" w:lastColumn="0" w:oddVBand="0" w:evenVBand="0" w:oddHBand="0" w:evenHBand="0" w:firstRowFirstColumn="0" w:firstRowLastColumn="0" w:lastRowFirstColumn="0" w:lastRowLastColumn="0"/>
            </w:pPr>
            <w:r>
              <w:t>1 138</w:t>
            </w:r>
          </w:p>
        </w:tc>
        <w:tc>
          <w:tcPr>
            <w:tcW w:w="850" w:type="dxa"/>
          </w:tcPr>
          <w:p w14:paraId="495887E3" w14:textId="77777777" w:rsidR="00964B88" w:rsidRDefault="00964B88">
            <w:pPr>
              <w:cnfStyle w:val="000000000000" w:firstRow="0" w:lastRow="0" w:firstColumn="0" w:lastColumn="0" w:oddVBand="0" w:evenVBand="0" w:oddHBand="0" w:evenHBand="0" w:firstRowFirstColumn="0" w:firstRowLastColumn="0" w:lastRowFirstColumn="0" w:lastRowLastColumn="0"/>
            </w:pPr>
            <w:r>
              <w:t>1 191</w:t>
            </w:r>
          </w:p>
        </w:tc>
        <w:tc>
          <w:tcPr>
            <w:tcW w:w="850" w:type="dxa"/>
          </w:tcPr>
          <w:p w14:paraId="6461EF85" w14:textId="77777777" w:rsidR="00964B88" w:rsidRDefault="00964B88">
            <w:pPr>
              <w:cnfStyle w:val="000000000000" w:firstRow="0" w:lastRow="0" w:firstColumn="0" w:lastColumn="0" w:oddVBand="0" w:evenVBand="0" w:oddHBand="0" w:evenHBand="0" w:firstRowFirstColumn="0" w:firstRowLastColumn="0" w:lastRowFirstColumn="0" w:lastRowLastColumn="0"/>
            </w:pPr>
            <w:r>
              <w:t>1 231</w:t>
            </w:r>
          </w:p>
        </w:tc>
      </w:tr>
      <w:tr w:rsidR="00964B88" w14:paraId="20B4CFB3" w14:textId="77777777">
        <w:tc>
          <w:tcPr>
            <w:cnfStyle w:val="001000000000" w:firstRow="0" w:lastRow="0" w:firstColumn="1" w:lastColumn="0" w:oddVBand="0" w:evenVBand="0" w:oddHBand="0" w:evenHBand="0" w:firstRowFirstColumn="0" w:firstRowLastColumn="0" w:lastRowFirstColumn="0" w:lastRowLastColumn="0"/>
            <w:tcW w:w="3518" w:type="dxa"/>
          </w:tcPr>
          <w:p w14:paraId="47F9A60A" w14:textId="77777777" w:rsidR="00964B88" w:rsidRDefault="00964B88">
            <w:r>
              <w:t>Interest expense</w:t>
            </w:r>
          </w:p>
        </w:tc>
        <w:tc>
          <w:tcPr>
            <w:tcW w:w="850" w:type="dxa"/>
          </w:tcPr>
          <w:p w14:paraId="4F63BAF4" w14:textId="77777777" w:rsidR="00964B88" w:rsidRDefault="00964B88">
            <w:pPr>
              <w:cnfStyle w:val="000000000000" w:firstRow="0" w:lastRow="0" w:firstColumn="0" w:lastColumn="0" w:oddVBand="0" w:evenVBand="0" w:oddHBand="0" w:evenHBand="0" w:firstRowFirstColumn="0" w:firstRowLastColumn="0" w:lastRowFirstColumn="0" w:lastRowLastColumn="0"/>
            </w:pPr>
            <w:r>
              <w:t>988</w:t>
            </w:r>
          </w:p>
        </w:tc>
        <w:tc>
          <w:tcPr>
            <w:tcW w:w="850" w:type="dxa"/>
          </w:tcPr>
          <w:p w14:paraId="4007FD01" w14:textId="77777777" w:rsidR="00964B88" w:rsidRDefault="00964B88">
            <w:pPr>
              <w:cnfStyle w:val="000000000000" w:firstRow="0" w:lastRow="0" w:firstColumn="0" w:lastColumn="0" w:oddVBand="0" w:evenVBand="0" w:oddHBand="0" w:evenHBand="0" w:firstRowFirstColumn="0" w:firstRowLastColumn="0" w:lastRowFirstColumn="0" w:lastRowLastColumn="0"/>
            </w:pPr>
            <w:r>
              <w:t>741</w:t>
            </w:r>
          </w:p>
        </w:tc>
        <w:tc>
          <w:tcPr>
            <w:tcW w:w="850" w:type="dxa"/>
          </w:tcPr>
          <w:p w14:paraId="0D81EB74" w14:textId="77777777" w:rsidR="00964B88" w:rsidRDefault="00964B88">
            <w:pPr>
              <w:cnfStyle w:val="000000000000" w:firstRow="0" w:lastRow="0" w:firstColumn="0" w:lastColumn="0" w:oddVBand="0" w:evenVBand="0" w:oddHBand="0" w:evenHBand="0" w:firstRowFirstColumn="0" w:firstRowLastColumn="0" w:lastRowFirstColumn="0" w:lastRowLastColumn="0"/>
            </w:pPr>
            <w:r>
              <w:t>589</w:t>
            </w:r>
          </w:p>
        </w:tc>
        <w:tc>
          <w:tcPr>
            <w:tcW w:w="850" w:type="dxa"/>
          </w:tcPr>
          <w:p w14:paraId="4C327DAF" w14:textId="77777777" w:rsidR="00964B88" w:rsidRDefault="00964B88">
            <w:pPr>
              <w:cnfStyle w:val="000000000000" w:firstRow="0" w:lastRow="0" w:firstColumn="0" w:lastColumn="0" w:oddVBand="0" w:evenVBand="0" w:oddHBand="0" w:evenHBand="0" w:firstRowFirstColumn="0" w:firstRowLastColumn="0" w:lastRowFirstColumn="0" w:lastRowLastColumn="0"/>
            </w:pPr>
            <w:r>
              <w:t>580</w:t>
            </w:r>
          </w:p>
        </w:tc>
        <w:tc>
          <w:tcPr>
            <w:tcW w:w="850" w:type="dxa"/>
          </w:tcPr>
          <w:p w14:paraId="480C736C" w14:textId="77777777" w:rsidR="00964B88" w:rsidRDefault="00964B88">
            <w:pPr>
              <w:cnfStyle w:val="000000000000" w:firstRow="0" w:lastRow="0" w:firstColumn="0" w:lastColumn="0" w:oddVBand="0" w:evenVBand="0" w:oddHBand="0" w:evenHBand="0" w:firstRowFirstColumn="0" w:firstRowLastColumn="0" w:lastRowFirstColumn="0" w:lastRowLastColumn="0"/>
            </w:pPr>
            <w:r>
              <w:t>570</w:t>
            </w:r>
          </w:p>
        </w:tc>
      </w:tr>
      <w:tr w:rsidR="00964B88" w14:paraId="75790B8C" w14:textId="77777777">
        <w:tc>
          <w:tcPr>
            <w:cnfStyle w:val="001000000000" w:firstRow="0" w:lastRow="0" w:firstColumn="1" w:lastColumn="0" w:oddVBand="0" w:evenVBand="0" w:oddHBand="0" w:evenHBand="0" w:firstRowFirstColumn="0" w:firstRowLastColumn="0" w:lastRowFirstColumn="0" w:lastRowLastColumn="0"/>
            <w:tcW w:w="3518" w:type="dxa"/>
          </w:tcPr>
          <w:p w14:paraId="5390DB38" w14:textId="77777777" w:rsidR="00964B88" w:rsidRDefault="00964B88">
            <w:r>
              <w:t>Contributions by plan participants</w:t>
            </w:r>
          </w:p>
        </w:tc>
        <w:tc>
          <w:tcPr>
            <w:tcW w:w="850" w:type="dxa"/>
          </w:tcPr>
          <w:p w14:paraId="7736E156" w14:textId="77777777" w:rsidR="00964B88" w:rsidRDefault="00964B88">
            <w:pPr>
              <w:cnfStyle w:val="000000000000" w:firstRow="0" w:lastRow="0" w:firstColumn="0" w:lastColumn="0" w:oddVBand="0" w:evenVBand="0" w:oddHBand="0" w:evenHBand="0" w:firstRowFirstColumn="0" w:firstRowLastColumn="0" w:lastRowFirstColumn="0" w:lastRowLastColumn="0"/>
            </w:pPr>
            <w:r>
              <w:t>200</w:t>
            </w:r>
          </w:p>
        </w:tc>
        <w:tc>
          <w:tcPr>
            <w:tcW w:w="850" w:type="dxa"/>
          </w:tcPr>
          <w:p w14:paraId="0F6F92F6" w14:textId="77777777" w:rsidR="00964B88" w:rsidRDefault="00964B88">
            <w:pPr>
              <w:cnfStyle w:val="000000000000" w:firstRow="0" w:lastRow="0" w:firstColumn="0" w:lastColumn="0" w:oddVBand="0" w:evenVBand="0" w:oddHBand="0" w:evenHBand="0" w:firstRowFirstColumn="0" w:firstRowLastColumn="0" w:lastRowFirstColumn="0" w:lastRowLastColumn="0"/>
            </w:pPr>
            <w:r>
              <w:t>208</w:t>
            </w:r>
          </w:p>
        </w:tc>
        <w:tc>
          <w:tcPr>
            <w:tcW w:w="850" w:type="dxa"/>
          </w:tcPr>
          <w:p w14:paraId="46659E70" w14:textId="77777777" w:rsidR="00964B88" w:rsidRDefault="00964B88">
            <w:pPr>
              <w:cnfStyle w:val="000000000000" w:firstRow="0" w:lastRow="0" w:firstColumn="0" w:lastColumn="0" w:oddVBand="0" w:evenVBand="0" w:oddHBand="0" w:evenHBand="0" w:firstRowFirstColumn="0" w:firstRowLastColumn="0" w:lastRowFirstColumn="0" w:lastRowLastColumn="0"/>
            </w:pPr>
            <w:r>
              <w:t>204</w:t>
            </w:r>
          </w:p>
        </w:tc>
        <w:tc>
          <w:tcPr>
            <w:tcW w:w="850" w:type="dxa"/>
          </w:tcPr>
          <w:p w14:paraId="437C1BEF" w14:textId="77777777" w:rsidR="00964B88" w:rsidRDefault="00964B88">
            <w:pPr>
              <w:cnfStyle w:val="000000000000" w:firstRow="0" w:lastRow="0" w:firstColumn="0" w:lastColumn="0" w:oddVBand="0" w:evenVBand="0" w:oddHBand="0" w:evenHBand="0" w:firstRowFirstColumn="0" w:firstRowLastColumn="0" w:lastRowFirstColumn="0" w:lastRowLastColumn="0"/>
            </w:pPr>
            <w:r>
              <w:t>201</w:t>
            </w:r>
          </w:p>
        </w:tc>
        <w:tc>
          <w:tcPr>
            <w:tcW w:w="850" w:type="dxa"/>
          </w:tcPr>
          <w:p w14:paraId="0B487339" w14:textId="77777777" w:rsidR="00964B88" w:rsidRDefault="00964B88">
            <w:pPr>
              <w:cnfStyle w:val="000000000000" w:firstRow="0" w:lastRow="0" w:firstColumn="0" w:lastColumn="0" w:oddVBand="0" w:evenVBand="0" w:oddHBand="0" w:evenHBand="0" w:firstRowFirstColumn="0" w:firstRowLastColumn="0" w:lastRowFirstColumn="0" w:lastRowLastColumn="0"/>
            </w:pPr>
            <w:r>
              <w:t>198</w:t>
            </w:r>
          </w:p>
        </w:tc>
      </w:tr>
      <w:tr w:rsidR="00964B88" w14:paraId="2891D702" w14:textId="77777777">
        <w:tc>
          <w:tcPr>
            <w:cnfStyle w:val="001000000000" w:firstRow="0" w:lastRow="0" w:firstColumn="1" w:lastColumn="0" w:oddVBand="0" w:evenVBand="0" w:oddHBand="0" w:evenHBand="0" w:firstRowFirstColumn="0" w:firstRowLastColumn="0" w:lastRowFirstColumn="0" w:lastRowLastColumn="0"/>
            <w:tcW w:w="3518" w:type="dxa"/>
          </w:tcPr>
          <w:p w14:paraId="3FBD02C1" w14:textId="77777777" w:rsidR="00964B88" w:rsidRDefault="00964B88">
            <w:r>
              <w:t>Actuarial (gains)/losses on the defined benefit obligation, due to:</w:t>
            </w:r>
          </w:p>
        </w:tc>
        <w:tc>
          <w:tcPr>
            <w:tcW w:w="850" w:type="dxa"/>
          </w:tcPr>
          <w:p w14:paraId="511F7A8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3FAD8EA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0455F5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066CCC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2CA5E5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45C1EE1D" w14:textId="77777777">
        <w:tc>
          <w:tcPr>
            <w:cnfStyle w:val="001000000000" w:firstRow="0" w:lastRow="0" w:firstColumn="1" w:lastColumn="0" w:oddVBand="0" w:evenVBand="0" w:oddHBand="0" w:evenHBand="0" w:firstRowFirstColumn="0" w:firstRowLastColumn="0" w:lastRowFirstColumn="0" w:lastRowLastColumn="0"/>
            <w:tcW w:w="3518" w:type="dxa"/>
          </w:tcPr>
          <w:p w14:paraId="7DF22A65" w14:textId="77777777" w:rsidR="00964B88" w:rsidRDefault="00964B88">
            <w:r>
              <w:t>Changes in financial assumptions</w:t>
            </w:r>
          </w:p>
        </w:tc>
        <w:tc>
          <w:tcPr>
            <w:tcW w:w="850" w:type="dxa"/>
          </w:tcPr>
          <w:p w14:paraId="4E515053"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20836A7A" w14:textId="77777777" w:rsidR="00964B88" w:rsidRDefault="00964B88">
            <w:pPr>
              <w:cnfStyle w:val="000000000000" w:firstRow="0" w:lastRow="0" w:firstColumn="0" w:lastColumn="0" w:oddVBand="0" w:evenVBand="0" w:oddHBand="0" w:evenHBand="0" w:firstRowFirstColumn="0" w:firstRowLastColumn="0" w:lastRowFirstColumn="0" w:lastRowLastColumn="0"/>
            </w:pPr>
            <w:r>
              <w:t>1 267</w:t>
            </w:r>
          </w:p>
        </w:tc>
        <w:tc>
          <w:tcPr>
            <w:tcW w:w="850" w:type="dxa"/>
          </w:tcPr>
          <w:p w14:paraId="6C989A7E"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356BBB4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00FB5A4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2F049358"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3BD8B676" w14:textId="77777777" w:rsidR="00964B88" w:rsidRDefault="00964B88">
            <w:r>
              <w:t>Benefits paid</w:t>
            </w:r>
          </w:p>
        </w:tc>
        <w:tc>
          <w:tcPr>
            <w:tcW w:w="850" w:type="dxa"/>
            <w:tcBorders>
              <w:bottom w:val="single" w:sz="6" w:space="0" w:color="auto"/>
            </w:tcBorders>
          </w:tcPr>
          <w:p w14:paraId="03DCAFB4" w14:textId="77777777" w:rsidR="00964B88" w:rsidRDefault="00964B88">
            <w:pPr>
              <w:cnfStyle w:val="000000000000" w:firstRow="0" w:lastRow="0" w:firstColumn="0" w:lastColumn="0" w:oddVBand="0" w:evenVBand="0" w:oddHBand="0" w:evenHBand="0" w:firstRowFirstColumn="0" w:firstRowLastColumn="0" w:lastRowFirstColumn="0" w:lastRowLastColumn="0"/>
            </w:pPr>
            <w:r>
              <w:t>(2 938)</w:t>
            </w:r>
          </w:p>
        </w:tc>
        <w:tc>
          <w:tcPr>
            <w:tcW w:w="850" w:type="dxa"/>
            <w:tcBorders>
              <w:bottom w:val="single" w:sz="6" w:space="0" w:color="auto"/>
            </w:tcBorders>
          </w:tcPr>
          <w:p w14:paraId="444D2FE8" w14:textId="77777777" w:rsidR="00964B88" w:rsidRDefault="00964B88">
            <w:pPr>
              <w:cnfStyle w:val="000000000000" w:firstRow="0" w:lastRow="0" w:firstColumn="0" w:lastColumn="0" w:oddVBand="0" w:evenVBand="0" w:oddHBand="0" w:evenHBand="0" w:firstRowFirstColumn="0" w:firstRowLastColumn="0" w:lastRowFirstColumn="0" w:lastRowLastColumn="0"/>
            </w:pPr>
            <w:r>
              <w:t>(2 955)</w:t>
            </w:r>
          </w:p>
        </w:tc>
        <w:tc>
          <w:tcPr>
            <w:tcW w:w="850" w:type="dxa"/>
            <w:tcBorders>
              <w:bottom w:val="single" w:sz="6" w:space="0" w:color="auto"/>
            </w:tcBorders>
          </w:tcPr>
          <w:p w14:paraId="6033B4DD" w14:textId="77777777" w:rsidR="00964B88" w:rsidRDefault="00964B88">
            <w:pPr>
              <w:cnfStyle w:val="000000000000" w:firstRow="0" w:lastRow="0" w:firstColumn="0" w:lastColumn="0" w:oddVBand="0" w:evenVBand="0" w:oddHBand="0" w:evenHBand="0" w:firstRowFirstColumn="0" w:firstRowLastColumn="0" w:lastRowFirstColumn="0" w:lastRowLastColumn="0"/>
            </w:pPr>
            <w:r>
              <w:t>(2 907)</w:t>
            </w:r>
          </w:p>
        </w:tc>
        <w:tc>
          <w:tcPr>
            <w:tcW w:w="850" w:type="dxa"/>
            <w:tcBorders>
              <w:bottom w:val="single" w:sz="6" w:space="0" w:color="auto"/>
            </w:tcBorders>
          </w:tcPr>
          <w:p w14:paraId="3AAE7D78" w14:textId="77777777" w:rsidR="00964B88" w:rsidRDefault="00964B88">
            <w:pPr>
              <w:cnfStyle w:val="000000000000" w:firstRow="0" w:lastRow="0" w:firstColumn="0" w:lastColumn="0" w:oddVBand="0" w:evenVBand="0" w:oddHBand="0" w:evenHBand="0" w:firstRowFirstColumn="0" w:firstRowLastColumn="0" w:lastRowFirstColumn="0" w:lastRowLastColumn="0"/>
            </w:pPr>
            <w:r>
              <w:t>(2 932)</w:t>
            </w:r>
          </w:p>
        </w:tc>
        <w:tc>
          <w:tcPr>
            <w:tcW w:w="850" w:type="dxa"/>
            <w:tcBorders>
              <w:bottom w:val="single" w:sz="6" w:space="0" w:color="auto"/>
            </w:tcBorders>
          </w:tcPr>
          <w:p w14:paraId="53102FBF" w14:textId="77777777" w:rsidR="00964B88" w:rsidRDefault="00964B88">
            <w:pPr>
              <w:cnfStyle w:val="000000000000" w:firstRow="0" w:lastRow="0" w:firstColumn="0" w:lastColumn="0" w:oddVBand="0" w:evenVBand="0" w:oddHBand="0" w:evenHBand="0" w:firstRowFirstColumn="0" w:firstRowLastColumn="0" w:lastRowFirstColumn="0" w:lastRowLastColumn="0"/>
            </w:pPr>
            <w:r>
              <w:t>(2 944)</w:t>
            </w:r>
          </w:p>
        </w:tc>
      </w:tr>
      <w:tr w:rsidR="00964B88" w14:paraId="5E66BFDB"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5D957274" w14:textId="77777777" w:rsidR="00964B88" w:rsidRDefault="00964B88">
            <w:r>
              <w:t>Closing balance of defined benefit obligation</w:t>
            </w:r>
          </w:p>
        </w:tc>
        <w:tc>
          <w:tcPr>
            <w:tcW w:w="850" w:type="dxa"/>
          </w:tcPr>
          <w:p w14:paraId="4954C407" w14:textId="77777777" w:rsidR="00964B88" w:rsidRDefault="00964B88">
            <w:pPr>
              <w:cnfStyle w:val="010000000000" w:firstRow="0" w:lastRow="1" w:firstColumn="0" w:lastColumn="0" w:oddVBand="0" w:evenVBand="0" w:oddHBand="0" w:evenHBand="0" w:firstRowFirstColumn="0" w:firstRowLastColumn="0" w:lastRowFirstColumn="0" w:lastRowLastColumn="0"/>
            </w:pPr>
            <w:r>
              <w:t>51 756</w:t>
            </w:r>
          </w:p>
        </w:tc>
        <w:tc>
          <w:tcPr>
            <w:tcW w:w="850" w:type="dxa"/>
          </w:tcPr>
          <w:p w14:paraId="53F10BFF" w14:textId="77777777" w:rsidR="00964B88" w:rsidRDefault="00964B88">
            <w:pPr>
              <w:cnfStyle w:val="010000000000" w:firstRow="0" w:lastRow="1" w:firstColumn="0" w:lastColumn="0" w:oddVBand="0" w:evenVBand="0" w:oddHBand="0" w:evenHBand="0" w:firstRowFirstColumn="0" w:firstRowLastColumn="0" w:lastRowFirstColumn="0" w:lastRowLastColumn="0"/>
            </w:pPr>
            <w:r>
              <w:t>52 782</w:t>
            </w:r>
          </w:p>
        </w:tc>
        <w:tc>
          <w:tcPr>
            <w:tcW w:w="850" w:type="dxa"/>
          </w:tcPr>
          <w:p w14:paraId="61660C1A" w14:textId="77777777" w:rsidR="00964B88" w:rsidRDefault="00964B88">
            <w:pPr>
              <w:cnfStyle w:val="010000000000" w:firstRow="0" w:lastRow="1" w:firstColumn="0" w:lastColumn="0" w:oddVBand="0" w:evenVBand="0" w:oddHBand="0" w:evenHBand="0" w:firstRowFirstColumn="0" w:firstRowLastColumn="0" w:lastRowFirstColumn="0" w:lastRowLastColumn="0"/>
            </w:pPr>
            <w:r>
              <w:t>51 805</w:t>
            </w:r>
          </w:p>
        </w:tc>
        <w:tc>
          <w:tcPr>
            <w:tcW w:w="850" w:type="dxa"/>
          </w:tcPr>
          <w:p w14:paraId="22EB32D0" w14:textId="77777777" w:rsidR="00964B88" w:rsidRDefault="00964B88">
            <w:pPr>
              <w:cnfStyle w:val="010000000000" w:firstRow="0" w:lastRow="1" w:firstColumn="0" w:lastColumn="0" w:oddVBand="0" w:evenVBand="0" w:oddHBand="0" w:evenHBand="0" w:firstRowFirstColumn="0" w:firstRowLastColumn="0" w:lastRowFirstColumn="0" w:lastRowLastColumn="0"/>
            </w:pPr>
            <w:r>
              <w:t>50 845</w:t>
            </w:r>
          </w:p>
        </w:tc>
        <w:tc>
          <w:tcPr>
            <w:tcW w:w="850" w:type="dxa"/>
          </w:tcPr>
          <w:p w14:paraId="34092896" w14:textId="77777777" w:rsidR="00964B88" w:rsidRDefault="00964B88">
            <w:pPr>
              <w:cnfStyle w:val="010000000000" w:firstRow="0" w:lastRow="1" w:firstColumn="0" w:lastColumn="0" w:oddVBand="0" w:evenVBand="0" w:oddHBand="0" w:evenHBand="0" w:firstRowFirstColumn="0" w:firstRowLastColumn="0" w:lastRowFirstColumn="0" w:lastRowLastColumn="0"/>
            </w:pPr>
            <w:r>
              <w:t>49 901</w:t>
            </w:r>
          </w:p>
        </w:tc>
      </w:tr>
    </w:tbl>
    <w:p w14:paraId="26DB2BB2" w14:textId="77777777" w:rsidR="00964B88" w:rsidRDefault="00964B88" w:rsidP="00F53820">
      <w:pPr>
        <w:keepLines w:val="0"/>
      </w:pPr>
      <w:r>
        <w:br w:type="page"/>
      </w:r>
    </w:p>
    <w:p w14:paraId="41281E29" w14:textId="77777777" w:rsidR="00964B88" w:rsidRDefault="00964B88" w:rsidP="00F53820">
      <w:pPr>
        <w:pStyle w:val="TableHeading"/>
      </w:pPr>
      <w:r w:rsidRPr="00771D23">
        <w:lastRenderedPageBreak/>
        <w:t>Reconciliation of the fair value of superannuation plan assets</w:t>
      </w:r>
      <w:r>
        <w:tab/>
        <w:t>($ million)</w:t>
      </w:r>
    </w:p>
    <w:tbl>
      <w:tblPr>
        <w:tblStyle w:val="DTFTable"/>
        <w:tblW w:w="7768" w:type="dxa"/>
        <w:tblLayout w:type="fixed"/>
        <w:tblLook w:val="06E0" w:firstRow="1" w:lastRow="1" w:firstColumn="1" w:lastColumn="0" w:noHBand="1" w:noVBand="1"/>
      </w:tblPr>
      <w:tblGrid>
        <w:gridCol w:w="3518"/>
        <w:gridCol w:w="850"/>
        <w:gridCol w:w="850"/>
        <w:gridCol w:w="850"/>
        <w:gridCol w:w="850"/>
        <w:gridCol w:w="850"/>
      </w:tblGrid>
      <w:tr w:rsidR="00964B88" w14:paraId="49EC3DAC"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8" w:type="dxa"/>
          </w:tcPr>
          <w:p w14:paraId="3B19E436" w14:textId="77777777" w:rsidR="00964B88" w:rsidRDefault="00964B88"/>
        </w:tc>
        <w:tc>
          <w:tcPr>
            <w:tcW w:w="850" w:type="dxa"/>
          </w:tcPr>
          <w:p w14:paraId="6B54B2DF"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2B5F0B40"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estimate</w:t>
            </w:r>
          </w:p>
        </w:tc>
        <w:tc>
          <w:tcPr>
            <w:tcW w:w="850" w:type="dxa"/>
          </w:tcPr>
          <w:p w14:paraId="783F620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329F8C5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2DD7C6A4"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4BBD6795" w14:textId="77777777">
        <w:tc>
          <w:tcPr>
            <w:cnfStyle w:val="001000000000" w:firstRow="0" w:lastRow="0" w:firstColumn="1" w:lastColumn="0" w:oddVBand="0" w:evenVBand="0" w:oddHBand="0" w:evenHBand="0" w:firstRowFirstColumn="0" w:firstRowLastColumn="0" w:lastRowFirstColumn="0" w:lastRowLastColumn="0"/>
            <w:tcW w:w="3518" w:type="dxa"/>
          </w:tcPr>
          <w:p w14:paraId="0706BCE4" w14:textId="77777777" w:rsidR="00964B88" w:rsidRDefault="00964B88">
            <w:r>
              <w:rPr>
                <w:b/>
              </w:rPr>
              <w:t>Opening balance of plan assets</w:t>
            </w:r>
          </w:p>
        </w:tc>
        <w:tc>
          <w:tcPr>
            <w:tcW w:w="850" w:type="dxa"/>
          </w:tcPr>
          <w:p w14:paraId="28891C4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23 781</w:t>
            </w:r>
          </w:p>
        </w:tc>
        <w:tc>
          <w:tcPr>
            <w:tcW w:w="850" w:type="dxa"/>
          </w:tcPr>
          <w:p w14:paraId="2F0F3C3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23 781</w:t>
            </w:r>
          </w:p>
        </w:tc>
        <w:tc>
          <w:tcPr>
            <w:tcW w:w="850" w:type="dxa"/>
          </w:tcPr>
          <w:p w14:paraId="7685008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24 345</w:t>
            </w:r>
          </w:p>
        </w:tc>
        <w:tc>
          <w:tcPr>
            <w:tcW w:w="850" w:type="dxa"/>
          </w:tcPr>
          <w:p w14:paraId="6773693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24 961</w:t>
            </w:r>
          </w:p>
        </w:tc>
        <w:tc>
          <w:tcPr>
            <w:tcW w:w="850" w:type="dxa"/>
          </w:tcPr>
          <w:p w14:paraId="5197E87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25 515</w:t>
            </w:r>
          </w:p>
        </w:tc>
      </w:tr>
      <w:tr w:rsidR="00964B88" w14:paraId="1C845403" w14:textId="77777777">
        <w:tc>
          <w:tcPr>
            <w:cnfStyle w:val="001000000000" w:firstRow="0" w:lastRow="0" w:firstColumn="1" w:lastColumn="0" w:oddVBand="0" w:evenVBand="0" w:oddHBand="0" w:evenHBand="0" w:firstRowFirstColumn="0" w:firstRowLastColumn="0" w:lastRowFirstColumn="0" w:lastRowLastColumn="0"/>
            <w:tcW w:w="3518" w:type="dxa"/>
          </w:tcPr>
          <w:p w14:paraId="3C3B96DF" w14:textId="77777777" w:rsidR="00964B88" w:rsidRDefault="00964B88">
            <w:r>
              <w:t>Interest income</w:t>
            </w:r>
          </w:p>
        </w:tc>
        <w:tc>
          <w:tcPr>
            <w:tcW w:w="850" w:type="dxa"/>
          </w:tcPr>
          <w:p w14:paraId="5517B763" w14:textId="77777777" w:rsidR="00964B88" w:rsidRDefault="00964B88">
            <w:pPr>
              <w:cnfStyle w:val="000000000000" w:firstRow="0" w:lastRow="0" w:firstColumn="0" w:lastColumn="0" w:oddVBand="0" w:evenVBand="0" w:oddHBand="0" w:evenHBand="0" w:firstRowFirstColumn="0" w:firstRowLastColumn="0" w:lastRowFirstColumn="0" w:lastRowLastColumn="0"/>
            </w:pPr>
            <w:r>
              <w:t>423</w:t>
            </w:r>
          </w:p>
        </w:tc>
        <w:tc>
          <w:tcPr>
            <w:tcW w:w="850" w:type="dxa"/>
          </w:tcPr>
          <w:p w14:paraId="09E32AA8" w14:textId="77777777" w:rsidR="00964B88" w:rsidRDefault="00964B88">
            <w:pPr>
              <w:cnfStyle w:val="000000000000" w:firstRow="0" w:lastRow="0" w:firstColumn="0" w:lastColumn="0" w:oddVBand="0" w:evenVBand="0" w:oddHBand="0" w:evenHBand="0" w:firstRowFirstColumn="0" w:firstRowLastColumn="0" w:lastRowFirstColumn="0" w:lastRowLastColumn="0"/>
            </w:pPr>
            <w:r>
              <w:t>334</w:t>
            </w:r>
          </w:p>
        </w:tc>
        <w:tc>
          <w:tcPr>
            <w:tcW w:w="850" w:type="dxa"/>
          </w:tcPr>
          <w:p w14:paraId="6AE832C4" w14:textId="77777777" w:rsidR="00964B88" w:rsidRDefault="00964B88">
            <w:pPr>
              <w:cnfStyle w:val="000000000000" w:firstRow="0" w:lastRow="0" w:firstColumn="0" w:lastColumn="0" w:oddVBand="0" w:evenVBand="0" w:oddHBand="0" w:evenHBand="0" w:firstRowFirstColumn="0" w:firstRowLastColumn="0" w:lastRowFirstColumn="0" w:lastRowLastColumn="0"/>
            </w:pPr>
            <w:r>
              <w:t>261</w:t>
            </w:r>
          </w:p>
        </w:tc>
        <w:tc>
          <w:tcPr>
            <w:tcW w:w="850" w:type="dxa"/>
          </w:tcPr>
          <w:p w14:paraId="68F06AD5" w14:textId="77777777" w:rsidR="00964B88" w:rsidRDefault="00964B88">
            <w:pPr>
              <w:cnfStyle w:val="000000000000" w:firstRow="0" w:lastRow="0" w:firstColumn="0" w:lastColumn="0" w:oddVBand="0" w:evenVBand="0" w:oddHBand="0" w:evenHBand="0" w:firstRowFirstColumn="0" w:firstRowLastColumn="0" w:lastRowFirstColumn="0" w:lastRowLastColumn="0"/>
            </w:pPr>
            <w:r>
              <w:t>268</w:t>
            </w:r>
          </w:p>
        </w:tc>
        <w:tc>
          <w:tcPr>
            <w:tcW w:w="850" w:type="dxa"/>
          </w:tcPr>
          <w:p w14:paraId="6A3F614A" w14:textId="77777777" w:rsidR="00964B88" w:rsidRDefault="00964B88">
            <w:pPr>
              <w:cnfStyle w:val="000000000000" w:firstRow="0" w:lastRow="0" w:firstColumn="0" w:lastColumn="0" w:oddVBand="0" w:evenVBand="0" w:oddHBand="0" w:evenHBand="0" w:firstRowFirstColumn="0" w:firstRowLastColumn="0" w:lastRowFirstColumn="0" w:lastRowLastColumn="0"/>
            </w:pPr>
            <w:r>
              <w:t>274</w:t>
            </w:r>
          </w:p>
        </w:tc>
      </w:tr>
      <w:tr w:rsidR="00964B88" w14:paraId="4CAE3049" w14:textId="77777777">
        <w:tc>
          <w:tcPr>
            <w:cnfStyle w:val="001000000000" w:firstRow="0" w:lastRow="0" w:firstColumn="1" w:lastColumn="0" w:oddVBand="0" w:evenVBand="0" w:oddHBand="0" w:evenHBand="0" w:firstRowFirstColumn="0" w:firstRowLastColumn="0" w:lastRowFirstColumn="0" w:lastRowLastColumn="0"/>
            <w:tcW w:w="3518" w:type="dxa"/>
          </w:tcPr>
          <w:p w14:paraId="1B97C1CC" w14:textId="77777777" w:rsidR="00964B88" w:rsidRDefault="00964B88">
            <w:r>
              <w:t>Return on plan assets not included in interest income</w:t>
            </w:r>
          </w:p>
        </w:tc>
        <w:tc>
          <w:tcPr>
            <w:tcW w:w="850" w:type="dxa"/>
          </w:tcPr>
          <w:p w14:paraId="27F26642" w14:textId="77777777" w:rsidR="00964B88" w:rsidRDefault="00964B88">
            <w:pPr>
              <w:cnfStyle w:val="000000000000" w:firstRow="0" w:lastRow="0" w:firstColumn="0" w:lastColumn="0" w:oddVBand="0" w:evenVBand="0" w:oddHBand="0" w:evenHBand="0" w:firstRowFirstColumn="0" w:firstRowLastColumn="0" w:lastRowFirstColumn="0" w:lastRowLastColumn="0"/>
            </w:pPr>
            <w:r>
              <w:t>1 109</w:t>
            </w:r>
          </w:p>
        </w:tc>
        <w:tc>
          <w:tcPr>
            <w:tcW w:w="850" w:type="dxa"/>
          </w:tcPr>
          <w:p w14:paraId="1949BFD4" w14:textId="77777777" w:rsidR="00964B88" w:rsidRDefault="00964B88">
            <w:pPr>
              <w:cnfStyle w:val="000000000000" w:firstRow="0" w:lastRow="0" w:firstColumn="0" w:lastColumn="0" w:oddVBand="0" w:evenVBand="0" w:oddHBand="0" w:evenHBand="0" w:firstRowFirstColumn="0" w:firstRowLastColumn="0" w:lastRowFirstColumn="0" w:lastRowLastColumn="0"/>
            </w:pPr>
            <w:r>
              <w:t>1 330</w:t>
            </w:r>
          </w:p>
        </w:tc>
        <w:tc>
          <w:tcPr>
            <w:tcW w:w="850" w:type="dxa"/>
          </w:tcPr>
          <w:p w14:paraId="3D50F74A" w14:textId="77777777" w:rsidR="00964B88" w:rsidRDefault="00964B88">
            <w:pPr>
              <w:cnfStyle w:val="000000000000" w:firstRow="0" w:lastRow="0" w:firstColumn="0" w:lastColumn="0" w:oddVBand="0" w:evenVBand="0" w:oddHBand="0" w:evenHBand="0" w:firstRowFirstColumn="0" w:firstRowLastColumn="0" w:lastRowFirstColumn="0" w:lastRowLastColumn="0"/>
            </w:pPr>
            <w:r>
              <w:t>1 424</w:t>
            </w:r>
          </w:p>
        </w:tc>
        <w:tc>
          <w:tcPr>
            <w:tcW w:w="850" w:type="dxa"/>
          </w:tcPr>
          <w:p w14:paraId="662BB277" w14:textId="77777777" w:rsidR="00964B88" w:rsidRDefault="00964B88">
            <w:pPr>
              <w:cnfStyle w:val="000000000000" w:firstRow="0" w:lastRow="0" w:firstColumn="0" w:lastColumn="0" w:oddVBand="0" w:evenVBand="0" w:oddHBand="0" w:evenHBand="0" w:firstRowFirstColumn="0" w:firstRowLastColumn="0" w:lastRowFirstColumn="0" w:lastRowLastColumn="0"/>
            </w:pPr>
            <w:r>
              <w:t>1 454</w:t>
            </w:r>
          </w:p>
        </w:tc>
        <w:tc>
          <w:tcPr>
            <w:tcW w:w="850" w:type="dxa"/>
          </w:tcPr>
          <w:p w14:paraId="356A5E3E" w14:textId="77777777" w:rsidR="00964B88" w:rsidRDefault="00964B88">
            <w:pPr>
              <w:cnfStyle w:val="000000000000" w:firstRow="0" w:lastRow="0" w:firstColumn="0" w:lastColumn="0" w:oddVBand="0" w:evenVBand="0" w:oddHBand="0" w:evenHBand="0" w:firstRowFirstColumn="0" w:firstRowLastColumn="0" w:lastRowFirstColumn="0" w:lastRowLastColumn="0"/>
            </w:pPr>
            <w:r>
              <w:t>1 481</w:t>
            </w:r>
          </w:p>
        </w:tc>
      </w:tr>
      <w:tr w:rsidR="00964B88" w14:paraId="775FE8CB" w14:textId="77777777">
        <w:tc>
          <w:tcPr>
            <w:cnfStyle w:val="001000000000" w:firstRow="0" w:lastRow="0" w:firstColumn="1" w:lastColumn="0" w:oddVBand="0" w:evenVBand="0" w:oddHBand="0" w:evenHBand="0" w:firstRowFirstColumn="0" w:firstRowLastColumn="0" w:lastRowFirstColumn="0" w:lastRowLastColumn="0"/>
            <w:tcW w:w="3518" w:type="dxa"/>
          </w:tcPr>
          <w:p w14:paraId="517F5076" w14:textId="77777777" w:rsidR="00964B88" w:rsidRDefault="00964B88">
            <w:r>
              <w:t>Employer contributions</w:t>
            </w:r>
          </w:p>
        </w:tc>
        <w:tc>
          <w:tcPr>
            <w:tcW w:w="850" w:type="dxa"/>
          </w:tcPr>
          <w:p w14:paraId="1C3EA6F2" w14:textId="77777777" w:rsidR="00964B88" w:rsidRDefault="00964B88">
            <w:pPr>
              <w:cnfStyle w:val="000000000000" w:firstRow="0" w:lastRow="0" w:firstColumn="0" w:lastColumn="0" w:oddVBand="0" w:evenVBand="0" w:oddHBand="0" w:evenHBand="0" w:firstRowFirstColumn="0" w:firstRowLastColumn="0" w:lastRowFirstColumn="0" w:lastRowLastColumn="0"/>
            </w:pPr>
            <w:r>
              <w:t>1 631</w:t>
            </w:r>
          </w:p>
        </w:tc>
        <w:tc>
          <w:tcPr>
            <w:tcW w:w="850" w:type="dxa"/>
          </w:tcPr>
          <w:p w14:paraId="2A9750DB" w14:textId="77777777" w:rsidR="00964B88" w:rsidRDefault="00964B88">
            <w:pPr>
              <w:cnfStyle w:val="000000000000" w:firstRow="0" w:lastRow="0" w:firstColumn="0" w:lastColumn="0" w:oddVBand="0" w:evenVBand="0" w:oddHBand="0" w:evenHBand="0" w:firstRowFirstColumn="0" w:firstRowLastColumn="0" w:lastRowFirstColumn="0" w:lastRowLastColumn="0"/>
            </w:pPr>
            <w:r>
              <w:t>1 647</w:t>
            </w:r>
          </w:p>
        </w:tc>
        <w:tc>
          <w:tcPr>
            <w:tcW w:w="850" w:type="dxa"/>
          </w:tcPr>
          <w:p w14:paraId="0A05AB37" w14:textId="77777777" w:rsidR="00964B88" w:rsidRDefault="00964B88">
            <w:pPr>
              <w:cnfStyle w:val="000000000000" w:firstRow="0" w:lastRow="0" w:firstColumn="0" w:lastColumn="0" w:oddVBand="0" w:evenVBand="0" w:oddHBand="0" w:evenHBand="0" w:firstRowFirstColumn="0" w:firstRowLastColumn="0" w:lastRowFirstColumn="0" w:lastRowLastColumn="0"/>
            </w:pPr>
            <w:r>
              <w:t>1 634</w:t>
            </w:r>
          </w:p>
        </w:tc>
        <w:tc>
          <w:tcPr>
            <w:tcW w:w="850" w:type="dxa"/>
          </w:tcPr>
          <w:p w14:paraId="168625AA" w14:textId="77777777" w:rsidR="00964B88" w:rsidRDefault="00964B88">
            <w:pPr>
              <w:cnfStyle w:val="000000000000" w:firstRow="0" w:lastRow="0" w:firstColumn="0" w:lastColumn="0" w:oddVBand="0" w:evenVBand="0" w:oddHBand="0" w:evenHBand="0" w:firstRowFirstColumn="0" w:firstRowLastColumn="0" w:lastRowFirstColumn="0" w:lastRowLastColumn="0"/>
            </w:pPr>
            <w:r>
              <w:t>1 563</w:t>
            </w:r>
          </w:p>
        </w:tc>
        <w:tc>
          <w:tcPr>
            <w:tcW w:w="850" w:type="dxa"/>
          </w:tcPr>
          <w:p w14:paraId="335FA594" w14:textId="77777777" w:rsidR="00964B88" w:rsidRDefault="00964B88">
            <w:pPr>
              <w:cnfStyle w:val="000000000000" w:firstRow="0" w:lastRow="0" w:firstColumn="0" w:lastColumn="0" w:oddVBand="0" w:evenVBand="0" w:oddHBand="0" w:evenHBand="0" w:firstRowFirstColumn="0" w:firstRowLastColumn="0" w:lastRowFirstColumn="0" w:lastRowLastColumn="0"/>
            </w:pPr>
            <w:r>
              <w:t>1 561</w:t>
            </w:r>
          </w:p>
        </w:tc>
      </w:tr>
      <w:tr w:rsidR="00964B88" w14:paraId="4D822340" w14:textId="77777777">
        <w:tc>
          <w:tcPr>
            <w:cnfStyle w:val="001000000000" w:firstRow="0" w:lastRow="0" w:firstColumn="1" w:lastColumn="0" w:oddVBand="0" w:evenVBand="0" w:oddHBand="0" w:evenHBand="0" w:firstRowFirstColumn="0" w:firstRowLastColumn="0" w:lastRowFirstColumn="0" w:lastRowLastColumn="0"/>
            <w:tcW w:w="3518" w:type="dxa"/>
          </w:tcPr>
          <w:p w14:paraId="35729F45" w14:textId="77777777" w:rsidR="00964B88" w:rsidRDefault="00964B88">
            <w:r>
              <w:t>Contributions by plan participants</w:t>
            </w:r>
          </w:p>
        </w:tc>
        <w:tc>
          <w:tcPr>
            <w:tcW w:w="850" w:type="dxa"/>
          </w:tcPr>
          <w:p w14:paraId="0954E6B9" w14:textId="77777777" w:rsidR="00964B88" w:rsidRDefault="00964B88">
            <w:pPr>
              <w:cnfStyle w:val="000000000000" w:firstRow="0" w:lastRow="0" w:firstColumn="0" w:lastColumn="0" w:oddVBand="0" w:evenVBand="0" w:oddHBand="0" w:evenHBand="0" w:firstRowFirstColumn="0" w:firstRowLastColumn="0" w:lastRowFirstColumn="0" w:lastRowLastColumn="0"/>
            </w:pPr>
            <w:r>
              <w:t>200</w:t>
            </w:r>
          </w:p>
        </w:tc>
        <w:tc>
          <w:tcPr>
            <w:tcW w:w="850" w:type="dxa"/>
          </w:tcPr>
          <w:p w14:paraId="1923F3B8" w14:textId="77777777" w:rsidR="00964B88" w:rsidRDefault="00964B88">
            <w:pPr>
              <w:cnfStyle w:val="000000000000" w:firstRow="0" w:lastRow="0" w:firstColumn="0" w:lastColumn="0" w:oddVBand="0" w:evenVBand="0" w:oddHBand="0" w:evenHBand="0" w:firstRowFirstColumn="0" w:firstRowLastColumn="0" w:lastRowFirstColumn="0" w:lastRowLastColumn="0"/>
            </w:pPr>
            <w:r>
              <w:t>208</w:t>
            </w:r>
          </w:p>
        </w:tc>
        <w:tc>
          <w:tcPr>
            <w:tcW w:w="850" w:type="dxa"/>
          </w:tcPr>
          <w:p w14:paraId="13498947" w14:textId="77777777" w:rsidR="00964B88" w:rsidRDefault="00964B88">
            <w:pPr>
              <w:cnfStyle w:val="000000000000" w:firstRow="0" w:lastRow="0" w:firstColumn="0" w:lastColumn="0" w:oddVBand="0" w:evenVBand="0" w:oddHBand="0" w:evenHBand="0" w:firstRowFirstColumn="0" w:firstRowLastColumn="0" w:lastRowFirstColumn="0" w:lastRowLastColumn="0"/>
            </w:pPr>
            <w:r>
              <w:t>204</w:t>
            </w:r>
          </w:p>
        </w:tc>
        <w:tc>
          <w:tcPr>
            <w:tcW w:w="850" w:type="dxa"/>
          </w:tcPr>
          <w:p w14:paraId="07241B73" w14:textId="77777777" w:rsidR="00964B88" w:rsidRDefault="00964B88">
            <w:pPr>
              <w:cnfStyle w:val="000000000000" w:firstRow="0" w:lastRow="0" w:firstColumn="0" w:lastColumn="0" w:oddVBand="0" w:evenVBand="0" w:oddHBand="0" w:evenHBand="0" w:firstRowFirstColumn="0" w:firstRowLastColumn="0" w:lastRowFirstColumn="0" w:lastRowLastColumn="0"/>
            </w:pPr>
            <w:r>
              <w:t>201</w:t>
            </w:r>
          </w:p>
        </w:tc>
        <w:tc>
          <w:tcPr>
            <w:tcW w:w="850" w:type="dxa"/>
          </w:tcPr>
          <w:p w14:paraId="0F3DB62A" w14:textId="77777777" w:rsidR="00964B88" w:rsidRDefault="00964B88">
            <w:pPr>
              <w:cnfStyle w:val="000000000000" w:firstRow="0" w:lastRow="0" w:firstColumn="0" w:lastColumn="0" w:oddVBand="0" w:evenVBand="0" w:oddHBand="0" w:evenHBand="0" w:firstRowFirstColumn="0" w:firstRowLastColumn="0" w:lastRowFirstColumn="0" w:lastRowLastColumn="0"/>
            </w:pPr>
            <w:r>
              <w:t>198</w:t>
            </w:r>
          </w:p>
        </w:tc>
      </w:tr>
      <w:tr w:rsidR="00964B88" w14:paraId="58CE5123" w14:textId="77777777" w:rsidTr="00F53820">
        <w:tc>
          <w:tcPr>
            <w:cnfStyle w:val="001000000000" w:firstRow="0" w:lastRow="0" w:firstColumn="1" w:lastColumn="0" w:oddVBand="0" w:evenVBand="0" w:oddHBand="0" w:evenHBand="0" w:firstRowFirstColumn="0" w:firstRowLastColumn="0" w:lastRowFirstColumn="0" w:lastRowLastColumn="0"/>
            <w:tcW w:w="3518" w:type="dxa"/>
            <w:tcBorders>
              <w:bottom w:val="single" w:sz="6" w:space="0" w:color="auto"/>
            </w:tcBorders>
          </w:tcPr>
          <w:p w14:paraId="148F3EB8" w14:textId="77777777" w:rsidR="00964B88" w:rsidRDefault="00964B88">
            <w:r>
              <w:t>Benefits paid (including tax paid)</w:t>
            </w:r>
          </w:p>
        </w:tc>
        <w:tc>
          <w:tcPr>
            <w:tcW w:w="850" w:type="dxa"/>
            <w:tcBorders>
              <w:bottom w:val="single" w:sz="6" w:space="0" w:color="auto"/>
            </w:tcBorders>
          </w:tcPr>
          <w:p w14:paraId="5665E4F8" w14:textId="77777777" w:rsidR="00964B88" w:rsidRDefault="00964B88">
            <w:pPr>
              <w:cnfStyle w:val="000000000000" w:firstRow="0" w:lastRow="0" w:firstColumn="0" w:lastColumn="0" w:oddVBand="0" w:evenVBand="0" w:oddHBand="0" w:evenHBand="0" w:firstRowFirstColumn="0" w:firstRowLastColumn="0" w:lastRowFirstColumn="0" w:lastRowLastColumn="0"/>
            </w:pPr>
            <w:r>
              <w:t>(2 938)</w:t>
            </w:r>
          </w:p>
        </w:tc>
        <w:tc>
          <w:tcPr>
            <w:tcW w:w="850" w:type="dxa"/>
            <w:tcBorders>
              <w:bottom w:val="single" w:sz="6" w:space="0" w:color="auto"/>
            </w:tcBorders>
          </w:tcPr>
          <w:p w14:paraId="1E0DECEA" w14:textId="77777777" w:rsidR="00964B88" w:rsidRDefault="00964B88">
            <w:pPr>
              <w:cnfStyle w:val="000000000000" w:firstRow="0" w:lastRow="0" w:firstColumn="0" w:lastColumn="0" w:oddVBand="0" w:evenVBand="0" w:oddHBand="0" w:evenHBand="0" w:firstRowFirstColumn="0" w:firstRowLastColumn="0" w:lastRowFirstColumn="0" w:lastRowLastColumn="0"/>
            </w:pPr>
            <w:r>
              <w:t>(2 955)</w:t>
            </w:r>
          </w:p>
        </w:tc>
        <w:tc>
          <w:tcPr>
            <w:tcW w:w="850" w:type="dxa"/>
            <w:tcBorders>
              <w:bottom w:val="single" w:sz="6" w:space="0" w:color="auto"/>
            </w:tcBorders>
          </w:tcPr>
          <w:p w14:paraId="1746994A" w14:textId="77777777" w:rsidR="00964B88" w:rsidRDefault="00964B88">
            <w:pPr>
              <w:cnfStyle w:val="000000000000" w:firstRow="0" w:lastRow="0" w:firstColumn="0" w:lastColumn="0" w:oddVBand="0" w:evenVBand="0" w:oddHBand="0" w:evenHBand="0" w:firstRowFirstColumn="0" w:firstRowLastColumn="0" w:lastRowFirstColumn="0" w:lastRowLastColumn="0"/>
            </w:pPr>
            <w:r>
              <w:t>(2 907)</w:t>
            </w:r>
          </w:p>
        </w:tc>
        <w:tc>
          <w:tcPr>
            <w:tcW w:w="850" w:type="dxa"/>
            <w:tcBorders>
              <w:bottom w:val="single" w:sz="6" w:space="0" w:color="auto"/>
            </w:tcBorders>
          </w:tcPr>
          <w:p w14:paraId="0A735BEA" w14:textId="77777777" w:rsidR="00964B88" w:rsidRDefault="00964B88">
            <w:pPr>
              <w:cnfStyle w:val="000000000000" w:firstRow="0" w:lastRow="0" w:firstColumn="0" w:lastColumn="0" w:oddVBand="0" w:evenVBand="0" w:oddHBand="0" w:evenHBand="0" w:firstRowFirstColumn="0" w:firstRowLastColumn="0" w:lastRowFirstColumn="0" w:lastRowLastColumn="0"/>
            </w:pPr>
            <w:r>
              <w:t>(2 932)</w:t>
            </w:r>
          </w:p>
        </w:tc>
        <w:tc>
          <w:tcPr>
            <w:tcW w:w="850" w:type="dxa"/>
            <w:tcBorders>
              <w:bottom w:val="single" w:sz="6" w:space="0" w:color="auto"/>
            </w:tcBorders>
          </w:tcPr>
          <w:p w14:paraId="0699E40C" w14:textId="77777777" w:rsidR="00964B88" w:rsidRDefault="00964B88">
            <w:pPr>
              <w:cnfStyle w:val="000000000000" w:firstRow="0" w:lastRow="0" w:firstColumn="0" w:lastColumn="0" w:oddVBand="0" w:evenVBand="0" w:oddHBand="0" w:evenHBand="0" w:firstRowFirstColumn="0" w:firstRowLastColumn="0" w:lastRowFirstColumn="0" w:lastRowLastColumn="0"/>
            </w:pPr>
            <w:r>
              <w:t>(2 944)</w:t>
            </w:r>
          </w:p>
        </w:tc>
      </w:tr>
      <w:tr w:rsidR="00964B88" w14:paraId="78289E18"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7E0B8F11" w14:textId="77777777" w:rsidR="00964B88" w:rsidRDefault="00964B88">
            <w:r>
              <w:t>Closing balance of plan assets</w:t>
            </w:r>
          </w:p>
        </w:tc>
        <w:tc>
          <w:tcPr>
            <w:tcW w:w="850" w:type="dxa"/>
          </w:tcPr>
          <w:p w14:paraId="1C7C79D6" w14:textId="77777777" w:rsidR="00964B88" w:rsidRDefault="00964B88">
            <w:pPr>
              <w:cnfStyle w:val="010000000000" w:firstRow="0" w:lastRow="1" w:firstColumn="0" w:lastColumn="0" w:oddVBand="0" w:evenVBand="0" w:oddHBand="0" w:evenHBand="0" w:firstRowFirstColumn="0" w:firstRowLastColumn="0" w:lastRowFirstColumn="0" w:lastRowLastColumn="0"/>
            </w:pPr>
            <w:r>
              <w:t>24 205</w:t>
            </w:r>
          </w:p>
        </w:tc>
        <w:tc>
          <w:tcPr>
            <w:tcW w:w="850" w:type="dxa"/>
          </w:tcPr>
          <w:p w14:paraId="6E5AC78D" w14:textId="77777777" w:rsidR="00964B88" w:rsidRDefault="00964B88">
            <w:pPr>
              <w:cnfStyle w:val="010000000000" w:firstRow="0" w:lastRow="1" w:firstColumn="0" w:lastColumn="0" w:oddVBand="0" w:evenVBand="0" w:oddHBand="0" w:evenHBand="0" w:firstRowFirstColumn="0" w:firstRowLastColumn="0" w:lastRowFirstColumn="0" w:lastRowLastColumn="0"/>
            </w:pPr>
            <w:r>
              <w:t>24 345</w:t>
            </w:r>
          </w:p>
        </w:tc>
        <w:tc>
          <w:tcPr>
            <w:tcW w:w="850" w:type="dxa"/>
          </w:tcPr>
          <w:p w14:paraId="2BA670FF" w14:textId="77777777" w:rsidR="00964B88" w:rsidRDefault="00964B88">
            <w:pPr>
              <w:cnfStyle w:val="010000000000" w:firstRow="0" w:lastRow="1" w:firstColumn="0" w:lastColumn="0" w:oddVBand="0" w:evenVBand="0" w:oddHBand="0" w:evenHBand="0" w:firstRowFirstColumn="0" w:firstRowLastColumn="0" w:lastRowFirstColumn="0" w:lastRowLastColumn="0"/>
            </w:pPr>
            <w:r>
              <w:t>24 961</w:t>
            </w:r>
          </w:p>
        </w:tc>
        <w:tc>
          <w:tcPr>
            <w:tcW w:w="850" w:type="dxa"/>
          </w:tcPr>
          <w:p w14:paraId="2B49BB62" w14:textId="77777777" w:rsidR="00964B88" w:rsidRDefault="00964B88">
            <w:pPr>
              <w:cnfStyle w:val="010000000000" w:firstRow="0" w:lastRow="1" w:firstColumn="0" w:lastColumn="0" w:oddVBand="0" w:evenVBand="0" w:oddHBand="0" w:evenHBand="0" w:firstRowFirstColumn="0" w:firstRowLastColumn="0" w:lastRowFirstColumn="0" w:lastRowLastColumn="0"/>
            </w:pPr>
            <w:r>
              <w:t>25 515</w:t>
            </w:r>
          </w:p>
        </w:tc>
        <w:tc>
          <w:tcPr>
            <w:tcW w:w="850" w:type="dxa"/>
          </w:tcPr>
          <w:p w14:paraId="46A662C9" w14:textId="77777777" w:rsidR="00964B88" w:rsidRDefault="00964B88">
            <w:pPr>
              <w:cnfStyle w:val="010000000000" w:firstRow="0" w:lastRow="1" w:firstColumn="0" w:lastColumn="0" w:oddVBand="0" w:evenVBand="0" w:oddHBand="0" w:evenHBand="0" w:firstRowFirstColumn="0" w:firstRowLastColumn="0" w:lastRowFirstColumn="0" w:lastRowLastColumn="0"/>
            </w:pPr>
            <w:r>
              <w:t>26 084</w:t>
            </w:r>
          </w:p>
        </w:tc>
      </w:tr>
    </w:tbl>
    <w:p w14:paraId="49460032" w14:textId="77777777" w:rsidR="00964B88" w:rsidRDefault="00964B88">
      <w:pPr>
        <w:keepLines w:val="0"/>
      </w:pPr>
    </w:p>
    <w:p w14:paraId="1D825336" w14:textId="77777777" w:rsidR="00964B88" w:rsidRDefault="00964B88" w:rsidP="00F53820">
      <w:r>
        <w:t>See Note 4.3.2 for further information on superannuation assumptions.</w:t>
      </w:r>
    </w:p>
    <w:bookmarkEnd w:id="110"/>
    <w:p w14:paraId="2BBEF850" w14:textId="77777777" w:rsidR="00964B88" w:rsidRDefault="00964B88">
      <w:pPr>
        <w:keepLines w:val="0"/>
      </w:pPr>
      <w:r>
        <w:br w:type="page"/>
      </w:r>
    </w:p>
    <w:p w14:paraId="5848E9A8" w14:textId="77777777" w:rsidR="00964B88" w:rsidRDefault="00964B88" w:rsidP="00964B88">
      <w:pPr>
        <w:pStyle w:val="Heading2"/>
        <w:numPr>
          <w:ilvl w:val="1"/>
          <w:numId w:val="22"/>
        </w:numPr>
        <w:sectPr w:rsidR="00964B88" w:rsidSect="00F53820">
          <w:type w:val="continuous"/>
          <w:pgSz w:w="9979" w:h="14175" w:code="9"/>
          <w:pgMar w:top="850" w:right="1134" w:bottom="850" w:left="1134" w:header="624" w:footer="567" w:gutter="0"/>
          <w:cols w:space="567"/>
          <w:titlePg/>
          <w:docGrid w:linePitch="360"/>
        </w:sectPr>
      </w:pPr>
      <w:r>
        <w:lastRenderedPageBreak/>
        <w:t>OTHER DISCLOSURES</w:t>
      </w:r>
    </w:p>
    <w:p w14:paraId="0038AEA6" w14:textId="77777777" w:rsidR="00964B88" w:rsidRDefault="00964B88" w:rsidP="00F53820">
      <w:pPr>
        <w:pStyle w:val="Heading30"/>
      </w:pPr>
      <w:r>
        <w:t>Introduction</w:t>
      </w:r>
    </w:p>
    <w:p w14:paraId="1990B6E7" w14:textId="77777777" w:rsidR="00964B88" w:rsidRDefault="00964B88" w:rsidP="00F53820">
      <w:r>
        <w:t>This section includes several additional disclosures that assist the understanding of the Estimated Financial Statements.</w:t>
      </w:r>
    </w:p>
    <w:p w14:paraId="5FC56FEB" w14:textId="77777777" w:rsidR="00964B88" w:rsidRDefault="00964B88" w:rsidP="00F53820">
      <w:pPr>
        <w:pStyle w:val="Heading30"/>
        <w:pBdr>
          <w:bottom w:val="single" w:sz="4" w:space="1" w:color="auto"/>
        </w:pBdr>
      </w:pPr>
      <w:r>
        <w:br w:type="column"/>
      </w:r>
      <w:r>
        <w:t>Structure</w:t>
      </w:r>
    </w:p>
    <w:p w14:paraId="346374D4" w14:textId="341D644E" w:rsidR="00964B88" w:rsidRDefault="00964B88">
      <w:pPr>
        <w:pStyle w:val="TOC9"/>
        <w:rPr>
          <w:rFonts w:eastAsiaTheme="minorEastAsia"/>
          <w:noProof/>
          <w:spacing w:val="0"/>
          <w:lang w:eastAsia="en-AU"/>
        </w:rPr>
      </w:pPr>
      <w:r w:rsidRPr="00F033D6">
        <w:rPr>
          <w:noProof/>
          <w:lang w:val="en-US"/>
        </w:rPr>
        <w:t>4.7.1</w:t>
      </w:r>
      <w:r>
        <w:rPr>
          <w:rFonts w:eastAsiaTheme="minorEastAsia"/>
          <w:noProof/>
          <w:spacing w:val="0"/>
          <w:lang w:eastAsia="en-AU"/>
        </w:rPr>
        <w:tab/>
      </w:r>
      <w:r w:rsidRPr="00F033D6">
        <w:rPr>
          <w:noProof/>
        </w:rPr>
        <w:t>Other gains/(losses) from other economic flows</w:t>
      </w:r>
      <w:r>
        <w:rPr>
          <w:noProof/>
          <w:webHidden/>
        </w:rPr>
        <w:tab/>
      </w:r>
      <w:r w:rsidR="00F033D6">
        <w:rPr>
          <w:noProof/>
          <w:webHidden/>
        </w:rPr>
        <w:t>73</w:t>
      </w:r>
    </w:p>
    <w:p w14:paraId="6685A8A1" w14:textId="323433E8" w:rsidR="00964B88" w:rsidRPr="00700A2B" w:rsidRDefault="00964B88">
      <w:pPr>
        <w:pStyle w:val="TOC9"/>
        <w:rPr>
          <w:rFonts w:eastAsiaTheme="minorEastAsia"/>
          <w:noProof/>
          <w:spacing w:val="0"/>
          <w:lang w:eastAsia="en-AU"/>
        </w:rPr>
      </w:pPr>
      <w:r w:rsidRPr="00F033D6">
        <w:rPr>
          <w:noProof/>
          <w:lang w:val="en-US"/>
        </w:rPr>
        <w:t>4.7.2</w:t>
      </w:r>
      <w:r w:rsidRPr="00700A2B">
        <w:rPr>
          <w:rFonts w:eastAsiaTheme="minorEastAsia"/>
          <w:noProof/>
          <w:spacing w:val="0"/>
          <w:lang w:eastAsia="en-AU"/>
        </w:rPr>
        <w:tab/>
      </w:r>
      <w:r w:rsidRPr="00F033D6">
        <w:rPr>
          <w:noProof/>
        </w:rPr>
        <w:t>Reconciliation to Government Finance Statistics</w:t>
      </w:r>
      <w:r w:rsidRPr="00700A2B">
        <w:rPr>
          <w:noProof/>
          <w:webHidden/>
        </w:rPr>
        <w:tab/>
      </w:r>
      <w:r w:rsidR="00F033D6">
        <w:rPr>
          <w:noProof/>
          <w:webHidden/>
        </w:rPr>
        <w:t>74</w:t>
      </w:r>
    </w:p>
    <w:p w14:paraId="30A30A7F" w14:textId="6BFAE6B4" w:rsidR="00964B88" w:rsidRDefault="00964B88">
      <w:pPr>
        <w:pStyle w:val="TOC9"/>
        <w:rPr>
          <w:rFonts w:eastAsiaTheme="minorEastAsia"/>
          <w:noProof/>
          <w:spacing w:val="0"/>
          <w:lang w:eastAsia="en-AU"/>
        </w:rPr>
      </w:pPr>
      <w:r w:rsidRPr="00F033D6">
        <w:rPr>
          <w:noProof/>
        </w:rPr>
        <w:t>4.7.3</w:t>
      </w:r>
      <w:r w:rsidRPr="00700A2B">
        <w:rPr>
          <w:rFonts w:eastAsiaTheme="minorEastAsia"/>
          <w:noProof/>
          <w:spacing w:val="0"/>
          <w:lang w:eastAsia="en-AU"/>
        </w:rPr>
        <w:tab/>
      </w:r>
      <w:r w:rsidRPr="00F033D6">
        <w:rPr>
          <w:noProof/>
        </w:rPr>
        <w:t>Prospective accounting and reporting changes</w:t>
      </w:r>
      <w:r w:rsidRPr="00700A2B">
        <w:rPr>
          <w:noProof/>
          <w:webHidden/>
        </w:rPr>
        <w:tab/>
      </w:r>
      <w:r w:rsidR="00F033D6">
        <w:rPr>
          <w:noProof/>
          <w:webHidden/>
        </w:rPr>
        <w:t>75</w:t>
      </w:r>
    </w:p>
    <w:p w14:paraId="79D67416" w14:textId="57E60439" w:rsidR="00964B88" w:rsidRDefault="00964B88">
      <w:pPr>
        <w:pStyle w:val="TOC9"/>
        <w:rPr>
          <w:rFonts w:eastAsiaTheme="minorEastAsia"/>
          <w:noProof/>
          <w:spacing w:val="0"/>
          <w:lang w:eastAsia="en-AU"/>
        </w:rPr>
      </w:pPr>
      <w:r w:rsidRPr="00F033D6">
        <w:rPr>
          <w:noProof/>
        </w:rPr>
        <w:t>4.7.4</w:t>
      </w:r>
      <w:r>
        <w:rPr>
          <w:rFonts w:eastAsiaTheme="minorEastAsia"/>
          <w:noProof/>
          <w:spacing w:val="0"/>
          <w:lang w:eastAsia="en-AU"/>
        </w:rPr>
        <w:tab/>
      </w:r>
      <w:r w:rsidRPr="00F033D6">
        <w:rPr>
          <w:noProof/>
        </w:rPr>
        <w:t>Controlled entities</w:t>
      </w:r>
      <w:r>
        <w:rPr>
          <w:noProof/>
          <w:webHidden/>
        </w:rPr>
        <w:tab/>
      </w:r>
      <w:r w:rsidR="00F033D6">
        <w:rPr>
          <w:noProof/>
          <w:webHidden/>
        </w:rPr>
        <w:t>75</w:t>
      </w:r>
    </w:p>
    <w:p w14:paraId="33307AE9" w14:textId="18CAB8BA" w:rsidR="00964B88" w:rsidRDefault="00964B88" w:rsidP="00F53820"/>
    <w:p w14:paraId="65E80D7D" w14:textId="77777777" w:rsidR="00964B88" w:rsidRDefault="00964B88" w:rsidP="00F53820">
      <w:pPr>
        <w:sectPr w:rsidR="00964B88" w:rsidSect="00F53820">
          <w:type w:val="continuous"/>
          <w:pgSz w:w="9979" w:h="14175" w:code="9"/>
          <w:pgMar w:top="850" w:right="1134" w:bottom="850" w:left="1134" w:header="624" w:footer="567" w:gutter="0"/>
          <w:cols w:num="2" w:space="567"/>
          <w:titlePg/>
          <w:docGrid w:linePitch="360"/>
        </w:sectPr>
      </w:pPr>
    </w:p>
    <w:p w14:paraId="125A743E" w14:textId="77777777" w:rsidR="00964B88" w:rsidRPr="001D7AD2" w:rsidRDefault="00964B88" w:rsidP="00964B88">
      <w:pPr>
        <w:pStyle w:val="Heading3"/>
        <w:numPr>
          <w:ilvl w:val="2"/>
          <w:numId w:val="22"/>
        </w:numPr>
        <w:tabs>
          <w:tab w:val="clear" w:pos="7711"/>
          <w:tab w:val="left" w:pos="850"/>
          <w:tab w:val="right" w:pos="7710"/>
        </w:tabs>
        <w:spacing w:after="60"/>
        <w:rPr>
          <w:lang w:val="en-US"/>
        </w:rPr>
      </w:pPr>
      <w:bookmarkStart w:id="114" w:name="_Toc496606682"/>
      <w:bookmarkStart w:id="115" w:name="_Toc23766061"/>
      <w:bookmarkStart w:id="116" w:name="Section_7"/>
      <w:r w:rsidRPr="0010447C">
        <w:rPr>
          <w:rStyle w:val="Heading3Char0"/>
          <w:b/>
          <w:bCs/>
          <w:sz w:val="22"/>
        </w:rPr>
        <w:t>Other</w:t>
      </w:r>
      <w:r w:rsidRPr="00207ACA">
        <w:rPr>
          <w:rStyle w:val="Heading3Char0"/>
        </w:rPr>
        <w:t xml:space="preserve"> </w:t>
      </w:r>
      <w:r w:rsidRPr="0010447C">
        <w:t>gains/(losses) from other economic flows</w:t>
      </w:r>
      <w:r>
        <w:tab/>
        <w:t>($ million)</w:t>
      </w:r>
      <w:bookmarkEnd w:id="114"/>
      <w:bookmarkEnd w:id="115"/>
    </w:p>
    <w:tbl>
      <w:tblPr>
        <w:tblStyle w:val="DTFTable"/>
        <w:tblW w:w="7768" w:type="dxa"/>
        <w:tblLayout w:type="fixed"/>
        <w:tblLook w:val="06E0" w:firstRow="1" w:lastRow="1" w:firstColumn="1" w:lastColumn="0" w:noHBand="1" w:noVBand="1"/>
      </w:tblPr>
      <w:tblGrid>
        <w:gridCol w:w="3998"/>
        <w:gridCol w:w="754"/>
        <w:gridCol w:w="754"/>
        <w:gridCol w:w="754"/>
        <w:gridCol w:w="754"/>
        <w:gridCol w:w="754"/>
      </w:tblGrid>
      <w:tr w:rsidR="00964B88" w14:paraId="44DBE0B0" w14:textId="77777777" w:rsidTr="00D95F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14:paraId="332A1D5B" w14:textId="77777777" w:rsidR="00964B88" w:rsidRDefault="00964B88"/>
        </w:tc>
        <w:tc>
          <w:tcPr>
            <w:tcW w:w="754" w:type="dxa"/>
          </w:tcPr>
          <w:p w14:paraId="71B4F3B0"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754" w:type="dxa"/>
          </w:tcPr>
          <w:p w14:paraId="45F599A7"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754" w:type="dxa"/>
          </w:tcPr>
          <w:p w14:paraId="7A14791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754" w:type="dxa"/>
          </w:tcPr>
          <w:p w14:paraId="7E76C7B0"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754" w:type="dxa"/>
          </w:tcPr>
          <w:p w14:paraId="2DD7A4D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6553F323" w14:textId="77777777" w:rsidTr="00D95F31">
        <w:tc>
          <w:tcPr>
            <w:cnfStyle w:val="001000000000" w:firstRow="0" w:lastRow="0" w:firstColumn="1" w:lastColumn="0" w:oddVBand="0" w:evenVBand="0" w:oddHBand="0" w:evenHBand="0" w:firstRowFirstColumn="0" w:firstRowLastColumn="0" w:lastRowFirstColumn="0" w:lastRowLastColumn="0"/>
            <w:tcW w:w="3998" w:type="dxa"/>
          </w:tcPr>
          <w:p w14:paraId="4247A132" w14:textId="77777777" w:rsidR="00964B88" w:rsidRDefault="00964B88">
            <w:r>
              <w:t>Net (increase)/decrease in allowances for credit losses</w:t>
            </w:r>
          </w:p>
        </w:tc>
        <w:tc>
          <w:tcPr>
            <w:tcW w:w="754" w:type="dxa"/>
          </w:tcPr>
          <w:p w14:paraId="50FFCC29" w14:textId="77777777" w:rsidR="00964B88" w:rsidRDefault="00964B88">
            <w:pPr>
              <w:cnfStyle w:val="000000000000" w:firstRow="0" w:lastRow="0" w:firstColumn="0" w:lastColumn="0" w:oddVBand="0" w:evenVBand="0" w:oddHBand="0" w:evenHBand="0" w:firstRowFirstColumn="0" w:firstRowLastColumn="0" w:lastRowFirstColumn="0" w:lastRowLastColumn="0"/>
            </w:pPr>
            <w:r>
              <w:t>(192)</w:t>
            </w:r>
          </w:p>
        </w:tc>
        <w:tc>
          <w:tcPr>
            <w:tcW w:w="754" w:type="dxa"/>
          </w:tcPr>
          <w:p w14:paraId="0048284D" w14:textId="77777777" w:rsidR="00964B88" w:rsidRDefault="00964B88">
            <w:pPr>
              <w:cnfStyle w:val="000000000000" w:firstRow="0" w:lastRow="0" w:firstColumn="0" w:lastColumn="0" w:oddVBand="0" w:evenVBand="0" w:oddHBand="0" w:evenHBand="0" w:firstRowFirstColumn="0" w:firstRowLastColumn="0" w:lastRowFirstColumn="0" w:lastRowLastColumn="0"/>
            </w:pPr>
            <w:r>
              <w:t>(192)</w:t>
            </w:r>
          </w:p>
        </w:tc>
        <w:tc>
          <w:tcPr>
            <w:tcW w:w="754" w:type="dxa"/>
          </w:tcPr>
          <w:p w14:paraId="6B3EB88F" w14:textId="77777777" w:rsidR="00964B88" w:rsidRDefault="00964B88">
            <w:pPr>
              <w:cnfStyle w:val="000000000000" w:firstRow="0" w:lastRow="0" w:firstColumn="0" w:lastColumn="0" w:oddVBand="0" w:evenVBand="0" w:oddHBand="0" w:evenHBand="0" w:firstRowFirstColumn="0" w:firstRowLastColumn="0" w:lastRowFirstColumn="0" w:lastRowLastColumn="0"/>
            </w:pPr>
            <w:r>
              <w:t>(194)</w:t>
            </w:r>
          </w:p>
        </w:tc>
        <w:tc>
          <w:tcPr>
            <w:tcW w:w="754" w:type="dxa"/>
          </w:tcPr>
          <w:p w14:paraId="603B34B1" w14:textId="77777777" w:rsidR="00964B88" w:rsidRDefault="00964B88">
            <w:pPr>
              <w:cnfStyle w:val="000000000000" w:firstRow="0" w:lastRow="0" w:firstColumn="0" w:lastColumn="0" w:oddVBand="0" w:evenVBand="0" w:oddHBand="0" w:evenHBand="0" w:firstRowFirstColumn="0" w:firstRowLastColumn="0" w:lastRowFirstColumn="0" w:lastRowLastColumn="0"/>
            </w:pPr>
            <w:r>
              <w:t>(198)</w:t>
            </w:r>
          </w:p>
        </w:tc>
        <w:tc>
          <w:tcPr>
            <w:tcW w:w="754" w:type="dxa"/>
          </w:tcPr>
          <w:p w14:paraId="5A61645C" w14:textId="77777777" w:rsidR="00964B88" w:rsidRDefault="00964B88">
            <w:pPr>
              <w:cnfStyle w:val="000000000000" w:firstRow="0" w:lastRow="0" w:firstColumn="0" w:lastColumn="0" w:oddVBand="0" w:evenVBand="0" w:oddHBand="0" w:evenHBand="0" w:firstRowFirstColumn="0" w:firstRowLastColumn="0" w:lastRowFirstColumn="0" w:lastRowLastColumn="0"/>
            </w:pPr>
            <w:r>
              <w:t>(201)</w:t>
            </w:r>
          </w:p>
        </w:tc>
      </w:tr>
      <w:tr w:rsidR="00964B88" w14:paraId="528F4C55" w14:textId="77777777" w:rsidTr="00D95F31">
        <w:tc>
          <w:tcPr>
            <w:cnfStyle w:val="001000000000" w:firstRow="0" w:lastRow="0" w:firstColumn="1" w:lastColumn="0" w:oddVBand="0" w:evenVBand="0" w:oddHBand="0" w:evenHBand="0" w:firstRowFirstColumn="0" w:firstRowLastColumn="0" w:lastRowFirstColumn="0" w:lastRowLastColumn="0"/>
            <w:tcW w:w="3998" w:type="dxa"/>
          </w:tcPr>
          <w:p w14:paraId="60A37E1F" w14:textId="77777777" w:rsidR="00964B88" w:rsidRDefault="00964B88">
            <w:r>
              <w:t>Amortisation of intangible non</w:t>
            </w:r>
            <w:r>
              <w:noBreakHyphen/>
              <w:t>produced assets</w:t>
            </w:r>
          </w:p>
        </w:tc>
        <w:tc>
          <w:tcPr>
            <w:tcW w:w="754" w:type="dxa"/>
          </w:tcPr>
          <w:p w14:paraId="7B2A677D"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c>
          <w:tcPr>
            <w:tcW w:w="754" w:type="dxa"/>
          </w:tcPr>
          <w:p w14:paraId="24D12CC2"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c>
          <w:tcPr>
            <w:tcW w:w="754" w:type="dxa"/>
          </w:tcPr>
          <w:p w14:paraId="07AEDC2E"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c>
          <w:tcPr>
            <w:tcW w:w="754" w:type="dxa"/>
          </w:tcPr>
          <w:p w14:paraId="5A41920C" w14:textId="77777777" w:rsidR="00964B88" w:rsidRDefault="00964B88">
            <w:pPr>
              <w:cnfStyle w:val="000000000000" w:firstRow="0" w:lastRow="0" w:firstColumn="0" w:lastColumn="0" w:oddVBand="0" w:evenVBand="0" w:oddHBand="0" w:evenHBand="0" w:firstRowFirstColumn="0" w:firstRowLastColumn="0" w:lastRowFirstColumn="0" w:lastRowLastColumn="0"/>
            </w:pPr>
            <w:r>
              <w:t>(7)</w:t>
            </w:r>
          </w:p>
        </w:tc>
        <w:tc>
          <w:tcPr>
            <w:tcW w:w="754" w:type="dxa"/>
          </w:tcPr>
          <w:p w14:paraId="208CBF30" w14:textId="77777777" w:rsidR="00964B88" w:rsidRDefault="00964B88">
            <w:pPr>
              <w:cnfStyle w:val="000000000000" w:firstRow="0" w:lastRow="0" w:firstColumn="0" w:lastColumn="0" w:oddVBand="0" w:evenVBand="0" w:oddHBand="0" w:evenHBand="0" w:firstRowFirstColumn="0" w:firstRowLastColumn="0" w:lastRowFirstColumn="0" w:lastRowLastColumn="0"/>
            </w:pPr>
            <w:r>
              <w:t>(7)</w:t>
            </w:r>
          </w:p>
        </w:tc>
      </w:tr>
      <w:tr w:rsidR="00964B88" w14:paraId="127F2411" w14:textId="77777777" w:rsidTr="00D95F31">
        <w:tc>
          <w:tcPr>
            <w:cnfStyle w:val="001000000000" w:firstRow="0" w:lastRow="0" w:firstColumn="1" w:lastColumn="0" w:oddVBand="0" w:evenVBand="0" w:oddHBand="0" w:evenHBand="0" w:firstRowFirstColumn="0" w:firstRowLastColumn="0" w:lastRowFirstColumn="0" w:lastRowLastColumn="0"/>
            <w:tcW w:w="3998" w:type="dxa"/>
          </w:tcPr>
          <w:p w14:paraId="5E70460C" w14:textId="77777777" w:rsidR="00964B88" w:rsidRDefault="00964B88">
            <w:r>
              <w:t>Bad debts written off</w:t>
            </w:r>
          </w:p>
        </w:tc>
        <w:tc>
          <w:tcPr>
            <w:tcW w:w="754" w:type="dxa"/>
          </w:tcPr>
          <w:p w14:paraId="143C2D27" w14:textId="77777777" w:rsidR="00964B88" w:rsidRDefault="00964B88">
            <w:pPr>
              <w:cnfStyle w:val="000000000000" w:firstRow="0" w:lastRow="0" w:firstColumn="0" w:lastColumn="0" w:oddVBand="0" w:evenVBand="0" w:oddHBand="0" w:evenHBand="0" w:firstRowFirstColumn="0" w:firstRowLastColumn="0" w:lastRowFirstColumn="0" w:lastRowLastColumn="0"/>
            </w:pPr>
            <w:r>
              <w:t>(169)</w:t>
            </w:r>
          </w:p>
        </w:tc>
        <w:tc>
          <w:tcPr>
            <w:tcW w:w="754" w:type="dxa"/>
          </w:tcPr>
          <w:p w14:paraId="639CEF22" w14:textId="77777777" w:rsidR="00964B88" w:rsidRDefault="00964B88">
            <w:pPr>
              <w:cnfStyle w:val="000000000000" w:firstRow="0" w:lastRow="0" w:firstColumn="0" w:lastColumn="0" w:oddVBand="0" w:evenVBand="0" w:oddHBand="0" w:evenHBand="0" w:firstRowFirstColumn="0" w:firstRowLastColumn="0" w:lastRowFirstColumn="0" w:lastRowLastColumn="0"/>
            </w:pPr>
            <w:r>
              <w:t>(168)</w:t>
            </w:r>
          </w:p>
        </w:tc>
        <w:tc>
          <w:tcPr>
            <w:tcW w:w="754" w:type="dxa"/>
          </w:tcPr>
          <w:p w14:paraId="168ECD83" w14:textId="77777777" w:rsidR="00964B88" w:rsidRDefault="00964B88">
            <w:pPr>
              <w:cnfStyle w:val="000000000000" w:firstRow="0" w:lastRow="0" w:firstColumn="0" w:lastColumn="0" w:oddVBand="0" w:evenVBand="0" w:oddHBand="0" w:evenHBand="0" w:firstRowFirstColumn="0" w:firstRowLastColumn="0" w:lastRowFirstColumn="0" w:lastRowLastColumn="0"/>
            </w:pPr>
            <w:r>
              <w:t>(170)</w:t>
            </w:r>
          </w:p>
        </w:tc>
        <w:tc>
          <w:tcPr>
            <w:tcW w:w="754" w:type="dxa"/>
          </w:tcPr>
          <w:p w14:paraId="7F6ECC1D" w14:textId="77777777" w:rsidR="00964B88" w:rsidRDefault="00964B88">
            <w:pPr>
              <w:cnfStyle w:val="000000000000" w:firstRow="0" w:lastRow="0" w:firstColumn="0" w:lastColumn="0" w:oddVBand="0" w:evenVBand="0" w:oddHBand="0" w:evenHBand="0" w:firstRowFirstColumn="0" w:firstRowLastColumn="0" w:lastRowFirstColumn="0" w:lastRowLastColumn="0"/>
            </w:pPr>
            <w:r>
              <w:t>(171)</w:t>
            </w:r>
          </w:p>
        </w:tc>
        <w:tc>
          <w:tcPr>
            <w:tcW w:w="754" w:type="dxa"/>
          </w:tcPr>
          <w:p w14:paraId="58997735" w14:textId="77777777" w:rsidR="00964B88" w:rsidRDefault="00964B88">
            <w:pPr>
              <w:cnfStyle w:val="000000000000" w:firstRow="0" w:lastRow="0" w:firstColumn="0" w:lastColumn="0" w:oddVBand="0" w:evenVBand="0" w:oddHBand="0" w:evenHBand="0" w:firstRowFirstColumn="0" w:firstRowLastColumn="0" w:lastRowFirstColumn="0" w:lastRowLastColumn="0"/>
            </w:pPr>
            <w:r>
              <w:t>(173)</w:t>
            </w:r>
          </w:p>
        </w:tc>
      </w:tr>
      <w:tr w:rsidR="00964B88" w14:paraId="3DBB469E" w14:textId="77777777" w:rsidTr="00D95F31">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329764A9" w14:textId="77777777" w:rsidR="00964B88" w:rsidRDefault="00964B88">
            <w:r>
              <w:t>Other gains/(losses)</w:t>
            </w:r>
          </w:p>
        </w:tc>
        <w:tc>
          <w:tcPr>
            <w:tcW w:w="754" w:type="dxa"/>
            <w:tcBorders>
              <w:bottom w:val="single" w:sz="6" w:space="0" w:color="auto"/>
            </w:tcBorders>
          </w:tcPr>
          <w:p w14:paraId="74FD81FB" w14:textId="77777777" w:rsidR="00964B88" w:rsidRDefault="00964B88">
            <w:pPr>
              <w:cnfStyle w:val="000000000000" w:firstRow="0" w:lastRow="0" w:firstColumn="0" w:lastColumn="0" w:oddVBand="0" w:evenVBand="0" w:oddHBand="0" w:evenHBand="0" w:firstRowFirstColumn="0" w:firstRowLastColumn="0" w:lastRowFirstColumn="0" w:lastRowLastColumn="0"/>
            </w:pPr>
            <w:r>
              <w:t>(21)</w:t>
            </w:r>
          </w:p>
        </w:tc>
        <w:tc>
          <w:tcPr>
            <w:tcW w:w="754" w:type="dxa"/>
            <w:tcBorders>
              <w:bottom w:val="single" w:sz="6" w:space="0" w:color="auto"/>
            </w:tcBorders>
          </w:tcPr>
          <w:p w14:paraId="3C706B2D" w14:textId="77777777" w:rsidR="00964B88" w:rsidRDefault="00964B88">
            <w:pPr>
              <w:cnfStyle w:val="000000000000" w:firstRow="0" w:lastRow="0" w:firstColumn="0" w:lastColumn="0" w:oddVBand="0" w:evenVBand="0" w:oddHBand="0" w:evenHBand="0" w:firstRowFirstColumn="0" w:firstRowLastColumn="0" w:lastRowFirstColumn="0" w:lastRowLastColumn="0"/>
            </w:pPr>
            <w:r>
              <w:t>(14)</w:t>
            </w:r>
          </w:p>
        </w:tc>
        <w:tc>
          <w:tcPr>
            <w:tcW w:w="754" w:type="dxa"/>
            <w:tcBorders>
              <w:bottom w:val="single" w:sz="6" w:space="0" w:color="auto"/>
            </w:tcBorders>
          </w:tcPr>
          <w:p w14:paraId="3FCC73E4" w14:textId="77777777" w:rsidR="00964B88" w:rsidRDefault="00964B88">
            <w:pPr>
              <w:cnfStyle w:val="000000000000" w:firstRow="0" w:lastRow="0" w:firstColumn="0" w:lastColumn="0" w:oddVBand="0" w:evenVBand="0" w:oddHBand="0" w:evenHBand="0" w:firstRowFirstColumn="0" w:firstRowLastColumn="0" w:lastRowFirstColumn="0" w:lastRowLastColumn="0"/>
            </w:pPr>
            <w:r>
              <w:t>(18)</w:t>
            </w:r>
          </w:p>
        </w:tc>
        <w:tc>
          <w:tcPr>
            <w:tcW w:w="754" w:type="dxa"/>
            <w:tcBorders>
              <w:bottom w:val="single" w:sz="6" w:space="0" w:color="auto"/>
            </w:tcBorders>
          </w:tcPr>
          <w:p w14:paraId="2186C3CD" w14:textId="77777777" w:rsidR="00964B88" w:rsidRDefault="00964B88">
            <w:pPr>
              <w:cnfStyle w:val="000000000000" w:firstRow="0" w:lastRow="0" w:firstColumn="0" w:lastColumn="0" w:oddVBand="0" w:evenVBand="0" w:oddHBand="0" w:evenHBand="0" w:firstRowFirstColumn="0" w:firstRowLastColumn="0" w:lastRowFirstColumn="0" w:lastRowLastColumn="0"/>
            </w:pPr>
            <w:r>
              <w:t>(18)</w:t>
            </w:r>
          </w:p>
        </w:tc>
        <w:tc>
          <w:tcPr>
            <w:tcW w:w="754" w:type="dxa"/>
            <w:tcBorders>
              <w:bottom w:val="single" w:sz="6" w:space="0" w:color="auto"/>
            </w:tcBorders>
          </w:tcPr>
          <w:p w14:paraId="4A125E5F" w14:textId="77777777" w:rsidR="00964B88" w:rsidRDefault="00964B88">
            <w:pPr>
              <w:cnfStyle w:val="000000000000" w:firstRow="0" w:lastRow="0" w:firstColumn="0" w:lastColumn="0" w:oddVBand="0" w:evenVBand="0" w:oddHBand="0" w:evenHBand="0" w:firstRowFirstColumn="0" w:firstRowLastColumn="0" w:lastRowFirstColumn="0" w:lastRowLastColumn="0"/>
            </w:pPr>
            <w:r>
              <w:t>(37)</w:t>
            </w:r>
          </w:p>
        </w:tc>
      </w:tr>
      <w:tr w:rsidR="00964B88" w14:paraId="744F7140" w14:textId="77777777" w:rsidTr="00D95F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8" w:type="dxa"/>
          </w:tcPr>
          <w:p w14:paraId="5490E8A6" w14:textId="77777777" w:rsidR="00964B88" w:rsidRDefault="00964B88">
            <w:r>
              <w:t>Total other gains/(losses) from other economic flows</w:t>
            </w:r>
          </w:p>
        </w:tc>
        <w:tc>
          <w:tcPr>
            <w:tcW w:w="754" w:type="dxa"/>
          </w:tcPr>
          <w:p w14:paraId="563A0C8F" w14:textId="77777777" w:rsidR="00964B88" w:rsidRDefault="00964B88">
            <w:pPr>
              <w:cnfStyle w:val="010000000000" w:firstRow="0" w:lastRow="1" w:firstColumn="0" w:lastColumn="0" w:oddVBand="0" w:evenVBand="0" w:oddHBand="0" w:evenHBand="0" w:firstRowFirstColumn="0" w:firstRowLastColumn="0" w:lastRowFirstColumn="0" w:lastRowLastColumn="0"/>
            </w:pPr>
            <w:r>
              <w:t>(388)</w:t>
            </w:r>
          </w:p>
        </w:tc>
        <w:tc>
          <w:tcPr>
            <w:tcW w:w="754" w:type="dxa"/>
          </w:tcPr>
          <w:p w14:paraId="0C00A524" w14:textId="77777777" w:rsidR="00964B88" w:rsidRDefault="00964B88">
            <w:pPr>
              <w:cnfStyle w:val="010000000000" w:firstRow="0" w:lastRow="1" w:firstColumn="0" w:lastColumn="0" w:oddVBand="0" w:evenVBand="0" w:oddHBand="0" w:evenHBand="0" w:firstRowFirstColumn="0" w:firstRowLastColumn="0" w:lastRowFirstColumn="0" w:lastRowLastColumn="0"/>
            </w:pPr>
            <w:r>
              <w:t>(382)</w:t>
            </w:r>
          </w:p>
        </w:tc>
        <w:tc>
          <w:tcPr>
            <w:tcW w:w="754" w:type="dxa"/>
          </w:tcPr>
          <w:p w14:paraId="0FCC0BBB" w14:textId="77777777" w:rsidR="00964B88" w:rsidRDefault="00964B88">
            <w:pPr>
              <w:cnfStyle w:val="010000000000" w:firstRow="0" w:lastRow="1" w:firstColumn="0" w:lastColumn="0" w:oddVBand="0" w:evenVBand="0" w:oddHBand="0" w:evenHBand="0" w:firstRowFirstColumn="0" w:firstRowLastColumn="0" w:lastRowFirstColumn="0" w:lastRowLastColumn="0"/>
            </w:pPr>
            <w:r>
              <w:t>(389)</w:t>
            </w:r>
          </w:p>
        </w:tc>
        <w:tc>
          <w:tcPr>
            <w:tcW w:w="754" w:type="dxa"/>
          </w:tcPr>
          <w:p w14:paraId="21EABA82" w14:textId="77777777" w:rsidR="00964B88" w:rsidRDefault="00964B88">
            <w:pPr>
              <w:cnfStyle w:val="010000000000" w:firstRow="0" w:lastRow="1" w:firstColumn="0" w:lastColumn="0" w:oddVBand="0" w:evenVBand="0" w:oddHBand="0" w:evenHBand="0" w:firstRowFirstColumn="0" w:firstRowLastColumn="0" w:lastRowFirstColumn="0" w:lastRowLastColumn="0"/>
            </w:pPr>
            <w:r>
              <w:t>(394)</w:t>
            </w:r>
          </w:p>
        </w:tc>
        <w:tc>
          <w:tcPr>
            <w:tcW w:w="754" w:type="dxa"/>
          </w:tcPr>
          <w:p w14:paraId="4501E232" w14:textId="77777777" w:rsidR="00964B88" w:rsidRDefault="00964B88">
            <w:pPr>
              <w:cnfStyle w:val="010000000000" w:firstRow="0" w:lastRow="1" w:firstColumn="0" w:lastColumn="0" w:oddVBand="0" w:evenVBand="0" w:oddHBand="0" w:evenHBand="0" w:firstRowFirstColumn="0" w:firstRowLastColumn="0" w:lastRowFirstColumn="0" w:lastRowLastColumn="0"/>
            </w:pPr>
            <w:r>
              <w:t>(418)</w:t>
            </w:r>
          </w:p>
        </w:tc>
      </w:tr>
    </w:tbl>
    <w:p w14:paraId="26B8A355" w14:textId="77777777" w:rsidR="00964B88" w:rsidRPr="00B41AC3" w:rsidRDefault="00964B88" w:rsidP="00F53820">
      <w:pPr>
        <w:keepLines w:val="0"/>
      </w:pPr>
      <w:r>
        <w:br w:type="page"/>
      </w:r>
    </w:p>
    <w:p w14:paraId="145EA9C1" w14:textId="77777777" w:rsidR="00964B88" w:rsidRPr="002E1025" w:rsidRDefault="00964B88" w:rsidP="00964B88">
      <w:pPr>
        <w:pStyle w:val="Heading3"/>
        <w:numPr>
          <w:ilvl w:val="2"/>
          <w:numId w:val="22"/>
        </w:numPr>
        <w:tabs>
          <w:tab w:val="clear" w:pos="7711"/>
          <w:tab w:val="left" w:pos="850"/>
          <w:tab w:val="right" w:pos="7710"/>
        </w:tabs>
        <w:spacing w:after="60"/>
        <w:rPr>
          <w:lang w:val="en-US"/>
        </w:rPr>
      </w:pPr>
      <w:bookmarkStart w:id="117" w:name="_Toc496606683"/>
      <w:bookmarkStart w:id="118" w:name="_Toc23766062"/>
      <w:r w:rsidRPr="00700A2B">
        <w:lastRenderedPageBreak/>
        <w:t xml:space="preserve">Reconciliation to Government Finance Statistics </w:t>
      </w:r>
      <w:r w:rsidRPr="00700A2B">
        <w:rPr>
          <w:vertAlign w:val="superscript"/>
        </w:rPr>
        <w:t>(a)</w:t>
      </w:r>
      <w:r>
        <w:rPr>
          <w:vertAlign w:val="superscript"/>
        </w:rPr>
        <w:t>(b)</w:t>
      </w:r>
      <w:r w:rsidRPr="00700A2B">
        <w:tab/>
        <w:t>($ million)</w:t>
      </w:r>
      <w:bookmarkEnd w:id="117"/>
      <w:bookmarkEnd w:id="118"/>
    </w:p>
    <w:tbl>
      <w:tblPr>
        <w:tblStyle w:val="DTFTable"/>
        <w:tblW w:w="7768" w:type="dxa"/>
        <w:tblLayout w:type="fixed"/>
        <w:tblLook w:val="06E0" w:firstRow="1" w:lastRow="1" w:firstColumn="1" w:lastColumn="0" w:noHBand="1" w:noVBand="1"/>
      </w:tblPr>
      <w:tblGrid>
        <w:gridCol w:w="3715"/>
        <w:gridCol w:w="142"/>
        <w:gridCol w:w="668"/>
        <w:gridCol w:w="811"/>
        <w:gridCol w:w="810"/>
        <w:gridCol w:w="811"/>
        <w:gridCol w:w="811"/>
      </w:tblGrid>
      <w:tr w:rsidR="00964B88" w14:paraId="5DCE9A69" w14:textId="77777777" w:rsidTr="00D134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15" w:type="dxa"/>
          </w:tcPr>
          <w:p w14:paraId="0EA31B98" w14:textId="77777777" w:rsidR="00964B88" w:rsidRDefault="00964B88">
            <w:pPr>
              <w:spacing w:after="0"/>
              <w:rPr>
                <w:sz w:val="16"/>
              </w:rPr>
            </w:pPr>
          </w:p>
        </w:tc>
        <w:tc>
          <w:tcPr>
            <w:tcW w:w="810" w:type="dxa"/>
            <w:gridSpan w:val="2"/>
          </w:tcPr>
          <w:p w14:paraId="22665ED4"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rPr>
                <w:sz w:val="16"/>
              </w:rPr>
            </w:pPr>
            <w:r>
              <w:rPr>
                <w:sz w:val="16"/>
              </w:rPr>
              <w:t>2019</w:t>
            </w:r>
            <w:r>
              <w:rPr>
                <w:sz w:val="16"/>
              </w:rPr>
              <w:noBreakHyphen/>
              <w:t>20</w:t>
            </w:r>
            <w:r>
              <w:rPr>
                <w:sz w:val="16"/>
              </w:rPr>
              <w:br/>
              <w:t>budget</w:t>
            </w:r>
          </w:p>
        </w:tc>
        <w:tc>
          <w:tcPr>
            <w:tcW w:w="811" w:type="dxa"/>
          </w:tcPr>
          <w:p w14:paraId="4C509EDE"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rPr>
                <w:sz w:val="16"/>
              </w:rPr>
            </w:pPr>
            <w:r>
              <w:rPr>
                <w:sz w:val="16"/>
              </w:rPr>
              <w:t>2019</w:t>
            </w:r>
            <w:r>
              <w:rPr>
                <w:sz w:val="16"/>
              </w:rPr>
              <w:noBreakHyphen/>
              <w:t>20</w:t>
            </w:r>
            <w:r>
              <w:rPr>
                <w:sz w:val="16"/>
              </w:rPr>
              <w:br/>
              <w:t>revised</w:t>
            </w:r>
          </w:p>
        </w:tc>
        <w:tc>
          <w:tcPr>
            <w:tcW w:w="810" w:type="dxa"/>
          </w:tcPr>
          <w:p w14:paraId="4BEB78CC"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rPr>
                <w:sz w:val="16"/>
              </w:rPr>
            </w:pPr>
            <w:r>
              <w:rPr>
                <w:sz w:val="16"/>
              </w:rPr>
              <w:t>2020</w:t>
            </w:r>
            <w:r>
              <w:rPr>
                <w:sz w:val="16"/>
              </w:rPr>
              <w:noBreakHyphen/>
              <w:t>21</w:t>
            </w:r>
            <w:r>
              <w:rPr>
                <w:sz w:val="16"/>
              </w:rPr>
              <w:br/>
              <w:t>estimate</w:t>
            </w:r>
          </w:p>
        </w:tc>
        <w:tc>
          <w:tcPr>
            <w:tcW w:w="811" w:type="dxa"/>
          </w:tcPr>
          <w:p w14:paraId="23861542"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rPr>
                <w:sz w:val="16"/>
              </w:rPr>
            </w:pPr>
            <w:r>
              <w:rPr>
                <w:sz w:val="16"/>
              </w:rPr>
              <w:t>2021</w:t>
            </w:r>
            <w:r>
              <w:rPr>
                <w:sz w:val="16"/>
              </w:rPr>
              <w:noBreakHyphen/>
              <w:t>22</w:t>
            </w:r>
            <w:r>
              <w:rPr>
                <w:sz w:val="16"/>
              </w:rPr>
              <w:br/>
              <w:t>estimate</w:t>
            </w:r>
          </w:p>
        </w:tc>
        <w:tc>
          <w:tcPr>
            <w:tcW w:w="811" w:type="dxa"/>
          </w:tcPr>
          <w:p w14:paraId="69EA5513"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rPr>
                <w:sz w:val="16"/>
              </w:rPr>
            </w:pPr>
            <w:r>
              <w:rPr>
                <w:sz w:val="16"/>
              </w:rPr>
              <w:t>2022</w:t>
            </w:r>
            <w:r>
              <w:rPr>
                <w:sz w:val="16"/>
              </w:rPr>
              <w:noBreakHyphen/>
              <w:t>23</w:t>
            </w:r>
            <w:r>
              <w:rPr>
                <w:sz w:val="16"/>
              </w:rPr>
              <w:br/>
              <w:t>estimate</w:t>
            </w:r>
          </w:p>
        </w:tc>
      </w:tr>
      <w:tr w:rsidR="00964B88" w14:paraId="30ED0C26"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5A06862F" w14:textId="77777777" w:rsidR="00964B88" w:rsidRDefault="00964B88">
            <w:pPr>
              <w:spacing w:after="0"/>
              <w:rPr>
                <w:sz w:val="16"/>
              </w:rPr>
            </w:pPr>
            <w:r>
              <w:rPr>
                <w:b/>
                <w:sz w:val="16"/>
              </w:rPr>
              <w:t xml:space="preserve">Net result from transactions – </w:t>
            </w:r>
            <w:r>
              <w:rPr>
                <w:b/>
                <w:sz w:val="16"/>
              </w:rPr>
              <w:br/>
              <w:t>net operating balance</w:t>
            </w:r>
          </w:p>
        </w:tc>
        <w:tc>
          <w:tcPr>
            <w:tcW w:w="810" w:type="dxa"/>
            <w:gridSpan w:val="2"/>
          </w:tcPr>
          <w:p w14:paraId="4756A35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1 050</w:t>
            </w:r>
          </w:p>
        </w:tc>
        <w:tc>
          <w:tcPr>
            <w:tcW w:w="811" w:type="dxa"/>
          </w:tcPr>
          <w:p w14:paraId="61C4705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618</w:t>
            </w:r>
          </w:p>
        </w:tc>
        <w:tc>
          <w:tcPr>
            <w:tcW w:w="810" w:type="dxa"/>
          </w:tcPr>
          <w:p w14:paraId="48173EA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1 222</w:t>
            </w:r>
          </w:p>
        </w:tc>
        <w:tc>
          <w:tcPr>
            <w:tcW w:w="811" w:type="dxa"/>
          </w:tcPr>
          <w:p w14:paraId="3ECB869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3 841</w:t>
            </w:r>
          </w:p>
        </w:tc>
        <w:tc>
          <w:tcPr>
            <w:tcW w:w="811" w:type="dxa"/>
          </w:tcPr>
          <w:p w14:paraId="20F6A38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4 898</w:t>
            </w:r>
          </w:p>
        </w:tc>
      </w:tr>
      <w:tr w:rsidR="00964B88" w14:paraId="4ADC6DA1"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10F7E2ED" w14:textId="77777777" w:rsidR="00964B88" w:rsidRDefault="00964B88">
            <w:pPr>
              <w:spacing w:after="0"/>
              <w:rPr>
                <w:sz w:val="16"/>
              </w:rPr>
            </w:pPr>
            <w:r>
              <w:rPr>
                <w:i/>
                <w:sz w:val="16"/>
              </w:rPr>
              <w:t>Convergence differences:</w:t>
            </w:r>
          </w:p>
        </w:tc>
        <w:tc>
          <w:tcPr>
            <w:tcW w:w="810" w:type="dxa"/>
            <w:gridSpan w:val="2"/>
          </w:tcPr>
          <w:p w14:paraId="10C95EC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18452F5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0" w:type="dxa"/>
          </w:tcPr>
          <w:p w14:paraId="3134ED0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5676CF2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26F61DA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35F4F9B6"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05668ACA" w14:textId="77777777" w:rsidR="00964B88" w:rsidRDefault="00964B88">
            <w:pPr>
              <w:spacing w:after="0"/>
              <w:rPr>
                <w:sz w:val="16"/>
              </w:rPr>
            </w:pPr>
            <w:r>
              <w:rPr>
                <w:sz w:val="16"/>
              </w:rPr>
              <w:t>Licence fees</w:t>
            </w:r>
            <w:r>
              <w:rPr>
                <w:sz w:val="16"/>
                <w:vertAlign w:val="superscript"/>
              </w:rPr>
              <w:t xml:space="preserve"> (c)</w:t>
            </w:r>
          </w:p>
        </w:tc>
        <w:tc>
          <w:tcPr>
            <w:tcW w:w="810" w:type="dxa"/>
            <w:gridSpan w:val="2"/>
            <w:tcBorders>
              <w:bottom w:val="single" w:sz="6" w:space="0" w:color="auto"/>
            </w:tcBorders>
          </w:tcPr>
          <w:p w14:paraId="49E71DE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bottom w:val="single" w:sz="6" w:space="0" w:color="auto"/>
            </w:tcBorders>
          </w:tcPr>
          <w:p w14:paraId="4274164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0" w:type="dxa"/>
            <w:tcBorders>
              <w:bottom w:val="single" w:sz="6" w:space="0" w:color="auto"/>
            </w:tcBorders>
          </w:tcPr>
          <w:p w14:paraId="7A88051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bottom w:val="single" w:sz="6" w:space="0" w:color="auto"/>
            </w:tcBorders>
          </w:tcPr>
          <w:p w14:paraId="4F397A3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bottom w:val="single" w:sz="6" w:space="0" w:color="auto"/>
            </w:tcBorders>
          </w:tcPr>
          <w:p w14:paraId="6B123E8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r>
      <w:tr w:rsidR="00964B88" w14:paraId="0777FA8E"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121C97F5" w14:textId="77777777" w:rsidR="00964B88" w:rsidRDefault="00964B88">
            <w:pPr>
              <w:spacing w:after="0"/>
              <w:rPr>
                <w:sz w:val="16"/>
              </w:rPr>
            </w:pPr>
            <w:r>
              <w:rPr>
                <w:i/>
                <w:sz w:val="16"/>
              </w:rPr>
              <w:t>plus total convergence difference:</w:t>
            </w:r>
          </w:p>
        </w:tc>
        <w:tc>
          <w:tcPr>
            <w:tcW w:w="810" w:type="dxa"/>
            <w:gridSpan w:val="2"/>
            <w:tcBorders>
              <w:top w:val="single" w:sz="6" w:space="0" w:color="auto"/>
              <w:bottom w:val="single" w:sz="6" w:space="0" w:color="auto"/>
            </w:tcBorders>
          </w:tcPr>
          <w:p w14:paraId="6DFE478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top w:val="single" w:sz="6" w:space="0" w:color="auto"/>
              <w:bottom w:val="single" w:sz="6" w:space="0" w:color="auto"/>
            </w:tcBorders>
          </w:tcPr>
          <w:p w14:paraId="4F09EDD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0" w:type="dxa"/>
            <w:tcBorders>
              <w:top w:val="single" w:sz="6" w:space="0" w:color="auto"/>
              <w:bottom w:val="single" w:sz="6" w:space="0" w:color="auto"/>
            </w:tcBorders>
          </w:tcPr>
          <w:p w14:paraId="4AF7149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top w:val="single" w:sz="6" w:space="0" w:color="auto"/>
              <w:bottom w:val="single" w:sz="6" w:space="0" w:color="auto"/>
            </w:tcBorders>
          </w:tcPr>
          <w:p w14:paraId="03DD045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top w:val="single" w:sz="6" w:space="0" w:color="auto"/>
              <w:bottom w:val="single" w:sz="6" w:space="0" w:color="auto"/>
            </w:tcBorders>
          </w:tcPr>
          <w:p w14:paraId="50FCA5F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r>
      <w:tr w:rsidR="00964B88" w14:paraId="3AC6BF30"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12" w:space="0" w:color="auto"/>
            </w:tcBorders>
          </w:tcPr>
          <w:p w14:paraId="20D3DCCD" w14:textId="77777777" w:rsidR="00964B88" w:rsidRDefault="00964B88">
            <w:pPr>
              <w:spacing w:after="0"/>
              <w:rPr>
                <w:sz w:val="16"/>
              </w:rPr>
            </w:pPr>
            <w:r>
              <w:rPr>
                <w:b/>
                <w:sz w:val="16"/>
              </w:rPr>
              <w:t>GFS net operating balance</w:t>
            </w:r>
          </w:p>
        </w:tc>
        <w:tc>
          <w:tcPr>
            <w:tcW w:w="810" w:type="dxa"/>
            <w:gridSpan w:val="2"/>
            <w:tcBorders>
              <w:top w:val="single" w:sz="6" w:space="0" w:color="auto"/>
              <w:bottom w:val="single" w:sz="12" w:space="0" w:color="auto"/>
            </w:tcBorders>
          </w:tcPr>
          <w:p w14:paraId="7ACA555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1 102</w:t>
            </w:r>
          </w:p>
        </w:tc>
        <w:tc>
          <w:tcPr>
            <w:tcW w:w="811" w:type="dxa"/>
            <w:tcBorders>
              <w:top w:val="single" w:sz="6" w:space="0" w:color="auto"/>
              <w:bottom w:val="single" w:sz="12" w:space="0" w:color="auto"/>
            </w:tcBorders>
          </w:tcPr>
          <w:p w14:paraId="3F383B7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670</w:t>
            </w:r>
          </w:p>
        </w:tc>
        <w:tc>
          <w:tcPr>
            <w:tcW w:w="810" w:type="dxa"/>
            <w:tcBorders>
              <w:top w:val="single" w:sz="6" w:space="0" w:color="auto"/>
              <w:bottom w:val="single" w:sz="12" w:space="0" w:color="auto"/>
            </w:tcBorders>
          </w:tcPr>
          <w:p w14:paraId="6B4E879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1 274</w:t>
            </w:r>
          </w:p>
        </w:tc>
        <w:tc>
          <w:tcPr>
            <w:tcW w:w="811" w:type="dxa"/>
            <w:tcBorders>
              <w:top w:val="single" w:sz="6" w:space="0" w:color="auto"/>
              <w:bottom w:val="single" w:sz="12" w:space="0" w:color="auto"/>
            </w:tcBorders>
          </w:tcPr>
          <w:p w14:paraId="3EB3B41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3 893</w:t>
            </w:r>
          </w:p>
        </w:tc>
        <w:tc>
          <w:tcPr>
            <w:tcW w:w="811" w:type="dxa"/>
            <w:tcBorders>
              <w:top w:val="single" w:sz="6" w:space="0" w:color="auto"/>
              <w:bottom w:val="single" w:sz="12" w:space="0" w:color="auto"/>
            </w:tcBorders>
          </w:tcPr>
          <w:p w14:paraId="0F11D93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4 950</w:t>
            </w:r>
          </w:p>
        </w:tc>
      </w:tr>
      <w:tr w:rsidR="00964B88" w14:paraId="0A0C0A77" w14:textId="77777777" w:rsidTr="00D13450">
        <w:trPr>
          <w:trHeight w:hRule="exact" w:val="113"/>
        </w:trPr>
        <w:tc>
          <w:tcPr>
            <w:cnfStyle w:val="001000000000" w:firstRow="0" w:lastRow="0" w:firstColumn="1" w:lastColumn="0" w:oddVBand="0" w:evenVBand="0" w:oddHBand="0" w:evenHBand="0" w:firstRowFirstColumn="0" w:firstRowLastColumn="0" w:lastRowFirstColumn="0" w:lastRowLastColumn="0"/>
            <w:tcW w:w="3715" w:type="dxa"/>
            <w:tcBorders>
              <w:top w:val="single" w:sz="0" w:space="0" w:color="auto"/>
            </w:tcBorders>
          </w:tcPr>
          <w:p w14:paraId="75A174B8" w14:textId="77777777" w:rsidR="00964B88" w:rsidRDefault="00964B88">
            <w:pPr>
              <w:spacing w:after="0"/>
              <w:rPr>
                <w:sz w:val="16"/>
              </w:rPr>
            </w:pPr>
          </w:p>
        </w:tc>
        <w:tc>
          <w:tcPr>
            <w:tcW w:w="810" w:type="dxa"/>
            <w:gridSpan w:val="2"/>
            <w:tcBorders>
              <w:top w:val="single" w:sz="0" w:space="0" w:color="auto"/>
            </w:tcBorders>
          </w:tcPr>
          <w:p w14:paraId="4E07A05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Borders>
              <w:top w:val="single" w:sz="0" w:space="0" w:color="auto"/>
            </w:tcBorders>
          </w:tcPr>
          <w:p w14:paraId="159F203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0" w:type="dxa"/>
            <w:tcBorders>
              <w:top w:val="single" w:sz="0" w:space="0" w:color="auto"/>
            </w:tcBorders>
          </w:tcPr>
          <w:p w14:paraId="14A3CC6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Borders>
              <w:top w:val="single" w:sz="0" w:space="0" w:color="auto"/>
            </w:tcBorders>
          </w:tcPr>
          <w:p w14:paraId="6AE6416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Borders>
              <w:top w:val="single" w:sz="0" w:space="0" w:color="auto"/>
            </w:tcBorders>
          </w:tcPr>
          <w:p w14:paraId="1E67AAB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1A1EA2A9"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0AFA399F" w14:textId="77777777" w:rsidR="00964B88" w:rsidRDefault="00964B88">
            <w:pPr>
              <w:spacing w:after="0"/>
              <w:rPr>
                <w:sz w:val="16"/>
              </w:rPr>
            </w:pPr>
            <w:r>
              <w:rPr>
                <w:b/>
                <w:sz w:val="16"/>
              </w:rPr>
              <w:t>Net lending/(borrowing)</w:t>
            </w:r>
          </w:p>
        </w:tc>
        <w:tc>
          <w:tcPr>
            <w:tcW w:w="810" w:type="dxa"/>
            <w:gridSpan w:val="2"/>
          </w:tcPr>
          <w:p w14:paraId="3C8139B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(2 839)</w:t>
            </w:r>
          </w:p>
        </w:tc>
        <w:tc>
          <w:tcPr>
            <w:tcW w:w="811" w:type="dxa"/>
          </w:tcPr>
          <w:p w14:paraId="448F063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(5 911)</w:t>
            </w:r>
          </w:p>
        </w:tc>
        <w:tc>
          <w:tcPr>
            <w:tcW w:w="810" w:type="dxa"/>
          </w:tcPr>
          <w:p w14:paraId="3DEED17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(4 166)</w:t>
            </w:r>
          </w:p>
        </w:tc>
        <w:tc>
          <w:tcPr>
            <w:tcW w:w="811" w:type="dxa"/>
          </w:tcPr>
          <w:p w14:paraId="0DE769E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200</w:t>
            </w:r>
          </w:p>
        </w:tc>
        <w:tc>
          <w:tcPr>
            <w:tcW w:w="811" w:type="dxa"/>
          </w:tcPr>
          <w:p w14:paraId="01D66CF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921</w:t>
            </w:r>
          </w:p>
        </w:tc>
      </w:tr>
      <w:tr w:rsidR="00964B88" w14:paraId="42D693C5"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2452F4F5" w14:textId="77777777" w:rsidR="00964B88" w:rsidRDefault="00964B88">
            <w:pPr>
              <w:spacing w:after="0"/>
              <w:rPr>
                <w:sz w:val="16"/>
              </w:rPr>
            </w:pPr>
            <w:r>
              <w:rPr>
                <w:i/>
                <w:sz w:val="16"/>
              </w:rPr>
              <w:t>Convergence differences:</w:t>
            </w:r>
          </w:p>
        </w:tc>
        <w:tc>
          <w:tcPr>
            <w:tcW w:w="810" w:type="dxa"/>
            <w:gridSpan w:val="2"/>
          </w:tcPr>
          <w:p w14:paraId="1D8C110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217611F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0" w:type="dxa"/>
          </w:tcPr>
          <w:p w14:paraId="499BCAB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78BD42E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0FBC38A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2487AA7D"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3CEFC761" w14:textId="77777777" w:rsidR="00964B88" w:rsidRDefault="00964B88">
            <w:pPr>
              <w:spacing w:after="0"/>
              <w:rPr>
                <w:sz w:val="16"/>
              </w:rPr>
            </w:pPr>
            <w:r>
              <w:rPr>
                <w:sz w:val="16"/>
              </w:rPr>
              <w:t>Licence fees</w:t>
            </w:r>
            <w:r>
              <w:rPr>
                <w:sz w:val="16"/>
                <w:vertAlign w:val="superscript"/>
              </w:rPr>
              <w:t xml:space="preserve"> (c)</w:t>
            </w:r>
          </w:p>
        </w:tc>
        <w:tc>
          <w:tcPr>
            <w:tcW w:w="810" w:type="dxa"/>
            <w:gridSpan w:val="2"/>
            <w:tcBorders>
              <w:bottom w:val="single" w:sz="6" w:space="0" w:color="auto"/>
            </w:tcBorders>
          </w:tcPr>
          <w:p w14:paraId="55C0B3C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bottom w:val="single" w:sz="6" w:space="0" w:color="auto"/>
            </w:tcBorders>
          </w:tcPr>
          <w:p w14:paraId="5CBD7D1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0" w:type="dxa"/>
            <w:tcBorders>
              <w:bottom w:val="single" w:sz="6" w:space="0" w:color="auto"/>
            </w:tcBorders>
          </w:tcPr>
          <w:p w14:paraId="6C756E4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bottom w:val="single" w:sz="6" w:space="0" w:color="auto"/>
            </w:tcBorders>
          </w:tcPr>
          <w:p w14:paraId="7014116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bottom w:val="single" w:sz="6" w:space="0" w:color="auto"/>
            </w:tcBorders>
          </w:tcPr>
          <w:p w14:paraId="4CEC691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r>
      <w:tr w:rsidR="00964B88" w14:paraId="78AC846F"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03A433D0" w14:textId="77777777" w:rsidR="00964B88" w:rsidRDefault="00964B88">
            <w:pPr>
              <w:spacing w:after="0"/>
              <w:rPr>
                <w:sz w:val="16"/>
              </w:rPr>
            </w:pPr>
            <w:r>
              <w:rPr>
                <w:i/>
                <w:sz w:val="16"/>
              </w:rPr>
              <w:t>plus total convergence difference:</w:t>
            </w:r>
          </w:p>
        </w:tc>
        <w:tc>
          <w:tcPr>
            <w:tcW w:w="810" w:type="dxa"/>
            <w:gridSpan w:val="2"/>
            <w:tcBorders>
              <w:top w:val="single" w:sz="6" w:space="0" w:color="auto"/>
              <w:bottom w:val="single" w:sz="6" w:space="0" w:color="auto"/>
            </w:tcBorders>
          </w:tcPr>
          <w:p w14:paraId="4D64611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top w:val="single" w:sz="6" w:space="0" w:color="auto"/>
              <w:bottom w:val="single" w:sz="6" w:space="0" w:color="auto"/>
            </w:tcBorders>
          </w:tcPr>
          <w:p w14:paraId="1EEDA7D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0" w:type="dxa"/>
            <w:tcBorders>
              <w:top w:val="single" w:sz="6" w:space="0" w:color="auto"/>
              <w:bottom w:val="single" w:sz="6" w:space="0" w:color="auto"/>
            </w:tcBorders>
          </w:tcPr>
          <w:p w14:paraId="1E4CBFF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top w:val="single" w:sz="6" w:space="0" w:color="auto"/>
              <w:bottom w:val="single" w:sz="6" w:space="0" w:color="auto"/>
            </w:tcBorders>
          </w:tcPr>
          <w:p w14:paraId="016C5C6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Borders>
              <w:top w:val="single" w:sz="6" w:space="0" w:color="auto"/>
              <w:bottom w:val="single" w:sz="6" w:space="0" w:color="auto"/>
            </w:tcBorders>
          </w:tcPr>
          <w:p w14:paraId="35221C8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r>
      <w:tr w:rsidR="00964B88" w14:paraId="2F4FA4D1"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12" w:space="0" w:color="auto"/>
            </w:tcBorders>
          </w:tcPr>
          <w:p w14:paraId="0D61A088" w14:textId="77777777" w:rsidR="00964B88" w:rsidRDefault="00964B88">
            <w:pPr>
              <w:spacing w:after="0"/>
              <w:rPr>
                <w:sz w:val="16"/>
              </w:rPr>
            </w:pPr>
            <w:r>
              <w:rPr>
                <w:b/>
                <w:sz w:val="16"/>
              </w:rPr>
              <w:t>GFS net lending/(borrowing)</w:t>
            </w:r>
          </w:p>
        </w:tc>
        <w:tc>
          <w:tcPr>
            <w:tcW w:w="810" w:type="dxa"/>
            <w:gridSpan w:val="2"/>
            <w:tcBorders>
              <w:top w:val="single" w:sz="6" w:space="0" w:color="auto"/>
              <w:bottom w:val="single" w:sz="12" w:space="0" w:color="auto"/>
            </w:tcBorders>
          </w:tcPr>
          <w:p w14:paraId="7558498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(2 787)</w:t>
            </w:r>
          </w:p>
        </w:tc>
        <w:tc>
          <w:tcPr>
            <w:tcW w:w="811" w:type="dxa"/>
            <w:tcBorders>
              <w:top w:val="single" w:sz="6" w:space="0" w:color="auto"/>
              <w:bottom w:val="single" w:sz="12" w:space="0" w:color="auto"/>
            </w:tcBorders>
          </w:tcPr>
          <w:p w14:paraId="570AF01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(5 859)</w:t>
            </w:r>
          </w:p>
        </w:tc>
        <w:tc>
          <w:tcPr>
            <w:tcW w:w="810" w:type="dxa"/>
            <w:tcBorders>
              <w:top w:val="single" w:sz="6" w:space="0" w:color="auto"/>
              <w:bottom w:val="single" w:sz="12" w:space="0" w:color="auto"/>
            </w:tcBorders>
          </w:tcPr>
          <w:p w14:paraId="59A9164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(4 114)</w:t>
            </w:r>
          </w:p>
        </w:tc>
        <w:tc>
          <w:tcPr>
            <w:tcW w:w="811" w:type="dxa"/>
            <w:tcBorders>
              <w:top w:val="single" w:sz="6" w:space="0" w:color="auto"/>
              <w:bottom w:val="single" w:sz="12" w:space="0" w:color="auto"/>
            </w:tcBorders>
          </w:tcPr>
          <w:p w14:paraId="46C90BB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252</w:t>
            </w:r>
          </w:p>
        </w:tc>
        <w:tc>
          <w:tcPr>
            <w:tcW w:w="811" w:type="dxa"/>
            <w:tcBorders>
              <w:top w:val="single" w:sz="6" w:space="0" w:color="auto"/>
              <w:bottom w:val="single" w:sz="12" w:space="0" w:color="auto"/>
            </w:tcBorders>
          </w:tcPr>
          <w:p w14:paraId="29D36ED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973</w:t>
            </w:r>
          </w:p>
        </w:tc>
      </w:tr>
      <w:tr w:rsidR="00964B88" w14:paraId="3EF1D8FE" w14:textId="77777777" w:rsidTr="00D13450">
        <w:trPr>
          <w:trHeight w:hRule="exact" w:val="113"/>
        </w:trPr>
        <w:tc>
          <w:tcPr>
            <w:cnfStyle w:val="001000000000" w:firstRow="0" w:lastRow="0" w:firstColumn="1" w:lastColumn="0" w:oddVBand="0" w:evenVBand="0" w:oddHBand="0" w:evenHBand="0" w:firstRowFirstColumn="0" w:firstRowLastColumn="0" w:lastRowFirstColumn="0" w:lastRowLastColumn="0"/>
            <w:tcW w:w="3715" w:type="dxa"/>
            <w:tcBorders>
              <w:top w:val="single" w:sz="0" w:space="0" w:color="auto"/>
            </w:tcBorders>
          </w:tcPr>
          <w:p w14:paraId="1D72ABB0" w14:textId="77777777" w:rsidR="00964B88" w:rsidRDefault="00964B88">
            <w:pPr>
              <w:spacing w:after="0"/>
              <w:rPr>
                <w:sz w:val="16"/>
              </w:rPr>
            </w:pPr>
          </w:p>
        </w:tc>
        <w:tc>
          <w:tcPr>
            <w:tcW w:w="810" w:type="dxa"/>
            <w:gridSpan w:val="2"/>
            <w:tcBorders>
              <w:top w:val="single" w:sz="0" w:space="0" w:color="auto"/>
            </w:tcBorders>
          </w:tcPr>
          <w:p w14:paraId="5331368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Borders>
              <w:top w:val="single" w:sz="0" w:space="0" w:color="auto"/>
            </w:tcBorders>
          </w:tcPr>
          <w:p w14:paraId="2205F71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0" w:type="dxa"/>
            <w:tcBorders>
              <w:top w:val="single" w:sz="0" w:space="0" w:color="auto"/>
            </w:tcBorders>
          </w:tcPr>
          <w:p w14:paraId="59E4241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Borders>
              <w:top w:val="single" w:sz="0" w:space="0" w:color="auto"/>
            </w:tcBorders>
          </w:tcPr>
          <w:p w14:paraId="204942D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Borders>
              <w:top w:val="single" w:sz="0" w:space="0" w:color="auto"/>
            </w:tcBorders>
          </w:tcPr>
          <w:p w14:paraId="3595628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0424E2BC"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5F1E5D17" w14:textId="77777777" w:rsidR="00964B88" w:rsidRDefault="00964B88">
            <w:pPr>
              <w:spacing w:after="0"/>
              <w:rPr>
                <w:sz w:val="16"/>
              </w:rPr>
            </w:pPr>
            <w:r>
              <w:rPr>
                <w:b/>
                <w:sz w:val="16"/>
              </w:rPr>
              <w:t>Comprehensive result – total change in net worth</w:t>
            </w:r>
          </w:p>
        </w:tc>
        <w:tc>
          <w:tcPr>
            <w:tcW w:w="810" w:type="dxa"/>
            <w:gridSpan w:val="2"/>
          </w:tcPr>
          <w:p w14:paraId="2AE62CE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5 782</w:t>
            </w:r>
          </w:p>
        </w:tc>
        <w:tc>
          <w:tcPr>
            <w:tcW w:w="811" w:type="dxa"/>
          </w:tcPr>
          <w:p w14:paraId="5B5447F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3 842</w:t>
            </w:r>
          </w:p>
        </w:tc>
        <w:tc>
          <w:tcPr>
            <w:tcW w:w="810" w:type="dxa"/>
          </w:tcPr>
          <w:p w14:paraId="4B59D09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8 317</w:t>
            </w:r>
          </w:p>
        </w:tc>
        <w:tc>
          <w:tcPr>
            <w:tcW w:w="811" w:type="dxa"/>
          </w:tcPr>
          <w:p w14:paraId="4FA3B5A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8 116</w:t>
            </w:r>
          </w:p>
        </w:tc>
        <w:tc>
          <w:tcPr>
            <w:tcW w:w="811" w:type="dxa"/>
          </w:tcPr>
          <w:p w14:paraId="567C931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10 175</w:t>
            </w:r>
          </w:p>
        </w:tc>
      </w:tr>
      <w:tr w:rsidR="00964B88" w14:paraId="193A8DDF"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161AEAF1" w14:textId="77777777" w:rsidR="00964B88" w:rsidRDefault="00964B88">
            <w:pPr>
              <w:spacing w:after="0"/>
              <w:rPr>
                <w:sz w:val="16"/>
              </w:rPr>
            </w:pPr>
            <w:r>
              <w:rPr>
                <w:i/>
                <w:sz w:val="16"/>
              </w:rPr>
              <w:t>Convergence differences:</w:t>
            </w:r>
          </w:p>
        </w:tc>
        <w:tc>
          <w:tcPr>
            <w:tcW w:w="810" w:type="dxa"/>
            <w:gridSpan w:val="2"/>
          </w:tcPr>
          <w:p w14:paraId="21B3CC3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09ADF0F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0" w:type="dxa"/>
          </w:tcPr>
          <w:p w14:paraId="7102C45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1232504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2F3ED9E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126CD805" w14:textId="77777777" w:rsidTr="00D13450">
        <w:tc>
          <w:tcPr>
            <w:cnfStyle w:val="001000000000" w:firstRow="0" w:lastRow="0" w:firstColumn="1" w:lastColumn="0" w:oddVBand="0" w:evenVBand="0" w:oddHBand="0" w:evenHBand="0" w:firstRowFirstColumn="0" w:firstRowLastColumn="0" w:lastRowFirstColumn="0" w:lastRowLastColumn="0"/>
            <w:tcW w:w="3857" w:type="dxa"/>
            <w:gridSpan w:val="2"/>
          </w:tcPr>
          <w:p w14:paraId="76616FC3" w14:textId="77777777" w:rsidR="00964B88" w:rsidRDefault="00964B88">
            <w:pPr>
              <w:spacing w:after="0"/>
              <w:rPr>
                <w:sz w:val="16"/>
              </w:rPr>
            </w:pPr>
            <w:r>
              <w:rPr>
                <w:sz w:val="16"/>
              </w:rPr>
              <w:t>Doubtful receivables of the general government sector</w:t>
            </w:r>
            <w:r>
              <w:rPr>
                <w:sz w:val="16"/>
                <w:vertAlign w:val="superscript"/>
              </w:rPr>
              <w:t xml:space="preserve"> (d)</w:t>
            </w:r>
          </w:p>
        </w:tc>
        <w:tc>
          <w:tcPr>
            <w:tcW w:w="668" w:type="dxa"/>
          </w:tcPr>
          <w:p w14:paraId="13097E2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16</w:t>
            </w:r>
          </w:p>
        </w:tc>
        <w:tc>
          <w:tcPr>
            <w:tcW w:w="811" w:type="dxa"/>
          </w:tcPr>
          <w:p w14:paraId="6E3A8BB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13</w:t>
            </w:r>
          </w:p>
        </w:tc>
        <w:tc>
          <w:tcPr>
            <w:tcW w:w="810" w:type="dxa"/>
          </w:tcPr>
          <w:p w14:paraId="570FDA7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14</w:t>
            </w:r>
          </w:p>
        </w:tc>
        <w:tc>
          <w:tcPr>
            <w:tcW w:w="811" w:type="dxa"/>
          </w:tcPr>
          <w:p w14:paraId="163D6E3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14</w:t>
            </w:r>
          </w:p>
        </w:tc>
        <w:tc>
          <w:tcPr>
            <w:tcW w:w="811" w:type="dxa"/>
          </w:tcPr>
          <w:p w14:paraId="4DBACD8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16</w:t>
            </w:r>
          </w:p>
        </w:tc>
      </w:tr>
      <w:tr w:rsidR="00964B88" w14:paraId="16F69183"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74A7EEF6" w14:textId="77777777" w:rsidR="00964B88" w:rsidRDefault="00964B88">
            <w:pPr>
              <w:spacing w:after="0"/>
              <w:rPr>
                <w:sz w:val="16"/>
              </w:rPr>
            </w:pPr>
            <w:r>
              <w:rPr>
                <w:sz w:val="16"/>
              </w:rPr>
              <w:t>Net gain on equity investments in other sector entities measured at proportional share of the carrying amount of net assets/(liabilities)</w:t>
            </w:r>
            <w:r>
              <w:rPr>
                <w:sz w:val="16"/>
                <w:vertAlign w:val="superscript"/>
              </w:rPr>
              <w:t xml:space="preserve"> (e)</w:t>
            </w:r>
          </w:p>
        </w:tc>
        <w:tc>
          <w:tcPr>
            <w:tcW w:w="810" w:type="dxa"/>
            <w:gridSpan w:val="2"/>
          </w:tcPr>
          <w:p w14:paraId="6987479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(494)</w:t>
            </w:r>
          </w:p>
        </w:tc>
        <w:tc>
          <w:tcPr>
            <w:tcW w:w="811" w:type="dxa"/>
          </w:tcPr>
          <w:p w14:paraId="05D1EE7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(779)</w:t>
            </w:r>
          </w:p>
        </w:tc>
        <w:tc>
          <w:tcPr>
            <w:tcW w:w="810" w:type="dxa"/>
          </w:tcPr>
          <w:p w14:paraId="61B6A5D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(298)</w:t>
            </w:r>
          </w:p>
        </w:tc>
        <w:tc>
          <w:tcPr>
            <w:tcW w:w="811" w:type="dxa"/>
          </w:tcPr>
          <w:p w14:paraId="370636E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(658)</w:t>
            </w:r>
          </w:p>
        </w:tc>
        <w:tc>
          <w:tcPr>
            <w:tcW w:w="811" w:type="dxa"/>
          </w:tcPr>
          <w:p w14:paraId="0474FC1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(608)</w:t>
            </w:r>
          </w:p>
        </w:tc>
      </w:tr>
      <w:tr w:rsidR="00964B88" w14:paraId="5818880C"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0C38FBB3" w14:textId="77777777" w:rsidR="00964B88" w:rsidRDefault="00964B88">
            <w:pPr>
              <w:spacing w:after="0"/>
              <w:rPr>
                <w:sz w:val="16"/>
              </w:rPr>
            </w:pPr>
            <w:r>
              <w:rPr>
                <w:sz w:val="16"/>
              </w:rPr>
              <w:t>Unearned income relating to licence fees</w:t>
            </w:r>
            <w:r>
              <w:rPr>
                <w:sz w:val="16"/>
                <w:vertAlign w:val="superscript"/>
              </w:rPr>
              <w:t xml:space="preserve"> (c)</w:t>
            </w:r>
          </w:p>
        </w:tc>
        <w:tc>
          <w:tcPr>
            <w:tcW w:w="810" w:type="dxa"/>
            <w:gridSpan w:val="2"/>
          </w:tcPr>
          <w:p w14:paraId="011CC2D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Pr>
          <w:p w14:paraId="476B908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0" w:type="dxa"/>
          </w:tcPr>
          <w:p w14:paraId="0493ECB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Pr>
          <w:p w14:paraId="39EC5EA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811" w:type="dxa"/>
          </w:tcPr>
          <w:p w14:paraId="3BF8EFE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w:t>
            </w:r>
          </w:p>
        </w:tc>
      </w:tr>
      <w:tr w:rsidR="00964B88" w14:paraId="5E16B86B"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40281C5C" w14:textId="77777777" w:rsidR="00964B88" w:rsidRDefault="00964B88">
            <w:pPr>
              <w:spacing w:after="0"/>
              <w:rPr>
                <w:sz w:val="16"/>
              </w:rPr>
            </w:pPr>
            <w:r>
              <w:rPr>
                <w:sz w:val="16"/>
              </w:rPr>
              <w:t>Port of Melbourne lease transaction</w:t>
            </w:r>
            <w:r>
              <w:rPr>
                <w:sz w:val="16"/>
                <w:vertAlign w:val="superscript"/>
              </w:rPr>
              <w:t xml:space="preserve"> (f)</w:t>
            </w:r>
          </w:p>
        </w:tc>
        <w:tc>
          <w:tcPr>
            <w:tcW w:w="810" w:type="dxa"/>
            <w:gridSpan w:val="2"/>
            <w:tcBorders>
              <w:bottom w:val="single" w:sz="6" w:space="0" w:color="auto"/>
            </w:tcBorders>
          </w:tcPr>
          <w:p w14:paraId="5DD4D3C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(144)</w:t>
            </w:r>
          </w:p>
        </w:tc>
        <w:tc>
          <w:tcPr>
            <w:tcW w:w="811" w:type="dxa"/>
            <w:tcBorders>
              <w:bottom w:val="single" w:sz="6" w:space="0" w:color="auto"/>
            </w:tcBorders>
          </w:tcPr>
          <w:p w14:paraId="48CC874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(141)</w:t>
            </w:r>
          </w:p>
        </w:tc>
        <w:tc>
          <w:tcPr>
            <w:tcW w:w="810" w:type="dxa"/>
            <w:tcBorders>
              <w:bottom w:val="single" w:sz="6" w:space="0" w:color="auto"/>
            </w:tcBorders>
          </w:tcPr>
          <w:p w14:paraId="696D90E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(141)</w:t>
            </w:r>
          </w:p>
        </w:tc>
        <w:tc>
          <w:tcPr>
            <w:tcW w:w="811" w:type="dxa"/>
            <w:tcBorders>
              <w:bottom w:val="single" w:sz="6" w:space="0" w:color="auto"/>
            </w:tcBorders>
          </w:tcPr>
          <w:p w14:paraId="2B5D6C1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(150)</w:t>
            </w:r>
          </w:p>
        </w:tc>
        <w:tc>
          <w:tcPr>
            <w:tcW w:w="811" w:type="dxa"/>
            <w:tcBorders>
              <w:bottom w:val="single" w:sz="6" w:space="0" w:color="auto"/>
            </w:tcBorders>
          </w:tcPr>
          <w:p w14:paraId="3A07F38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(151)</w:t>
            </w:r>
          </w:p>
        </w:tc>
      </w:tr>
      <w:tr w:rsidR="00964B88" w14:paraId="37BFACFA"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28ADBF0F" w14:textId="77777777" w:rsidR="00964B88" w:rsidRDefault="00964B88">
            <w:pPr>
              <w:spacing w:after="0"/>
              <w:rPr>
                <w:sz w:val="16"/>
              </w:rPr>
            </w:pPr>
            <w:r>
              <w:rPr>
                <w:i/>
                <w:sz w:val="16"/>
              </w:rPr>
              <w:t>plus total convergence difference:</w:t>
            </w:r>
          </w:p>
        </w:tc>
        <w:tc>
          <w:tcPr>
            <w:tcW w:w="810" w:type="dxa"/>
            <w:gridSpan w:val="2"/>
            <w:tcBorders>
              <w:top w:val="single" w:sz="6" w:space="0" w:color="auto"/>
              <w:bottom w:val="single" w:sz="6" w:space="0" w:color="auto"/>
            </w:tcBorders>
          </w:tcPr>
          <w:p w14:paraId="2C87624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(571)</w:t>
            </w:r>
          </w:p>
        </w:tc>
        <w:tc>
          <w:tcPr>
            <w:tcW w:w="811" w:type="dxa"/>
            <w:tcBorders>
              <w:top w:val="single" w:sz="6" w:space="0" w:color="auto"/>
              <w:bottom w:val="single" w:sz="6" w:space="0" w:color="auto"/>
            </w:tcBorders>
          </w:tcPr>
          <w:p w14:paraId="60D2816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(855)</w:t>
            </w:r>
          </w:p>
        </w:tc>
        <w:tc>
          <w:tcPr>
            <w:tcW w:w="810" w:type="dxa"/>
            <w:tcBorders>
              <w:top w:val="single" w:sz="6" w:space="0" w:color="auto"/>
              <w:bottom w:val="single" w:sz="6" w:space="0" w:color="auto"/>
            </w:tcBorders>
          </w:tcPr>
          <w:p w14:paraId="06BC3CE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(373)</w:t>
            </w:r>
          </w:p>
        </w:tc>
        <w:tc>
          <w:tcPr>
            <w:tcW w:w="811" w:type="dxa"/>
            <w:tcBorders>
              <w:top w:val="single" w:sz="6" w:space="0" w:color="auto"/>
              <w:bottom w:val="single" w:sz="6" w:space="0" w:color="auto"/>
            </w:tcBorders>
          </w:tcPr>
          <w:p w14:paraId="7E79C2A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(742)</w:t>
            </w:r>
          </w:p>
        </w:tc>
        <w:tc>
          <w:tcPr>
            <w:tcW w:w="811" w:type="dxa"/>
            <w:tcBorders>
              <w:top w:val="single" w:sz="6" w:space="0" w:color="auto"/>
              <w:bottom w:val="single" w:sz="6" w:space="0" w:color="auto"/>
            </w:tcBorders>
          </w:tcPr>
          <w:p w14:paraId="202EA01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(691)</w:t>
            </w:r>
          </w:p>
        </w:tc>
      </w:tr>
      <w:tr w:rsidR="00964B88" w14:paraId="24D8A7C0"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12" w:space="0" w:color="auto"/>
            </w:tcBorders>
          </w:tcPr>
          <w:p w14:paraId="4F5BD5E0" w14:textId="77777777" w:rsidR="00964B88" w:rsidRDefault="00964B88">
            <w:pPr>
              <w:spacing w:after="0"/>
              <w:rPr>
                <w:sz w:val="16"/>
              </w:rPr>
            </w:pPr>
            <w:r>
              <w:rPr>
                <w:b/>
                <w:sz w:val="16"/>
              </w:rPr>
              <w:t>GFS total change in net worth</w:t>
            </w:r>
          </w:p>
        </w:tc>
        <w:tc>
          <w:tcPr>
            <w:tcW w:w="810" w:type="dxa"/>
            <w:gridSpan w:val="2"/>
            <w:tcBorders>
              <w:top w:val="single" w:sz="6" w:space="0" w:color="auto"/>
              <w:bottom w:val="single" w:sz="12" w:space="0" w:color="auto"/>
            </w:tcBorders>
          </w:tcPr>
          <w:p w14:paraId="1128D12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5 211</w:t>
            </w:r>
          </w:p>
        </w:tc>
        <w:tc>
          <w:tcPr>
            <w:tcW w:w="811" w:type="dxa"/>
            <w:tcBorders>
              <w:top w:val="single" w:sz="6" w:space="0" w:color="auto"/>
              <w:bottom w:val="single" w:sz="12" w:space="0" w:color="auto"/>
            </w:tcBorders>
          </w:tcPr>
          <w:p w14:paraId="65ECE31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2 987</w:t>
            </w:r>
          </w:p>
        </w:tc>
        <w:tc>
          <w:tcPr>
            <w:tcW w:w="810" w:type="dxa"/>
            <w:tcBorders>
              <w:top w:val="single" w:sz="6" w:space="0" w:color="auto"/>
              <w:bottom w:val="single" w:sz="12" w:space="0" w:color="auto"/>
            </w:tcBorders>
          </w:tcPr>
          <w:p w14:paraId="4BD1CBD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7 944</w:t>
            </w:r>
          </w:p>
        </w:tc>
        <w:tc>
          <w:tcPr>
            <w:tcW w:w="811" w:type="dxa"/>
            <w:tcBorders>
              <w:top w:val="single" w:sz="6" w:space="0" w:color="auto"/>
              <w:bottom w:val="single" w:sz="12" w:space="0" w:color="auto"/>
            </w:tcBorders>
          </w:tcPr>
          <w:p w14:paraId="4A85DE0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7 373</w:t>
            </w:r>
          </w:p>
        </w:tc>
        <w:tc>
          <w:tcPr>
            <w:tcW w:w="811" w:type="dxa"/>
            <w:tcBorders>
              <w:top w:val="single" w:sz="6" w:space="0" w:color="auto"/>
              <w:bottom w:val="single" w:sz="12" w:space="0" w:color="auto"/>
            </w:tcBorders>
          </w:tcPr>
          <w:p w14:paraId="0CA4AEF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9 484</w:t>
            </w:r>
          </w:p>
        </w:tc>
      </w:tr>
      <w:tr w:rsidR="00964B88" w14:paraId="1AABD20A" w14:textId="77777777" w:rsidTr="00D13450">
        <w:trPr>
          <w:trHeight w:hRule="exact" w:val="113"/>
        </w:trPr>
        <w:tc>
          <w:tcPr>
            <w:cnfStyle w:val="001000000000" w:firstRow="0" w:lastRow="0" w:firstColumn="1" w:lastColumn="0" w:oddVBand="0" w:evenVBand="0" w:oddHBand="0" w:evenHBand="0" w:firstRowFirstColumn="0" w:firstRowLastColumn="0" w:lastRowFirstColumn="0" w:lastRowLastColumn="0"/>
            <w:tcW w:w="3715" w:type="dxa"/>
            <w:tcBorders>
              <w:top w:val="single" w:sz="0" w:space="0" w:color="auto"/>
            </w:tcBorders>
          </w:tcPr>
          <w:p w14:paraId="26A833D0" w14:textId="77777777" w:rsidR="00964B88" w:rsidRDefault="00964B88">
            <w:pPr>
              <w:spacing w:after="0"/>
              <w:rPr>
                <w:sz w:val="16"/>
              </w:rPr>
            </w:pPr>
          </w:p>
        </w:tc>
        <w:tc>
          <w:tcPr>
            <w:tcW w:w="810" w:type="dxa"/>
            <w:gridSpan w:val="2"/>
            <w:tcBorders>
              <w:top w:val="single" w:sz="0" w:space="0" w:color="auto"/>
            </w:tcBorders>
          </w:tcPr>
          <w:p w14:paraId="1DD87BD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Borders>
              <w:top w:val="single" w:sz="0" w:space="0" w:color="auto"/>
            </w:tcBorders>
          </w:tcPr>
          <w:p w14:paraId="1513D9A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0" w:type="dxa"/>
            <w:tcBorders>
              <w:top w:val="single" w:sz="0" w:space="0" w:color="auto"/>
            </w:tcBorders>
          </w:tcPr>
          <w:p w14:paraId="35926AE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Borders>
              <w:top w:val="single" w:sz="0" w:space="0" w:color="auto"/>
            </w:tcBorders>
          </w:tcPr>
          <w:p w14:paraId="4D1C34C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Borders>
              <w:top w:val="single" w:sz="0" w:space="0" w:color="auto"/>
            </w:tcBorders>
          </w:tcPr>
          <w:p w14:paraId="4E22733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1079DF07"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4CA58C2B" w14:textId="77777777" w:rsidR="00964B88" w:rsidRDefault="00964B88">
            <w:pPr>
              <w:spacing w:after="0"/>
              <w:rPr>
                <w:sz w:val="16"/>
              </w:rPr>
            </w:pPr>
            <w:r>
              <w:rPr>
                <w:b/>
                <w:sz w:val="16"/>
              </w:rPr>
              <w:t>Net worth</w:t>
            </w:r>
          </w:p>
        </w:tc>
        <w:tc>
          <w:tcPr>
            <w:tcW w:w="810" w:type="dxa"/>
            <w:gridSpan w:val="2"/>
          </w:tcPr>
          <w:p w14:paraId="05FF32D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191 633</w:t>
            </w:r>
          </w:p>
        </w:tc>
        <w:tc>
          <w:tcPr>
            <w:tcW w:w="811" w:type="dxa"/>
          </w:tcPr>
          <w:p w14:paraId="2A4E97E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189 693</w:t>
            </w:r>
          </w:p>
        </w:tc>
        <w:tc>
          <w:tcPr>
            <w:tcW w:w="810" w:type="dxa"/>
          </w:tcPr>
          <w:p w14:paraId="242585E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198 010</w:t>
            </w:r>
          </w:p>
        </w:tc>
        <w:tc>
          <w:tcPr>
            <w:tcW w:w="811" w:type="dxa"/>
          </w:tcPr>
          <w:p w14:paraId="4E8ECFB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206 125</w:t>
            </w:r>
          </w:p>
        </w:tc>
        <w:tc>
          <w:tcPr>
            <w:tcW w:w="811" w:type="dxa"/>
          </w:tcPr>
          <w:p w14:paraId="57C3E01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216 300</w:t>
            </w:r>
          </w:p>
        </w:tc>
      </w:tr>
      <w:tr w:rsidR="00964B88" w14:paraId="18488745"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2E6DDA3F" w14:textId="77777777" w:rsidR="00964B88" w:rsidRDefault="00964B88">
            <w:pPr>
              <w:spacing w:after="0"/>
              <w:rPr>
                <w:sz w:val="16"/>
              </w:rPr>
            </w:pPr>
            <w:r>
              <w:rPr>
                <w:i/>
                <w:sz w:val="16"/>
              </w:rPr>
              <w:t>Convergence differences:</w:t>
            </w:r>
          </w:p>
        </w:tc>
        <w:tc>
          <w:tcPr>
            <w:tcW w:w="810" w:type="dxa"/>
            <w:gridSpan w:val="2"/>
          </w:tcPr>
          <w:p w14:paraId="475A806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75FC96E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0" w:type="dxa"/>
          </w:tcPr>
          <w:p w14:paraId="7636118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134C555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811" w:type="dxa"/>
          </w:tcPr>
          <w:p w14:paraId="7271F17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4FE439BE" w14:textId="77777777" w:rsidTr="00D13450">
        <w:tc>
          <w:tcPr>
            <w:cnfStyle w:val="001000000000" w:firstRow="0" w:lastRow="0" w:firstColumn="1" w:lastColumn="0" w:oddVBand="0" w:evenVBand="0" w:oddHBand="0" w:evenHBand="0" w:firstRowFirstColumn="0" w:firstRowLastColumn="0" w:lastRowFirstColumn="0" w:lastRowLastColumn="0"/>
            <w:tcW w:w="3857" w:type="dxa"/>
            <w:gridSpan w:val="2"/>
          </w:tcPr>
          <w:p w14:paraId="317A286D" w14:textId="77777777" w:rsidR="00964B88" w:rsidRDefault="00964B88">
            <w:pPr>
              <w:spacing w:after="0"/>
              <w:rPr>
                <w:sz w:val="16"/>
              </w:rPr>
            </w:pPr>
            <w:r>
              <w:rPr>
                <w:sz w:val="16"/>
              </w:rPr>
              <w:t>Doubtful receivables of the general government sector</w:t>
            </w:r>
            <w:r>
              <w:rPr>
                <w:sz w:val="16"/>
                <w:vertAlign w:val="superscript"/>
              </w:rPr>
              <w:t xml:space="preserve"> (d)</w:t>
            </w:r>
          </w:p>
        </w:tc>
        <w:tc>
          <w:tcPr>
            <w:tcW w:w="668" w:type="dxa"/>
          </w:tcPr>
          <w:p w14:paraId="366DA69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1 860</w:t>
            </w:r>
          </w:p>
        </w:tc>
        <w:tc>
          <w:tcPr>
            <w:tcW w:w="811" w:type="dxa"/>
          </w:tcPr>
          <w:p w14:paraId="279C527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1 857</w:t>
            </w:r>
          </w:p>
        </w:tc>
        <w:tc>
          <w:tcPr>
            <w:tcW w:w="810" w:type="dxa"/>
          </w:tcPr>
          <w:p w14:paraId="3314326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1 872</w:t>
            </w:r>
          </w:p>
        </w:tc>
        <w:tc>
          <w:tcPr>
            <w:tcW w:w="811" w:type="dxa"/>
          </w:tcPr>
          <w:p w14:paraId="28DED32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1 885</w:t>
            </w:r>
          </w:p>
        </w:tc>
        <w:tc>
          <w:tcPr>
            <w:tcW w:w="811" w:type="dxa"/>
          </w:tcPr>
          <w:p w14:paraId="0757D71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1 901</w:t>
            </w:r>
          </w:p>
        </w:tc>
      </w:tr>
      <w:tr w:rsidR="00964B88" w14:paraId="121C1B74"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01880F6F" w14:textId="77777777" w:rsidR="00964B88" w:rsidRDefault="00964B88">
            <w:pPr>
              <w:spacing w:after="0"/>
              <w:rPr>
                <w:sz w:val="16"/>
              </w:rPr>
            </w:pPr>
            <w:r>
              <w:rPr>
                <w:sz w:val="16"/>
              </w:rPr>
              <w:t>Investments in other sector entities</w:t>
            </w:r>
            <w:r>
              <w:rPr>
                <w:sz w:val="16"/>
                <w:vertAlign w:val="superscript"/>
              </w:rPr>
              <w:t xml:space="preserve"> (e)</w:t>
            </w:r>
          </w:p>
        </w:tc>
        <w:tc>
          <w:tcPr>
            <w:tcW w:w="810" w:type="dxa"/>
            <w:gridSpan w:val="2"/>
          </w:tcPr>
          <w:p w14:paraId="5BC4CDE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4 674</w:t>
            </w:r>
          </w:p>
        </w:tc>
        <w:tc>
          <w:tcPr>
            <w:tcW w:w="811" w:type="dxa"/>
          </w:tcPr>
          <w:p w14:paraId="281BA95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4 384</w:t>
            </w:r>
          </w:p>
        </w:tc>
        <w:tc>
          <w:tcPr>
            <w:tcW w:w="810" w:type="dxa"/>
          </w:tcPr>
          <w:p w14:paraId="483CBAD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4 086</w:t>
            </w:r>
          </w:p>
        </w:tc>
        <w:tc>
          <w:tcPr>
            <w:tcW w:w="811" w:type="dxa"/>
          </w:tcPr>
          <w:p w14:paraId="5CD9699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3 428</w:t>
            </w:r>
          </w:p>
        </w:tc>
        <w:tc>
          <w:tcPr>
            <w:tcW w:w="811" w:type="dxa"/>
          </w:tcPr>
          <w:p w14:paraId="1BB5376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2 819</w:t>
            </w:r>
          </w:p>
        </w:tc>
      </w:tr>
      <w:tr w:rsidR="00964B88" w14:paraId="0B191FFA"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5B55F639" w14:textId="77777777" w:rsidR="00964B88" w:rsidRDefault="00964B88">
            <w:pPr>
              <w:spacing w:after="0"/>
              <w:rPr>
                <w:sz w:val="16"/>
              </w:rPr>
            </w:pPr>
            <w:r>
              <w:rPr>
                <w:sz w:val="16"/>
              </w:rPr>
              <w:t>Unearned income relating to licence fees</w:t>
            </w:r>
            <w:r>
              <w:rPr>
                <w:sz w:val="16"/>
                <w:vertAlign w:val="superscript"/>
              </w:rPr>
              <w:t xml:space="preserve"> (c)</w:t>
            </w:r>
          </w:p>
        </w:tc>
        <w:tc>
          <w:tcPr>
            <w:tcW w:w="810" w:type="dxa"/>
            <w:gridSpan w:val="2"/>
          </w:tcPr>
          <w:p w14:paraId="0BD3D4A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(626)</w:t>
            </w:r>
          </w:p>
        </w:tc>
        <w:tc>
          <w:tcPr>
            <w:tcW w:w="811" w:type="dxa"/>
          </w:tcPr>
          <w:p w14:paraId="5892E73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(626)</w:t>
            </w:r>
          </w:p>
        </w:tc>
        <w:tc>
          <w:tcPr>
            <w:tcW w:w="810" w:type="dxa"/>
          </w:tcPr>
          <w:p w14:paraId="16BDC25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(574)</w:t>
            </w:r>
          </w:p>
        </w:tc>
        <w:tc>
          <w:tcPr>
            <w:tcW w:w="811" w:type="dxa"/>
          </w:tcPr>
          <w:p w14:paraId="08D5396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(522)</w:t>
            </w:r>
          </w:p>
        </w:tc>
        <w:tc>
          <w:tcPr>
            <w:tcW w:w="811" w:type="dxa"/>
          </w:tcPr>
          <w:p w14:paraId="77080E4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(470)</w:t>
            </w:r>
          </w:p>
        </w:tc>
      </w:tr>
      <w:tr w:rsidR="00964B88" w14:paraId="493374AB"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5DEC6D4B" w14:textId="77777777" w:rsidR="00964B88" w:rsidRDefault="00964B88">
            <w:pPr>
              <w:spacing w:after="0"/>
              <w:rPr>
                <w:sz w:val="16"/>
              </w:rPr>
            </w:pPr>
            <w:r>
              <w:rPr>
                <w:sz w:val="16"/>
              </w:rPr>
              <w:t>Port of Melbourne lease transaction</w:t>
            </w:r>
            <w:r>
              <w:rPr>
                <w:sz w:val="16"/>
                <w:vertAlign w:val="superscript"/>
              </w:rPr>
              <w:t xml:space="preserve"> (f)</w:t>
            </w:r>
          </w:p>
        </w:tc>
        <w:tc>
          <w:tcPr>
            <w:tcW w:w="810" w:type="dxa"/>
            <w:gridSpan w:val="2"/>
            <w:tcBorders>
              <w:bottom w:val="single" w:sz="6" w:space="0" w:color="auto"/>
            </w:tcBorders>
          </w:tcPr>
          <w:p w14:paraId="5229CE4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(1 341)</w:t>
            </w:r>
          </w:p>
        </w:tc>
        <w:tc>
          <w:tcPr>
            <w:tcW w:w="811" w:type="dxa"/>
            <w:tcBorders>
              <w:bottom w:val="single" w:sz="6" w:space="0" w:color="auto"/>
            </w:tcBorders>
          </w:tcPr>
          <w:p w14:paraId="28DB798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(1 349)</w:t>
            </w:r>
          </w:p>
        </w:tc>
        <w:tc>
          <w:tcPr>
            <w:tcW w:w="810" w:type="dxa"/>
            <w:tcBorders>
              <w:bottom w:val="single" w:sz="6" w:space="0" w:color="auto"/>
            </w:tcBorders>
          </w:tcPr>
          <w:p w14:paraId="06D2BE1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(1 490)</w:t>
            </w:r>
          </w:p>
        </w:tc>
        <w:tc>
          <w:tcPr>
            <w:tcW w:w="811" w:type="dxa"/>
            <w:tcBorders>
              <w:bottom w:val="single" w:sz="6" w:space="0" w:color="auto"/>
            </w:tcBorders>
          </w:tcPr>
          <w:p w14:paraId="5DD31DB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(1 640)</w:t>
            </w:r>
          </w:p>
        </w:tc>
        <w:tc>
          <w:tcPr>
            <w:tcW w:w="811" w:type="dxa"/>
            <w:tcBorders>
              <w:bottom w:val="single" w:sz="6" w:space="0" w:color="auto"/>
            </w:tcBorders>
          </w:tcPr>
          <w:p w14:paraId="0728F45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(1 791)</w:t>
            </w:r>
          </w:p>
        </w:tc>
      </w:tr>
      <w:tr w:rsidR="00964B88" w14:paraId="3D3026A0"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560F98A4" w14:textId="77777777" w:rsidR="00964B88" w:rsidRDefault="00964B88">
            <w:pPr>
              <w:spacing w:after="0"/>
              <w:rPr>
                <w:sz w:val="16"/>
              </w:rPr>
            </w:pPr>
            <w:r>
              <w:rPr>
                <w:i/>
                <w:sz w:val="16"/>
              </w:rPr>
              <w:t>plus total convergence difference:</w:t>
            </w:r>
          </w:p>
        </w:tc>
        <w:tc>
          <w:tcPr>
            <w:tcW w:w="810" w:type="dxa"/>
            <w:gridSpan w:val="2"/>
            <w:tcBorders>
              <w:top w:val="single" w:sz="6" w:space="0" w:color="auto"/>
              <w:bottom w:val="single" w:sz="6" w:space="0" w:color="auto"/>
            </w:tcBorders>
          </w:tcPr>
          <w:p w14:paraId="2F5FA13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4 566</w:t>
            </w:r>
          </w:p>
        </w:tc>
        <w:tc>
          <w:tcPr>
            <w:tcW w:w="811" w:type="dxa"/>
            <w:tcBorders>
              <w:top w:val="single" w:sz="6" w:space="0" w:color="auto"/>
              <w:bottom w:val="single" w:sz="6" w:space="0" w:color="auto"/>
            </w:tcBorders>
          </w:tcPr>
          <w:p w14:paraId="02B8D2C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4 266</w:t>
            </w:r>
          </w:p>
        </w:tc>
        <w:tc>
          <w:tcPr>
            <w:tcW w:w="810" w:type="dxa"/>
            <w:tcBorders>
              <w:top w:val="single" w:sz="6" w:space="0" w:color="auto"/>
              <w:bottom w:val="single" w:sz="6" w:space="0" w:color="auto"/>
            </w:tcBorders>
          </w:tcPr>
          <w:p w14:paraId="077B430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3 893</w:t>
            </w:r>
          </w:p>
        </w:tc>
        <w:tc>
          <w:tcPr>
            <w:tcW w:w="811" w:type="dxa"/>
            <w:tcBorders>
              <w:top w:val="single" w:sz="6" w:space="0" w:color="auto"/>
              <w:bottom w:val="single" w:sz="6" w:space="0" w:color="auto"/>
            </w:tcBorders>
          </w:tcPr>
          <w:p w14:paraId="1EC6835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3 151</w:t>
            </w:r>
          </w:p>
        </w:tc>
        <w:tc>
          <w:tcPr>
            <w:tcW w:w="811" w:type="dxa"/>
            <w:tcBorders>
              <w:top w:val="single" w:sz="6" w:space="0" w:color="auto"/>
              <w:bottom w:val="single" w:sz="6" w:space="0" w:color="auto"/>
            </w:tcBorders>
          </w:tcPr>
          <w:p w14:paraId="40A9626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2 460</w:t>
            </w:r>
          </w:p>
        </w:tc>
      </w:tr>
      <w:tr w:rsidR="00964B88" w14:paraId="0A83A134" w14:textId="77777777" w:rsidTr="00D1345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7B46A22F" w14:textId="77777777" w:rsidR="00964B88" w:rsidRDefault="00964B88">
            <w:pPr>
              <w:spacing w:after="0"/>
              <w:rPr>
                <w:sz w:val="16"/>
              </w:rPr>
            </w:pPr>
            <w:r>
              <w:rPr>
                <w:sz w:val="16"/>
              </w:rPr>
              <w:t>GFS net worth</w:t>
            </w:r>
          </w:p>
        </w:tc>
        <w:tc>
          <w:tcPr>
            <w:tcW w:w="810" w:type="dxa"/>
            <w:gridSpan w:val="2"/>
          </w:tcPr>
          <w:p w14:paraId="5FC8F203"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rPr>
                <w:sz w:val="16"/>
              </w:rPr>
            </w:pPr>
            <w:r>
              <w:rPr>
                <w:sz w:val="16"/>
              </w:rPr>
              <w:t>196 199</w:t>
            </w:r>
          </w:p>
        </w:tc>
        <w:tc>
          <w:tcPr>
            <w:tcW w:w="811" w:type="dxa"/>
          </w:tcPr>
          <w:p w14:paraId="3AF9508E"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rPr>
                <w:sz w:val="16"/>
              </w:rPr>
            </w:pPr>
            <w:r>
              <w:rPr>
                <w:sz w:val="16"/>
              </w:rPr>
              <w:t>193 959</w:t>
            </w:r>
          </w:p>
        </w:tc>
        <w:tc>
          <w:tcPr>
            <w:tcW w:w="810" w:type="dxa"/>
          </w:tcPr>
          <w:p w14:paraId="09942DE8"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rPr>
                <w:sz w:val="16"/>
              </w:rPr>
            </w:pPr>
            <w:r>
              <w:rPr>
                <w:sz w:val="16"/>
              </w:rPr>
              <w:t>201 903</w:t>
            </w:r>
          </w:p>
        </w:tc>
        <w:tc>
          <w:tcPr>
            <w:tcW w:w="811" w:type="dxa"/>
          </w:tcPr>
          <w:p w14:paraId="14B1DA5A"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rPr>
                <w:sz w:val="16"/>
              </w:rPr>
            </w:pPr>
            <w:r>
              <w:rPr>
                <w:sz w:val="16"/>
              </w:rPr>
              <w:t>209 276</w:t>
            </w:r>
          </w:p>
        </w:tc>
        <w:tc>
          <w:tcPr>
            <w:tcW w:w="811" w:type="dxa"/>
          </w:tcPr>
          <w:p w14:paraId="06126399"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rPr>
                <w:sz w:val="16"/>
              </w:rPr>
            </w:pPr>
            <w:r>
              <w:rPr>
                <w:sz w:val="16"/>
              </w:rPr>
              <w:t>218 760</w:t>
            </w:r>
          </w:p>
        </w:tc>
      </w:tr>
    </w:tbl>
    <w:p w14:paraId="76CBF957" w14:textId="77777777" w:rsidR="00964B88" w:rsidRPr="00506FA2" w:rsidRDefault="00964B88" w:rsidP="00F53820">
      <w:pPr>
        <w:pStyle w:val="Note"/>
        <w:rPr>
          <w:lang w:val="en-US"/>
        </w:rPr>
      </w:pPr>
      <w:r w:rsidRPr="00700A2B">
        <w:rPr>
          <w:lang w:val="en-US"/>
        </w:rPr>
        <w:t>Notes:</w:t>
      </w:r>
    </w:p>
    <w:p w14:paraId="0A297A51" w14:textId="77777777" w:rsidR="00964B88" w:rsidRDefault="00964B88" w:rsidP="00F53820">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(a)</w:t>
      </w:r>
      <w:r w:rsidRPr="00434F7A">
        <w:rPr>
          <w:rFonts w:asciiTheme="majorHAnsi" w:hAnsiTheme="majorHAnsi"/>
          <w:i/>
          <w:spacing w:val="-2"/>
          <w:sz w:val="14"/>
          <w:lang w:val="en-US"/>
        </w:rPr>
        <w:tab/>
        <w:t>Determined in accordance with the ABS GFS manual.</w:t>
      </w:r>
    </w:p>
    <w:p w14:paraId="744624B4" w14:textId="77777777" w:rsidR="00964B88" w:rsidRPr="0041628F" w:rsidRDefault="00964B88" w:rsidP="00F53820">
      <w:pPr>
        <w:spacing w:before="20"/>
        <w:ind w:left="284" w:hanging="284"/>
        <w:contextualSpacing/>
        <w:rPr>
          <w:rFonts w:asciiTheme="majorHAnsi" w:hAnsiTheme="majorHAnsi"/>
          <w:i/>
          <w:spacing w:val="-2"/>
          <w:sz w:val="14"/>
          <w:lang w:val="en-US"/>
        </w:rPr>
      </w:pPr>
      <w:r w:rsidRPr="0041628F">
        <w:rPr>
          <w:rFonts w:asciiTheme="majorHAnsi" w:hAnsiTheme="majorHAnsi"/>
          <w:i/>
          <w:spacing w:val="-2"/>
          <w:sz w:val="14"/>
          <w:lang w:val="en-US"/>
        </w:rPr>
        <w:t>(</w:t>
      </w:r>
      <w:r>
        <w:rPr>
          <w:rFonts w:asciiTheme="majorHAnsi" w:hAnsiTheme="majorHAnsi"/>
          <w:i/>
          <w:spacing w:val="-2"/>
          <w:sz w:val="14"/>
          <w:lang w:val="en-US"/>
        </w:rPr>
        <w:t>b</w:t>
      </w:r>
      <w:r w:rsidRPr="0041628F">
        <w:rPr>
          <w:rFonts w:asciiTheme="majorHAnsi" w:hAnsiTheme="majorHAnsi"/>
          <w:i/>
          <w:spacing w:val="-2"/>
          <w:sz w:val="14"/>
          <w:lang w:val="en-US"/>
        </w:rPr>
        <w:t>)</w:t>
      </w:r>
      <w:r w:rsidRPr="0041628F">
        <w:rPr>
          <w:rFonts w:asciiTheme="majorHAnsi" w:hAnsiTheme="majorHAnsi"/>
          <w:i/>
          <w:spacing w:val="-2"/>
          <w:sz w:val="14"/>
          <w:lang w:val="en-US"/>
        </w:rPr>
        <w:tab/>
        <w:t xml:space="preserve">The transition to the new suite of accounting standards, </w:t>
      </w:r>
      <w:r w:rsidRPr="00442A75">
        <w:rPr>
          <w:rFonts w:asciiTheme="majorHAnsi" w:hAnsiTheme="majorHAnsi"/>
          <w:i/>
          <w:spacing w:val="-2"/>
          <w:sz w:val="14"/>
          <w:lang w:val="en-US"/>
        </w:rPr>
        <w:t>AASB 15</w:t>
      </w:r>
      <w:r w:rsidRPr="0041628F">
        <w:rPr>
          <w:rFonts w:asciiTheme="majorHAnsi" w:hAnsiTheme="majorHAnsi"/>
          <w:spacing w:val="-2"/>
          <w:sz w:val="14"/>
          <w:lang w:val="en-US"/>
        </w:rPr>
        <w:t xml:space="preserve"> Revenue from Contracts with Customers</w:t>
      </w:r>
      <w:r>
        <w:rPr>
          <w:rFonts w:asciiTheme="majorHAnsi" w:hAnsiTheme="majorHAnsi"/>
          <w:spacing w:val="-2"/>
          <w:sz w:val="14"/>
          <w:lang w:val="en-US"/>
        </w:rPr>
        <w:t>;</w:t>
      </w:r>
      <w:r w:rsidRPr="0041628F">
        <w:rPr>
          <w:rFonts w:asciiTheme="majorHAnsi" w:hAnsiTheme="majorHAnsi"/>
          <w:spacing w:val="-2"/>
          <w:sz w:val="14"/>
          <w:lang w:val="en-US"/>
        </w:rPr>
        <w:t xml:space="preserve"> </w:t>
      </w:r>
      <w:r w:rsidRPr="00442A75">
        <w:rPr>
          <w:rFonts w:asciiTheme="majorHAnsi" w:hAnsiTheme="majorHAnsi"/>
          <w:i/>
          <w:spacing w:val="-2"/>
          <w:sz w:val="14"/>
          <w:lang w:val="en-US"/>
        </w:rPr>
        <w:t>AASB 16</w:t>
      </w:r>
      <w:r w:rsidRPr="0041628F">
        <w:rPr>
          <w:rFonts w:asciiTheme="majorHAnsi" w:hAnsiTheme="majorHAnsi"/>
          <w:spacing w:val="-2"/>
          <w:sz w:val="14"/>
          <w:lang w:val="en-US"/>
        </w:rPr>
        <w:t xml:space="preserve"> Lease</w:t>
      </w:r>
      <w:r>
        <w:rPr>
          <w:rFonts w:asciiTheme="majorHAnsi" w:hAnsiTheme="majorHAnsi"/>
          <w:spacing w:val="-2"/>
          <w:sz w:val="14"/>
          <w:lang w:val="en-US"/>
        </w:rPr>
        <w:t>s;</w:t>
      </w:r>
      <w:r w:rsidRPr="0041628F">
        <w:rPr>
          <w:rFonts w:asciiTheme="majorHAnsi" w:hAnsiTheme="majorHAnsi"/>
          <w:spacing w:val="-2"/>
          <w:sz w:val="14"/>
          <w:lang w:val="en-US"/>
        </w:rPr>
        <w:t xml:space="preserve"> </w:t>
      </w:r>
      <w:r w:rsidRPr="00442A75">
        <w:rPr>
          <w:rFonts w:asciiTheme="majorHAnsi" w:hAnsiTheme="majorHAnsi"/>
          <w:i/>
          <w:spacing w:val="-2"/>
          <w:sz w:val="14"/>
          <w:lang w:val="en-US"/>
        </w:rPr>
        <w:t>AASB 1058</w:t>
      </w:r>
      <w:r w:rsidRPr="0041628F">
        <w:rPr>
          <w:rFonts w:asciiTheme="majorHAnsi" w:hAnsiTheme="majorHAnsi"/>
          <w:spacing w:val="-2"/>
          <w:sz w:val="14"/>
          <w:lang w:val="en-US"/>
        </w:rPr>
        <w:t xml:space="preserve"> Income of Not-for-Profit Entities</w:t>
      </w:r>
      <w:r>
        <w:rPr>
          <w:rFonts w:asciiTheme="majorHAnsi" w:hAnsiTheme="majorHAnsi"/>
          <w:spacing w:val="-2"/>
          <w:sz w:val="14"/>
          <w:lang w:val="en-US"/>
        </w:rPr>
        <w:t>; and</w:t>
      </w:r>
      <w:r w:rsidRPr="0041628F">
        <w:rPr>
          <w:rFonts w:asciiTheme="majorHAnsi" w:hAnsiTheme="majorHAnsi"/>
          <w:spacing w:val="-2"/>
          <w:sz w:val="14"/>
          <w:lang w:val="en-US"/>
        </w:rPr>
        <w:t xml:space="preserve"> </w:t>
      </w:r>
      <w:r w:rsidRPr="00442A75">
        <w:rPr>
          <w:rFonts w:asciiTheme="majorHAnsi" w:hAnsiTheme="majorHAnsi"/>
          <w:i/>
          <w:spacing w:val="-2"/>
          <w:sz w:val="14"/>
          <w:lang w:val="en-US"/>
        </w:rPr>
        <w:t>AASB 1059</w:t>
      </w:r>
      <w:r w:rsidRPr="0041628F">
        <w:rPr>
          <w:rFonts w:asciiTheme="majorHAnsi" w:hAnsiTheme="majorHAnsi"/>
          <w:spacing w:val="-2"/>
          <w:sz w:val="14"/>
          <w:lang w:val="en-US"/>
        </w:rPr>
        <w:t xml:space="preserve"> Service Concession Arrangements: Grantors</w:t>
      </w:r>
      <w:r w:rsidRPr="0041628F">
        <w:rPr>
          <w:rFonts w:asciiTheme="majorHAnsi" w:hAnsiTheme="majorHAnsi"/>
          <w:i/>
          <w:spacing w:val="-2"/>
          <w:sz w:val="14"/>
          <w:lang w:val="en-US"/>
        </w:rPr>
        <w:t xml:space="preserve"> has resulted in a number of new convergence differences between Australian Accounting Standards and Government Finance Statistics. The estimated convergence differences across the current forward estimates period were disclosed in Note 1.7.3 </w:t>
      </w:r>
      <w:r w:rsidRPr="0073228A">
        <w:rPr>
          <w:rFonts w:asciiTheme="majorHAnsi" w:hAnsiTheme="majorHAnsi"/>
          <w:i/>
          <w:spacing w:val="-2"/>
          <w:sz w:val="14"/>
          <w:lang w:val="en-US"/>
        </w:rPr>
        <w:t>of Budget Paper No. 5,</w:t>
      </w:r>
      <w:r w:rsidRPr="0041628F">
        <w:rPr>
          <w:rFonts w:asciiTheme="majorHAnsi" w:hAnsiTheme="majorHAnsi"/>
          <w:i/>
          <w:spacing w:val="-2"/>
          <w:sz w:val="14"/>
          <w:lang w:val="en-US"/>
        </w:rPr>
        <w:t xml:space="preserve"> in the </w:t>
      </w:r>
      <w:r w:rsidRPr="0041628F">
        <w:rPr>
          <w:rFonts w:asciiTheme="majorHAnsi" w:hAnsiTheme="majorHAnsi"/>
          <w:spacing w:val="-2"/>
          <w:sz w:val="14"/>
          <w:lang w:val="en-US"/>
        </w:rPr>
        <w:t>2019-20 Budget</w:t>
      </w:r>
      <w:r w:rsidRPr="0041628F">
        <w:rPr>
          <w:rFonts w:asciiTheme="majorHAnsi" w:hAnsiTheme="majorHAnsi"/>
          <w:i/>
          <w:spacing w:val="-2"/>
          <w:sz w:val="14"/>
          <w:lang w:val="en-US"/>
        </w:rPr>
        <w:t xml:space="preserve">. The opening </w:t>
      </w:r>
      <w:r>
        <w:rPr>
          <w:rFonts w:asciiTheme="majorHAnsi" w:hAnsiTheme="majorHAnsi"/>
          <w:i/>
          <w:spacing w:val="-2"/>
          <w:sz w:val="14"/>
          <w:lang w:val="en-US"/>
        </w:rPr>
        <w:t xml:space="preserve">adjustments </w:t>
      </w:r>
      <w:r w:rsidRPr="0041628F">
        <w:rPr>
          <w:rFonts w:asciiTheme="majorHAnsi" w:hAnsiTheme="majorHAnsi"/>
          <w:i/>
          <w:spacing w:val="-2"/>
          <w:sz w:val="14"/>
          <w:lang w:val="en-US"/>
        </w:rPr>
        <w:t xml:space="preserve">at the date of initial transition (1 July 2019), have also been disclosed in Note 7.4 of the </w:t>
      </w:r>
      <w:r>
        <w:rPr>
          <w:rFonts w:asciiTheme="majorHAnsi" w:hAnsiTheme="majorHAnsi"/>
          <w:spacing w:val="-2"/>
          <w:sz w:val="14"/>
          <w:lang w:val="en-US"/>
        </w:rPr>
        <w:t>Quarterly Financial Report No. 1.</w:t>
      </w:r>
    </w:p>
    <w:p w14:paraId="41FAFED5" w14:textId="77777777" w:rsidR="00964B88" w:rsidRDefault="00964B88" w:rsidP="00F53820">
      <w:pPr>
        <w:spacing w:before="20"/>
        <w:ind w:left="284"/>
        <w:contextualSpacing/>
        <w:rPr>
          <w:rFonts w:asciiTheme="majorHAnsi" w:hAnsiTheme="majorHAnsi"/>
          <w:i/>
          <w:spacing w:val="-2"/>
          <w:sz w:val="14"/>
          <w:lang w:val="en-US"/>
        </w:rPr>
      </w:pPr>
      <w:bookmarkStart w:id="119" w:name="_Hlk25155959"/>
      <w:r w:rsidRPr="0041628F">
        <w:rPr>
          <w:rFonts w:asciiTheme="majorHAnsi" w:hAnsiTheme="majorHAnsi"/>
          <w:i/>
          <w:spacing w:val="-2"/>
          <w:sz w:val="14"/>
          <w:lang w:val="en-US"/>
        </w:rPr>
        <w:t xml:space="preserve">Australian public sector jurisdictions </w:t>
      </w:r>
      <w:r>
        <w:rPr>
          <w:rFonts w:asciiTheme="majorHAnsi" w:hAnsiTheme="majorHAnsi"/>
          <w:i/>
          <w:spacing w:val="-2"/>
          <w:sz w:val="14"/>
          <w:lang w:val="en-US"/>
        </w:rPr>
        <w:t>have agreed to only</w:t>
      </w:r>
      <w:r w:rsidRPr="0041628F">
        <w:rPr>
          <w:rFonts w:asciiTheme="majorHAnsi" w:hAnsiTheme="majorHAnsi"/>
          <w:i/>
          <w:spacing w:val="-2"/>
          <w:sz w:val="14"/>
          <w:lang w:val="en-US"/>
        </w:rPr>
        <w:t xml:space="preserve"> maintain transitional data up until 1 July 2019 for the purpose of preparing this table</w:t>
      </w:r>
      <w:r>
        <w:rPr>
          <w:rFonts w:asciiTheme="majorHAnsi" w:hAnsiTheme="majorHAnsi"/>
          <w:i/>
          <w:spacing w:val="-2"/>
          <w:sz w:val="14"/>
          <w:lang w:val="en-US"/>
        </w:rPr>
        <w:t>.</w:t>
      </w:r>
      <w:r w:rsidRPr="0041628F">
        <w:rPr>
          <w:rFonts w:asciiTheme="majorHAnsi" w:hAnsiTheme="majorHAnsi"/>
          <w:i/>
          <w:spacing w:val="-2"/>
          <w:sz w:val="14"/>
          <w:lang w:val="en-US"/>
        </w:rPr>
        <w:t xml:space="preserve"> </w:t>
      </w:r>
      <w:r>
        <w:rPr>
          <w:rFonts w:asciiTheme="majorHAnsi" w:hAnsiTheme="majorHAnsi"/>
          <w:i/>
          <w:spacing w:val="-2"/>
          <w:sz w:val="14"/>
          <w:lang w:val="en-US"/>
        </w:rPr>
        <w:t>Consequently the AASB is</w:t>
      </w:r>
      <w:r w:rsidRPr="0041628F">
        <w:rPr>
          <w:rFonts w:asciiTheme="majorHAnsi" w:hAnsiTheme="majorHAnsi"/>
          <w:i/>
          <w:spacing w:val="-2"/>
          <w:sz w:val="14"/>
          <w:lang w:val="en-US"/>
        </w:rPr>
        <w:t xml:space="preserve"> considering</w:t>
      </w:r>
      <w:r>
        <w:rPr>
          <w:rFonts w:asciiTheme="majorHAnsi" w:hAnsiTheme="majorHAnsi"/>
          <w:i/>
          <w:spacing w:val="-2"/>
          <w:sz w:val="14"/>
          <w:lang w:val="en-US"/>
        </w:rPr>
        <w:t xml:space="preserve"> (through the issue of an amended accounting standard)</w:t>
      </w:r>
      <w:r w:rsidRPr="0041628F">
        <w:rPr>
          <w:rFonts w:asciiTheme="majorHAnsi" w:hAnsiTheme="majorHAnsi"/>
          <w:i/>
          <w:spacing w:val="-2"/>
          <w:sz w:val="14"/>
          <w:lang w:val="en-US"/>
        </w:rPr>
        <w:t xml:space="preserve"> approving ongoing </w:t>
      </w:r>
      <w:r>
        <w:rPr>
          <w:rFonts w:asciiTheme="majorHAnsi" w:hAnsiTheme="majorHAnsi"/>
          <w:i/>
          <w:spacing w:val="-2"/>
          <w:sz w:val="14"/>
          <w:lang w:val="en-US"/>
        </w:rPr>
        <w:t xml:space="preserve">relief from </w:t>
      </w:r>
      <w:r w:rsidRPr="0041628F">
        <w:rPr>
          <w:rFonts w:asciiTheme="majorHAnsi" w:hAnsiTheme="majorHAnsi"/>
          <w:i/>
          <w:spacing w:val="-2"/>
          <w:sz w:val="14"/>
          <w:lang w:val="en-US"/>
        </w:rPr>
        <w:t xml:space="preserve">presenting this information in future financial reports. </w:t>
      </w:r>
      <w:r>
        <w:rPr>
          <w:rFonts w:asciiTheme="majorHAnsi" w:hAnsiTheme="majorHAnsi"/>
          <w:i/>
          <w:spacing w:val="-2"/>
          <w:sz w:val="14"/>
          <w:lang w:val="en-US"/>
        </w:rPr>
        <w:t xml:space="preserve">As such </w:t>
      </w:r>
      <w:r w:rsidRPr="0041628F">
        <w:rPr>
          <w:rFonts w:asciiTheme="majorHAnsi" w:hAnsiTheme="majorHAnsi"/>
          <w:i/>
          <w:spacing w:val="-2"/>
          <w:sz w:val="14"/>
          <w:lang w:val="en-US"/>
        </w:rPr>
        <w:t xml:space="preserve">this table does not include </w:t>
      </w:r>
      <w:r>
        <w:rPr>
          <w:rFonts w:asciiTheme="majorHAnsi" w:hAnsiTheme="majorHAnsi"/>
          <w:i/>
          <w:spacing w:val="-2"/>
          <w:sz w:val="14"/>
          <w:lang w:val="en-US"/>
        </w:rPr>
        <w:t>the</w:t>
      </w:r>
      <w:r w:rsidRPr="0041628F">
        <w:rPr>
          <w:rFonts w:asciiTheme="majorHAnsi" w:hAnsiTheme="majorHAnsi"/>
          <w:i/>
          <w:spacing w:val="-2"/>
          <w:sz w:val="14"/>
          <w:lang w:val="en-US"/>
        </w:rPr>
        <w:t xml:space="preserve"> convergence differences arising from the new accounting standards.</w:t>
      </w:r>
    </w:p>
    <w:bookmarkEnd w:id="119"/>
    <w:p w14:paraId="550F0B84" w14:textId="77777777" w:rsidR="00964B88" w:rsidRPr="0041628F" w:rsidRDefault="00964B88" w:rsidP="00F53820">
      <w:pPr>
        <w:spacing w:before="20"/>
        <w:ind w:left="284" w:hanging="284"/>
        <w:contextualSpacing/>
        <w:rPr>
          <w:rFonts w:asciiTheme="majorHAnsi" w:hAnsiTheme="majorHAnsi"/>
          <w:i/>
          <w:spacing w:val="-2"/>
          <w:sz w:val="14"/>
          <w:lang w:val="en-US"/>
        </w:rPr>
      </w:pPr>
      <w:r w:rsidRPr="0041628F">
        <w:rPr>
          <w:rFonts w:asciiTheme="majorHAnsi" w:hAnsiTheme="majorHAnsi"/>
          <w:i/>
          <w:spacing w:val="-2"/>
          <w:sz w:val="14"/>
          <w:lang w:val="en-US"/>
        </w:rPr>
        <w:t>(</w:t>
      </w:r>
      <w:r>
        <w:rPr>
          <w:rFonts w:asciiTheme="majorHAnsi" w:hAnsiTheme="majorHAnsi"/>
          <w:i/>
          <w:spacing w:val="-2"/>
          <w:sz w:val="14"/>
          <w:lang w:val="en-US"/>
        </w:rPr>
        <w:t>c</w:t>
      </w:r>
      <w:r w:rsidRPr="0041628F">
        <w:rPr>
          <w:rFonts w:asciiTheme="majorHAnsi" w:hAnsiTheme="majorHAnsi"/>
          <w:i/>
          <w:spacing w:val="-2"/>
          <w:sz w:val="14"/>
          <w:lang w:val="en-US"/>
        </w:rPr>
        <w:t>)</w:t>
      </w:r>
      <w:r w:rsidRPr="0041628F">
        <w:rPr>
          <w:rFonts w:asciiTheme="majorHAnsi" w:hAnsiTheme="majorHAnsi"/>
          <w:i/>
          <w:spacing w:val="-2"/>
          <w:sz w:val="14"/>
          <w:lang w:val="en-US"/>
        </w:rPr>
        <w:tab/>
        <w:t xml:space="preserve">The convergence difference arises because the GFS </w:t>
      </w:r>
      <w:r w:rsidRPr="0041628F">
        <w:rPr>
          <w:rFonts w:asciiTheme="majorHAnsi" w:hAnsiTheme="majorHAnsi"/>
          <w:i/>
          <w:spacing w:val="-2"/>
          <w:sz w:val="14"/>
        </w:rPr>
        <w:t>recognises</w:t>
      </w:r>
      <w:r w:rsidRPr="0041628F">
        <w:rPr>
          <w:rFonts w:asciiTheme="majorHAnsi" w:hAnsiTheme="majorHAnsi"/>
          <w:i/>
          <w:spacing w:val="-2"/>
          <w:sz w:val="14"/>
          <w:lang w:val="en-US"/>
        </w:rPr>
        <w:t xml:space="preserve"> the 15-year prepaid Port Licence Fee from the medium-term lease of the Port of Melbourne as revenue over the 15-year period. </w:t>
      </w:r>
    </w:p>
    <w:p w14:paraId="3D39B480" w14:textId="77777777" w:rsidR="00964B88" w:rsidRPr="00434F7A" w:rsidRDefault="00964B88" w:rsidP="00F53820">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w:t>
      </w:r>
      <w:r>
        <w:rPr>
          <w:rFonts w:asciiTheme="majorHAnsi" w:hAnsiTheme="majorHAnsi"/>
          <w:i/>
          <w:spacing w:val="-2"/>
          <w:sz w:val="14"/>
          <w:lang w:val="en-US"/>
        </w:rPr>
        <w:t>d</w:t>
      </w:r>
      <w:r w:rsidRPr="00434F7A">
        <w:rPr>
          <w:rFonts w:asciiTheme="majorHAnsi" w:hAnsiTheme="majorHAnsi"/>
          <w:i/>
          <w:spacing w:val="-2"/>
          <w:sz w:val="14"/>
          <w:lang w:val="en-US"/>
        </w:rPr>
        <w:t>)</w:t>
      </w:r>
      <w:r w:rsidRPr="00434F7A">
        <w:rPr>
          <w:rFonts w:asciiTheme="majorHAnsi" w:hAnsiTheme="majorHAnsi"/>
          <w:i/>
          <w:spacing w:val="-2"/>
          <w:sz w:val="14"/>
          <w:lang w:val="en-US"/>
        </w:rPr>
        <w:tab/>
      </w:r>
      <w:r>
        <w:rPr>
          <w:rFonts w:asciiTheme="majorHAnsi" w:hAnsiTheme="majorHAnsi"/>
          <w:i/>
          <w:spacing w:val="-2"/>
          <w:sz w:val="14"/>
          <w:lang w:val="en-US"/>
        </w:rPr>
        <w:t>The convergence difference in accounts receivable arises because GFS does not recognise doubtful receivables, whereas a provision for doubtful receivables is recognised in the balance sheet.</w:t>
      </w:r>
    </w:p>
    <w:p w14:paraId="69CE5B67" w14:textId="77777777" w:rsidR="00964B88" w:rsidRDefault="00964B88" w:rsidP="00F53820">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w:t>
      </w:r>
      <w:r>
        <w:rPr>
          <w:rFonts w:asciiTheme="majorHAnsi" w:hAnsiTheme="majorHAnsi"/>
          <w:i/>
          <w:spacing w:val="-2"/>
          <w:sz w:val="14"/>
          <w:lang w:val="en-US"/>
        </w:rPr>
        <w:t>e</w:t>
      </w:r>
      <w:r w:rsidRPr="00434F7A">
        <w:rPr>
          <w:rFonts w:asciiTheme="majorHAnsi" w:hAnsiTheme="majorHAnsi"/>
          <w:i/>
          <w:spacing w:val="-2"/>
          <w:sz w:val="14"/>
          <w:lang w:val="en-US"/>
        </w:rPr>
        <w:t>)</w:t>
      </w:r>
      <w:r w:rsidRPr="00434F7A">
        <w:rPr>
          <w:rFonts w:asciiTheme="majorHAnsi" w:hAnsiTheme="majorHAnsi"/>
          <w:i/>
          <w:spacing w:val="-2"/>
          <w:sz w:val="14"/>
          <w:lang w:val="en-US"/>
        </w:rPr>
        <w:tab/>
      </w:r>
      <w:r>
        <w:rPr>
          <w:rFonts w:asciiTheme="majorHAnsi" w:hAnsiTheme="majorHAnsi"/>
          <w:i/>
          <w:spacing w:val="-2"/>
          <w:sz w:val="14"/>
          <w:lang w:val="en-US"/>
        </w:rPr>
        <w:t>Investments in other sector entities for the general government sector includes doubtful receivables, future tax benefits and deferred tax liability of the PNFC and PFC sectors.</w:t>
      </w:r>
    </w:p>
    <w:p w14:paraId="2C957482" w14:textId="77777777" w:rsidR="00964B88" w:rsidRPr="00434F7A" w:rsidRDefault="00964B88" w:rsidP="00F53820">
      <w:pPr>
        <w:spacing w:before="20"/>
        <w:ind w:left="284" w:hanging="284"/>
        <w:contextualSpacing/>
        <w:rPr>
          <w:rFonts w:asciiTheme="majorHAnsi" w:hAnsiTheme="majorHAnsi"/>
          <w:i/>
          <w:spacing w:val="-2"/>
          <w:sz w:val="14"/>
        </w:rPr>
      </w:pPr>
      <w:r w:rsidRPr="00434F7A">
        <w:rPr>
          <w:rFonts w:asciiTheme="majorHAnsi" w:hAnsiTheme="majorHAnsi"/>
          <w:i/>
          <w:spacing w:val="-2"/>
          <w:sz w:val="14"/>
          <w:lang w:val="en-US"/>
        </w:rPr>
        <w:t>(</w:t>
      </w:r>
      <w:r>
        <w:rPr>
          <w:rFonts w:asciiTheme="majorHAnsi" w:hAnsiTheme="majorHAnsi"/>
          <w:i/>
          <w:spacing w:val="-2"/>
          <w:sz w:val="14"/>
          <w:lang w:val="en-US"/>
        </w:rPr>
        <w:t>f</w:t>
      </w:r>
      <w:r w:rsidRPr="00434F7A">
        <w:rPr>
          <w:rFonts w:asciiTheme="majorHAnsi" w:hAnsiTheme="majorHAnsi"/>
          <w:i/>
          <w:spacing w:val="-2"/>
          <w:sz w:val="14"/>
          <w:lang w:val="en-US"/>
        </w:rPr>
        <w:t>)</w:t>
      </w:r>
      <w:r w:rsidRPr="00434F7A">
        <w:rPr>
          <w:rFonts w:asciiTheme="majorHAnsi" w:hAnsiTheme="majorHAnsi"/>
          <w:i/>
          <w:spacing w:val="-2"/>
          <w:sz w:val="14"/>
          <w:lang w:val="en-US"/>
        </w:rPr>
        <w:tab/>
      </w:r>
      <w:r>
        <w:rPr>
          <w:rFonts w:asciiTheme="majorHAnsi" w:hAnsiTheme="majorHAnsi"/>
          <w:i/>
          <w:spacing w:val="-2"/>
          <w:sz w:val="14"/>
          <w:lang w:val="en-US"/>
        </w:rPr>
        <w:t>The convergence difference for the Port of Melbourne lease transaction arises because GFS recognised the transaction as a sale of equity from the general government sector, whereas under Australian Accounting Standards the Port of Melbourne lease transaction has been treated as an operating lease with the leased assets remaining with the PNFC sector.</w:t>
      </w:r>
    </w:p>
    <w:p w14:paraId="7CA35CE4" w14:textId="77777777" w:rsidR="00964B88" w:rsidRPr="00700A2B" w:rsidRDefault="00964B88" w:rsidP="00F53820">
      <w:pPr>
        <w:spacing w:before="20"/>
        <w:ind w:left="284" w:hanging="284"/>
        <w:contextualSpacing/>
        <w:rPr>
          <w:rFonts w:asciiTheme="majorHAnsi" w:hAnsiTheme="majorHAnsi"/>
          <w:i/>
          <w:spacing w:val="-2"/>
          <w:sz w:val="14"/>
        </w:rPr>
      </w:pPr>
    </w:p>
    <w:p w14:paraId="222F837A" w14:textId="77777777" w:rsidR="00964B88" w:rsidRPr="00700A2B" w:rsidRDefault="00964B88" w:rsidP="00964B88">
      <w:pPr>
        <w:pStyle w:val="Heading3"/>
        <w:numPr>
          <w:ilvl w:val="2"/>
          <w:numId w:val="22"/>
        </w:numPr>
        <w:tabs>
          <w:tab w:val="clear" w:pos="7711"/>
          <w:tab w:val="left" w:pos="850"/>
          <w:tab w:val="right" w:pos="7710"/>
        </w:tabs>
        <w:spacing w:after="60"/>
      </w:pPr>
      <w:bookmarkStart w:id="120" w:name="_Toc496606685"/>
      <w:bookmarkStart w:id="121" w:name="_Toc23766064"/>
      <w:bookmarkStart w:id="122" w:name="_Toc496606686"/>
      <w:r w:rsidRPr="00700A2B">
        <w:lastRenderedPageBreak/>
        <w:t>Prospective accounting and reporting changes</w:t>
      </w:r>
      <w:bookmarkEnd w:id="120"/>
      <w:bookmarkEnd w:id="121"/>
    </w:p>
    <w:p w14:paraId="13D3A17C" w14:textId="77777777" w:rsidR="00964B88" w:rsidRPr="00700A2B" w:rsidRDefault="00964B88" w:rsidP="00D13450">
      <w:pPr>
        <w:ind w:right="340"/>
      </w:pPr>
      <w:r w:rsidRPr="00700A2B">
        <w:t>Certain new and revised accounting standards have been issued but are not effective for the 2018</w:t>
      </w:r>
      <w:r w:rsidRPr="00700A2B">
        <w:noBreakHyphen/>
        <w:t xml:space="preserve">19 reporting period. These accounting standards have not been applied to the </w:t>
      </w:r>
      <w:r w:rsidRPr="00700A2B">
        <w:rPr>
          <w:i/>
        </w:rPr>
        <w:t>2018-19</w:t>
      </w:r>
      <w:r w:rsidRPr="00700A2B">
        <w:t xml:space="preserve"> </w:t>
      </w:r>
      <w:r w:rsidRPr="00700A2B">
        <w:rPr>
          <w:i/>
        </w:rPr>
        <w:t>Budget Update</w:t>
      </w:r>
      <w:r w:rsidRPr="00700A2B">
        <w:t>. The State is reviewing its existing policies and assessing the potential implications of</w:t>
      </w:r>
      <w:r>
        <w:t xml:space="preserve"> </w:t>
      </w:r>
      <w:r w:rsidRPr="00700A2B">
        <w:t xml:space="preserve">AASB 17 </w:t>
      </w:r>
      <w:r w:rsidRPr="00700A2B">
        <w:rPr>
          <w:i/>
        </w:rPr>
        <w:t>Insurance Contracts</w:t>
      </w:r>
      <w:r>
        <w:t>. This accounting standard is</w:t>
      </w:r>
      <w:r w:rsidRPr="00700A2B">
        <w:t xml:space="preserve"> operative on or after 1 January 2021</w:t>
      </w:r>
      <w:r>
        <w:t xml:space="preserve"> and </w:t>
      </w:r>
      <w:r w:rsidRPr="00700A2B">
        <w:t>will supersede AASB</w:t>
      </w:r>
      <w:r>
        <w:t> </w:t>
      </w:r>
      <w:r w:rsidRPr="00700A2B">
        <w:t xml:space="preserve">4 </w:t>
      </w:r>
      <w:r w:rsidRPr="0073228A">
        <w:rPr>
          <w:i/>
        </w:rPr>
        <w:t>Insurance Contracts</w:t>
      </w:r>
      <w:r w:rsidRPr="00700A2B">
        <w:t>. AASB</w:t>
      </w:r>
      <w:r>
        <w:t> </w:t>
      </w:r>
      <w:r w:rsidRPr="00700A2B">
        <w:t>17 seeks to eliminate inconsistencies and weaknesses in existing practices by providing a single principles based framework to account for all types of insurance contracts. The standard also provides new requirements for presentation and disclosure to enhance comparability between entities. The standard currently does not apply to not</w:t>
      </w:r>
      <w:r w:rsidR="00D13450">
        <w:noBreakHyphen/>
      </w:r>
      <w:r w:rsidRPr="00700A2B">
        <w:t>for</w:t>
      </w:r>
      <w:r w:rsidR="00D13450">
        <w:noBreakHyphen/>
      </w:r>
      <w:r w:rsidRPr="00700A2B">
        <w:t>profit public sector entities.</w:t>
      </w:r>
    </w:p>
    <w:p w14:paraId="38E6D46F" w14:textId="77777777" w:rsidR="00964B88" w:rsidRDefault="00964B88" w:rsidP="00F53820">
      <w:r w:rsidRPr="00700A2B">
        <w:t>Several other amending standards and AASB interpretations have been issued that apply to future reporting periods, but are considered to have limited impact on public sector reporting.</w:t>
      </w:r>
    </w:p>
    <w:p w14:paraId="0A707D9F" w14:textId="77777777" w:rsidR="00D13450" w:rsidRDefault="00D13450" w:rsidP="00F53820"/>
    <w:p w14:paraId="188FE154" w14:textId="77777777" w:rsidR="00D13450" w:rsidRDefault="00D13450" w:rsidP="00F53820"/>
    <w:p w14:paraId="62C41F91" w14:textId="77777777" w:rsidR="00964B88" w:rsidRDefault="00964B88" w:rsidP="00964B88">
      <w:pPr>
        <w:pStyle w:val="Heading3"/>
        <w:numPr>
          <w:ilvl w:val="2"/>
          <w:numId w:val="22"/>
        </w:numPr>
        <w:tabs>
          <w:tab w:val="clear" w:pos="7711"/>
          <w:tab w:val="left" w:pos="850"/>
          <w:tab w:val="right" w:pos="7710"/>
        </w:tabs>
        <w:spacing w:after="60"/>
      </w:pPr>
      <w:bookmarkStart w:id="123" w:name="_Toc23766065"/>
      <w:r>
        <w:t>Controlled entities</w:t>
      </w:r>
      <w:bookmarkEnd w:id="122"/>
      <w:bookmarkEnd w:id="123"/>
    </w:p>
    <w:p w14:paraId="18FBE587" w14:textId="77777777" w:rsidR="00964B88" w:rsidRDefault="00964B88" w:rsidP="00F53820">
      <w:bookmarkStart w:id="124" w:name="_Hlk531351592"/>
      <w:r>
        <w:t xml:space="preserve">Note 9.8 in the </w:t>
      </w:r>
      <w:r>
        <w:rPr>
          <w:i/>
        </w:rPr>
        <w:t>2018</w:t>
      </w:r>
      <w:r>
        <w:rPr>
          <w:i/>
        </w:rPr>
        <w:noBreakHyphen/>
        <w:t>19</w:t>
      </w:r>
      <w:r w:rsidRPr="000A547A">
        <w:rPr>
          <w:i/>
        </w:rPr>
        <w:t xml:space="preserve"> Financial Report</w:t>
      </w:r>
      <w:r>
        <w:t xml:space="preserve"> for the State of Victoria lists significant controlled entities, which were consolidated in that financial report. </w:t>
      </w:r>
    </w:p>
    <w:p w14:paraId="12A13C72" w14:textId="77777777" w:rsidR="00964B88" w:rsidRDefault="00964B88" w:rsidP="00F53820">
      <w:r w:rsidRPr="0051566E">
        <w:t xml:space="preserve">The following are changes </w:t>
      </w:r>
      <w:r>
        <w:t xml:space="preserve">in </w:t>
      </w:r>
      <w:r w:rsidRPr="0051566E">
        <w:t>general government sector entities</w:t>
      </w:r>
      <w:r>
        <w:t xml:space="preserve"> since 1 July 2019</w:t>
      </w:r>
      <w:r w:rsidRPr="0051566E">
        <w:t>, which have</w:t>
      </w:r>
      <w:r>
        <w:t xml:space="preserve"> also</w:t>
      </w:r>
      <w:r w:rsidRPr="0051566E">
        <w:t xml:space="preserve"> been </w:t>
      </w:r>
      <w:r>
        <w:t xml:space="preserve">incorporated </w:t>
      </w:r>
      <w:r w:rsidRPr="0051566E">
        <w:t>in this financial report:</w:t>
      </w:r>
    </w:p>
    <w:bookmarkEnd w:id="124"/>
    <w:p w14:paraId="4E989111" w14:textId="77777777" w:rsidR="00964B88" w:rsidRPr="0051566E" w:rsidRDefault="00964B88" w:rsidP="00F53820"/>
    <w:tbl>
      <w:tblPr>
        <w:tblStyle w:val="DTFTable"/>
        <w:tblW w:w="5000" w:type="pct"/>
        <w:tblInd w:w="0" w:type="dxa"/>
        <w:tblCellMar>
          <w:left w:w="113" w:type="dxa"/>
          <w:right w:w="198" w:type="dxa"/>
        </w:tblCellMar>
        <w:tblLook w:val="0680" w:firstRow="0" w:lastRow="0" w:firstColumn="1" w:lastColumn="0" w:noHBand="1" w:noVBand="1"/>
      </w:tblPr>
      <w:tblGrid>
        <w:gridCol w:w="4011"/>
        <w:gridCol w:w="4011"/>
      </w:tblGrid>
      <w:tr w:rsidR="00964B88" w:rsidRPr="0029647E" w14:paraId="43A2AF77" w14:textId="77777777" w:rsidTr="00F53820">
        <w:trPr>
          <w:trHeight w:val="1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bookmarkEnd w:id="116"/>
          <w:p w14:paraId="4E022718" w14:textId="77777777" w:rsidR="00964B88" w:rsidRPr="009D5B68" w:rsidRDefault="00964B88" w:rsidP="00F53820">
            <w:pPr>
              <w:pStyle w:val="ControlledEntitiesSector"/>
              <w:jc w:val="left"/>
              <w:rPr>
                <w:b w:val="0"/>
              </w:rPr>
            </w:pPr>
            <w:r w:rsidRPr="009D5B68">
              <w:rPr>
                <w:b w:val="0"/>
              </w:rPr>
              <w:t>General government sector</w:t>
            </w:r>
          </w:p>
        </w:tc>
      </w:tr>
      <w:tr w:rsidR="00964B88" w:rsidRPr="0029647E" w14:paraId="02B20D0B" w14:textId="77777777" w:rsidTr="00F53820">
        <w:trPr>
          <w:cantSplit w:val="0"/>
          <w:trHeight w:val="619"/>
        </w:trPr>
        <w:tc>
          <w:tcPr>
            <w:cnfStyle w:val="001000000000" w:firstRow="0" w:lastRow="0" w:firstColumn="1" w:lastColumn="0" w:oddVBand="0" w:evenVBand="0" w:oddHBand="0" w:evenHBand="0" w:firstRowFirstColumn="0" w:firstRowLastColumn="0" w:lastRowFirstColumn="0" w:lastRowLastColumn="0"/>
            <w:tcW w:w="2500" w:type="pct"/>
            <w:tcBorders>
              <w:bottom w:val="single" w:sz="12" w:space="0" w:color="auto"/>
            </w:tcBorders>
          </w:tcPr>
          <w:p w14:paraId="533249B6" w14:textId="77777777" w:rsidR="00964B88" w:rsidRDefault="00964B88" w:rsidP="00F53820">
            <w:pPr>
              <w:pStyle w:val="ControlledEntitiesDepartment"/>
              <w:ind w:left="0" w:firstLine="0"/>
            </w:pPr>
            <w:r>
              <w:t>Department of Health and Human Services</w:t>
            </w:r>
            <w:r w:rsidRPr="005B4BA6">
              <w:t xml:space="preserve"> </w:t>
            </w:r>
          </w:p>
          <w:p w14:paraId="4B42B105" w14:textId="77777777" w:rsidR="00964B88" w:rsidRDefault="00964B88" w:rsidP="00F53820">
            <w:pPr>
              <w:pStyle w:val="ListBullet"/>
              <w:numPr>
                <w:ilvl w:val="0"/>
                <w:numId w:val="0"/>
              </w:numPr>
              <w:spacing w:before="20"/>
              <w:ind w:left="284" w:hanging="284"/>
              <w:rPr>
                <w:vertAlign w:val="superscript"/>
              </w:rPr>
            </w:pPr>
            <w:r>
              <w:t xml:space="preserve">Central Highlands Rural Health </w:t>
            </w:r>
            <w:r w:rsidRPr="0063517E">
              <w:rPr>
                <w:vertAlign w:val="superscript"/>
              </w:rPr>
              <w:t>(</w:t>
            </w:r>
            <w:r>
              <w:rPr>
                <w:vertAlign w:val="superscript"/>
              </w:rPr>
              <w:t>a</w:t>
            </w:r>
            <w:r w:rsidRPr="0063517E">
              <w:rPr>
                <w:vertAlign w:val="superscript"/>
              </w:rPr>
              <w:t>)</w:t>
            </w:r>
          </w:p>
          <w:p w14:paraId="588DE7DA" w14:textId="77777777" w:rsidR="00964B88" w:rsidRDefault="00964B88" w:rsidP="00F53820">
            <w:pPr>
              <w:pStyle w:val="ListBullet"/>
              <w:numPr>
                <w:ilvl w:val="0"/>
                <w:numId w:val="0"/>
              </w:numPr>
              <w:spacing w:before="20"/>
              <w:ind w:left="284" w:hanging="284"/>
              <w:rPr>
                <w:vertAlign w:val="superscript"/>
              </w:rPr>
            </w:pPr>
            <w:r>
              <w:t xml:space="preserve">Great Ocean Road Health </w:t>
            </w:r>
            <w:r w:rsidRPr="00F4110A">
              <w:rPr>
                <w:vertAlign w:val="superscript"/>
              </w:rPr>
              <w:t>(b)</w:t>
            </w:r>
          </w:p>
          <w:p w14:paraId="57048AA2" w14:textId="77777777" w:rsidR="00964B88" w:rsidRPr="0029647E" w:rsidRDefault="00964B88" w:rsidP="00F53820">
            <w:pPr>
              <w:pStyle w:val="ListBullet"/>
              <w:numPr>
                <w:ilvl w:val="0"/>
                <w:numId w:val="0"/>
              </w:numPr>
              <w:spacing w:before="20"/>
              <w:ind w:left="284" w:hanging="284"/>
            </w:pPr>
            <w:r>
              <w:t xml:space="preserve">NCN Health </w:t>
            </w:r>
            <w:r w:rsidRPr="00F4110A">
              <w:rPr>
                <w:vertAlign w:val="superscript"/>
              </w:rPr>
              <w:t>(</w:t>
            </w:r>
            <w:r>
              <w:rPr>
                <w:vertAlign w:val="superscript"/>
              </w:rPr>
              <w:t>c</w:t>
            </w:r>
            <w:r w:rsidRPr="00F4110A">
              <w:rPr>
                <w:vertAlign w:val="superscript"/>
              </w:rPr>
              <w:t>)</w:t>
            </w:r>
          </w:p>
        </w:tc>
        <w:tc>
          <w:tcPr>
            <w:tcW w:w="2500" w:type="pct"/>
            <w:tcBorders>
              <w:bottom w:val="single" w:sz="12" w:space="0" w:color="auto"/>
            </w:tcBorders>
            <w:shd w:val="clear" w:color="auto" w:fill="FFFFFF" w:themeFill="background1"/>
          </w:tcPr>
          <w:p w14:paraId="64474D07" w14:textId="77777777" w:rsidR="00964B88" w:rsidRPr="00D512AB" w:rsidRDefault="00964B88" w:rsidP="00F53820">
            <w:pPr>
              <w:keepLines w:val="0"/>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18"/>
                <w:szCs w:val="18"/>
                <w:shd w:val="pct15" w:color="auto" w:fill="FFFFFF"/>
              </w:rPr>
            </w:pPr>
            <w:r w:rsidRPr="00D512AB">
              <w:rPr>
                <w:rFonts w:ascii="Calibri-Bold" w:hAnsi="Calibri-Bold" w:cs="Calibri-Bold"/>
                <w:b/>
                <w:bCs/>
                <w:sz w:val="18"/>
                <w:szCs w:val="18"/>
                <w:shd w:val="pct15" w:color="auto" w:fill="FFFFFF"/>
              </w:rPr>
              <w:t xml:space="preserve">Department of </w:t>
            </w:r>
            <w:r>
              <w:rPr>
                <w:rFonts w:ascii="Calibri-Bold" w:hAnsi="Calibri-Bold" w:cs="Calibri-Bold"/>
                <w:b/>
                <w:bCs/>
                <w:sz w:val="18"/>
                <w:szCs w:val="18"/>
                <w:shd w:val="pct15" w:color="auto" w:fill="FFFFFF"/>
              </w:rPr>
              <w:t>Premier and Cabinet</w:t>
            </w:r>
          </w:p>
          <w:p w14:paraId="1E630021" w14:textId="77777777" w:rsidR="00964B88" w:rsidRDefault="00964B88" w:rsidP="00F53820">
            <w:pPr>
              <w:jc w:val="left"/>
              <w:cnfStyle w:val="000000000000" w:firstRow="0" w:lastRow="0" w:firstColumn="0" w:lastColumn="0" w:oddVBand="0" w:evenVBand="0" w:oddHBand="0" w:evenHBand="0" w:firstRowFirstColumn="0" w:firstRowLastColumn="0" w:lastRowFirstColumn="0" w:lastRowLastColumn="0"/>
            </w:pPr>
            <w:r>
              <w:t xml:space="preserve">The Portable Long Service Authority </w:t>
            </w:r>
            <w:r w:rsidRPr="006379E9">
              <w:rPr>
                <w:vertAlign w:val="superscript"/>
              </w:rPr>
              <w:t>(</w:t>
            </w:r>
            <w:r>
              <w:rPr>
                <w:vertAlign w:val="superscript"/>
              </w:rPr>
              <w:t>d</w:t>
            </w:r>
            <w:r w:rsidRPr="006379E9">
              <w:rPr>
                <w:vertAlign w:val="superscript"/>
              </w:rPr>
              <w:t>)</w:t>
            </w:r>
          </w:p>
          <w:p w14:paraId="5708ABC2" w14:textId="77777777" w:rsidR="00964B88" w:rsidRPr="0029647E" w:rsidRDefault="00964B88" w:rsidP="00F53820">
            <w:pPr>
              <w:keepLines w:val="0"/>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pPr>
            <w:r w:rsidRPr="00D512AB">
              <w:rPr>
                <w:rFonts w:ascii="Calibri-Bold" w:hAnsi="Calibri-Bold" w:cs="Calibri-Bold"/>
                <w:b/>
                <w:bCs/>
                <w:sz w:val="18"/>
                <w:szCs w:val="18"/>
                <w:shd w:val="pct15" w:color="auto" w:fill="FFFFFF"/>
              </w:rPr>
              <w:t xml:space="preserve">Department of </w:t>
            </w:r>
            <w:r>
              <w:rPr>
                <w:rFonts w:ascii="Calibri-Bold" w:hAnsi="Calibri-Bold" w:cs="Calibri-Bold"/>
                <w:b/>
                <w:bCs/>
                <w:sz w:val="18"/>
                <w:szCs w:val="18"/>
                <w:shd w:val="pct15" w:color="auto" w:fill="FFFFFF"/>
              </w:rPr>
              <w:t xml:space="preserve">Transport </w:t>
            </w:r>
            <w:r>
              <w:rPr>
                <w:vertAlign w:val="superscript"/>
              </w:rPr>
              <w:t>(e</w:t>
            </w:r>
            <w:r w:rsidRPr="00226A19">
              <w:rPr>
                <w:vertAlign w:val="superscript"/>
              </w:rPr>
              <w:t>)</w:t>
            </w:r>
          </w:p>
        </w:tc>
      </w:tr>
    </w:tbl>
    <w:p w14:paraId="03AB1121" w14:textId="77777777" w:rsidR="00964B88" w:rsidRDefault="00964B88" w:rsidP="00F53820">
      <w:pPr>
        <w:pStyle w:val="Note"/>
        <w:ind w:left="0" w:firstLine="0"/>
      </w:pPr>
      <w:r>
        <w:t>Notes:</w:t>
      </w:r>
    </w:p>
    <w:p w14:paraId="54BCBFF5" w14:textId="77777777" w:rsidR="00964B88" w:rsidRDefault="00964B88" w:rsidP="00F53820">
      <w:pPr>
        <w:pStyle w:val="Note"/>
      </w:pPr>
      <w:r>
        <w:t>(a)</w:t>
      </w:r>
      <w:r>
        <w:tab/>
      </w:r>
      <w:r w:rsidRPr="0063517E">
        <w:t xml:space="preserve">Effective </w:t>
      </w:r>
      <w:r>
        <w:t xml:space="preserve">from </w:t>
      </w:r>
      <w:r w:rsidRPr="0063517E">
        <w:t xml:space="preserve">30 November 2019, Hepburn Health Service and Kyneton District Health Service </w:t>
      </w:r>
      <w:r>
        <w:t xml:space="preserve">were </w:t>
      </w:r>
      <w:r w:rsidRPr="0063517E">
        <w:t>amalgamated into Central Highlands Rural Health.</w:t>
      </w:r>
    </w:p>
    <w:p w14:paraId="681D07D6" w14:textId="77777777" w:rsidR="00964B88" w:rsidRDefault="00964B88" w:rsidP="00F53820">
      <w:pPr>
        <w:pStyle w:val="Note"/>
      </w:pPr>
      <w:r>
        <w:t>(b)</w:t>
      </w:r>
      <w:r>
        <w:tab/>
      </w:r>
      <w:r w:rsidRPr="00A37689">
        <w:t xml:space="preserve">Effective from 1 July 2019, </w:t>
      </w:r>
      <w:r>
        <w:t>Lorne Community Hospital and Otway Health were amalgamated into Great Ocean Road Health.</w:t>
      </w:r>
    </w:p>
    <w:p w14:paraId="3CC29899" w14:textId="77777777" w:rsidR="00964B88" w:rsidRDefault="00964B88" w:rsidP="00F53820">
      <w:pPr>
        <w:pStyle w:val="Note"/>
      </w:pPr>
      <w:r>
        <w:t>(c)</w:t>
      </w:r>
      <w:r>
        <w:tab/>
      </w:r>
      <w:r w:rsidRPr="00A37689">
        <w:t xml:space="preserve">Effective from 1 July 2019, </w:t>
      </w:r>
      <w:r>
        <w:t>Numurkah District Health Service, Cobram District Health, and Nathalia District Hospital were amalgamated into NCN Health.</w:t>
      </w:r>
    </w:p>
    <w:p w14:paraId="10650917" w14:textId="77777777" w:rsidR="00964B88" w:rsidRPr="008369F6" w:rsidRDefault="00964B88" w:rsidP="00F53820">
      <w:pPr>
        <w:pStyle w:val="Note"/>
        <w:rPr>
          <w:highlight w:val="yellow"/>
        </w:rPr>
      </w:pPr>
      <w:r>
        <w:t>(d)</w:t>
      </w:r>
      <w:r>
        <w:tab/>
      </w:r>
      <w:bookmarkStart w:id="125" w:name="_Hlk22658821"/>
      <w:r>
        <w:t xml:space="preserve">The Portable Long Service Authority was established under the </w:t>
      </w:r>
      <w:r w:rsidRPr="008369F6">
        <w:rPr>
          <w:i w:val="0"/>
        </w:rPr>
        <w:t>Long Service Benefits Portability Act 2018</w:t>
      </w:r>
      <w:r>
        <w:t>, and by Order of the Governor in Council, commenced on 1 July 2019.</w:t>
      </w:r>
      <w:r w:rsidRPr="00613710">
        <w:rPr>
          <w:highlight w:val="yellow"/>
        </w:rPr>
        <w:t xml:space="preserve"> </w:t>
      </w:r>
    </w:p>
    <w:bookmarkEnd w:id="125"/>
    <w:p w14:paraId="0F1A733A" w14:textId="77777777" w:rsidR="00964B88" w:rsidRPr="00373731" w:rsidRDefault="00964B88" w:rsidP="00F53820">
      <w:pPr>
        <w:pStyle w:val="Note"/>
        <w:rPr>
          <w:highlight w:val="yellow"/>
        </w:rPr>
      </w:pPr>
      <w:r>
        <w:t>(e)</w:t>
      </w:r>
      <w:r>
        <w:tab/>
      </w:r>
      <w:r w:rsidRPr="00AD1F6B">
        <w:t xml:space="preserve">Effective from 1 July 2019, the Public Transport Development Authority </w:t>
      </w:r>
      <w:r>
        <w:t>and the</w:t>
      </w:r>
      <w:r w:rsidRPr="00AD1F6B">
        <w:t xml:space="preserve"> Roads Corporation (with the exception of registration and licensing and some h</w:t>
      </w:r>
      <w:bookmarkStart w:id="126" w:name="_GoBack"/>
      <w:bookmarkEnd w:id="126"/>
      <w:r w:rsidRPr="00AD1F6B">
        <w:t>eavy vehicle functions) were consolidated into the Department of Transport.</w:t>
      </w:r>
    </w:p>
    <w:p w14:paraId="04C33092" w14:textId="77777777" w:rsidR="00964B88" w:rsidRDefault="00964B88" w:rsidP="0052294D"/>
    <w:p w14:paraId="4F2B02DE" w14:textId="77777777" w:rsidR="00D13450" w:rsidRDefault="00D13450">
      <w:pPr>
        <w:keepLines w:val="0"/>
      </w:pPr>
      <w:r>
        <w:br w:type="page"/>
      </w:r>
    </w:p>
    <w:p w14:paraId="4019D078" w14:textId="77777777" w:rsidR="00D13450" w:rsidRDefault="00D13450">
      <w:pPr>
        <w:keepLines w:val="0"/>
      </w:pPr>
    </w:p>
    <w:p w14:paraId="395F72EC" w14:textId="77777777" w:rsidR="00D13450" w:rsidRDefault="00D13450" w:rsidP="0052294D"/>
    <w:p w14:paraId="1DC88DB8" w14:textId="77777777" w:rsidR="00D13450" w:rsidRDefault="00D13450" w:rsidP="0052294D">
      <w:pPr>
        <w:sectPr w:rsidR="00D13450" w:rsidSect="0052294D">
          <w:headerReference w:type="even" r:id="rId70"/>
          <w:headerReference w:type="default" r:id="rId71"/>
          <w:headerReference w:type="first" r:id="rId72"/>
          <w:footerReference w:type="first" r:id="rId73"/>
          <w:type w:val="continuous"/>
          <w:pgSz w:w="9979" w:h="14175" w:code="9"/>
          <w:pgMar w:top="850" w:right="1134" w:bottom="850" w:left="1134" w:header="624" w:footer="567" w:gutter="0"/>
          <w:cols w:space="567"/>
          <w:titlePg/>
          <w:docGrid w:linePitch="360"/>
        </w:sectPr>
      </w:pPr>
    </w:p>
    <w:p w14:paraId="31F19859" w14:textId="77777777" w:rsidR="00964B88" w:rsidRDefault="00964B88" w:rsidP="00F53820">
      <w:pPr>
        <w:pStyle w:val="Chapterheading"/>
      </w:pPr>
      <w:bookmarkStart w:id="128" w:name="_Toc500435578"/>
      <w:bookmarkStart w:id="129" w:name="_Toc26788547"/>
      <w:r>
        <w:lastRenderedPageBreak/>
        <w:t>Chapter 5 – Supplementary uniform presentation framework tables</w:t>
      </w:r>
      <w:bookmarkEnd w:id="128"/>
      <w:bookmarkEnd w:id="129"/>
    </w:p>
    <w:p w14:paraId="1C6E5345" w14:textId="77777777" w:rsidR="00964B88" w:rsidRDefault="00964B88" w:rsidP="00F53820">
      <w:pPr>
        <w:pStyle w:val="TableHeading"/>
      </w:pPr>
      <w:r>
        <w:t>Table 5.1</w:t>
      </w:r>
      <w:r w:rsidR="009C1504">
        <w:t>:</w:t>
      </w:r>
      <w:r>
        <w:tab/>
        <w:t xml:space="preserve">Public non-financial corporations sector comprehensive operating </w:t>
      </w:r>
      <w:r w:rsidR="00506B7C">
        <w:br/>
      </w:r>
      <w:r>
        <w:t>statement for the financial year ended 30 June</w:t>
      </w:r>
      <w:r>
        <w:tab/>
        <w:t>($ million)</w:t>
      </w:r>
    </w:p>
    <w:tbl>
      <w:tblPr>
        <w:tblStyle w:val="DTFTable"/>
        <w:tblW w:w="7768" w:type="dxa"/>
        <w:tblLayout w:type="fixed"/>
        <w:tblLook w:val="06E0" w:firstRow="1" w:lastRow="1" w:firstColumn="1" w:lastColumn="0" w:noHBand="1" w:noVBand="1"/>
      </w:tblPr>
      <w:tblGrid>
        <w:gridCol w:w="3715"/>
        <w:gridCol w:w="142"/>
        <w:gridCol w:w="141"/>
        <w:gridCol w:w="142"/>
        <w:gridCol w:w="385"/>
        <w:gridCol w:w="811"/>
        <w:gridCol w:w="810"/>
        <w:gridCol w:w="811"/>
        <w:gridCol w:w="811"/>
      </w:tblGrid>
      <w:tr w:rsidR="00964B88" w14:paraId="150ED779" w14:textId="77777777" w:rsidTr="009011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15" w:type="dxa"/>
          </w:tcPr>
          <w:p w14:paraId="4F7D35BD" w14:textId="77777777" w:rsidR="00964B88" w:rsidRDefault="00964B88"/>
        </w:tc>
        <w:tc>
          <w:tcPr>
            <w:tcW w:w="810" w:type="dxa"/>
            <w:gridSpan w:val="4"/>
          </w:tcPr>
          <w:p w14:paraId="11836BEE"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11" w:type="dxa"/>
          </w:tcPr>
          <w:p w14:paraId="79D03BE2"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10" w:type="dxa"/>
          </w:tcPr>
          <w:p w14:paraId="449656AC"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11" w:type="dxa"/>
          </w:tcPr>
          <w:p w14:paraId="5687CAD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11" w:type="dxa"/>
          </w:tcPr>
          <w:p w14:paraId="327D897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7FF9A72A"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756CF680" w14:textId="77777777" w:rsidR="00964B88" w:rsidRDefault="00964B88">
            <w:r>
              <w:rPr>
                <w:b/>
              </w:rPr>
              <w:t>Revenue from transactions</w:t>
            </w:r>
          </w:p>
        </w:tc>
        <w:tc>
          <w:tcPr>
            <w:tcW w:w="810" w:type="dxa"/>
            <w:gridSpan w:val="4"/>
          </w:tcPr>
          <w:p w14:paraId="7039798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67F7C83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27C9E62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078EB0F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0827F54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3024101"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278EF88F" w14:textId="77777777" w:rsidR="00964B88" w:rsidRDefault="00964B88">
            <w:r>
              <w:t>Interest revenue</w:t>
            </w:r>
          </w:p>
        </w:tc>
        <w:tc>
          <w:tcPr>
            <w:tcW w:w="810" w:type="dxa"/>
            <w:gridSpan w:val="4"/>
          </w:tcPr>
          <w:p w14:paraId="32E25AFE" w14:textId="77777777" w:rsidR="00964B88" w:rsidRDefault="00964B88">
            <w:pPr>
              <w:cnfStyle w:val="000000000000" w:firstRow="0" w:lastRow="0" w:firstColumn="0" w:lastColumn="0" w:oddVBand="0" w:evenVBand="0" w:oddHBand="0" w:evenHBand="0" w:firstRowFirstColumn="0" w:firstRowLastColumn="0" w:lastRowFirstColumn="0" w:lastRowLastColumn="0"/>
            </w:pPr>
            <w:r>
              <w:t>81</w:t>
            </w:r>
          </w:p>
        </w:tc>
        <w:tc>
          <w:tcPr>
            <w:tcW w:w="811" w:type="dxa"/>
          </w:tcPr>
          <w:p w14:paraId="30C9A255" w14:textId="77777777" w:rsidR="00964B88" w:rsidRDefault="00964B88">
            <w:pPr>
              <w:cnfStyle w:val="000000000000" w:firstRow="0" w:lastRow="0" w:firstColumn="0" w:lastColumn="0" w:oddVBand="0" w:evenVBand="0" w:oddHBand="0" w:evenHBand="0" w:firstRowFirstColumn="0" w:firstRowLastColumn="0" w:lastRowFirstColumn="0" w:lastRowLastColumn="0"/>
            </w:pPr>
            <w:r>
              <w:t>79</w:t>
            </w:r>
          </w:p>
        </w:tc>
        <w:tc>
          <w:tcPr>
            <w:tcW w:w="810" w:type="dxa"/>
          </w:tcPr>
          <w:p w14:paraId="42656B79" w14:textId="77777777" w:rsidR="00964B88" w:rsidRDefault="00964B88">
            <w:pPr>
              <w:cnfStyle w:val="000000000000" w:firstRow="0" w:lastRow="0" w:firstColumn="0" w:lastColumn="0" w:oddVBand="0" w:evenVBand="0" w:oddHBand="0" w:evenHBand="0" w:firstRowFirstColumn="0" w:firstRowLastColumn="0" w:lastRowFirstColumn="0" w:lastRowLastColumn="0"/>
            </w:pPr>
            <w:r>
              <w:t>46</w:t>
            </w:r>
          </w:p>
        </w:tc>
        <w:tc>
          <w:tcPr>
            <w:tcW w:w="811" w:type="dxa"/>
          </w:tcPr>
          <w:p w14:paraId="47D8DD91" w14:textId="77777777" w:rsidR="00964B88" w:rsidRDefault="00964B88">
            <w:pPr>
              <w:cnfStyle w:val="000000000000" w:firstRow="0" w:lastRow="0" w:firstColumn="0" w:lastColumn="0" w:oddVBand="0" w:evenVBand="0" w:oddHBand="0" w:evenHBand="0" w:firstRowFirstColumn="0" w:firstRowLastColumn="0" w:lastRowFirstColumn="0" w:lastRowLastColumn="0"/>
            </w:pPr>
            <w:r>
              <w:t>28</w:t>
            </w:r>
          </w:p>
        </w:tc>
        <w:tc>
          <w:tcPr>
            <w:tcW w:w="811" w:type="dxa"/>
          </w:tcPr>
          <w:p w14:paraId="65B8F0FF" w14:textId="77777777" w:rsidR="00964B88" w:rsidRDefault="00964B88">
            <w:pPr>
              <w:cnfStyle w:val="000000000000" w:firstRow="0" w:lastRow="0" w:firstColumn="0" w:lastColumn="0" w:oddVBand="0" w:evenVBand="0" w:oddHBand="0" w:evenHBand="0" w:firstRowFirstColumn="0" w:firstRowLastColumn="0" w:lastRowFirstColumn="0" w:lastRowLastColumn="0"/>
            </w:pPr>
            <w:r>
              <w:t>21</w:t>
            </w:r>
          </w:p>
        </w:tc>
      </w:tr>
      <w:tr w:rsidR="00964B88" w14:paraId="40446529"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08847917" w14:textId="77777777" w:rsidR="00964B88" w:rsidRDefault="00964B88">
            <w:r>
              <w:t>Dividend revenue</w:t>
            </w:r>
          </w:p>
        </w:tc>
        <w:tc>
          <w:tcPr>
            <w:tcW w:w="810" w:type="dxa"/>
            <w:gridSpan w:val="4"/>
          </w:tcPr>
          <w:p w14:paraId="5D2623E6" w14:textId="77777777" w:rsidR="00964B88" w:rsidRDefault="00964B88">
            <w:pPr>
              <w:cnfStyle w:val="000000000000" w:firstRow="0" w:lastRow="0" w:firstColumn="0" w:lastColumn="0" w:oddVBand="0" w:evenVBand="0" w:oddHBand="0" w:evenHBand="0" w:firstRowFirstColumn="0" w:firstRowLastColumn="0" w:lastRowFirstColumn="0" w:lastRowLastColumn="0"/>
            </w:pPr>
            <w:r>
              <w:t>23</w:t>
            </w:r>
          </w:p>
        </w:tc>
        <w:tc>
          <w:tcPr>
            <w:tcW w:w="811" w:type="dxa"/>
          </w:tcPr>
          <w:p w14:paraId="1B3C1666" w14:textId="77777777" w:rsidR="00964B88" w:rsidRDefault="00964B88">
            <w:pPr>
              <w:cnfStyle w:val="000000000000" w:firstRow="0" w:lastRow="0" w:firstColumn="0" w:lastColumn="0" w:oddVBand="0" w:evenVBand="0" w:oddHBand="0" w:evenHBand="0" w:firstRowFirstColumn="0" w:firstRowLastColumn="0" w:lastRowFirstColumn="0" w:lastRowLastColumn="0"/>
            </w:pPr>
            <w:r>
              <w:t>24</w:t>
            </w:r>
          </w:p>
        </w:tc>
        <w:tc>
          <w:tcPr>
            <w:tcW w:w="810" w:type="dxa"/>
          </w:tcPr>
          <w:p w14:paraId="6B34082A" w14:textId="77777777" w:rsidR="00964B88" w:rsidRDefault="00964B88">
            <w:pPr>
              <w:cnfStyle w:val="000000000000" w:firstRow="0" w:lastRow="0" w:firstColumn="0" w:lastColumn="0" w:oddVBand="0" w:evenVBand="0" w:oddHBand="0" w:evenHBand="0" w:firstRowFirstColumn="0" w:firstRowLastColumn="0" w:lastRowFirstColumn="0" w:lastRowLastColumn="0"/>
            </w:pPr>
            <w:r>
              <w:t>23</w:t>
            </w:r>
          </w:p>
        </w:tc>
        <w:tc>
          <w:tcPr>
            <w:tcW w:w="811" w:type="dxa"/>
          </w:tcPr>
          <w:p w14:paraId="462A2D8A" w14:textId="77777777" w:rsidR="00964B88" w:rsidRDefault="00964B88">
            <w:pPr>
              <w:cnfStyle w:val="000000000000" w:firstRow="0" w:lastRow="0" w:firstColumn="0" w:lastColumn="0" w:oddVBand="0" w:evenVBand="0" w:oddHBand="0" w:evenHBand="0" w:firstRowFirstColumn="0" w:firstRowLastColumn="0" w:lastRowFirstColumn="0" w:lastRowLastColumn="0"/>
            </w:pPr>
            <w:r>
              <w:t>23</w:t>
            </w:r>
          </w:p>
        </w:tc>
        <w:tc>
          <w:tcPr>
            <w:tcW w:w="811" w:type="dxa"/>
          </w:tcPr>
          <w:p w14:paraId="5B21F1C1" w14:textId="77777777" w:rsidR="00964B88" w:rsidRDefault="00964B88">
            <w:pPr>
              <w:cnfStyle w:val="000000000000" w:firstRow="0" w:lastRow="0" w:firstColumn="0" w:lastColumn="0" w:oddVBand="0" w:evenVBand="0" w:oddHBand="0" w:evenHBand="0" w:firstRowFirstColumn="0" w:firstRowLastColumn="0" w:lastRowFirstColumn="0" w:lastRowLastColumn="0"/>
            </w:pPr>
            <w:r>
              <w:t>24</w:t>
            </w:r>
          </w:p>
        </w:tc>
      </w:tr>
      <w:tr w:rsidR="00964B88" w14:paraId="03056BBD"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1AE9ACE4" w14:textId="77777777" w:rsidR="00964B88" w:rsidRDefault="00964B88">
            <w:r>
              <w:t>Sales of goods and services</w:t>
            </w:r>
          </w:p>
        </w:tc>
        <w:tc>
          <w:tcPr>
            <w:tcW w:w="810" w:type="dxa"/>
            <w:gridSpan w:val="4"/>
          </w:tcPr>
          <w:p w14:paraId="119A55E3" w14:textId="77777777" w:rsidR="00964B88" w:rsidRDefault="00964B88">
            <w:pPr>
              <w:cnfStyle w:val="000000000000" w:firstRow="0" w:lastRow="0" w:firstColumn="0" w:lastColumn="0" w:oddVBand="0" w:evenVBand="0" w:oddHBand="0" w:evenHBand="0" w:firstRowFirstColumn="0" w:firstRowLastColumn="0" w:lastRowFirstColumn="0" w:lastRowLastColumn="0"/>
            </w:pPr>
            <w:r>
              <w:t>6 807</w:t>
            </w:r>
          </w:p>
        </w:tc>
        <w:tc>
          <w:tcPr>
            <w:tcW w:w="811" w:type="dxa"/>
          </w:tcPr>
          <w:p w14:paraId="68DD9BA3" w14:textId="77777777" w:rsidR="00964B88" w:rsidRDefault="00964B88">
            <w:pPr>
              <w:cnfStyle w:val="000000000000" w:firstRow="0" w:lastRow="0" w:firstColumn="0" w:lastColumn="0" w:oddVBand="0" w:evenVBand="0" w:oddHBand="0" w:evenHBand="0" w:firstRowFirstColumn="0" w:firstRowLastColumn="0" w:lastRowFirstColumn="0" w:lastRowLastColumn="0"/>
            </w:pPr>
            <w:r>
              <w:t>6 730</w:t>
            </w:r>
          </w:p>
        </w:tc>
        <w:tc>
          <w:tcPr>
            <w:tcW w:w="810" w:type="dxa"/>
          </w:tcPr>
          <w:p w14:paraId="18A8A292" w14:textId="77777777" w:rsidR="00964B88" w:rsidRDefault="00964B88">
            <w:pPr>
              <w:cnfStyle w:val="000000000000" w:firstRow="0" w:lastRow="0" w:firstColumn="0" w:lastColumn="0" w:oddVBand="0" w:evenVBand="0" w:oddHBand="0" w:evenHBand="0" w:firstRowFirstColumn="0" w:firstRowLastColumn="0" w:lastRowFirstColumn="0" w:lastRowLastColumn="0"/>
            </w:pPr>
            <w:r>
              <w:t>6 960</w:t>
            </w:r>
          </w:p>
        </w:tc>
        <w:tc>
          <w:tcPr>
            <w:tcW w:w="811" w:type="dxa"/>
          </w:tcPr>
          <w:p w14:paraId="1871732A" w14:textId="77777777" w:rsidR="00964B88" w:rsidRDefault="00964B88">
            <w:pPr>
              <w:cnfStyle w:val="000000000000" w:firstRow="0" w:lastRow="0" w:firstColumn="0" w:lastColumn="0" w:oddVBand="0" w:evenVBand="0" w:oddHBand="0" w:evenHBand="0" w:firstRowFirstColumn="0" w:firstRowLastColumn="0" w:lastRowFirstColumn="0" w:lastRowLastColumn="0"/>
            </w:pPr>
            <w:r>
              <w:t>6 906</w:t>
            </w:r>
          </w:p>
        </w:tc>
        <w:tc>
          <w:tcPr>
            <w:tcW w:w="811" w:type="dxa"/>
          </w:tcPr>
          <w:p w14:paraId="535BC79B" w14:textId="77777777" w:rsidR="00964B88" w:rsidRDefault="00964B88">
            <w:pPr>
              <w:cnfStyle w:val="000000000000" w:firstRow="0" w:lastRow="0" w:firstColumn="0" w:lastColumn="0" w:oddVBand="0" w:evenVBand="0" w:oddHBand="0" w:evenHBand="0" w:firstRowFirstColumn="0" w:firstRowLastColumn="0" w:lastRowFirstColumn="0" w:lastRowLastColumn="0"/>
            </w:pPr>
            <w:r>
              <w:t>7 368</w:t>
            </w:r>
          </w:p>
        </w:tc>
      </w:tr>
      <w:tr w:rsidR="00964B88" w14:paraId="36E11A63"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0202F0C1" w14:textId="77777777" w:rsidR="00964B88" w:rsidRDefault="00964B88">
            <w:r>
              <w:t>Grant revenue</w:t>
            </w:r>
          </w:p>
        </w:tc>
        <w:tc>
          <w:tcPr>
            <w:tcW w:w="810" w:type="dxa"/>
            <w:gridSpan w:val="4"/>
          </w:tcPr>
          <w:p w14:paraId="45DACD58" w14:textId="77777777" w:rsidR="00964B88" w:rsidRDefault="00964B88">
            <w:pPr>
              <w:cnfStyle w:val="000000000000" w:firstRow="0" w:lastRow="0" w:firstColumn="0" w:lastColumn="0" w:oddVBand="0" w:evenVBand="0" w:oddHBand="0" w:evenHBand="0" w:firstRowFirstColumn="0" w:firstRowLastColumn="0" w:lastRowFirstColumn="0" w:lastRowLastColumn="0"/>
            </w:pPr>
            <w:r>
              <w:t>3 902</w:t>
            </w:r>
          </w:p>
        </w:tc>
        <w:tc>
          <w:tcPr>
            <w:tcW w:w="811" w:type="dxa"/>
          </w:tcPr>
          <w:p w14:paraId="76048067" w14:textId="77777777" w:rsidR="00964B88" w:rsidRDefault="00964B88">
            <w:pPr>
              <w:cnfStyle w:val="000000000000" w:firstRow="0" w:lastRow="0" w:firstColumn="0" w:lastColumn="0" w:oddVBand="0" w:evenVBand="0" w:oddHBand="0" w:evenHBand="0" w:firstRowFirstColumn="0" w:firstRowLastColumn="0" w:lastRowFirstColumn="0" w:lastRowLastColumn="0"/>
            </w:pPr>
            <w:r>
              <w:t>4 004</w:t>
            </w:r>
          </w:p>
        </w:tc>
        <w:tc>
          <w:tcPr>
            <w:tcW w:w="810" w:type="dxa"/>
          </w:tcPr>
          <w:p w14:paraId="25BEE701" w14:textId="77777777" w:rsidR="00964B88" w:rsidRDefault="00964B88">
            <w:pPr>
              <w:cnfStyle w:val="000000000000" w:firstRow="0" w:lastRow="0" w:firstColumn="0" w:lastColumn="0" w:oddVBand="0" w:evenVBand="0" w:oddHBand="0" w:evenHBand="0" w:firstRowFirstColumn="0" w:firstRowLastColumn="0" w:lastRowFirstColumn="0" w:lastRowLastColumn="0"/>
            </w:pPr>
            <w:r>
              <w:t>3 943</w:t>
            </w:r>
          </w:p>
        </w:tc>
        <w:tc>
          <w:tcPr>
            <w:tcW w:w="811" w:type="dxa"/>
          </w:tcPr>
          <w:p w14:paraId="27B0E74F" w14:textId="77777777" w:rsidR="00964B88" w:rsidRDefault="00964B88">
            <w:pPr>
              <w:cnfStyle w:val="000000000000" w:firstRow="0" w:lastRow="0" w:firstColumn="0" w:lastColumn="0" w:oddVBand="0" w:evenVBand="0" w:oddHBand="0" w:evenHBand="0" w:firstRowFirstColumn="0" w:firstRowLastColumn="0" w:lastRowFirstColumn="0" w:lastRowLastColumn="0"/>
            </w:pPr>
            <w:r>
              <w:t>4 002</w:t>
            </w:r>
          </w:p>
        </w:tc>
        <w:tc>
          <w:tcPr>
            <w:tcW w:w="811" w:type="dxa"/>
          </w:tcPr>
          <w:p w14:paraId="48A6824A" w14:textId="77777777" w:rsidR="00964B88" w:rsidRDefault="00964B88">
            <w:pPr>
              <w:cnfStyle w:val="000000000000" w:firstRow="0" w:lastRow="0" w:firstColumn="0" w:lastColumn="0" w:oddVBand="0" w:evenVBand="0" w:oddHBand="0" w:evenHBand="0" w:firstRowFirstColumn="0" w:firstRowLastColumn="0" w:lastRowFirstColumn="0" w:lastRowLastColumn="0"/>
            </w:pPr>
            <w:r>
              <w:t>4 096</w:t>
            </w:r>
          </w:p>
        </w:tc>
      </w:tr>
      <w:tr w:rsidR="00964B88" w14:paraId="6F623B95" w14:textId="77777777" w:rsidTr="0090119F">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74BE2912" w14:textId="77777777" w:rsidR="00964B88" w:rsidRDefault="00964B88">
            <w:r>
              <w:t>Other revenue</w:t>
            </w:r>
          </w:p>
        </w:tc>
        <w:tc>
          <w:tcPr>
            <w:tcW w:w="810" w:type="dxa"/>
            <w:gridSpan w:val="4"/>
            <w:tcBorders>
              <w:bottom w:val="single" w:sz="6" w:space="0" w:color="auto"/>
            </w:tcBorders>
          </w:tcPr>
          <w:p w14:paraId="3E3A80F7" w14:textId="77777777" w:rsidR="00964B88" w:rsidRDefault="00964B88">
            <w:pPr>
              <w:cnfStyle w:val="000000000000" w:firstRow="0" w:lastRow="0" w:firstColumn="0" w:lastColumn="0" w:oddVBand="0" w:evenVBand="0" w:oddHBand="0" w:evenHBand="0" w:firstRowFirstColumn="0" w:firstRowLastColumn="0" w:lastRowFirstColumn="0" w:lastRowLastColumn="0"/>
            </w:pPr>
            <w:r>
              <w:t>595</w:t>
            </w:r>
          </w:p>
        </w:tc>
        <w:tc>
          <w:tcPr>
            <w:tcW w:w="811" w:type="dxa"/>
            <w:tcBorders>
              <w:bottom w:val="single" w:sz="6" w:space="0" w:color="auto"/>
            </w:tcBorders>
          </w:tcPr>
          <w:p w14:paraId="65724D15" w14:textId="77777777" w:rsidR="00964B88" w:rsidRDefault="00964B88">
            <w:pPr>
              <w:cnfStyle w:val="000000000000" w:firstRow="0" w:lastRow="0" w:firstColumn="0" w:lastColumn="0" w:oddVBand="0" w:evenVBand="0" w:oddHBand="0" w:evenHBand="0" w:firstRowFirstColumn="0" w:firstRowLastColumn="0" w:lastRowFirstColumn="0" w:lastRowLastColumn="0"/>
            </w:pPr>
            <w:r>
              <w:t>665</w:t>
            </w:r>
          </w:p>
        </w:tc>
        <w:tc>
          <w:tcPr>
            <w:tcW w:w="810" w:type="dxa"/>
            <w:tcBorders>
              <w:bottom w:val="single" w:sz="6" w:space="0" w:color="auto"/>
            </w:tcBorders>
          </w:tcPr>
          <w:p w14:paraId="6D041829" w14:textId="77777777" w:rsidR="00964B88" w:rsidRDefault="00964B88">
            <w:pPr>
              <w:cnfStyle w:val="000000000000" w:firstRow="0" w:lastRow="0" w:firstColumn="0" w:lastColumn="0" w:oddVBand="0" w:evenVBand="0" w:oddHBand="0" w:evenHBand="0" w:firstRowFirstColumn="0" w:firstRowLastColumn="0" w:lastRowFirstColumn="0" w:lastRowLastColumn="0"/>
            </w:pPr>
            <w:r>
              <w:t>665</w:t>
            </w:r>
          </w:p>
        </w:tc>
        <w:tc>
          <w:tcPr>
            <w:tcW w:w="811" w:type="dxa"/>
            <w:tcBorders>
              <w:bottom w:val="single" w:sz="6" w:space="0" w:color="auto"/>
            </w:tcBorders>
          </w:tcPr>
          <w:p w14:paraId="511FCE8F" w14:textId="77777777" w:rsidR="00964B88" w:rsidRDefault="00964B88">
            <w:pPr>
              <w:cnfStyle w:val="000000000000" w:firstRow="0" w:lastRow="0" w:firstColumn="0" w:lastColumn="0" w:oddVBand="0" w:evenVBand="0" w:oddHBand="0" w:evenHBand="0" w:firstRowFirstColumn="0" w:firstRowLastColumn="0" w:lastRowFirstColumn="0" w:lastRowLastColumn="0"/>
            </w:pPr>
            <w:r>
              <w:t>654</w:t>
            </w:r>
          </w:p>
        </w:tc>
        <w:tc>
          <w:tcPr>
            <w:tcW w:w="811" w:type="dxa"/>
            <w:tcBorders>
              <w:bottom w:val="single" w:sz="6" w:space="0" w:color="auto"/>
            </w:tcBorders>
          </w:tcPr>
          <w:p w14:paraId="4C4432EB" w14:textId="77777777" w:rsidR="00964B88" w:rsidRDefault="00964B88">
            <w:pPr>
              <w:cnfStyle w:val="000000000000" w:firstRow="0" w:lastRow="0" w:firstColumn="0" w:lastColumn="0" w:oddVBand="0" w:evenVBand="0" w:oddHBand="0" w:evenHBand="0" w:firstRowFirstColumn="0" w:firstRowLastColumn="0" w:lastRowFirstColumn="0" w:lastRowLastColumn="0"/>
            </w:pPr>
            <w:r>
              <w:t>659</w:t>
            </w:r>
          </w:p>
        </w:tc>
      </w:tr>
      <w:tr w:rsidR="00964B88" w14:paraId="4DF9565C" w14:textId="77777777" w:rsidTr="0090119F">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tcBorders>
          </w:tcPr>
          <w:p w14:paraId="2694B7A5" w14:textId="77777777" w:rsidR="00964B88" w:rsidRDefault="00964B88">
            <w:r>
              <w:rPr>
                <w:b/>
              </w:rPr>
              <w:t>Total revenue from transactions</w:t>
            </w:r>
          </w:p>
        </w:tc>
        <w:tc>
          <w:tcPr>
            <w:tcW w:w="810" w:type="dxa"/>
            <w:gridSpan w:val="4"/>
            <w:tcBorders>
              <w:top w:val="single" w:sz="6" w:space="0" w:color="auto"/>
            </w:tcBorders>
          </w:tcPr>
          <w:p w14:paraId="3255F9C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11 407</w:t>
            </w:r>
          </w:p>
        </w:tc>
        <w:tc>
          <w:tcPr>
            <w:tcW w:w="811" w:type="dxa"/>
            <w:tcBorders>
              <w:top w:val="single" w:sz="6" w:space="0" w:color="auto"/>
            </w:tcBorders>
          </w:tcPr>
          <w:p w14:paraId="275D048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11 502</w:t>
            </w:r>
          </w:p>
        </w:tc>
        <w:tc>
          <w:tcPr>
            <w:tcW w:w="810" w:type="dxa"/>
            <w:tcBorders>
              <w:top w:val="single" w:sz="6" w:space="0" w:color="auto"/>
            </w:tcBorders>
          </w:tcPr>
          <w:p w14:paraId="3683FE8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11 637</w:t>
            </w:r>
          </w:p>
        </w:tc>
        <w:tc>
          <w:tcPr>
            <w:tcW w:w="811" w:type="dxa"/>
            <w:tcBorders>
              <w:top w:val="single" w:sz="6" w:space="0" w:color="auto"/>
            </w:tcBorders>
          </w:tcPr>
          <w:p w14:paraId="00C80CB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11 614</w:t>
            </w:r>
          </w:p>
        </w:tc>
        <w:tc>
          <w:tcPr>
            <w:tcW w:w="811" w:type="dxa"/>
            <w:tcBorders>
              <w:top w:val="single" w:sz="6" w:space="0" w:color="auto"/>
            </w:tcBorders>
          </w:tcPr>
          <w:p w14:paraId="159D48A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12 168</w:t>
            </w:r>
          </w:p>
        </w:tc>
      </w:tr>
      <w:tr w:rsidR="00964B88" w14:paraId="41C12A56"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7172DA07" w14:textId="77777777" w:rsidR="00964B88" w:rsidRDefault="00964B88">
            <w:r>
              <w:rPr>
                <w:b/>
              </w:rPr>
              <w:t>Expenses from transactions</w:t>
            </w:r>
          </w:p>
        </w:tc>
        <w:tc>
          <w:tcPr>
            <w:tcW w:w="810" w:type="dxa"/>
            <w:gridSpan w:val="4"/>
          </w:tcPr>
          <w:p w14:paraId="5E23358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07C966F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547FF34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4BA5246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1971E73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740F4F59"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2A8205E7" w14:textId="77777777" w:rsidR="00964B88" w:rsidRDefault="00964B88">
            <w:r>
              <w:t>Employee expenses</w:t>
            </w:r>
          </w:p>
        </w:tc>
        <w:tc>
          <w:tcPr>
            <w:tcW w:w="810" w:type="dxa"/>
            <w:gridSpan w:val="4"/>
          </w:tcPr>
          <w:p w14:paraId="59292E88" w14:textId="77777777" w:rsidR="00964B88" w:rsidRDefault="00964B88">
            <w:pPr>
              <w:cnfStyle w:val="000000000000" w:firstRow="0" w:lastRow="0" w:firstColumn="0" w:lastColumn="0" w:oddVBand="0" w:evenVBand="0" w:oddHBand="0" w:evenHBand="0" w:firstRowFirstColumn="0" w:firstRowLastColumn="0" w:lastRowFirstColumn="0" w:lastRowLastColumn="0"/>
            </w:pPr>
            <w:r>
              <w:t>1 403</w:t>
            </w:r>
          </w:p>
        </w:tc>
        <w:tc>
          <w:tcPr>
            <w:tcW w:w="811" w:type="dxa"/>
          </w:tcPr>
          <w:p w14:paraId="1BEAF96A" w14:textId="77777777" w:rsidR="00964B88" w:rsidRDefault="00964B88">
            <w:pPr>
              <w:cnfStyle w:val="000000000000" w:firstRow="0" w:lastRow="0" w:firstColumn="0" w:lastColumn="0" w:oddVBand="0" w:evenVBand="0" w:oddHBand="0" w:evenHBand="0" w:firstRowFirstColumn="0" w:firstRowLastColumn="0" w:lastRowFirstColumn="0" w:lastRowLastColumn="0"/>
            </w:pPr>
            <w:r>
              <w:t>1 442</w:t>
            </w:r>
          </w:p>
        </w:tc>
        <w:tc>
          <w:tcPr>
            <w:tcW w:w="810" w:type="dxa"/>
          </w:tcPr>
          <w:p w14:paraId="206F2177" w14:textId="77777777" w:rsidR="00964B88" w:rsidRDefault="00964B88">
            <w:pPr>
              <w:cnfStyle w:val="000000000000" w:firstRow="0" w:lastRow="0" w:firstColumn="0" w:lastColumn="0" w:oddVBand="0" w:evenVBand="0" w:oddHBand="0" w:evenHBand="0" w:firstRowFirstColumn="0" w:firstRowLastColumn="0" w:lastRowFirstColumn="0" w:lastRowLastColumn="0"/>
            </w:pPr>
            <w:r>
              <w:t>1 446</w:t>
            </w:r>
          </w:p>
        </w:tc>
        <w:tc>
          <w:tcPr>
            <w:tcW w:w="811" w:type="dxa"/>
          </w:tcPr>
          <w:p w14:paraId="6263906B" w14:textId="77777777" w:rsidR="00964B88" w:rsidRDefault="00964B88">
            <w:pPr>
              <w:cnfStyle w:val="000000000000" w:firstRow="0" w:lastRow="0" w:firstColumn="0" w:lastColumn="0" w:oddVBand="0" w:evenVBand="0" w:oddHBand="0" w:evenHBand="0" w:firstRowFirstColumn="0" w:firstRowLastColumn="0" w:lastRowFirstColumn="0" w:lastRowLastColumn="0"/>
            </w:pPr>
            <w:r>
              <w:t>1 485</w:t>
            </w:r>
          </w:p>
        </w:tc>
        <w:tc>
          <w:tcPr>
            <w:tcW w:w="811" w:type="dxa"/>
          </w:tcPr>
          <w:p w14:paraId="20A84FEF" w14:textId="77777777" w:rsidR="00964B88" w:rsidRDefault="00964B88">
            <w:pPr>
              <w:cnfStyle w:val="000000000000" w:firstRow="0" w:lastRow="0" w:firstColumn="0" w:lastColumn="0" w:oddVBand="0" w:evenVBand="0" w:oddHBand="0" w:evenHBand="0" w:firstRowFirstColumn="0" w:firstRowLastColumn="0" w:lastRowFirstColumn="0" w:lastRowLastColumn="0"/>
            </w:pPr>
            <w:r>
              <w:t>1 511</w:t>
            </w:r>
          </w:p>
        </w:tc>
      </w:tr>
      <w:tr w:rsidR="00964B88" w14:paraId="73CE9104"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0A640D22" w14:textId="77777777" w:rsidR="00964B88" w:rsidRDefault="00964B88">
            <w:r>
              <w:t>Net superannuation interest expense</w:t>
            </w:r>
          </w:p>
        </w:tc>
        <w:tc>
          <w:tcPr>
            <w:tcW w:w="810" w:type="dxa"/>
            <w:gridSpan w:val="4"/>
          </w:tcPr>
          <w:p w14:paraId="3B58984F"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c>
          <w:tcPr>
            <w:tcW w:w="811" w:type="dxa"/>
          </w:tcPr>
          <w:p w14:paraId="50D7E910"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c>
          <w:tcPr>
            <w:tcW w:w="810" w:type="dxa"/>
          </w:tcPr>
          <w:p w14:paraId="0614E6E7"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c>
          <w:tcPr>
            <w:tcW w:w="811" w:type="dxa"/>
          </w:tcPr>
          <w:p w14:paraId="6AEAE875"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c>
          <w:tcPr>
            <w:tcW w:w="811" w:type="dxa"/>
          </w:tcPr>
          <w:p w14:paraId="50E4C7B7"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r>
      <w:tr w:rsidR="00964B88" w14:paraId="48483941"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569E48FA" w14:textId="77777777" w:rsidR="00964B88" w:rsidRDefault="00964B88">
            <w:r>
              <w:t>Other superannuation</w:t>
            </w:r>
          </w:p>
        </w:tc>
        <w:tc>
          <w:tcPr>
            <w:tcW w:w="810" w:type="dxa"/>
            <w:gridSpan w:val="4"/>
          </w:tcPr>
          <w:p w14:paraId="116288D9" w14:textId="77777777" w:rsidR="00964B88" w:rsidRDefault="00964B88">
            <w:pPr>
              <w:cnfStyle w:val="000000000000" w:firstRow="0" w:lastRow="0" w:firstColumn="0" w:lastColumn="0" w:oddVBand="0" w:evenVBand="0" w:oddHBand="0" w:evenHBand="0" w:firstRowFirstColumn="0" w:firstRowLastColumn="0" w:lastRowFirstColumn="0" w:lastRowLastColumn="0"/>
            </w:pPr>
            <w:r>
              <w:t>135</w:t>
            </w:r>
          </w:p>
        </w:tc>
        <w:tc>
          <w:tcPr>
            <w:tcW w:w="811" w:type="dxa"/>
          </w:tcPr>
          <w:p w14:paraId="0C28A123" w14:textId="77777777" w:rsidR="00964B88" w:rsidRDefault="00964B88">
            <w:pPr>
              <w:cnfStyle w:val="000000000000" w:firstRow="0" w:lastRow="0" w:firstColumn="0" w:lastColumn="0" w:oddVBand="0" w:evenVBand="0" w:oddHBand="0" w:evenHBand="0" w:firstRowFirstColumn="0" w:firstRowLastColumn="0" w:lastRowFirstColumn="0" w:lastRowLastColumn="0"/>
            </w:pPr>
            <w:r>
              <w:t>136</w:t>
            </w:r>
          </w:p>
        </w:tc>
        <w:tc>
          <w:tcPr>
            <w:tcW w:w="810" w:type="dxa"/>
          </w:tcPr>
          <w:p w14:paraId="0DBA66F4" w14:textId="77777777" w:rsidR="00964B88" w:rsidRDefault="00964B88">
            <w:pPr>
              <w:cnfStyle w:val="000000000000" w:firstRow="0" w:lastRow="0" w:firstColumn="0" w:lastColumn="0" w:oddVBand="0" w:evenVBand="0" w:oddHBand="0" w:evenHBand="0" w:firstRowFirstColumn="0" w:firstRowLastColumn="0" w:lastRowFirstColumn="0" w:lastRowLastColumn="0"/>
            </w:pPr>
            <w:r>
              <w:t>138</w:t>
            </w:r>
          </w:p>
        </w:tc>
        <w:tc>
          <w:tcPr>
            <w:tcW w:w="811" w:type="dxa"/>
          </w:tcPr>
          <w:p w14:paraId="430C4AB3" w14:textId="77777777" w:rsidR="00964B88" w:rsidRDefault="00964B88">
            <w:pPr>
              <w:cnfStyle w:val="000000000000" w:firstRow="0" w:lastRow="0" w:firstColumn="0" w:lastColumn="0" w:oddVBand="0" w:evenVBand="0" w:oddHBand="0" w:evenHBand="0" w:firstRowFirstColumn="0" w:firstRowLastColumn="0" w:lastRowFirstColumn="0" w:lastRowLastColumn="0"/>
            </w:pPr>
            <w:r>
              <w:t>144</w:t>
            </w:r>
          </w:p>
        </w:tc>
        <w:tc>
          <w:tcPr>
            <w:tcW w:w="811" w:type="dxa"/>
          </w:tcPr>
          <w:p w14:paraId="499A8760" w14:textId="77777777" w:rsidR="00964B88" w:rsidRDefault="00964B88">
            <w:pPr>
              <w:cnfStyle w:val="000000000000" w:firstRow="0" w:lastRow="0" w:firstColumn="0" w:lastColumn="0" w:oddVBand="0" w:evenVBand="0" w:oddHBand="0" w:evenHBand="0" w:firstRowFirstColumn="0" w:firstRowLastColumn="0" w:lastRowFirstColumn="0" w:lastRowLastColumn="0"/>
            </w:pPr>
            <w:r>
              <w:t>149</w:t>
            </w:r>
          </w:p>
        </w:tc>
      </w:tr>
      <w:tr w:rsidR="00964B88" w14:paraId="063AFE32"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15C9421D" w14:textId="77777777" w:rsidR="00964B88" w:rsidRDefault="00964B88">
            <w:r>
              <w:t>Depreciation</w:t>
            </w:r>
          </w:p>
        </w:tc>
        <w:tc>
          <w:tcPr>
            <w:tcW w:w="810" w:type="dxa"/>
            <w:gridSpan w:val="4"/>
          </w:tcPr>
          <w:p w14:paraId="64FA21A8" w14:textId="77777777" w:rsidR="00964B88" w:rsidRDefault="00964B88">
            <w:pPr>
              <w:cnfStyle w:val="000000000000" w:firstRow="0" w:lastRow="0" w:firstColumn="0" w:lastColumn="0" w:oddVBand="0" w:evenVBand="0" w:oddHBand="0" w:evenHBand="0" w:firstRowFirstColumn="0" w:firstRowLastColumn="0" w:lastRowFirstColumn="0" w:lastRowLastColumn="0"/>
            </w:pPr>
            <w:r>
              <w:t>2 469</w:t>
            </w:r>
          </w:p>
        </w:tc>
        <w:tc>
          <w:tcPr>
            <w:tcW w:w="811" w:type="dxa"/>
          </w:tcPr>
          <w:p w14:paraId="6AEA230A" w14:textId="77777777" w:rsidR="00964B88" w:rsidRDefault="00964B88">
            <w:pPr>
              <w:cnfStyle w:val="000000000000" w:firstRow="0" w:lastRow="0" w:firstColumn="0" w:lastColumn="0" w:oddVBand="0" w:evenVBand="0" w:oddHBand="0" w:evenHBand="0" w:firstRowFirstColumn="0" w:firstRowLastColumn="0" w:lastRowFirstColumn="0" w:lastRowLastColumn="0"/>
            </w:pPr>
            <w:r>
              <w:t>2 550</w:t>
            </w:r>
          </w:p>
        </w:tc>
        <w:tc>
          <w:tcPr>
            <w:tcW w:w="810" w:type="dxa"/>
          </w:tcPr>
          <w:p w14:paraId="334F1DE3" w14:textId="77777777" w:rsidR="00964B88" w:rsidRDefault="00964B88">
            <w:pPr>
              <w:cnfStyle w:val="000000000000" w:firstRow="0" w:lastRow="0" w:firstColumn="0" w:lastColumn="0" w:oddVBand="0" w:evenVBand="0" w:oddHBand="0" w:evenHBand="0" w:firstRowFirstColumn="0" w:firstRowLastColumn="0" w:lastRowFirstColumn="0" w:lastRowLastColumn="0"/>
            </w:pPr>
            <w:r>
              <w:t>2 685</w:t>
            </w:r>
          </w:p>
        </w:tc>
        <w:tc>
          <w:tcPr>
            <w:tcW w:w="811" w:type="dxa"/>
          </w:tcPr>
          <w:p w14:paraId="7D3A4CA0" w14:textId="77777777" w:rsidR="00964B88" w:rsidRDefault="00964B88">
            <w:pPr>
              <w:cnfStyle w:val="000000000000" w:firstRow="0" w:lastRow="0" w:firstColumn="0" w:lastColumn="0" w:oddVBand="0" w:evenVBand="0" w:oddHBand="0" w:evenHBand="0" w:firstRowFirstColumn="0" w:firstRowLastColumn="0" w:lastRowFirstColumn="0" w:lastRowLastColumn="0"/>
            </w:pPr>
            <w:r>
              <w:t>2 849</w:t>
            </w:r>
          </w:p>
        </w:tc>
        <w:tc>
          <w:tcPr>
            <w:tcW w:w="811" w:type="dxa"/>
          </w:tcPr>
          <w:p w14:paraId="409A9B0C" w14:textId="77777777" w:rsidR="00964B88" w:rsidRDefault="00964B88">
            <w:pPr>
              <w:cnfStyle w:val="000000000000" w:firstRow="0" w:lastRow="0" w:firstColumn="0" w:lastColumn="0" w:oddVBand="0" w:evenVBand="0" w:oddHBand="0" w:evenHBand="0" w:firstRowFirstColumn="0" w:firstRowLastColumn="0" w:lastRowFirstColumn="0" w:lastRowLastColumn="0"/>
            </w:pPr>
            <w:r>
              <w:t>3 010</w:t>
            </w:r>
          </w:p>
        </w:tc>
      </w:tr>
      <w:tr w:rsidR="00964B88" w14:paraId="024A1671"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203667AF" w14:textId="77777777" w:rsidR="00964B88" w:rsidRDefault="00964B88">
            <w:r>
              <w:t>Interest expense</w:t>
            </w:r>
          </w:p>
        </w:tc>
        <w:tc>
          <w:tcPr>
            <w:tcW w:w="810" w:type="dxa"/>
            <w:gridSpan w:val="4"/>
          </w:tcPr>
          <w:p w14:paraId="62345BCB" w14:textId="77777777" w:rsidR="00964B88" w:rsidRDefault="00964B88">
            <w:pPr>
              <w:cnfStyle w:val="000000000000" w:firstRow="0" w:lastRow="0" w:firstColumn="0" w:lastColumn="0" w:oddVBand="0" w:evenVBand="0" w:oddHBand="0" w:evenHBand="0" w:firstRowFirstColumn="0" w:firstRowLastColumn="0" w:lastRowFirstColumn="0" w:lastRowLastColumn="0"/>
            </w:pPr>
            <w:r>
              <w:t>1 014</w:t>
            </w:r>
          </w:p>
        </w:tc>
        <w:tc>
          <w:tcPr>
            <w:tcW w:w="811" w:type="dxa"/>
          </w:tcPr>
          <w:p w14:paraId="0DB275EE" w14:textId="77777777" w:rsidR="00964B88" w:rsidRDefault="00964B88">
            <w:pPr>
              <w:cnfStyle w:val="000000000000" w:firstRow="0" w:lastRow="0" w:firstColumn="0" w:lastColumn="0" w:oddVBand="0" w:evenVBand="0" w:oddHBand="0" w:evenHBand="0" w:firstRowFirstColumn="0" w:firstRowLastColumn="0" w:lastRowFirstColumn="0" w:lastRowLastColumn="0"/>
            </w:pPr>
            <w:r>
              <w:t>994</w:t>
            </w:r>
          </w:p>
        </w:tc>
        <w:tc>
          <w:tcPr>
            <w:tcW w:w="810" w:type="dxa"/>
          </w:tcPr>
          <w:p w14:paraId="1262F69E" w14:textId="77777777" w:rsidR="00964B88" w:rsidRDefault="00964B88">
            <w:pPr>
              <w:cnfStyle w:val="000000000000" w:firstRow="0" w:lastRow="0" w:firstColumn="0" w:lastColumn="0" w:oddVBand="0" w:evenVBand="0" w:oddHBand="0" w:evenHBand="0" w:firstRowFirstColumn="0" w:firstRowLastColumn="0" w:lastRowFirstColumn="0" w:lastRowLastColumn="0"/>
            </w:pPr>
            <w:r>
              <w:t>995</w:t>
            </w:r>
          </w:p>
        </w:tc>
        <w:tc>
          <w:tcPr>
            <w:tcW w:w="811" w:type="dxa"/>
          </w:tcPr>
          <w:p w14:paraId="799BC5FD" w14:textId="77777777" w:rsidR="00964B88" w:rsidRDefault="00964B88">
            <w:pPr>
              <w:cnfStyle w:val="000000000000" w:firstRow="0" w:lastRow="0" w:firstColumn="0" w:lastColumn="0" w:oddVBand="0" w:evenVBand="0" w:oddHBand="0" w:evenHBand="0" w:firstRowFirstColumn="0" w:firstRowLastColumn="0" w:lastRowFirstColumn="0" w:lastRowLastColumn="0"/>
            </w:pPr>
            <w:r>
              <w:t>981</w:t>
            </w:r>
          </w:p>
        </w:tc>
        <w:tc>
          <w:tcPr>
            <w:tcW w:w="811" w:type="dxa"/>
          </w:tcPr>
          <w:p w14:paraId="68077CC2" w14:textId="77777777" w:rsidR="00964B88" w:rsidRDefault="00964B88">
            <w:pPr>
              <w:cnfStyle w:val="000000000000" w:firstRow="0" w:lastRow="0" w:firstColumn="0" w:lastColumn="0" w:oddVBand="0" w:evenVBand="0" w:oddHBand="0" w:evenHBand="0" w:firstRowFirstColumn="0" w:firstRowLastColumn="0" w:lastRowFirstColumn="0" w:lastRowLastColumn="0"/>
            </w:pPr>
            <w:r>
              <w:t>987</w:t>
            </w:r>
          </w:p>
        </w:tc>
      </w:tr>
      <w:tr w:rsidR="00964B88" w14:paraId="50A53C4A"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6F4B991B" w14:textId="77777777" w:rsidR="00964B88" w:rsidRDefault="00964B88">
            <w:r>
              <w:t>Grant expense</w:t>
            </w:r>
          </w:p>
        </w:tc>
        <w:tc>
          <w:tcPr>
            <w:tcW w:w="810" w:type="dxa"/>
            <w:gridSpan w:val="4"/>
          </w:tcPr>
          <w:p w14:paraId="423D9985" w14:textId="77777777" w:rsidR="00964B88" w:rsidRDefault="00964B88">
            <w:pPr>
              <w:cnfStyle w:val="000000000000" w:firstRow="0" w:lastRow="0" w:firstColumn="0" w:lastColumn="0" w:oddVBand="0" w:evenVBand="0" w:oddHBand="0" w:evenHBand="0" w:firstRowFirstColumn="0" w:firstRowLastColumn="0" w:lastRowFirstColumn="0" w:lastRowLastColumn="0"/>
            </w:pPr>
            <w:r>
              <w:t>335</w:t>
            </w:r>
          </w:p>
        </w:tc>
        <w:tc>
          <w:tcPr>
            <w:tcW w:w="811" w:type="dxa"/>
          </w:tcPr>
          <w:p w14:paraId="503765B2" w14:textId="77777777" w:rsidR="00964B88" w:rsidRDefault="00964B88">
            <w:pPr>
              <w:cnfStyle w:val="000000000000" w:firstRow="0" w:lastRow="0" w:firstColumn="0" w:lastColumn="0" w:oddVBand="0" w:evenVBand="0" w:oddHBand="0" w:evenHBand="0" w:firstRowFirstColumn="0" w:firstRowLastColumn="0" w:lastRowFirstColumn="0" w:lastRowLastColumn="0"/>
            </w:pPr>
            <w:r>
              <w:t>340</w:t>
            </w:r>
          </w:p>
        </w:tc>
        <w:tc>
          <w:tcPr>
            <w:tcW w:w="810" w:type="dxa"/>
          </w:tcPr>
          <w:p w14:paraId="78454A75" w14:textId="77777777" w:rsidR="00964B88" w:rsidRDefault="00964B88">
            <w:pPr>
              <w:cnfStyle w:val="000000000000" w:firstRow="0" w:lastRow="0" w:firstColumn="0" w:lastColumn="0" w:oddVBand="0" w:evenVBand="0" w:oddHBand="0" w:evenHBand="0" w:firstRowFirstColumn="0" w:firstRowLastColumn="0" w:lastRowFirstColumn="0" w:lastRowLastColumn="0"/>
            </w:pPr>
            <w:r>
              <w:t>155</w:t>
            </w:r>
          </w:p>
        </w:tc>
        <w:tc>
          <w:tcPr>
            <w:tcW w:w="811" w:type="dxa"/>
          </w:tcPr>
          <w:p w14:paraId="154660D2" w14:textId="77777777" w:rsidR="00964B88" w:rsidRDefault="00964B88">
            <w:pPr>
              <w:cnfStyle w:val="000000000000" w:firstRow="0" w:lastRow="0" w:firstColumn="0" w:lastColumn="0" w:oddVBand="0" w:evenVBand="0" w:oddHBand="0" w:evenHBand="0" w:firstRowFirstColumn="0" w:firstRowLastColumn="0" w:lastRowFirstColumn="0" w:lastRowLastColumn="0"/>
            </w:pPr>
            <w:r>
              <w:t>142</w:t>
            </w:r>
          </w:p>
        </w:tc>
        <w:tc>
          <w:tcPr>
            <w:tcW w:w="811" w:type="dxa"/>
          </w:tcPr>
          <w:p w14:paraId="47FD0492" w14:textId="77777777" w:rsidR="00964B88" w:rsidRDefault="00964B88">
            <w:pPr>
              <w:cnfStyle w:val="000000000000" w:firstRow="0" w:lastRow="0" w:firstColumn="0" w:lastColumn="0" w:oddVBand="0" w:evenVBand="0" w:oddHBand="0" w:evenHBand="0" w:firstRowFirstColumn="0" w:firstRowLastColumn="0" w:lastRowFirstColumn="0" w:lastRowLastColumn="0"/>
            </w:pPr>
            <w:r>
              <w:t>137</w:t>
            </w:r>
          </w:p>
        </w:tc>
      </w:tr>
      <w:tr w:rsidR="00964B88" w14:paraId="42FA11D3"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6E06C842" w14:textId="77777777" w:rsidR="00964B88" w:rsidRDefault="00964B88">
            <w:r>
              <w:t>Other operating expenses</w:t>
            </w:r>
          </w:p>
        </w:tc>
        <w:tc>
          <w:tcPr>
            <w:tcW w:w="810" w:type="dxa"/>
            <w:gridSpan w:val="4"/>
          </w:tcPr>
          <w:p w14:paraId="153D82F7" w14:textId="77777777" w:rsidR="00964B88" w:rsidRDefault="00964B88">
            <w:pPr>
              <w:cnfStyle w:val="000000000000" w:firstRow="0" w:lastRow="0" w:firstColumn="0" w:lastColumn="0" w:oddVBand="0" w:evenVBand="0" w:oddHBand="0" w:evenHBand="0" w:firstRowFirstColumn="0" w:firstRowLastColumn="0" w:lastRowFirstColumn="0" w:lastRowLastColumn="0"/>
            </w:pPr>
            <w:r>
              <w:t>6 218</w:t>
            </w:r>
          </w:p>
        </w:tc>
        <w:tc>
          <w:tcPr>
            <w:tcW w:w="811" w:type="dxa"/>
          </w:tcPr>
          <w:p w14:paraId="73D60249" w14:textId="77777777" w:rsidR="00964B88" w:rsidRDefault="00964B88">
            <w:pPr>
              <w:cnfStyle w:val="000000000000" w:firstRow="0" w:lastRow="0" w:firstColumn="0" w:lastColumn="0" w:oddVBand="0" w:evenVBand="0" w:oddHBand="0" w:evenHBand="0" w:firstRowFirstColumn="0" w:firstRowLastColumn="0" w:lastRowFirstColumn="0" w:lastRowLastColumn="0"/>
            </w:pPr>
            <w:r>
              <w:t>6 332</w:t>
            </w:r>
          </w:p>
        </w:tc>
        <w:tc>
          <w:tcPr>
            <w:tcW w:w="810" w:type="dxa"/>
          </w:tcPr>
          <w:p w14:paraId="7422B270" w14:textId="77777777" w:rsidR="00964B88" w:rsidRDefault="00964B88">
            <w:pPr>
              <w:cnfStyle w:val="000000000000" w:firstRow="0" w:lastRow="0" w:firstColumn="0" w:lastColumn="0" w:oddVBand="0" w:evenVBand="0" w:oddHBand="0" w:evenHBand="0" w:firstRowFirstColumn="0" w:firstRowLastColumn="0" w:lastRowFirstColumn="0" w:lastRowLastColumn="0"/>
            </w:pPr>
            <w:r>
              <w:t>6 639</w:t>
            </w:r>
          </w:p>
        </w:tc>
        <w:tc>
          <w:tcPr>
            <w:tcW w:w="811" w:type="dxa"/>
          </w:tcPr>
          <w:p w14:paraId="72245FB5" w14:textId="77777777" w:rsidR="00964B88" w:rsidRDefault="00964B88">
            <w:pPr>
              <w:cnfStyle w:val="000000000000" w:firstRow="0" w:lastRow="0" w:firstColumn="0" w:lastColumn="0" w:oddVBand="0" w:evenVBand="0" w:oddHBand="0" w:evenHBand="0" w:firstRowFirstColumn="0" w:firstRowLastColumn="0" w:lastRowFirstColumn="0" w:lastRowLastColumn="0"/>
            </w:pPr>
            <w:r>
              <w:t>6 549</w:t>
            </w:r>
          </w:p>
        </w:tc>
        <w:tc>
          <w:tcPr>
            <w:tcW w:w="811" w:type="dxa"/>
          </w:tcPr>
          <w:p w14:paraId="787887AE" w14:textId="77777777" w:rsidR="00964B88" w:rsidRDefault="00964B88">
            <w:pPr>
              <w:cnfStyle w:val="000000000000" w:firstRow="0" w:lastRow="0" w:firstColumn="0" w:lastColumn="0" w:oddVBand="0" w:evenVBand="0" w:oddHBand="0" w:evenHBand="0" w:firstRowFirstColumn="0" w:firstRowLastColumn="0" w:lastRowFirstColumn="0" w:lastRowLastColumn="0"/>
            </w:pPr>
            <w:r>
              <w:t>6 932</w:t>
            </w:r>
          </w:p>
        </w:tc>
      </w:tr>
      <w:tr w:rsidR="00964B88" w14:paraId="72EEF760" w14:textId="77777777" w:rsidTr="0090119F">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0E8AAFFC" w14:textId="77777777" w:rsidR="00964B88" w:rsidRDefault="00964B88">
            <w:r>
              <w:t>Other property expenses</w:t>
            </w:r>
          </w:p>
        </w:tc>
        <w:tc>
          <w:tcPr>
            <w:tcW w:w="810" w:type="dxa"/>
            <w:gridSpan w:val="4"/>
            <w:tcBorders>
              <w:bottom w:val="single" w:sz="6" w:space="0" w:color="auto"/>
            </w:tcBorders>
          </w:tcPr>
          <w:p w14:paraId="798E1256" w14:textId="77777777" w:rsidR="00964B88" w:rsidRDefault="00964B88">
            <w:pPr>
              <w:cnfStyle w:val="000000000000" w:firstRow="0" w:lastRow="0" w:firstColumn="0" w:lastColumn="0" w:oddVBand="0" w:evenVBand="0" w:oddHBand="0" w:evenHBand="0" w:firstRowFirstColumn="0" w:firstRowLastColumn="0" w:lastRowFirstColumn="0" w:lastRowLastColumn="0"/>
            </w:pPr>
            <w:r>
              <w:t>227</w:t>
            </w:r>
          </w:p>
        </w:tc>
        <w:tc>
          <w:tcPr>
            <w:tcW w:w="811" w:type="dxa"/>
            <w:tcBorders>
              <w:bottom w:val="single" w:sz="6" w:space="0" w:color="auto"/>
            </w:tcBorders>
          </w:tcPr>
          <w:p w14:paraId="5A626B7F" w14:textId="77777777" w:rsidR="00964B88" w:rsidRDefault="00964B88">
            <w:pPr>
              <w:cnfStyle w:val="000000000000" w:firstRow="0" w:lastRow="0" w:firstColumn="0" w:lastColumn="0" w:oddVBand="0" w:evenVBand="0" w:oddHBand="0" w:evenHBand="0" w:firstRowFirstColumn="0" w:firstRowLastColumn="0" w:lastRowFirstColumn="0" w:lastRowLastColumn="0"/>
            </w:pPr>
            <w:r>
              <w:t>239</w:t>
            </w:r>
          </w:p>
        </w:tc>
        <w:tc>
          <w:tcPr>
            <w:tcW w:w="810" w:type="dxa"/>
            <w:tcBorders>
              <w:bottom w:val="single" w:sz="6" w:space="0" w:color="auto"/>
            </w:tcBorders>
          </w:tcPr>
          <w:p w14:paraId="0CC2C387" w14:textId="77777777" w:rsidR="00964B88" w:rsidRDefault="00964B88">
            <w:pPr>
              <w:cnfStyle w:val="000000000000" w:firstRow="0" w:lastRow="0" w:firstColumn="0" w:lastColumn="0" w:oddVBand="0" w:evenVBand="0" w:oddHBand="0" w:evenHBand="0" w:firstRowFirstColumn="0" w:firstRowLastColumn="0" w:lastRowFirstColumn="0" w:lastRowLastColumn="0"/>
            </w:pPr>
            <w:r>
              <w:t>240</w:t>
            </w:r>
          </w:p>
        </w:tc>
        <w:tc>
          <w:tcPr>
            <w:tcW w:w="811" w:type="dxa"/>
            <w:tcBorders>
              <w:bottom w:val="single" w:sz="6" w:space="0" w:color="auto"/>
            </w:tcBorders>
          </w:tcPr>
          <w:p w14:paraId="26D3C419" w14:textId="77777777" w:rsidR="00964B88" w:rsidRDefault="00964B88">
            <w:pPr>
              <w:cnfStyle w:val="000000000000" w:firstRow="0" w:lastRow="0" w:firstColumn="0" w:lastColumn="0" w:oddVBand="0" w:evenVBand="0" w:oddHBand="0" w:evenHBand="0" w:firstRowFirstColumn="0" w:firstRowLastColumn="0" w:lastRowFirstColumn="0" w:lastRowLastColumn="0"/>
            </w:pPr>
            <w:r>
              <w:t>225</w:t>
            </w:r>
          </w:p>
        </w:tc>
        <w:tc>
          <w:tcPr>
            <w:tcW w:w="811" w:type="dxa"/>
            <w:tcBorders>
              <w:bottom w:val="single" w:sz="6" w:space="0" w:color="auto"/>
            </w:tcBorders>
          </w:tcPr>
          <w:p w14:paraId="2516B373" w14:textId="77777777" w:rsidR="00964B88" w:rsidRDefault="00964B88">
            <w:pPr>
              <w:cnfStyle w:val="000000000000" w:firstRow="0" w:lastRow="0" w:firstColumn="0" w:lastColumn="0" w:oddVBand="0" w:evenVBand="0" w:oddHBand="0" w:evenHBand="0" w:firstRowFirstColumn="0" w:firstRowLastColumn="0" w:lastRowFirstColumn="0" w:lastRowLastColumn="0"/>
            </w:pPr>
            <w:r>
              <w:t>240</w:t>
            </w:r>
          </w:p>
        </w:tc>
      </w:tr>
      <w:tr w:rsidR="00964B88" w14:paraId="2BA31E41" w14:textId="77777777" w:rsidTr="0090119F">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54950B58" w14:textId="77777777" w:rsidR="00964B88" w:rsidRDefault="00964B88">
            <w:r>
              <w:rPr>
                <w:b/>
              </w:rPr>
              <w:t>Total expenses from transactions</w:t>
            </w:r>
          </w:p>
        </w:tc>
        <w:tc>
          <w:tcPr>
            <w:tcW w:w="810" w:type="dxa"/>
            <w:gridSpan w:val="4"/>
            <w:tcBorders>
              <w:top w:val="single" w:sz="6" w:space="0" w:color="auto"/>
              <w:bottom w:val="single" w:sz="6" w:space="0" w:color="auto"/>
            </w:tcBorders>
          </w:tcPr>
          <w:p w14:paraId="74E1175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11 806</w:t>
            </w:r>
          </w:p>
        </w:tc>
        <w:tc>
          <w:tcPr>
            <w:tcW w:w="811" w:type="dxa"/>
            <w:tcBorders>
              <w:top w:val="single" w:sz="6" w:space="0" w:color="auto"/>
              <w:bottom w:val="single" w:sz="6" w:space="0" w:color="auto"/>
            </w:tcBorders>
          </w:tcPr>
          <w:p w14:paraId="7A4965C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12 038</w:t>
            </w:r>
          </w:p>
        </w:tc>
        <w:tc>
          <w:tcPr>
            <w:tcW w:w="810" w:type="dxa"/>
            <w:tcBorders>
              <w:top w:val="single" w:sz="6" w:space="0" w:color="auto"/>
              <w:bottom w:val="single" w:sz="6" w:space="0" w:color="auto"/>
            </w:tcBorders>
          </w:tcPr>
          <w:p w14:paraId="6CD2893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12 304</w:t>
            </w:r>
          </w:p>
        </w:tc>
        <w:tc>
          <w:tcPr>
            <w:tcW w:w="811" w:type="dxa"/>
            <w:tcBorders>
              <w:top w:val="single" w:sz="6" w:space="0" w:color="auto"/>
              <w:bottom w:val="single" w:sz="6" w:space="0" w:color="auto"/>
            </w:tcBorders>
          </w:tcPr>
          <w:p w14:paraId="63E5E70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12 380</w:t>
            </w:r>
          </w:p>
        </w:tc>
        <w:tc>
          <w:tcPr>
            <w:tcW w:w="811" w:type="dxa"/>
            <w:tcBorders>
              <w:top w:val="single" w:sz="6" w:space="0" w:color="auto"/>
              <w:bottom w:val="single" w:sz="6" w:space="0" w:color="auto"/>
            </w:tcBorders>
          </w:tcPr>
          <w:p w14:paraId="05DDDE3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12 971</w:t>
            </w:r>
          </w:p>
        </w:tc>
      </w:tr>
      <w:tr w:rsidR="00964B88" w14:paraId="0DABE5AB" w14:textId="77777777" w:rsidTr="0090119F">
        <w:tc>
          <w:tcPr>
            <w:cnfStyle w:val="001000000000" w:firstRow="0" w:lastRow="0" w:firstColumn="1" w:lastColumn="0" w:oddVBand="0" w:evenVBand="0" w:oddHBand="0" w:evenHBand="0" w:firstRowFirstColumn="0" w:firstRowLastColumn="0" w:lastRowFirstColumn="0" w:lastRowLastColumn="0"/>
            <w:tcW w:w="3857" w:type="dxa"/>
            <w:gridSpan w:val="2"/>
            <w:tcBorders>
              <w:top w:val="single" w:sz="6" w:space="0" w:color="auto"/>
              <w:bottom w:val="single" w:sz="12" w:space="0" w:color="auto"/>
            </w:tcBorders>
          </w:tcPr>
          <w:p w14:paraId="2BCC6C85" w14:textId="77777777" w:rsidR="00964B88" w:rsidRDefault="00964B88">
            <w:r>
              <w:rPr>
                <w:b/>
              </w:rPr>
              <w:t>Net result from transactions –</w:t>
            </w:r>
            <w:r w:rsidR="00D13450">
              <w:rPr>
                <w:b/>
              </w:rPr>
              <w:t xml:space="preserve"> </w:t>
            </w:r>
            <w:r>
              <w:rPr>
                <w:b/>
              </w:rPr>
              <w:t>net operating balance</w:t>
            </w:r>
          </w:p>
        </w:tc>
        <w:tc>
          <w:tcPr>
            <w:tcW w:w="668" w:type="dxa"/>
            <w:gridSpan w:val="3"/>
            <w:tcBorders>
              <w:top w:val="single" w:sz="6" w:space="0" w:color="auto"/>
              <w:bottom w:val="single" w:sz="12" w:space="0" w:color="auto"/>
            </w:tcBorders>
          </w:tcPr>
          <w:p w14:paraId="5C6BFA0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(398)</w:t>
            </w:r>
          </w:p>
        </w:tc>
        <w:tc>
          <w:tcPr>
            <w:tcW w:w="811" w:type="dxa"/>
            <w:tcBorders>
              <w:top w:val="single" w:sz="6" w:space="0" w:color="auto"/>
              <w:bottom w:val="single" w:sz="12" w:space="0" w:color="auto"/>
            </w:tcBorders>
          </w:tcPr>
          <w:p w14:paraId="356435A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(536)</w:t>
            </w:r>
          </w:p>
        </w:tc>
        <w:tc>
          <w:tcPr>
            <w:tcW w:w="810" w:type="dxa"/>
            <w:tcBorders>
              <w:top w:val="single" w:sz="6" w:space="0" w:color="auto"/>
              <w:bottom w:val="single" w:sz="12" w:space="0" w:color="auto"/>
            </w:tcBorders>
          </w:tcPr>
          <w:p w14:paraId="606B810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(667)</w:t>
            </w:r>
          </w:p>
        </w:tc>
        <w:tc>
          <w:tcPr>
            <w:tcW w:w="811" w:type="dxa"/>
            <w:tcBorders>
              <w:top w:val="single" w:sz="6" w:space="0" w:color="auto"/>
              <w:bottom w:val="single" w:sz="12" w:space="0" w:color="auto"/>
            </w:tcBorders>
          </w:tcPr>
          <w:p w14:paraId="1742450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(766)</w:t>
            </w:r>
          </w:p>
        </w:tc>
        <w:tc>
          <w:tcPr>
            <w:tcW w:w="811" w:type="dxa"/>
            <w:tcBorders>
              <w:top w:val="single" w:sz="6" w:space="0" w:color="auto"/>
              <w:bottom w:val="single" w:sz="12" w:space="0" w:color="auto"/>
            </w:tcBorders>
          </w:tcPr>
          <w:p w14:paraId="645E388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(802)</w:t>
            </w:r>
          </w:p>
        </w:tc>
      </w:tr>
      <w:tr w:rsidR="00964B88" w14:paraId="294EB9FD" w14:textId="77777777" w:rsidTr="0090119F">
        <w:tc>
          <w:tcPr>
            <w:cnfStyle w:val="001000000000" w:firstRow="0" w:lastRow="0" w:firstColumn="1" w:lastColumn="0" w:oddVBand="0" w:evenVBand="0" w:oddHBand="0" w:evenHBand="0" w:firstRowFirstColumn="0" w:firstRowLastColumn="0" w:lastRowFirstColumn="0" w:lastRowLastColumn="0"/>
            <w:tcW w:w="3715" w:type="dxa"/>
            <w:tcBorders>
              <w:top w:val="single" w:sz="0" w:space="0" w:color="auto"/>
            </w:tcBorders>
          </w:tcPr>
          <w:p w14:paraId="16969B4E" w14:textId="77777777" w:rsidR="00964B88" w:rsidRDefault="00964B88">
            <w:r>
              <w:rPr>
                <w:b/>
              </w:rPr>
              <w:t>Other economic flows included in net result</w:t>
            </w:r>
          </w:p>
        </w:tc>
        <w:tc>
          <w:tcPr>
            <w:tcW w:w="810" w:type="dxa"/>
            <w:gridSpan w:val="4"/>
            <w:tcBorders>
              <w:top w:val="single" w:sz="0" w:space="0" w:color="auto"/>
            </w:tcBorders>
          </w:tcPr>
          <w:p w14:paraId="2AD0AC1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0" w:space="0" w:color="auto"/>
            </w:tcBorders>
          </w:tcPr>
          <w:p w14:paraId="2265F2E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Borders>
              <w:top w:val="single" w:sz="0" w:space="0" w:color="auto"/>
            </w:tcBorders>
          </w:tcPr>
          <w:p w14:paraId="3C23480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0" w:space="0" w:color="auto"/>
            </w:tcBorders>
          </w:tcPr>
          <w:p w14:paraId="308F076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0" w:space="0" w:color="auto"/>
            </w:tcBorders>
          </w:tcPr>
          <w:p w14:paraId="7A1C434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7622230"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4C41F0A8" w14:textId="77777777" w:rsidR="00964B88" w:rsidRDefault="00964B88">
            <w:r>
              <w:t>Net gain/(loss) on disposal of non</w:t>
            </w:r>
            <w:r>
              <w:noBreakHyphen/>
              <w:t>financial assets</w:t>
            </w:r>
          </w:p>
        </w:tc>
        <w:tc>
          <w:tcPr>
            <w:tcW w:w="810" w:type="dxa"/>
            <w:gridSpan w:val="4"/>
          </w:tcPr>
          <w:p w14:paraId="18BA3D64" w14:textId="77777777" w:rsidR="00964B88" w:rsidRDefault="00964B88">
            <w:pPr>
              <w:cnfStyle w:val="000000000000" w:firstRow="0" w:lastRow="0" w:firstColumn="0" w:lastColumn="0" w:oddVBand="0" w:evenVBand="0" w:oddHBand="0" w:evenHBand="0" w:firstRowFirstColumn="0" w:firstRowLastColumn="0" w:lastRowFirstColumn="0" w:lastRowLastColumn="0"/>
            </w:pPr>
            <w:r>
              <w:t>16</w:t>
            </w:r>
          </w:p>
        </w:tc>
        <w:tc>
          <w:tcPr>
            <w:tcW w:w="811" w:type="dxa"/>
          </w:tcPr>
          <w:p w14:paraId="3BD1EF6F" w14:textId="77777777" w:rsidR="00964B88" w:rsidRDefault="00964B88">
            <w:pPr>
              <w:cnfStyle w:val="000000000000" w:firstRow="0" w:lastRow="0" w:firstColumn="0" w:lastColumn="0" w:oddVBand="0" w:evenVBand="0" w:oddHBand="0" w:evenHBand="0" w:firstRowFirstColumn="0" w:firstRowLastColumn="0" w:lastRowFirstColumn="0" w:lastRowLastColumn="0"/>
            </w:pPr>
            <w:r>
              <w:t>528</w:t>
            </w:r>
          </w:p>
        </w:tc>
        <w:tc>
          <w:tcPr>
            <w:tcW w:w="810" w:type="dxa"/>
          </w:tcPr>
          <w:p w14:paraId="7FDB4173" w14:textId="77777777" w:rsidR="00964B88" w:rsidRDefault="00964B88">
            <w:pPr>
              <w:cnfStyle w:val="000000000000" w:firstRow="0" w:lastRow="0" w:firstColumn="0" w:lastColumn="0" w:oddVBand="0" w:evenVBand="0" w:oddHBand="0" w:evenHBand="0" w:firstRowFirstColumn="0" w:firstRowLastColumn="0" w:lastRowFirstColumn="0" w:lastRowLastColumn="0"/>
            </w:pPr>
            <w:r>
              <w:t>27</w:t>
            </w:r>
          </w:p>
        </w:tc>
        <w:tc>
          <w:tcPr>
            <w:tcW w:w="811" w:type="dxa"/>
          </w:tcPr>
          <w:p w14:paraId="196AC799" w14:textId="77777777" w:rsidR="00964B88" w:rsidRDefault="00964B88">
            <w:pPr>
              <w:cnfStyle w:val="000000000000" w:firstRow="0" w:lastRow="0" w:firstColumn="0" w:lastColumn="0" w:oddVBand="0" w:evenVBand="0" w:oddHBand="0" w:evenHBand="0" w:firstRowFirstColumn="0" w:firstRowLastColumn="0" w:lastRowFirstColumn="0" w:lastRowLastColumn="0"/>
            </w:pPr>
            <w:r>
              <w:t>47</w:t>
            </w:r>
          </w:p>
        </w:tc>
        <w:tc>
          <w:tcPr>
            <w:tcW w:w="811" w:type="dxa"/>
          </w:tcPr>
          <w:p w14:paraId="307804EF" w14:textId="77777777" w:rsidR="00964B88" w:rsidRDefault="00964B88">
            <w:pPr>
              <w:cnfStyle w:val="000000000000" w:firstRow="0" w:lastRow="0" w:firstColumn="0" w:lastColumn="0" w:oddVBand="0" w:evenVBand="0" w:oddHBand="0" w:evenHBand="0" w:firstRowFirstColumn="0" w:firstRowLastColumn="0" w:lastRowFirstColumn="0" w:lastRowLastColumn="0"/>
            </w:pPr>
            <w:r>
              <w:t>42</w:t>
            </w:r>
          </w:p>
        </w:tc>
      </w:tr>
      <w:tr w:rsidR="00964B88" w14:paraId="6FE39A63" w14:textId="77777777" w:rsidTr="0090119F">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5AC64B5A" w14:textId="77777777" w:rsidR="00964B88" w:rsidRDefault="00964B88">
            <w:r>
              <w:t>Other gains/(losses) from other economic flows</w:t>
            </w:r>
          </w:p>
        </w:tc>
        <w:tc>
          <w:tcPr>
            <w:tcW w:w="810" w:type="dxa"/>
            <w:gridSpan w:val="4"/>
            <w:tcBorders>
              <w:bottom w:val="single" w:sz="6" w:space="0" w:color="auto"/>
            </w:tcBorders>
          </w:tcPr>
          <w:p w14:paraId="04459337" w14:textId="77777777" w:rsidR="00964B88" w:rsidRDefault="00964B88">
            <w:pPr>
              <w:cnfStyle w:val="000000000000" w:firstRow="0" w:lastRow="0" w:firstColumn="0" w:lastColumn="0" w:oddVBand="0" w:evenVBand="0" w:oddHBand="0" w:evenHBand="0" w:firstRowFirstColumn="0" w:firstRowLastColumn="0" w:lastRowFirstColumn="0" w:lastRowLastColumn="0"/>
            </w:pPr>
            <w:r>
              <w:t>562</w:t>
            </w:r>
          </w:p>
        </w:tc>
        <w:tc>
          <w:tcPr>
            <w:tcW w:w="811" w:type="dxa"/>
            <w:tcBorders>
              <w:bottom w:val="single" w:sz="6" w:space="0" w:color="auto"/>
            </w:tcBorders>
          </w:tcPr>
          <w:p w14:paraId="7C2D5E72" w14:textId="77777777" w:rsidR="00964B88" w:rsidRDefault="00964B88">
            <w:pPr>
              <w:cnfStyle w:val="000000000000" w:firstRow="0" w:lastRow="0" w:firstColumn="0" w:lastColumn="0" w:oddVBand="0" w:evenVBand="0" w:oddHBand="0" w:evenHBand="0" w:firstRowFirstColumn="0" w:firstRowLastColumn="0" w:lastRowFirstColumn="0" w:lastRowLastColumn="0"/>
            </w:pPr>
            <w:r>
              <w:t>212</w:t>
            </w:r>
          </w:p>
        </w:tc>
        <w:tc>
          <w:tcPr>
            <w:tcW w:w="810" w:type="dxa"/>
            <w:tcBorders>
              <w:bottom w:val="single" w:sz="6" w:space="0" w:color="auto"/>
            </w:tcBorders>
          </w:tcPr>
          <w:p w14:paraId="738D47D4" w14:textId="77777777" w:rsidR="00964B88" w:rsidRDefault="00964B88">
            <w:pPr>
              <w:cnfStyle w:val="000000000000" w:firstRow="0" w:lastRow="0" w:firstColumn="0" w:lastColumn="0" w:oddVBand="0" w:evenVBand="0" w:oddHBand="0" w:evenHBand="0" w:firstRowFirstColumn="0" w:firstRowLastColumn="0" w:lastRowFirstColumn="0" w:lastRowLastColumn="0"/>
            </w:pPr>
            <w:r>
              <w:t>243</w:t>
            </w:r>
          </w:p>
        </w:tc>
        <w:tc>
          <w:tcPr>
            <w:tcW w:w="811" w:type="dxa"/>
            <w:tcBorders>
              <w:bottom w:val="single" w:sz="6" w:space="0" w:color="auto"/>
            </w:tcBorders>
          </w:tcPr>
          <w:p w14:paraId="0E097925" w14:textId="77777777" w:rsidR="00964B88" w:rsidRDefault="00964B88">
            <w:pPr>
              <w:cnfStyle w:val="000000000000" w:firstRow="0" w:lastRow="0" w:firstColumn="0" w:lastColumn="0" w:oddVBand="0" w:evenVBand="0" w:oddHBand="0" w:evenHBand="0" w:firstRowFirstColumn="0" w:firstRowLastColumn="0" w:lastRowFirstColumn="0" w:lastRowLastColumn="0"/>
            </w:pPr>
            <w:r>
              <w:t>242</w:t>
            </w:r>
          </w:p>
        </w:tc>
        <w:tc>
          <w:tcPr>
            <w:tcW w:w="811" w:type="dxa"/>
            <w:tcBorders>
              <w:bottom w:val="single" w:sz="6" w:space="0" w:color="auto"/>
            </w:tcBorders>
          </w:tcPr>
          <w:p w14:paraId="1C792DED" w14:textId="77777777" w:rsidR="00964B88" w:rsidRDefault="00964B88">
            <w:pPr>
              <w:cnfStyle w:val="000000000000" w:firstRow="0" w:lastRow="0" w:firstColumn="0" w:lastColumn="0" w:oddVBand="0" w:evenVBand="0" w:oddHBand="0" w:evenHBand="0" w:firstRowFirstColumn="0" w:firstRowLastColumn="0" w:lastRowFirstColumn="0" w:lastRowLastColumn="0"/>
            </w:pPr>
            <w:r>
              <w:t>237</w:t>
            </w:r>
          </w:p>
        </w:tc>
      </w:tr>
      <w:tr w:rsidR="00964B88" w14:paraId="4729E60A" w14:textId="77777777" w:rsidTr="0090119F">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09A6B823" w14:textId="77777777" w:rsidR="00964B88" w:rsidRDefault="00964B88">
            <w:r>
              <w:rPr>
                <w:b/>
              </w:rPr>
              <w:t>Total other economic flows included in</w:t>
            </w:r>
            <w:r w:rsidR="00D13450">
              <w:rPr>
                <w:b/>
              </w:rPr>
              <w:t xml:space="preserve"> </w:t>
            </w:r>
            <w:r>
              <w:rPr>
                <w:b/>
              </w:rPr>
              <w:t>net result</w:t>
            </w:r>
          </w:p>
        </w:tc>
        <w:tc>
          <w:tcPr>
            <w:tcW w:w="810" w:type="dxa"/>
            <w:gridSpan w:val="4"/>
            <w:tcBorders>
              <w:top w:val="single" w:sz="6" w:space="0" w:color="auto"/>
              <w:bottom w:val="single" w:sz="6" w:space="0" w:color="auto"/>
            </w:tcBorders>
          </w:tcPr>
          <w:p w14:paraId="5BF2C70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577</w:t>
            </w:r>
          </w:p>
        </w:tc>
        <w:tc>
          <w:tcPr>
            <w:tcW w:w="811" w:type="dxa"/>
            <w:tcBorders>
              <w:top w:val="single" w:sz="6" w:space="0" w:color="auto"/>
              <w:bottom w:val="single" w:sz="6" w:space="0" w:color="auto"/>
            </w:tcBorders>
          </w:tcPr>
          <w:p w14:paraId="0BCAD0E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740</w:t>
            </w:r>
          </w:p>
        </w:tc>
        <w:tc>
          <w:tcPr>
            <w:tcW w:w="810" w:type="dxa"/>
            <w:tcBorders>
              <w:top w:val="single" w:sz="6" w:space="0" w:color="auto"/>
              <w:bottom w:val="single" w:sz="6" w:space="0" w:color="auto"/>
            </w:tcBorders>
          </w:tcPr>
          <w:p w14:paraId="7EBD1AE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270</w:t>
            </w:r>
          </w:p>
        </w:tc>
        <w:tc>
          <w:tcPr>
            <w:tcW w:w="811" w:type="dxa"/>
            <w:tcBorders>
              <w:top w:val="single" w:sz="6" w:space="0" w:color="auto"/>
              <w:bottom w:val="single" w:sz="6" w:space="0" w:color="auto"/>
            </w:tcBorders>
          </w:tcPr>
          <w:p w14:paraId="37BF4E0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288</w:t>
            </w:r>
          </w:p>
        </w:tc>
        <w:tc>
          <w:tcPr>
            <w:tcW w:w="811" w:type="dxa"/>
            <w:tcBorders>
              <w:top w:val="single" w:sz="6" w:space="0" w:color="auto"/>
              <w:bottom w:val="single" w:sz="6" w:space="0" w:color="auto"/>
            </w:tcBorders>
          </w:tcPr>
          <w:p w14:paraId="4121C25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279</w:t>
            </w:r>
          </w:p>
        </w:tc>
      </w:tr>
      <w:tr w:rsidR="00964B88" w14:paraId="7717BCC6" w14:textId="77777777" w:rsidTr="0090119F">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12" w:space="0" w:color="auto"/>
            </w:tcBorders>
          </w:tcPr>
          <w:p w14:paraId="2D6AE454" w14:textId="77777777" w:rsidR="00964B88" w:rsidRDefault="00964B88">
            <w:r>
              <w:rPr>
                <w:b/>
              </w:rPr>
              <w:t>Net result</w:t>
            </w:r>
          </w:p>
        </w:tc>
        <w:tc>
          <w:tcPr>
            <w:tcW w:w="810" w:type="dxa"/>
            <w:gridSpan w:val="4"/>
            <w:tcBorders>
              <w:top w:val="single" w:sz="6" w:space="0" w:color="auto"/>
              <w:bottom w:val="single" w:sz="12" w:space="0" w:color="auto"/>
            </w:tcBorders>
          </w:tcPr>
          <w:p w14:paraId="78C6240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179</w:t>
            </w:r>
          </w:p>
        </w:tc>
        <w:tc>
          <w:tcPr>
            <w:tcW w:w="811" w:type="dxa"/>
            <w:tcBorders>
              <w:top w:val="single" w:sz="6" w:space="0" w:color="auto"/>
              <w:bottom w:val="single" w:sz="12" w:space="0" w:color="auto"/>
            </w:tcBorders>
          </w:tcPr>
          <w:p w14:paraId="6462407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203</w:t>
            </w:r>
          </w:p>
        </w:tc>
        <w:tc>
          <w:tcPr>
            <w:tcW w:w="810" w:type="dxa"/>
            <w:tcBorders>
              <w:top w:val="single" w:sz="6" w:space="0" w:color="auto"/>
              <w:bottom w:val="single" w:sz="12" w:space="0" w:color="auto"/>
            </w:tcBorders>
          </w:tcPr>
          <w:p w14:paraId="2850208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(397)</w:t>
            </w:r>
          </w:p>
        </w:tc>
        <w:tc>
          <w:tcPr>
            <w:tcW w:w="811" w:type="dxa"/>
            <w:tcBorders>
              <w:top w:val="single" w:sz="6" w:space="0" w:color="auto"/>
              <w:bottom w:val="single" w:sz="12" w:space="0" w:color="auto"/>
            </w:tcBorders>
          </w:tcPr>
          <w:p w14:paraId="24FC81D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(478)</w:t>
            </w:r>
          </w:p>
        </w:tc>
        <w:tc>
          <w:tcPr>
            <w:tcW w:w="811" w:type="dxa"/>
            <w:tcBorders>
              <w:top w:val="single" w:sz="6" w:space="0" w:color="auto"/>
              <w:bottom w:val="single" w:sz="12" w:space="0" w:color="auto"/>
            </w:tcBorders>
          </w:tcPr>
          <w:p w14:paraId="060E8BD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(523)</w:t>
            </w:r>
          </w:p>
        </w:tc>
      </w:tr>
      <w:tr w:rsidR="0090119F" w14:paraId="5D189412" w14:textId="77777777" w:rsidTr="0090119F">
        <w:tc>
          <w:tcPr>
            <w:cnfStyle w:val="001000000000" w:firstRow="0" w:lastRow="0" w:firstColumn="1" w:lastColumn="0" w:oddVBand="0" w:evenVBand="0" w:oddHBand="0" w:evenHBand="0" w:firstRowFirstColumn="0" w:firstRowLastColumn="0" w:lastRowFirstColumn="0" w:lastRowLastColumn="0"/>
            <w:tcW w:w="3998" w:type="dxa"/>
            <w:gridSpan w:val="3"/>
          </w:tcPr>
          <w:p w14:paraId="64B1F9EE" w14:textId="77777777" w:rsidR="0090119F" w:rsidRDefault="0090119F" w:rsidP="002A3255">
            <w:r>
              <w:rPr>
                <w:b/>
              </w:rPr>
              <w:t>Other economic flows – other comprehensive income</w:t>
            </w:r>
          </w:p>
        </w:tc>
        <w:tc>
          <w:tcPr>
            <w:tcW w:w="527" w:type="dxa"/>
            <w:gridSpan w:val="2"/>
          </w:tcPr>
          <w:p w14:paraId="1ACDFEFF"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1" w:type="dxa"/>
          </w:tcPr>
          <w:p w14:paraId="6BBC46D0"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0" w:type="dxa"/>
          </w:tcPr>
          <w:p w14:paraId="30F59306"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1" w:type="dxa"/>
          </w:tcPr>
          <w:p w14:paraId="58161197"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1" w:type="dxa"/>
          </w:tcPr>
          <w:p w14:paraId="61ADA179"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r>
      <w:tr w:rsidR="0090119F" w14:paraId="5682EA26"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12F54CB6" w14:textId="77777777" w:rsidR="0090119F" w:rsidRDefault="0090119F" w:rsidP="002A3255">
            <w:r>
              <w:rPr>
                <w:b/>
              </w:rPr>
              <w:t>Items that will not be reclassified to net result</w:t>
            </w:r>
          </w:p>
        </w:tc>
        <w:tc>
          <w:tcPr>
            <w:tcW w:w="810" w:type="dxa"/>
            <w:gridSpan w:val="4"/>
          </w:tcPr>
          <w:p w14:paraId="678C913F"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1" w:type="dxa"/>
          </w:tcPr>
          <w:p w14:paraId="16AD0165"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0" w:type="dxa"/>
          </w:tcPr>
          <w:p w14:paraId="061B3B90"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1" w:type="dxa"/>
          </w:tcPr>
          <w:p w14:paraId="5DC8BBCF"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1" w:type="dxa"/>
          </w:tcPr>
          <w:p w14:paraId="78D9CC63"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r>
      <w:tr w:rsidR="0090119F" w14:paraId="019DB7E7"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775D9B21" w14:textId="77777777" w:rsidR="0090119F" w:rsidRDefault="0090119F" w:rsidP="002A3255">
            <w:r>
              <w:t>Changes in non</w:t>
            </w:r>
            <w:r>
              <w:noBreakHyphen/>
              <w:t>financial assets revaluation surplus</w:t>
            </w:r>
          </w:p>
        </w:tc>
        <w:tc>
          <w:tcPr>
            <w:tcW w:w="810" w:type="dxa"/>
            <w:gridSpan w:val="4"/>
          </w:tcPr>
          <w:p w14:paraId="5D152D55"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1 091</w:t>
            </w:r>
          </w:p>
        </w:tc>
        <w:tc>
          <w:tcPr>
            <w:tcW w:w="811" w:type="dxa"/>
          </w:tcPr>
          <w:p w14:paraId="107908E6"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996</w:t>
            </w:r>
          </w:p>
        </w:tc>
        <w:tc>
          <w:tcPr>
            <w:tcW w:w="810" w:type="dxa"/>
          </w:tcPr>
          <w:p w14:paraId="0E570C11"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963</w:t>
            </w:r>
          </w:p>
        </w:tc>
        <w:tc>
          <w:tcPr>
            <w:tcW w:w="811" w:type="dxa"/>
          </w:tcPr>
          <w:p w14:paraId="3C76979B"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9</w:t>
            </w:r>
          </w:p>
        </w:tc>
        <w:tc>
          <w:tcPr>
            <w:tcW w:w="811" w:type="dxa"/>
          </w:tcPr>
          <w:p w14:paraId="2CA2EE53"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6</w:t>
            </w:r>
          </w:p>
        </w:tc>
      </w:tr>
      <w:tr w:rsidR="0090119F" w14:paraId="64513674" w14:textId="77777777" w:rsidTr="0090119F">
        <w:tc>
          <w:tcPr>
            <w:cnfStyle w:val="001000000000" w:firstRow="0" w:lastRow="0" w:firstColumn="1" w:lastColumn="0" w:oddVBand="0" w:evenVBand="0" w:oddHBand="0" w:evenHBand="0" w:firstRowFirstColumn="0" w:firstRowLastColumn="0" w:lastRowFirstColumn="0" w:lastRowLastColumn="0"/>
            <w:tcW w:w="4140" w:type="dxa"/>
            <w:gridSpan w:val="4"/>
          </w:tcPr>
          <w:p w14:paraId="1AA4D2EA" w14:textId="77777777" w:rsidR="0090119F" w:rsidRDefault="0090119F" w:rsidP="002A3255">
            <w:r>
              <w:t>Remeasurement of superannuation defined benefit plans</w:t>
            </w:r>
          </w:p>
        </w:tc>
        <w:tc>
          <w:tcPr>
            <w:tcW w:w="385" w:type="dxa"/>
          </w:tcPr>
          <w:p w14:paraId="403C251D"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w:t>
            </w:r>
          </w:p>
        </w:tc>
        <w:tc>
          <w:tcPr>
            <w:tcW w:w="811" w:type="dxa"/>
          </w:tcPr>
          <w:p w14:paraId="5E68A12A"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(7)</w:t>
            </w:r>
          </w:p>
        </w:tc>
        <w:tc>
          <w:tcPr>
            <w:tcW w:w="810" w:type="dxa"/>
          </w:tcPr>
          <w:p w14:paraId="6EFB9F52"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w:t>
            </w:r>
          </w:p>
        </w:tc>
        <w:tc>
          <w:tcPr>
            <w:tcW w:w="811" w:type="dxa"/>
          </w:tcPr>
          <w:p w14:paraId="461C0F8A"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w:t>
            </w:r>
          </w:p>
        </w:tc>
        <w:tc>
          <w:tcPr>
            <w:tcW w:w="811" w:type="dxa"/>
          </w:tcPr>
          <w:p w14:paraId="3D8CF9A0"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w:t>
            </w:r>
          </w:p>
        </w:tc>
      </w:tr>
      <w:tr w:rsidR="0090119F" w14:paraId="4BCBDADD"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1AA2FD59" w14:textId="77777777" w:rsidR="0090119F" w:rsidRDefault="0090119F" w:rsidP="002A3255">
            <w:r>
              <w:t>Other movements in equity</w:t>
            </w:r>
          </w:p>
        </w:tc>
        <w:tc>
          <w:tcPr>
            <w:tcW w:w="810" w:type="dxa"/>
            <w:gridSpan w:val="4"/>
          </w:tcPr>
          <w:p w14:paraId="79DE06CF"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(130)</w:t>
            </w:r>
          </w:p>
        </w:tc>
        <w:tc>
          <w:tcPr>
            <w:tcW w:w="811" w:type="dxa"/>
          </w:tcPr>
          <w:p w14:paraId="55B83E57"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(17)</w:t>
            </w:r>
          </w:p>
        </w:tc>
        <w:tc>
          <w:tcPr>
            <w:tcW w:w="810" w:type="dxa"/>
          </w:tcPr>
          <w:p w14:paraId="183C7549"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6</w:t>
            </w:r>
          </w:p>
        </w:tc>
        <w:tc>
          <w:tcPr>
            <w:tcW w:w="811" w:type="dxa"/>
          </w:tcPr>
          <w:p w14:paraId="626C37A7"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(8)</w:t>
            </w:r>
          </w:p>
        </w:tc>
        <w:tc>
          <w:tcPr>
            <w:tcW w:w="811" w:type="dxa"/>
          </w:tcPr>
          <w:p w14:paraId="6C9FDC1B"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(7)</w:t>
            </w:r>
          </w:p>
        </w:tc>
      </w:tr>
      <w:tr w:rsidR="0090119F" w14:paraId="6A588013" w14:textId="77777777" w:rsidTr="0090119F">
        <w:tc>
          <w:tcPr>
            <w:cnfStyle w:val="001000000000" w:firstRow="0" w:lastRow="0" w:firstColumn="1" w:lastColumn="0" w:oddVBand="0" w:evenVBand="0" w:oddHBand="0" w:evenHBand="0" w:firstRowFirstColumn="0" w:firstRowLastColumn="0" w:lastRowFirstColumn="0" w:lastRowLastColumn="0"/>
            <w:tcW w:w="4140" w:type="dxa"/>
            <w:gridSpan w:val="4"/>
          </w:tcPr>
          <w:p w14:paraId="66982F38" w14:textId="77777777" w:rsidR="0090119F" w:rsidRDefault="0090119F" w:rsidP="002A3255">
            <w:r>
              <w:rPr>
                <w:b/>
              </w:rPr>
              <w:t>Items that may be reclassified subsequently to net result</w:t>
            </w:r>
          </w:p>
        </w:tc>
        <w:tc>
          <w:tcPr>
            <w:tcW w:w="385" w:type="dxa"/>
          </w:tcPr>
          <w:p w14:paraId="77585680"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1" w:type="dxa"/>
          </w:tcPr>
          <w:p w14:paraId="12FB6091"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0" w:type="dxa"/>
          </w:tcPr>
          <w:p w14:paraId="50B45C16"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1" w:type="dxa"/>
          </w:tcPr>
          <w:p w14:paraId="323DA7C9"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c>
          <w:tcPr>
            <w:tcW w:w="811" w:type="dxa"/>
          </w:tcPr>
          <w:p w14:paraId="025AA42A"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p>
        </w:tc>
      </w:tr>
      <w:tr w:rsidR="0090119F" w14:paraId="32DF4541" w14:textId="77777777" w:rsidTr="0090119F">
        <w:tc>
          <w:tcPr>
            <w:cnfStyle w:val="001000000000" w:firstRow="0" w:lastRow="0" w:firstColumn="1" w:lastColumn="0" w:oddVBand="0" w:evenVBand="0" w:oddHBand="0" w:evenHBand="0" w:firstRowFirstColumn="0" w:firstRowLastColumn="0" w:lastRowFirstColumn="0" w:lastRowLastColumn="0"/>
            <w:tcW w:w="3715" w:type="dxa"/>
          </w:tcPr>
          <w:p w14:paraId="6036482C" w14:textId="77777777" w:rsidR="0090119F" w:rsidRDefault="0090119F" w:rsidP="002A3255">
            <w:r>
              <w:t>Net gain/(loss) on financial assets at fair value</w:t>
            </w:r>
          </w:p>
        </w:tc>
        <w:tc>
          <w:tcPr>
            <w:tcW w:w="810" w:type="dxa"/>
            <w:gridSpan w:val="4"/>
          </w:tcPr>
          <w:p w14:paraId="1D7BA6B7"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13</w:t>
            </w:r>
          </w:p>
        </w:tc>
        <w:tc>
          <w:tcPr>
            <w:tcW w:w="811" w:type="dxa"/>
          </w:tcPr>
          <w:p w14:paraId="2BB76F15"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1</w:t>
            </w:r>
          </w:p>
        </w:tc>
        <w:tc>
          <w:tcPr>
            <w:tcW w:w="810" w:type="dxa"/>
          </w:tcPr>
          <w:p w14:paraId="372D3FBD"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w:t>
            </w:r>
          </w:p>
        </w:tc>
        <w:tc>
          <w:tcPr>
            <w:tcW w:w="811" w:type="dxa"/>
          </w:tcPr>
          <w:p w14:paraId="5DF2F798"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w:t>
            </w:r>
          </w:p>
        </w:tc>
        <w:tc>
          <w:tcPr>
            <w:tcW w:w="811" w:type="dxa"/>
          </w:tcPr>
          <w:p w14:paraId="4D117C6D"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t>..</w:t>
            </w:r>
          </w:p>
        </w:tc>
      </w:tr>
      <w:tr w:rsidR="0090119F" w14:paraId="7A9D1A84" w14:textId="77777777" w:rsidTr="009B6CF1">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000000" w:themeColor="text1"/>
            </w:tcBorders>
          </w:tcPr>
          <w:p w14:paraId="3A70986B" w14:textId="77777777" w:rsidR="0090119F" w:rsidRDefault="0090119F" w:rsidP="002A3255">
            <w:r>
              <w:rPr>
                <w:b/>
              </w:rPr>
              <w:t xml:space="preserve">Total other economic flows – </w:t>
            </w:r>
            <w:r>
              <w:rPr>
                <w:b/>
              </w:rPr>
              <w:br/>
              <w:t>other comprehensive income</w:t>
            </w:r>
          </w:p>
        </w:tc>
        <w:tc>
          <w:tcPr>
            <w:tcW w:w="810" w:type="dxa"/>
            <w:gridSpan w:val="4"/>
            <w:tcBorders>
              <w:bottom w:val="single" w:sz="6" w:space="0" w:color="000000" w:themeColor="text1"/>
            </w:tcBorders>
          </w:tcPr>
          <w:p w14:paraId="0C94177E"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rPr>
                <w:b/>
              </w:rPr>
              <w:t>975</w:t>
            </w:r>
          </w:p>
        </w:tc>
        <w:tc>
          <w:tcPr>
            <w:tcW w:w="811" w:type="dxa"/>
            <w:tcBorders>
              <w:bottom w:val="single" w:sz="6" w:space="0" w:color="000000" w:themeColor="text1"/>
            </w:tcBorders>
          </w:tcPr>
          <w:p w14:paraId="2855EF5A"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rPr>
                <w:b/>
              </w:rPr>
              <w:t>973</w:t>
            </w:r>
          </w:p>
        </w:tc>
        <w:tc>
          <w:tcPr>
            <w:tcW w:w="810" w:type="dxa"/>
            <w:tcBorders>
              <w:bottom w:val="single" w:sz="6" w:space="0" w:color="000000" w:themeColor="text1"/>
            </w:tcBorders>
          </w:tcPr>
          <w:p w14:paraId="03CC1A7A"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rPr>
                <w:b/>
              </w:rPr>
              <w:t>969</w:t>
            </w:r>
          </w:p>
        </w:tc>
        <w:tc>
          <w:tcPr>
            <w:tcW w:w="811" w:type="dxa"/>
            <w:tcBorders>
              <w:bottom w:val="single" w:sz="6" w:space="0" w:color="000000" w:themeColor="text1"/>
            </w:tcBorders>
          </w:tcPr>
          <w:p w14:paraId="48207870"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rPr>
                <w:b/>
              </w:rPr>
              <w:t>1</w:t>
            </w:r>
          </w:p>
        </w:tc>
        <w:tc>
          <w:tcPr>
            <w:tcW w:w="811" w:type="dxa"/>
            <w:tcBorders>
              <w:bottom w:val="single" w:sz="6" w:space="0" w:color="000000" w:themeColor="text1"/>
            </w:tcBorders>
          </w:tcPr>
          <w:p w14:paraId="20B92A6B" w14:textId="77777777" w:rsidR="0090119F" w:rsidRDefault="0090119F" w:rsidP="002A3255">
            <w:pPr>
              <w:cnfStyle w:val="000000000000" w:firstRow="0" w:lastRow="0" w:firstColumn="0" w:lastColumn="0" w:oddVBand="0" w:evenVBand="0" w:oddHBand="0" w:evenHBand="0" w:firstRowFirstColumn="0" w:firstRowLastColumn="0" w:lastRowFirstColumn="0" w:lastRowLastColumn="0"/>
            </w:pPr>
            <w:r>
              <w:rPr>
                <w:b/>
              </w:rPr>
              <w:t>..</w:t>
            </w:r>
          </w:p>
        </w:tc>
      </w:tr>
      <w:tr w:rsidR="0090119F" w:rsidRPr="0090119F" w14:paraId="228E2A41" w14:textId="77777777" w:rsidTr="009B6CF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000000" w:themeColor="text1"/>
            </w:tcBorders>
          </w:tcPr>
          <w:p w14:paraId="780F3D60" w14:textId="77777777" w:rsidR="0090119F" w:rsidRPr="0090119F" w:rsidRDefault="0090119F" w:rsidP="002A3255">
            <w:r w:rsidRPr="0090119F">
              <w:t>Comprehensive result – total change in net worth</w:t>
            </w:r>
          </w:p>
        </w:tc>
        <w:tc>
          <w:tcPr>
            <w:tcW w:w="810" w:type="dxa"/>
            <w:gridSpan w:val="4"/>
            <w:tcBorders>
              <w:bottom w:val="single" w:sz="6" w:space="0" w:color="000000" w:themeColor="text1"/>
            </w:tcBorders>
          </w:tcPr>
          <w:p w14:paraId="7BB27CCA" w14:textId="77777777" w:rsidR="0090119F" w:rsidRPr="0090119F" w:rsidRDefault="0090119F" w:rsidP="002A3255">
            <w:pPr>
              <w:cnfStyle w:val="010000000000" w:firstRow="0" w:lastRow="1" w:firstColumn="0" w:lastColumn="0" w:oddVBand="0" w:evenVBand="0" w:oddHBand="0" w:evenHBand="0" w:firstRowFirstColumn="0" w:firstRowLastColumn="0" w:lastRowFirstColumn="0" w:lastRowLastColumn="0"/>
            </w:pPr>
            <w:r w:rsidRPr="0090119F">
              <w:t>1 154</w:t>
            </w:r>
          </w:p>
        </w:tc>
        <w:tc>
          <w:tcPr>
            <w:tcW w:w="811" w:type="dxa"/>
            <w:tcBorders>
              <w:bottom w:val="single" w:sz="6" w:space="0" w:color="000000" w:themeColor="text1"/>
            </w:tcBorders>
          </w:tcPr>
          <w:p w14:paraId="096A4766" w14:textId="77777777" w:rsidR="0090119F" w:rsidRPr="0090119F" w:rsidRDefault="0090119F" w:rsidP="002A3255">
            <w:pPr>
              <w:cnfStyle w:val="010000000000" w:firstRow="0" w:lastRow="1" w:firstColumn="0" w:lastColumn="0" w:oddVBand="0" w:evenVBand="0" w:oddHBand="0" w:evenHBand="0" w:firstRowFirstColumn="0" w:firstRowLastColumn="0" w:lastRowFirstColumn="0" w:lastRowLastColumn="0"/>
            </w:pPr>
            <w:r w:rsidRPr="0090119F">
              <w:t>1 176</w:t>
            </w:r>
          </w:p>
        </w:tc>
        <w:tc>
          <w:tcPr>
            <w:tcW w:w="810" w:type="dxa"/>
            <w:tcBorders>
              <w:bottom w:val="single" w:sz="6" w:space="0" w:color="000000" w:themeColor="text1"/>
            </w:tcBorders>
          </w:tcPr>
          <w:p w14:paraId="4D41CAD4" w14:textId="77777777" w:rsidR="0090119F" w:rsidRPr="0090119F" w:rsidRDefault="0090119F" w:rsidP="002A3255">
            <w:pPr>
              <w:cnfStyle w:val="010000000000" w:firstRow="0" w:lastRow="1" w:firstColumn="0" w:lastColumn="0" w:oddVBand="0" w:evenVBand="0" w:oddHBand="0" w:evenHBand="0" w:firstRowFirstColumn="0" w:firstRowLastColumn="0" w:lastRowFirstColumn="0" w:lastRowLastColumn="0"/>
            </w:pPr>
            <w:r w:rsidRPr="0090119F">
              <w:t>572</w:t>
            </w:r>
          </w:p>
        </w:tc>
        <w:tc>
          <w:tcPr>
            <w:tcW w:w="811" w:type="dxa"/>
            <w:tcBorders>
              <w:bottom w:val="single" w:sz="6" w:space="0" w:color="000000" w:themeColor="text1"/>
            </w:tcBorders>
          </w:tcPr>
          <w:p w14:paraId="700EF863" w14:textId="77777777" w:rsidR="0090119F" w:rsidRPr="0090119F" w:rsidRDefault="0090119F" w:rsidP="002A3255">
            <w:pPr>
              <w:cnfStyle w:val="010000000000" w:firstRow="0" w:lastRow="1" w:firstColumn="0" w:lastColumn="0" w:oddVBand="0" w:evenVBand="0" w:oddHBand="0" w:evenHBand="0" w:firstRowFirstColumn="0" w:firstRowLastColumn="0" w:lastRowFirstColumn="0" w:lastRowLastColumn="0"/>
            </w:pPr>
            <w:r w:rsidRPr="0090119F">
              <w:t>(477)</w:t>
            </w:r>
          </w:p>
        </w:tc>
        <w:tc>
          <w:tcPr>
            <w:tcW w:w="811" w:type="dxa"/>
            <w:tcBorders>
              <w:bottom w:val="single" w:sz="6" w:space="0" w:color="000000" w:themeColor="text1"/>
            </w:tcBorders>
          </w:tcPr>
          <w:p w14:paraId="095BD1D9" w14:textId="77777777" w:rsidR="0090119F" w:rsidRPr="0090119F" w:rsidRDefault="0090119F" w:rsidP="002A3255">
            <w:pPr>
              <w:cnfStyle w:val="010000000000" w:firstRow="0" w:lastRow="1" w:firstColumn="0" w:lastColumn="0" w:oddVBand="0" w:evenVBand="0" w:oddHBand="0" w:evenHBand="0" w:firstRowFirstColumn="0" w:firstRowLastColumn="0" w:lastRowFirstColumn="0" w:lastRowLastColumn="0"/>
            </w:pPr>
            <w:r w:rsidRPr="0090119F">
              <w:t>(523)</w:t>
            </w:r>
          </w:p>
        </w:tc>
      </w:tr>
    </w:tbl>
    <w:p w14:paraId="42F7D0D6" w14:textId="77777777" w:rsidR="0090119F" w:rsidRDefault="0090119F" w:rsidP="0090119F">
      <w:pPr>
        <w:pStyle w:val="TableHeading"/>
      </w:pPr>
      <w:r>
        <w:lastRenderedPageBreak/>
        <w:t>Table 5.1</w:t>
      </w:r>
      <w:r w:rsidR="009C1504">
        <w:t>:</w:t>
      </w:r>
      <w:r>
        <w:tab/>
        <w:t xml:space="preserve">Public non-financial corporations sector comprehensive operating </w:t>
      </w:r>
      <w:r>
        <w:br/>
        <w:t xml:space="preserve">statement for the financial year ended 30 June </w:t>
      </w:r>
      <w:r w:rsidRPr="0090119F">
        <w:rPr>
          <w:i/>
        </w:rPr>
        <w:t>(continued)</w:t>
      </w:r>
      <w:r>
        <w:tab/>
        <w:t>($ million)</w:t>
      </w:r>
    </w:p>
    <w:tbl>
      <w:tblPr>
        <w:tblStyle w:val="DTFTable"/>
        <w:tblW w:w="7768" w:type="dxa"/>
        <w:tblLayout w:type="fixed"/>
        <w:tblLook w:val="06E0" w:firstRow="1" w:lastRow="1" w:firstColumn="1" w:lastColumn="0" w:noHBand="1" w:noVBand="1"/>
      </w:tblPr>
      <w:tblGrid>
        <w:gridCol w:w="3715"/>
        <w:gridCol w:w="810"/>
        <w:gridCol w:w="811"/>
        <w:gridCol w:w="810"/>
        <w:gridCol w:w="811"/>
        <w:gridCol w:w="811"/>
      </w:tblGrid>
      <w:tr w:rsidR="0090119F" w14:paraId="6A5521C3" w14:textId="77777777" w:rsidTr="002A32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15" w:type="dxa"/>
          </w:tcPr>
          <w:p w14:paraId="381377B0" w14:textId="77777777" w:rsidR="0090119F" w:rsidRDefault="0090119F" w:rsidP="002A3255"/>
        </w:tc>
        <w:tc>
          <w:tcPr>
            <w:tcW w:w="810" w:type="dxa"/>
          </w:tcPr>
          <w:p w14:paraId="5DE35B86" w14:textId="77777777" w:rsidR="0090119F" w:rsidRDefault="0090119F" w:rsidP="002A3255">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11" w:type="dxa"/>
          </w:tcPr>
          <w:p w14:paraId="763B138B" w14:textId="77777777" w:rsidR="0090119F" w:rsidRDefault="0090119F" w:rsidP="002A3255">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10" w:type="dxa"/>
          </w:tcPr>
          <w:p w14:paraId="5369C2F7" w14:textId="77777777" w:rsidR="0090119F" w:rsidRDefault="0090119F" w:rsidP="002A3255">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11" w:type="dxa"/>
          </w:tcPr>
          <w:p w14:paraId="1B696728" w14:textId="77777777" w:rsidR="0090119F" w:rsidRDefault="0090119F" w:rsidP="002A3255">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11" w:type="dxa"/>
          </w:tcPr>
          <w:p w14:paraId="35A732D0" w14:textId="77777777" w:rsidR="0090119F" w:rsidRDefault="0090119F" w:rsidP="002A3255">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31E8E9DA"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5EFD2BA0" w14:textId="77777777" w:rsidR="00964B88" w:rsidRDefault="00964B88">
            <w:r>
              <w:rPr>
                <w:b/>
              </w:rPr>
              <w:t>KEY FISCAL AGGREGATES</w:t>
            </w:r>
          </w:p>
        </w:tc>
        <w:tc>
          <w:tcPr>
            <w:tcW w:w="810" w:type="dxa"/>
          </w:tcPr>
          <w:p w14:paraId="317F87A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04839BB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47F955A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4356EA6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786ABD3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5F1A588E"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4F601D25" w14:textId="77777777" w:rsidR="00964B88" w:rsidRDefault="00964B88">
            <w:r>
              <w:rPr>
                <w:b/>
              </w:rPr>
              <w:t>Net operating balance</w:t>
            </w:r>
          </w:p>
        </w:tc>
        <w:tc>
          <w:tcPr>
            <w:tcW w:w="810" w:type="dxa"/>
          </w:tcPr>
          <w:p w14:paraId="354B033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(398)</w:t>
            </w:r>
          </w:p>
        </w:tc>
        <w:tc>
          <w:tcPr>
            <w:tcW w:w="811" w:type="dxa"/>
          </w:tcPr>
          <w:p w14:paraId="19C60DC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(536)</w:t>
            </w:r>
          </w:p>
        </w:tc>
        <w:tc>
          <w:tcPr>
            <w:tcW w:w="810" w:type="dxa"/>
          </w:tcPr>
          <w:p w14:paraId="5E0A32E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(667)</w:t>
            </w:r>
          </w:p>
        </w:tc>
        <w:tc>
          <w:tcPr>
            <w:tcW w:w="811" w:type="dxa"/>
          </w:tcPr>
          <w:p w14:paraId="484F8B9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(766)</w:t>
            </w:r>
          </w:p>
        </w:tc>
        <w:tc>
          <w:tcPr>
            <w:tcW w:w="811" w:type="dxa"/>
          </w:tcPr>
          <w:p w14:paraId="2EAA876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(802)</w:t>
            </w:r>
          </w:p>
        </w:tc>
      </w:tr>
      <w:tr w:rsidR="00964B88" w14:paraId="45BD13AE"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10C43860" w14:textId="77777777" w:rsidR="00964B88" w:rsidRDefault="00964B88">
            <w:r>
              <w:t>Less: Net acquisition of non</w:t>
            </w:r>
            <w:r>
              <w:noBreakHyphen/>
              <w:t>financial assets from transactions</w:t>
            </w:r>
          </w:p>
        </w:tc>
        <w:tc>
          <w:tcPr>
            <w:tcW w:w="810" w:type="dxa"/>
            <w:tcBorders>
              <w:bottom w:val="single" w:sz="6" w:space="0" w:color="auto"/>
            </w:tcBorders>
          </w:tcPr>
          <w:p w14:paraId="52B366DB" w14:textId="77777777" w:rsidR="00964B88" w:rsidRDefault="00964B88">
            <w:pPr>
              <w:cnfStyle w:val="000000000000" w:firstRow="0" w:lastRow="0" w:firstColumn="0" w:lastColumn="0" w:oddVBand="0" w:evenVBand="0" w:oddHBand="0" w:evenHBand="0" w:firstRowFirstColumn="0" w:firstRowLastColumn="0" w:lastRowFirstColumn="0" w:lastRowLastColumn="0"/>
            </w:pPr>
            <w:r>
              <w:t>6 760</w:t>
            </w:r>
          </w:p>
        </w:tc>
        <w:tc>
          <w:tcPr>
            <w:tcW w:w="811" w:type="dxa"/>
            <w:tcBorders>
              <w:bottom w:val="single" w:sz="6" w:space="0" w:color="auto"/>
            </w:tcBorders>
          </w:tcPr>
          <w:p w14:paraId="477DD14D" w14:textId="77777777" w:rsidR="00964B88" w:rsidRDefault="00964B88">
            <w:pPr>
              <w:cnfStyle w:val="000000000000" w:firstRow="0" w:lastRow="0" w:firstColumn="0" w:lastColumn="0" w:oddVBand="0" w:evenVBand="0" w:oddHBand="0" w:evenHBand="0" w:firstRowFirstColumn="0" w:firstRowLastColumn="0" w:lastRowFirstColumn="0" w:lastRowLastColumn="0"/>
            </w:pPr>
            <w:r>
              <w:t>5 923</w:t>
            </w:r>
          </w:p>
        </w:tc>
        <w:tc>
          <w:tcPr>
            <w:tcW w:w="810" w:type="dxa"/>
            <w:tcBorders>
              <w:bottom w:val="single" w:sz="6" w:space="0" w:color="auto"/>
            </w:tcBorders>
          </w:tcPr>
          <w:p w14:paraId="40D34679" w14:textId="77777777" w:rsidR="00964B88" w:rsidRDefault="00964B88">
            <w:pPr>
              <w:cnfStyle w:val="000000000000" w:firstRow="0" w:lastRow="0" w:firstColumn="0" w:lastColumn="0" w:oddVBand="0" w:evenVBand="0" w:oddHBand="0" w:evenHBand="0" w:firstRowFirstColumn="0" w:firstRowLastColumn="0" w:lastRowFirstColumn="0" w:lastRowLastColumn="0"/>
            </w:pPr>
            <w:r>
              <w:t>5 006</w:t>
            </w:r>
          </w:p>
        </w:tc>
        <w:tc>
          <w:tcPr>
            <w:tcW w:w="811" w:type="dxa"/>
            <w:tcBorders>
              <w:bottom w:val="single" w:sz="6" w:space="0" w:color="auto"/>
            </w:tcBorders>
          </w:tcPr>
          <w:p w14:paraId="04435F16" w14:textId="77777777" w:rsidR="00964B88" w:rsidRDefault="00964B88">
            <w:pPr>
              <w:cnfStyle w:val="000000000000" w:firstRow="0" w:lastRow="0" w:firstColumn="0" w:lastColumn="0" w:oddVBand="0" w:evenVBand="0" w:oddHBand="0" w:evenHBand="0" w:firstRowFirstColumn="0" w:firstRowLastColumn="0" w:lastRowFirstColumn="0" w:lastRowLastColumn="0"/>
            </w:pPr>
            <w:r>
              <w:t>4 086</w:t>
            </w:r>
          </w:p>
        </w:tc>
        <w:tc>
          <w:tcPr>
            <w:tcW w:w="811" w:type="dxa"/>
            <w:tcBorders>
              <w:bottom w:val="single" w:sz="6" w:space="0" w:color="auto"/>
            </w:tcBorders>
          </w:tcPr>
          <w:p w14:paraId="27A37B47" w14:textId="77777777" w:rsidR="00964B88" w:rsidRDefault="00964B88">
            <w:pPr>
              <w:cnfStyle w:val="000000000000" w:firstRow="0" w:lastRow="0" w:firstColumn="0" w:lastColumn="0" w:oddVBand="0" w:evenVBand="0" w:oddHBand="0" w:evenHBand="0" w:firstRowFirstColumn="0" w:firstRowLastColumn="0" w:lastRowFirstColumn="0" w:lastRowLastColumn="0"/>
            </w:pPr>
            <w:r>
              <w:t>3 294</w:t>
            </w:r>
          </w:p>
        </w:tc>
      </w:tr>
      <w:tr w:rsidR="00964B88" w14:paraId="0B72D454" w14:textId="77777777" w:rsidTr="00D1345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01A8DF98" w14:textId="77777777" w:rsidR="00964B88" w:rsidRDefault="00964B88">
            <w:r>
              <w:t>Net lending/(borrowing)</w:t>
            </w:r>
          </w:p>
        </w:tc>
        <w:tc>
          <w:tcPr>
            <w:tcW w:w="810" w:type="dxa"/>
          </w:tcPr>
          <w:p w14:paraId="4696747A" w14:textId="77777777" w:rsidR="00964B88" w:rsidRDefault="00964B88">
            <w:pPr>
              <w:cnfStyle w:val="010000000000" w:firstRow="0" w:lastRow="1" w:firstColumn="0" w:lastColumn="0" w:oddVBand="0" w:evenVBand="0" w:oddHBand="0" w:evenHBand="0" w:firstRowFirstColumn="0" w:firstRowLastColumn="0" w:lastRowFirstColumn="0" w:lastRowLastColumn="0"/>
            </w:pPr>
            <w:r>
              <w:t>(7 158)</w:t>
            </w:r>
          </w:p>
        </w:tc>
        <w:tc>
          <w:tcPr>
            <w:tcW w:w="811" w:type="dxa"/>
          </w:tcPr>
          <w:p w14:paraId="14FF573F" w14:textId="77777777" w:rsidR="00964B88" w:rsidRDefault="00964B88">
            <w:pPr>
              <w:cnfStyle w:val="010000000000" w:firstRow="0" w:lastRow="1" w:firstColumn="0" w:lastColumn="0" w:oddVBand="0" w:evenVBand="0" w:oddHBand="0" w:evenHBand="0" w:firstRowFirstColumn="0" w:firstRowLastColumn="0" w:lastRowFirstColumn="0" w:lastRowLastColumn="0"/>
            </w:pPr>
            <w:r>
              <w:t>(6 459)</w:t>
            </w:r>
          </w:p>
        </w:tc>
        <w:tc>
          <w:tcPr>
            <w:tcW w:w="810" w:type="dxa"/>
          </w:tcPr>
          <w:p w14:paraId="22C2D28C" w14:textId="77777777" w:rsidR="00964B88" w:rsidRDefault="00964B88">
            <w:pPr>
              <w:cnfStyle w:val="010000000000" w:firstRow="0" w:lastRow="1" w:firstColumn="0" w:lastColumn="0" w:oddVBand="0" w:evenVBand="0" w:oddHBand="0" w:evenHBand="0" w:firstRowFirstColumn="0" w:firstRowLastColumn="0" w:lastRowFirstColumn="0" w:lastRowLastColumn="0"/>
            </w:pPr>
            <w:r>
              <w:t>(5 673)</w:t>
            </w:r>
          </w:p>
        </w:tc>
        <w:tc>
          <w:tcPr>
            <w:tcW w:w="811" w:type="dxa"/>
          </w:tcPr>
          <w:p w14:paraId="2714035A" w14:textId="77777777" w:rsidR="00964B88" w:rsidRDefault="00964B88">
            <w:pPr>
              <w:cnfStyle w:val="010000000000" w:firstRow="0" w:lastRow="1" w:firstColumn="0" w:lastColumn="0" w:oddVBand="0" w:evenVBand="0" w:oddHBand="0" w:evenHBand="0" w:firstRowFirstColumn="0" w:firstRowLastColumn="0" w:lastRowFirstColumn="0" w:lastRowLastColumn="0"/>
            </w:pPr>
            <w:r>
              <w:t>(4 852)</w:t>
            </w:r>
          </w:p>
        </w:tc>
        <w:tc>
          <w:tcPr>
            <w:tcW w:w="811" w:type="dxa"/>
          </w:tcPr>
          <w:p w14:paraId="45D159E7" w14:textId="77777777" w:rsidR="00964B88" w:rsidRDefault="00964B88">
            <w:pPr>
              <w:cnfStyle w:val="010000000000" w:firstRow="0" w:lastRow="1" w:firstColumn="0" w:lastColumn="0" w:oddVBand="0" w:evenVBand="0" w:oddHBand="0" w:evenHBand="0" w:firstRowFirstColumn="0" w:firstRowLastColumn="0" w:lastRowFirstColumn="0" w:lastRowLastColumn="0"/>
            </w:pPr>
            <w:r>
              <w:t>(4 096)</w:t>
            </w:r>
          </w:p>
        </w:tc>
      </w:tr>
    </w:tbl>
    <w:p w14:paraId="4F485316" w14:textId="77777777" w:rsidR="00964B88" w:rsidRDefault="00964B88" w:rsidP="00F53820">
      <w:r>
        <w:br w:type="page"/>
      </w:r>
    </w:p>
    <w:p w14:paraId="24A85227" w14:textId="77777777" w:rsidR="00964B88" w:rsidRDefault="00964B88" w:rsidP="00F53820">
      <w:pPr>
        <w:pStyle w:val="TableHeading"/>
      </w:pPr>
      <w:r>
        <w:lastRenderedPageBreak/>
        <w:t>Table 5.2</w:t>
      </w:r>
      <w:r w:rsidR="009C1504">
        <w:t>:</w:t>
      </w:r>
      <w:r>
        <w:tab/>
        <w:t>Public non-financial corporations sector balance sheet as at 30 June</w:t>
      </w:r>
      <w:r>
        <w:tab/>
        <w:t>($ million)</w:t>
      </w:r>
    </w:p>
    <w:tbl>
      <w:tblPr>
        <w:tblStyle w:val="DTFTable"/>
        <w:tblW w:w="7768" w:type="dxa"/>
        <w:tblLayout w:type="fixed"/>
        <w:tblLook w:val="06A0" w:firstRow="1" w:lastRow="0" w:firstColumn="1" w:lastColumn="0" w:noHBand="1" w:noVBand="1"/>
      </w:tblPr>
      <w:tblGrid>
        <w:gridCol w:w="3715"/>
        <w:gridCol w:w="810"/>
        <w:gridCol w:w="811"/>
        <w:gridCol w:w="810"/>
        <w:gridCol w:w="811"/>
        <w:gridCol w:w="811"/>
      </w:tblGrid>
      <w:tr w:rsidR="00964B88" w14:paraId="27997BA0" w14:textId="77777777" w:rsidTr="00D134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15" w:type="dxa"/>
          </w:tcPr>
          <w:p w14:paraId="68646FDE" w14:textId="77777777" w:rsidR="00964B88" w:rsidRDefault="00964B88"/>
        </w:tc>
        <w:tc>
          <w:tcPr>
            <w:tcW w:w="810" w:type="dxa"/>
          </w:tcPr>
          <w:p w14:paraId="70247F5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r>
              <w:rPr>
                <w:vertAlign w:val="superscript"/>
              </w:rPr>
              <w:t xml:space="preserve"> (a)</w:t>
            </w:r>
          </w:p>
        </w:tc>
        <w:tc>
          <w:tcPr>
            <w:tcW w:w="811" w:type="dxa"/>
          </w:tcPr>
          <w:p w14:paraId="4336622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10" w:type="dxa"/>
          </w:tcPr>
          <w:p w14:paraId="186076DE"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11" w:type="dxa"/>
          </w:tcPr>
          <w:p w14:paraId="47BCF06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11" w:type="dxa"/>
          </w:tcPr>
          <w:p w14:paraId="36604DE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6A333D2B"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46286165" w14:textId="77777777" w:rsidR="00964B88" w:rsidRDefault="00964B88">
            <w:r>
              <w:rPr>
                <w:b/>
              </w:rPr>
              <w:t>Assets</w:t>
            </w:r>
          </w:p>
        </w:tc>
        <w:tc>
          <w:tcPr>
            <w:tcW w:w="810" w:type="dxa"/>
          </w:tcPr>
          <w:p w14:paraId="162D495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62636CC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1B51679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1CFFB60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18F7819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77892E3A"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4ABE871E" w14:textId="77777777" w:rsidR="00964B88" w:rsidRDefault="00964B88">
            <w:r>
              <w:rPr>
                <w:b/>
              </w:rPr>
              <w:t>Financial assets</w:t>
            </w:r>
          </w:p>
        </w:tc>
        <w:tc>
          <w:tcPr>
            <w:tcW w:w="810" w:type="dxa"/>
          </w:tcPr>
          <w:p w14:paraId="0A52645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15E01A4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515DB46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12DE57E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76DF81F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4AF1FA0"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64BF5716" w14:textId="77777777" w:rsidR="00964B88" w:rsidRDefault="00964B88">
            <w:r>
              <w:t>Cash and deposits</w:t>
            </w:r>
          </w:p>
        </w:tc>
        <w:tc>
          <w:tcPr>
            <w:tcW w:w="810" w:type="dxa"/>
          </w:tcPr>
          <w:p w14:paraId="1B7CD61D" w14:textId="77777777" w:rsidR="00964B88" w:rsidRDefault="00964B88">
            <w:pPr>
              <w:cnfStyle w:val="000000000000" w:firstRow="0" w:lastRow="0" w:firstColumn="0" w:lastColumn="0" w:oddVBand="0" w:evenVBand="0" w:oddHBand="0" w:evenHBand="0" w:firstRowFirstColumn="0" w:firstRowLastColumn="0" w:lastRowFirstColumn="0" w:lastRowLastColumn="0"/>
            </w:pPr>
            <w:r>
              <w:t>1 747</w:t>
            </w:r>
          </w:p>
        </w:tc>
        <w:tc>
          <w:tcPr>
            <w:tcW w:w="811" w:type="dxa"/>
          </w:tcPr>
          <w:p w14:paraId="1F2ED853" w14:textId="77777777" w:rsidR="00964B88" w:rsidRDefault="00964B88">
            <w:pPr>
              <w:cnfStyle w:val="000000000000" w:firstRow="0" w:lastRow="0" w:firstColumn="0" w:lastColumn="0" w:oddVBand="0" w:evenVBand="0" w:oddHBand="0" w:evenHBand="0" w:firstRowFirstColumn="0" w:firstRowLastColumn="0" w:lastRowFirstColumn="0" w:lastRowLastColumn="0"/>
            </w:pPr>
            <w:r>
              <w:t>1 237</w:t>
            </w:r>
          </w:p>
        </w:tc>
        <w:tc>
          <w:tcPr>
            <w:tcW w:w="810" w:type="dxa"/>
          </w:tcPr>
          <w:p w14:paraId="632DAE0F" w14:textId="77777777" w:rsidR="00964B88" w:rsidRDefault="00964B88">
            <w:pPr>
              <w:cnfStyle w:val="000000000000" w:firstRow="0" w:lastRow="0" w:firstColumn="0" w:lastColumn="0" w:oddVBand="0" w:evenVBand="0" w:oddHBand="0" w:evenHBand="0" w:firstRowFirstColumn="0" w:firstRowLastColumn="0" w:lastRowFirstColumn="0" w:lastRowLastColumn="0"/>
            </w:pPr>
            <w:r>
              <w:t>901</w:t>
            </w:r>
          </w:p>
        </w:tc>
        <w:tc>
          <w:tcPr>
            <w:tcW w:w="811" w:type="dxa"/>
          </w:tcPr>
          <w:p w14:paraId="6A7B6158" w14:textId="77777777" w:rsidR="00964B88" w:rsidRDefault="00964B88">
            <w:pPr>
              <w:cnfStyle w:val="000000000000" w:firstRow="0" w:lastRow="0" w:firstColumn="0" w:lastColumn="0" w:oddVBand="0" w:evenVBand="0" w:oddHBand="0" w:evenHBand="0" w:firstRowFirstColumn="0" w:firstRowLastColumn="0" w:lastRowFirstColumn="0" w:lastRowLastColumn="0"/>
            </w:pPr>
            <w:r>
              <w:t>762</w:t>
            </w:r>
          </w:p>
        </w:tc>
        <w:tc>
          <w:tcPr>
            <w:tcW w:w="811" w:type="dxa"/>
          </w:tcPr>
          <w:p w14:paraId="1A525C64" w14:textId="77777777" w:rsidR="00964B88" w:rsidRDefault="00964B88">
            <w:pPr>
              <w:cnfStyle w:val="000000000000" w:firstRow="0" w:lastRow="0" w:firstColumn="0" w:lastColumn="0" w:oddVBand="0" w:evenVBand="0" w:oddHBand="0" w:evenHBand="0" w:firstRowFirstColumn="0" w:firstRowLastColumn="0" w:lastRowFirstColumn="0" w:lastRowLastColumn="0"/>
            </w:pPr>
            <w:r>
              <w:t>837</w:t>
            </w:r>
          </w:p>
        </w:tc>
      </w:tr>
      <w:tr w:rsidR="00964B88" w14:paraId="7F017A61"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2D5D18EA" w14:textId="77777777" w:rsidR="00964B88" w:rsidRDefault="00964B88">
            <w:r>
              <w:t>Advances paid</w:t>
            </w:r>
          </w:p>
        </w:tc>
        <w:tc>
          <w:tcPr>
            <w:tcW w:w="810" w:type="dxa"/>
          </w:tcPr>
          <w:p w14:paraId="6791900A" w14:textId="77777777" w:rsidR="00964B88" w:rsidRDefault="00964B88">
            <w:pPr>
              <w:cnfStyle w:val="000000000000" w:firstRow="0" w:lastRow="0" w:firstColumn="0" w:lastColumn="0" w:oddVBand="0" w:evenVBand="0" w:oddHBand="0" w:evenHBand="0" w:firstRowFirstColumn="0" w:firstRowLastColumn="0" w:lastRowFirstColumn="0" w:lastRowLastColumn="0"/>
            </w:pPr>
            <w:r>
              <w:t>2 029</w:t>
            </w:r>
          </w:p>
        </w:tc>
        <w:tc>
          <w:tcPr>
            <w:tcW w:w="811" w:type="dxa"/>
          </w:tcPr>
          <w:p w14:paraId="564FB0F7" w14:textId="77777777" w:rsidR="00964B88" w:rsidRDefault="00964B88">
            <w:pPr>
              <w:cnfStyle w:val="000000000000" w:firstRow="0" w:lastRow="0" w:firstColumn="0" w:lastColumn="0" w:oddVBand="0" w:evenVBand="0" w:oddHBand="0" w:evenHBand="0" w:firstRowFirstColumn="0" w:firstRowLastColumn="0" w:lastRowFirstColumn="0" w:lastRowLastColumn="0"/>
            </w:pPr>
            <w:r>
              <w:t>2 015</w:t>
            </w:r>
          </w:p>
        </w:tc>
        <w:tc>
          <w:tcPr>
            <w:tcW w:w="810" w:type="dxa"/>
          </w:tcPr>
          <w:p w14:paraId="4A44CBB2" w14:textId="77777777" w:rsidR="00964B88" w:rsidRDefault="00964B88">
            <w:pPr>
              <w:cnfStyle w:val="000000000000" w:firstRow="0" w:lastRow="0" w:firstColumn="0" w:lastColumn="0" w:oddVBand="0" w:evenVBand="0" w:oddHBand="0" w:evenHBand="0" w:firstRowFirstColumn="0" w:firstRowLastColumn="0" w:lastRowFirstColumn="0" w:lastRowLastColumn="0"/>
            </w:pPr>
            <w:r>
              <w:t>796</w:t>
            </w:r>
          </w:p>
        </w:tc>
        <w:tc>
          <w:tcPr>
            <w:tcW w:w="811" w:type="dxa"/>
          </w:tcPr>
          <w:p w14:paraId="4C474EF2" w14:textId="77777777" w:rsidR="00964B88" w:rsidRDefault="00964B88">
            <w:pPr>
              <w:cnfStyle w:val="000000000000" w:firstRow="0" w:lastRow="0" w:firstColumn="0" w:lastColumn="0" w:oddVBand="0" w:evenVBand="0" w:oddHBand="0" w:evenHBand="0" w:firstRowFirstColumn="0" w:firstRowLastColumn="0" w:lastRowFirstColumn="0" w:lastRowLastColumn="0"/>
            </w:pPr>
            <w:r>
              <w:t>254</w:t>
            </w:r>
          </w:p>
        </w:tc>
        <w:tc>
          <w:tcPr>
            <w:tcW w:w="811" w:type="dxa"/>
          </w:tcPr>
          <w:p w14:paraId="66AC673D" w14:textId="77777777" w:rsidR="00964B88" w:rsidRDefault="00964B88">
            <w:pPr>
              <w:cnfStyle w:val="000000000000" w:firstRow="0" w:lastRow="0" w:firstColumn="0" w:lastColumn="0" w:oddVBand="0" w:evenVBand="0" w:oddHBand="0" w:evenHBand="0" w:firstRowFirstColumn="0" w:firstRowLastColumn="0" w:lastRowFirstColumn="0" w:lastRowLastColumn="0"/>
            </w:pPr>
            <w:r>
              <w:t>96</w:t>
            </w:r>
          </w:p>
        </w:tc>
      </w:tr>
      <w:tr w:rsidR="00964B88" w14:paraId="2EA3B188"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76C0D8AA" w14:textId="77777777" w:rsidR="00964B88" w:rsidRDefault="00964B88">
            <w:r>
              <w:t>Receivables</w:t>
            </w:r>
          </w:p>
        </w:tc>
        <w:tc>
          <w:tcPr>
            <w:tcW w:w="810" w:type="dxa"/>
          </w:tcPr>
          <w:p w14:paraId="5F44F4A8" w14:textId="77777777" w:rsidR="00964B88" w:rsidRDefault="00964B88">
            <w:pPr>
              <w:cnfStyle w:val="000000000000" w:firstRow="0" w:lastRow="0" w:firstColumn="0" w:lastColumn="0" w:oddVBand="0" w:evenVBand="0" w:oddHBand="0" w:evenHBand="0" w:firstRowFirstColumn="0" w:firstRowLastColumn="0" w:lastRowFirstColumn="0" w:lastRowLastColumn="0"/>
            </w:pPr>
            <w:r>
              <w:t>1 664</w:t>
            </w:r>
          </w:p>
        </w:tc>
        <w:tc>
          <w:tcPr>
            <w:tcW w:w="811" w:type="dxa"/>
          </w:tcPr>
          <w:p w14:paraId="736AB775" w14:textId="77777777" w:rsidR="00964B88" w:rsidRDefault="00964B88">
            <w:pPr>
              <w:cnfStyle w:val="000000000000" w:firstRow="0" w:lastRow="0" w:firstColumn="0" w:lastColumn="0" w:oddVBand="0" w:evenVBand="0" w:oddHBand="0" w:evenHBand="0" w:firstRowFirstColumn="0" w:firstRowLastColumn="0" w:lastRowFirstColumn="0" w:lastRowLastColumn="0"/>
            </w:pPr>
            <w:r>
              <w:t>1 825</w:t>
            </w:r>
          </w:p>
        </w:tc>
        <w:tc>
          <w:tcPr>
            <w:tcW w:w="810" w:type="dxa"/>
          </w:tcPr>
          <w:p w14:paraId="600CE8F5" w14:textId="77777777" w:rsidR="00964B88" w:rsidRDefault="00964B88">
            <w:pPr>
              <w:cnfStyle w:val="000000000000" w:firstRow="0" w:lastRow="0" w:firstColumn="0" w:lastColumn="0" w:oddVBand="0" w:evenVBand="0" w:oddHBand="0" w:evenHBand="0" w:firstRowFirstColumn="0" w:firstRowLastColumn="0" w:lastRowFirstColumn="0" w:lastRowLastColumn="0"/>
            </w:pPr>
            <w:r>
              <w:t>1 782</w:t>
            </w:r>
          </w:p>
        </w:tc>
        <w:tc>
          <w:tcPr>
            <w:tcW w:w="811" w:type="dxa"/>
          </w:tcPr>
          <w:p w14:paraId="6A51D6BE" w14:textId="77777777" w:rsidR="00964B88" w:rsidRDefault="00964B88">
            <w:pPr>
              <w:cnfStyle w:val="000000000000" w:firstRow="0" w:lastRow="0" w:firstColumn="0" w:lastColumn="0" w:oddVBand="0" w:evenVBand="0" w:oddHBand="0" w:evenHBand="0" w:firstRowFirstColumn="0" w:firstRowLastColumn="0" w:lastRowFirstColumn="0" w:lastRowLastColumn="0"/>
            </w:pPr>
            <w:r>
              <w:t>1 797</w:t>
            </w:r>
          </w:p>
        </w:tc>
        <w:tc>
          <w:tcPr>
            <w:tcW w:w="811" w:type="dxa"/>
          </w:tcPr>
          <w:p w14:paraId="60A82BC3" w14:textId="77777777" w:rsidR="00964B88" w:rsidRDefault="00964B88">
            <w:pPr>
              <w:cnfStyle w:val="000000000000" w:firstRow="0" w:lastRow="0" w:firstColumn="0" w:lastColumn="0" w:oddVBand="0" w:evenVBand="0" w:oddHBand="0" w:evenHBand="0" w:firstRowFirstColumn="0" w:firstRowLastColumn="0" w:lastRowFirstColumn="0" w:lastRowLastColumn="0"/>
            </w:pPr>
            <w:r>
              <w:t>2 075</w:t>
            </w:r>
          </w:p>
        </w:tc>
      </w:tr>
      <w:tr w:rsidR="00964B88" w14:paraId="501318D5"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58DE7224" w14:textId="77777777" w:rsidR="00964B88" w:rsidRDefault="00964B88">
            <w:r>
              <w:t>Investments, loans and placements</w:t>
            </w:r>
          </w:p>
        </w:tc>
        <w:tc>
          <w:tcPr>
            <w:tcW w:w="810" w:type="dxa"/>
          </w:tcPr>
          <w:p w14:paraId="68CDB0B5" w14:textId="77777777" w:rsidR="00964B88" w:rsidRDefault="00964B88">
            <w:pPr>
              <w:cnfStyle w:val="000000000000" w:firstRow="0" w:lastRow="0" w:firstColumn="0" w:lastColumn="0" w:oddVBand="0" w:evenVBand="0" w:oddHBand="0" w:evenHBand="0" w:firstRowFirstColumn="0" w:firstRowLastColumn="0" w:lastRowFirstColumn="0" w:lastRowLastColumn="0"/>
            </w:pPr>
            <w:r>
              <w:t>423</w:t>
            </w:r>
          </w:p>
        </w:tc>
        <w:tc>
          <w:tcPr>
            <w:tcW w:w="811" w:type="dxa"/>
          </w:tcPr>
          <w:p w14:paraId="36010398" w14:textId="77777777" w:rsidR="00964B88" w:rsidRDefault="00964B88">
            <w:pPr>
              <w:cnfStyle w:val="000000000000" w:firstRow="0" w:lastRow="0" w:firstColumn="0" w:lastColumn="0" w:oddVBand="0" w:evenVBand="0" w:oddHBand="0" w:evenHBand="0" w:firstRowFirstColumn="0" w:firstRowLastColumn="0" w:lastRowFirstColumn="0" w:lastRowLastColumn="0"/>
            </w:pPr>
            <w:r>
              <w:t>742</w:t>
            </w:r>
          </w:p>
        </w:tc>
        <w:tc>
          <w:tcPr>
            <w:tcW w:w="810" w:type="dxa"/>
          </w:tcPr>
          <w:p w14:paraId="5FF3B103" w14:textId="77777777" w:rsidR="00964B88" w:rsidRDefault="00964B88">
            <w:pPr>
              <w:cnfStyle w:val="000000000000" w:firstRow="0" w:lastRow="0" w:firstColumn="0" w:lastColumn="0" w:oddVBand="0" w:evenVBand="0" w:oddHBand="0" w:evenHBand="0" w:firstRowFirstColumn="0" w:firstRowLastColumn="0" w:lastRowFirstColumn="0" w:lastRowLastColumn="0"/>
            </w:pPr>
            <w:r>
              <w:t>787</w:t>
            </w:r>
          </w:p>
        </w:tc>
        <w:tc>
          <w:tcPr>
            <w:tcW w:w="811" w:type="dxa"/>
          </w:tcPr>
          <w:p w14:paraId="22DAB548" w14:textId="77777777" w:rsidR="00964B88" w:rsidRDefault="00964B88">
            <w:pPr>
              <w:cnfStyle w:val="000000000000" w:firstRow="0" w:lastRow="0" w:firstColumn="0" w:lastColumn="0" w:oddVBand="0" w:evenVBand="0" w:oddHBand="0" w:evenHBand="0" w:firstRowFirstColumn="0" w:firstRowLastColumn="0" w:lastRowFirstColumn="0" w:lastRowLastColumn="0"/>
            </w:pPr>
            <w:r>
              <w:t>836</w:t>
            </w:r>
          </w:p>
        </w:tc>
        <w:tc>
          <w:tcPr>
            <w:tcW w:w="811" w:type="dxa"/>
          </w:tcPr>
          <w:p w14:paraId="3B6941EE" w14:textId="77777777" w:rsidR="00964B88" w:rsidRDefault="00964B88">
            <w:pPr>
              <w:cnfStyle w:val="000000000000" w:firstRow="0" w:lastRow="0" w:firstColumn="0" w:lastColumn="0" w:oddVBand="0" w:evenVBand="0" w:oddHBand="0" w:evenHBand="0" w:firstRowFirstColumn="0" w:firstRowLastColumn="0" w:lastRowFirstColumn="0" w:lastRowLastColumn="0"/>
            </w:pPr>
            <w:r>
              <w:t>860</w:t>
            </w:r>
          </w:p>
        </w:tc>
      </w:tr>
      <w:tr w:rsidR="00964B88" w14:paraId="02B90A94"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07AC8743" w14:textId="77777777" w:rsidR="00964B88" w:rsidRDefault="00964B88">
            <w:r>
              <w:rPr>
                <w:b/>
              </w:rPr>
              <w:t>Total financial assets</w:t>
            </w:r>
          </w:p>
        </w:tc>
        <w:tc>
          <w:tcPr>
            <w:tcW w:w="810" w:type="dxa"/>
            <w:tcBorders>
              <w:top w:val="single" w:sz="6" w:space="0" w:color="auto"/>
              <w:bottom w:val="single" w:sz="6" w:space="0" w:color="auto"/>
            </w:tcBorders>
          </w:tcPr>
          <w:p w14:paraId="00CDCDB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5 863</w:t>
            </w:r>
          </w:p>
        </w:tc>
        <w:tc>
          <w:tcPr>
            <w:tcW w:w="811" w:type="dxa"/>
            <w:tcBorders>
              <w:top w:val="single" w:sz="6" w:space="0" w:color="auto"/>
              <w:bottom w:val="single" w:sz="6" w:space="0" w:color="auto"/>
            </w:tcBorders>
          </w:tcPr>
          <w:p w14:paraId="7258A33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5 819</w:t>
            </w:r>
          </w:p>
        </w:tc>
        <w:tc>
          <w:tcPr>
            <w:tcW w:w="810" w:type="dxa"/>
            <w:tcBorders>
              <w:top w:val="single" w:sz="6" w:space="0" w:color="auto"/>
              <w:bottom w:val="single" w:sz="6" w:space="0" w:color="auto"/>
            </w:tcBorders>
          </w:tcPr>
          <w:p w14:paraId="4D7968D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4 265</w:t>
            </w:r>
          </w:p>
        </w:tc>
        <w:tc>
          <w:tcPr>
            <w:tcW w:w="811" w:type="dxa"/>
            <w:tcBorders>
              <w:top w:val="single" w:sz="6" w:space="0" w:color="auto"/>
              <w:bottom w:val="single" w:sz="6" w:space="0" w:color="auto"/>
            </w:tcBorders>
          </w:tcPr>
          <w:p w14:paraId="45B8D86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3 649</w:t>
            </w:r>
          </w:p>
        </w:tc>
        <w:tc>
          <w:tcPr>
            <w:tcW w:w="811" w:type="dxa"/>
            <w:tcBorders>
              <w:top w:val="single" w:sz="6" w:space="0" w:color="auto"/>
              <w:bottom w:val="single" w:sz="6" w:space="0" w:color="auto"/>
            </w:tcBorders>
          </w:tcPr>
          <w:p w14:paraId="5F52B36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3 868</w:t>
            </w:r>
          </w:p>
        </w:tc>
      </w:tr>
      <w:tr w:rsidR="00964B88" w14:paraId="39D8349E"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tcBorders>
          </w:tcPr>
          <w:p w14:paraId="0FD77DED" w14:textId="77777777" w:rsidR="00964B88" w:rsidRDefault="00964B88">
            <w:r>
              <w:rPr>
                <w:b/>
              </w:rPr>
              <w:t>Non</w:t>
            </w:r>
            <w:r>
              <w:rPr>
                <w:b/>
              </w:rPr>
              <w:noBreakHyphen/>
              <w:t>financial assets</w:t>
            </w:r>
          </w:p>
        </w:tc>
        <w:tc>
          <w:tcPr>
            <w:tcW w:w="810" w:type="dxa"/>
            <w:tcBorders>
              <w:top w:val="single" w:sz="6" w:space="0" w:color="auto"/>
            </w:tcBorders>
          </w:tcPr>
          <w:p w14:paraId="59069C6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6" w:space="0" w:color="auto"/>
            </w:tcBorders>
          </w:tcPr>
          <w:p w14:paraId="6DAA175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Borders>
              <w:top w:val="single" w:sz="6" w:space="0" w:color="auto"/>
            </w:tcBorders>
          </w:tcPr>
          <w:p w14:paraId="314D75B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6" w:space="0" w:color="auto"/>
            </w:tcBorders>
          </w:tcPr>
          <w:p w14:paraId="03A9A78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6" w:space="0" w:color="auto"/>
            </w:tcBorders>
          </w:tcPr>
          <w:p w14:paraId="1E8D9D4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258AE24"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36675A3B" w14:textId="77777777" w:rsidR="00964B88" w:rsidRDefault="00964B88">
            <w:r>
              <w:t>Inventories</w:t>
            </w:r>
          </w:p>
        </w:tc>
        <w:tc>
          <w:tcPr>
            <w:tcW w:w="810" w:type="dxa"/>
          </w:tcPr>
          <w:p w14:paraId="35FD5231" w14:textId="77777777" w:rsidR="00964B88" w:rsidRDefault="00964B88">
            <w:pPr>
              <w:cnfStyle w:val="000000000000" w:firstRow="0" w:lastRow="0" w:firstColumn="0" w:lastColumn="0" w:oddVBand="0" w:evenVBand="0" w:oddHBand="0" w:evenHBand="0" w:firstRowFirstColumn="0" w:firstRowLastColumn="0" w:lastRowFirstColumn="0" w:lastRowLastColumn="0"/>
            </w:pPr>
            <w:r>
              <w:t>1 003</w:t>
            </w:r>
          </w:p>
        </w:tc>
        <w:tc>
          <w:tcPr>
            <w:tcW w:w="811" w:type="dxa"/>
          </w:tcPr>
          <w:p w14:paraId="5246E396" w14:textId="77777777" w:rsidR="00964B88" w:rsidRDefault="00964B88">
            <w:pPr>
              <w:cnfStyle w:val="000000000000" w:firstRow="0" w:lastRow="0" w:firstColumn="0" w:lastColumn="0" w:oddVBand="0" w:evenVBand="0" w:oddHBand="0" w:evenHBand="0" w:firstRowFirstColumn="0" w:firstRowLastColumn="0" w:lastRowFirstColumn="0" w:lastRowLastColumn="0"/>
            </w:pPr>
            <w:r>
              <w:t>1 311</w:t>
            </w:r>
          </w:p>
        </w:tc>
        <w:tc>
          <w:tcPr>
            <w:tcW w:w="810" w:type="dxa"/>
          </w:tcPr>
          <w:p w14:paraId="0495DDC4" w14:textId="77777777" w:rsidR="00964B88" w:rsidRDefault="00964B88">
            <w:pPr>
              <w:cnfStyle w:val="000000000000" w:firstRow="0" w:lastRow="0" w:firstColumn="0" w:lastColumn="0" w:oddVBand="0" w:evenVBand="0" w:oddHBand="0" w:evenHBand="0" w:firstRowFirstColumn="0" w:firstRowLastColumn="0" w:lastRowFirstColumn="0" w:lastRowLastColumn="0"/>
            </w:pPr>
            <w:r>
              <w:t>1 200</w:t>
            </w:r>
          </w:p>
        </w:tc>
        <w:tc>
          <w:tcPr>
            <w:tcW w:w="811" w:type="dxa"/>
          </w:tcPr>
          <w:p w14:paraId="04696DBE" w14:textId="77777777" w:rsidR="00964B88" w:rsidRDefault="00964B88">
            <w:pPr>
              <w:cnfStyle w:val="000000000000" w:firstRow="0" w:lastRow="0" w:firstColumn="0" w:lastColumn="0" w:oddVBand="0" w:evenVBand="0" w:oddHBand="0" w:evenHBand="0" w:firstRowFirstColumn="0" w:firstRowLastColumn="0" w:lastRowFirstColumn="0" w:lastRowLastColumn="0"/>
            </w:pPr>
            <w:r>
              <w:t>1 462</w:t>
            </w:r>
          </w:p>
        </w:tc>
        <w:tc>
          <w:tcPr>
            <w:tcW w:w="811" w:type="dxa"/>
          </w:tcPr>
          <w:p w14:paraId="5BA3B4B7" w14:textId="77777777" w:rsidR="00964B88" w:rsidRDefault="00964B88">
            <w:pPr>
              <w:cnfStyle w:val="000000000000" w:firstRow="0" w:lastRow="0" w:firstColumn="0" w:lastColumn="0" w:oddVBand="0" w:evenVBand="0" w:oddHBand="0" w:evenHBand="0" w:firstRowFirstColumn="0" w:firstRowLastColumn="0" w:lastRowFirstColumn="0" w:lastRowLastColumn="0"/>
            </w:pPr>
            <w:r>
              <w:t>1 165</w:t>
            </w:r>
          </w:p>
        </w:tc>
      </w:tr>
      <w:tr w:rsidR="00964B88" w14:paraId="0877A14F"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0F1D76DE" w14:textId="77777777" w:rsidR="00964B88" w:rsidRDefault="00964B88">
            <w:r>
              <w:t>Non</w:t>
            </w:r>
            <w:r>
              <w:noBreakHyphen/>
              <w:t>financial assets held for sale</w:t>
            </w:r>
          </w:p>
        </w:tc>
        <w:tc>
          <w:tcPr>
            <w:tcW w:w="810" w:type="dxa"/>
          </w:tcPr>
          <w:p w14:paraId="7865E9AD" w14:textId="77777777" w:rsidR="00964B88" w:rsidRDefault="00964B88">
            <w:pPr>
              <w:cnfStyle w:val="000000000000" w:firstRow="0" w:lastRow="0" w:firstColumn="0" w:lastColumn="0" w:oddVBand="0" w:evenVBand="0" w:oddHBand="0" w:evenHBand="0" w:firstRowFirstColumn="0" w:firstRowLastColumn="0" w:lastRowFirstColumn="0" w:lastRowLastColumn="0"/>
            </w:pPr>
            <w:r>
              <w:t>82</w:t>
            </w:r>
          </w:p>
        </w:tc>
        <w:tc>
          <w:tcPr>
            <w:tcW w:w="811" w:type="dxa"/>
          </w:tcPr>
          <w:p w14:paraId="78C2998A" w14:textId="77777777" w:rsidR="00964B88" w:rsidRDefault="00964B88">
            <w:pPr>
              <w:cnfStyle w:val="000000000000" w:firstRow="0" w:lastRow="0" w:firstColumn="0" w:lastColumn="0" w:oddVBand="0" w:evenVBand="0" w:oddHBand="0" w:evenHBand="0" w:firstRowFirstColumn="0" w:firstRowLastColumn="0" w:lastRowFirstColumn="0" w:lastRowLastColumn="0"/>
            </w:pPr>
            <w:r>
              <w:t>38</w:t>
            </w:r>
          </w:p>
        </w:tc>
        <w:tc>
          <w:tcPr>
            <w:tcW w:w="810" w:type="dxa"/>
          </w:tcPr>
          <w:p w14:paraId="5C894189" w14:textId="77777777" w:rsidR="00964B88" w:rsidRDefault="00964B88">
            <w:pPr>
              <w:cnfStyle w:val="000000000000" w:firstRow="0" w:lastRow="0" w:firstColumn="0" w:lastColumn="0" w:oddVBand="0" w:evenVBand="0" w:oddHBand="0" w:evenHBand="0" w:firstRowFirstColumn="0" w:firstRowLastColumn="0" w:lastRowFirstColumn="0" w:lastRowLastColumn="0"/>
            </w:pPr>
            <w:r>
              <w:t>38</w:t>
            </w:r>
          </w:p>
        </w:tc>
        <w:tc>
          <w:tcPr>
            <w:tcW w:w="811" w:type="dxa"/>
          </w:tcPr>
          <w:p w14:paraId="18A40F18" w14:textId="77777777" w:rsidR="00964B88" w:rsidRDefault="00964B88">
            <w:pPr>
              <w:cnfStyle w:val="000000000000" w:firstRow="0" w:lastRow="0" w:firstColumn="0" w:lastColumn="0" w:oddVBand="0" w:evenVBand="0" w:oddHBand="0" w:evenHBand="0" w:firstRowFirstColumn="0" w:firstRowLastColumn="0" w:lastRowFirstColumn="0" w:lastRowLastColumn="0"/>
            </w:pPr>
            <w:r>
              <w:t>38</w:t>
            </w:r>
          </w:p>
        </w:tc>
        <w:tc>
          <w:tcPr>
            <w:tcW w:w="811" w:type="dxa"/>
          </w:tcPr>
          <w:p w14:paraId="68E3DBE4" w14:textId="77777777" w:rsidR="00964B88" w:rsidRDefault="00964B88">
            <w:pPr>
              <w:cnfStyle w:val="000000000000" w:firstRow="0" w:lastRow="0" w:firstColumn="0" w:lastColumn="0" w:oddVBand="0" w:evenVBand="0" w:oddHBand="0" w:evenHBand="0" w:firstRowFirstColumn="0" w:firstRowLastColumn="0" w:lastRowFirstColumn="0" w:lastRowLastColumn="0"/>
            </w:pPr>
            <w:r>
              <w:t>38</w:t>
            </w:r>
          </w:p>
        </w:tc>
      </w:tr>
      <w:tr w:rsidR="00964B88" w14:paraId="6B23AA96"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70740141" w14:textId="77777777" w:rsidR="00964B88" w:rsidRDefault="00964B88">
            <w:r>
              <w:t>Land, buildings, infrastructure, plant and equipment</w:t>
            </w:r>
          </w:p>
        </w:tc>
        <w:tc>
          <w:tcPr>
            <w:tcW w:w="810" w:type="dxa"/>
          </w:tcPr>
          <w:p w14:paraId="2D61053D" w14:textId="77777777" w:rsidR="00964B88" w:rsidRDefault="00964B88">
            <w:pPr>
              <w:cnfStyle w:val="000000000000" w:firstRow="0" w:lastRow="0" w:firstColumn="0" w:lastColumn="0" w:oddVBand="0" w:evenVBand="0" w:oddHBand="0" w:evenHBand="0" w:firstRowFirstColumn="0" w:firstRowLastColumn="0" w:lastRowFirstColumn="0" w:lastRowLastColumn="0"/>
            </w:pPr>
            <w:r>
              <w:t>136 695</w:t>
            </w:r>
          </w:p>
        </w:tc>
        <w:tc>
          <w:tcPr>
            <w:tcW w:w="811" w:type="dxa"/>
          </w:tcPr>
          <w:p w14:paraId="7E12BAEA" w14:textId="77777777" w:rsidR="00964B88" w:rsidRDefault="00964B88">
            <w:pPr>
              <w:cnfStyle w:val="000000000000" w:firstRow="0" w:lastRow="0" w:firstColumn="0" w:lastColumn="0" w:oddVBand="0" w:evenVBand="0" w:oddHBand="0" w:evenHBand="0" w:firstRowFirstColumn="0" w:firstRowLastColumn="0" w:lastRowFirstColumn="0" w:lastRowLastColumn="0"/>
            </w:pPr>
            <w:r>
              <w:t>136 060</w:t>
            </w:r>
          </w:p>
        </w:tc>
        <w:tc>
          <w:tcPr>
            <w:tcW w:w="810" w:type="dxa"/>
          </w:tcPr>
          <w:p w14:paraId="2F99A755" w14:textId="77777777" w:rsidR="00964B88" w:rsidRDefault="00964B88">
            <w:pPr>
              <w:cnfStyle w:val="000000000000" w:firstRow="0" w:lastRow="0" w:firstColumn="0" w:lastColumn="0" w:oddVBand="0" w:evenVBand="0" w:oddHBand="0" w:evenHBand="0" w:firstRowFirstColumn="0" w:firstRowLastColumn="0" w:lastRowFirstColumn="0" w:lastRowLastColumn="0"/>
            </w:pPr>
            <w:r>
              <w:t>142 514</w:t>
            </w:r>
          </w:p>
        </w:tc>
        <w:tc>
          <w:tcPr>
            <w:tcW w:w="811" w:type="dxa"/>
          </w:tcPr>
          <w:p w14:paraId="34B53954" w14:textId="77777777" w:rsidR="00964B88" w:rsidRDefault="00964B88">
            <w:pPr>
              <w:cnfStyle w:val="000000000000" w:firstRow="0" w:lastRow="0" w:firstColumn="0" w:lastColumn="0" w:oddVBand="0" w:evenVBand="0" w:oddHBand="0" w:evenHBand="0" w:firstRowFirstColumn="0" w:firstRowLastColumn="0" w:lastRowFirstColumn="0" w:lastRowLastColumn="0"/>
            </w:pPr>
            <w:r>
              <w:t>146 351</w:t>
            </w:r>
          </w:p>
        </w:tc>
        <w:tc>
          <w:tcPr>
            <w:tcW w:w="811" w:type="dxa"/>
          </w:tcPr>
          <w:p w14:paraId="27651000" w14:textId="77777777" w:rsidR="00964B88" w:rsidRDefault="00964B88">
            <w:pPr>
              <w:cnfStyle w:val="000000000000" w:firstRow="0" w:lastRow="0" w:firstColumn="0" w:lastColumn="0" w:oddVBand="0" w:evenVBand="0" w:oddHBand="0" w:evenHBand="0" w:firstRowFirstColumn="0" w:firstRowLastColumn="0" w:lastRowFirstColumn="0" w:lastRowLastColumn="0"/>
            </w:pPr>
            <w:r>
              <w:t>149 951</w:t>
            </w:r>
          </w:p>
        </w:tc>
      </w:tr>
      <w:tr w:rsidR="00964B88" w14:paraId="2CD449B6"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52542D7C" w14:textId="77777777" w:rsidR="00964B88" w:rsidRDefault="00964B88">
            <w:r>
              <w:t>Other non</w:t>
            </w:r>
            <w:r>
              <w:noBreakHyphen/>
              <w:t>financial assets</w:t>
            </w:r>
          </w:p>
        </w:tc>
        <w:tc>
          <w:tcPr>
            <w:tcW w:w="810" w:type="dxa"/>
            <w:tcBorders>
              <w:bottom w:val="single" w:sz="6" w:space="0" w:color="auto"/>
            </w:tcBorders>
          </w:tcPr>
          <w:p w14:paraId="0261C498" w14:textId="77777777" w:rsidR="00964B88" w:rsidRDefault="00964B88">
            <w:pPr>
              <w:cnfStyle w:val="000000000000" w:firstRow="0" w:lastRow="0" w:firstColumn="0" w:lastColumn="0" w:oddVBand="0" w:evenVBand="0" w:oddHBand="0" w:evenHBand="0" w:firstRowFirstColumn="0" w:firstRowLastColumn="0" w:lastRowFirstColumn="0" w:lastRowLastColumn="0"/>
            </w:pPr>
            <w:r>
              <w:t>1 329</w:t>
            </w:r>
          </w:p>
        </w:tc>
        <w:tc>
          <w:tcPr>
            <w:tcW w:w="811" w:type="dxa"/>
            <w:tcBorders>
              <w:bottom w:val="single" w:sz="6" w:space="0" w:color="auto"/>
            </w:tcBorders>
          </w:tcPr>
          <w:p w14:paraId="7BBFA6D3" w14:textId="77777777" w:rsidR="00964B88" w:rsidRDefault="00964B88">
            <w:pPr>
              <w:cnfStyle w:val="000000000000" w:firstRow="0" w:lastRow="0" w:firstColumn="0" w:lastColumn="0" w:oddVBand="0" w:evenVBand="0" w:oddHBand="0" w:evenHBand="0" w:firstRowFirstColumn="0" w:firstRowLastColumn="0" w:lastRowFirstColumn="0" w:lastRowLastColumn="0"/>
            </w:pPr>
            <w:r>
              <w:t>1 358</w:t>
            </w:r>
          </w:p>
        </w:tc>
        <w:tc>
          <w:tcPr>
            <w:tcW w:w="810" w:type="dxa"/>
            <w:tcBorders>
              <w:bottom w:val="single" w:sz="6" w:space="0" w:color="auto"/>
            </w:tcBorders>
          </w:tcPr>
          <w:p w14:paraId="026FE1EC" w14:textId="77777777" w:rsidR="00964B88" w:rsidRDefault="00964B88">
            <w:pPr>
              <w:cnfStyle w:val="000000000000" w:firstRow="0" w:lastRow="0" w:firstColumn="0" w:lastColumn="0" w:oddVBand="0" w:evenVBand="0" w:oddHBand="0" w:evenHBand="0" w:firstRowFirstColumn="0" w:firstRowLastColumn="0" w:lastRowFirstColumn="0" w:lastRowLastColumn="0"/>
            </w:pPr>
            <w:r>
              <w:t>1 355</w:t>
            </w:r>
          </w:p>
        </w:tc>
        <w:tc>
          <w:tcPr>
            <w:tcW w:w="811" w:type="dxa"/>
            <w:tcBorders>
              <w:bottom w:val="single" w:sz="6" w:space="0" w:color="auto"/>
            </w:tcBorders>
          </w:tcPr>
          <w:p w14:paraId="193AC91E" w14:textId="77777777" w:rsidR="00964B88" w:rsidRDefault="00964B88">
            <w:pPr>
              <w:cnfStyle w:val="000000000000" w:firstRow="0" w:lastRow="0" w:firstColumn="0" w:lastColumn="0" w:oddVBand="0" w:evenVBand="0" w:oddHBand="0" w:evenHBand="0" w:firstRowFirstColumn="0" w:firstRowLastColumn="0" w:lastRowFirstColumn="0" w:lastRowLastColumn="0"/>
            </w:pPr>
            <w:r>
              <w:t>1 342</w:t>
            </w:r>
          </w:p>
        </w:tc>
        <w:tc>
          <w:tcPr>
            <w:tcW w:w="811" w:type="dxa"/>
            <w:tcBorders>
              <w:bottom w:val="single" w:sz="6" w:space="0" w:color="auto"/>
            </w:tcBorders>
          </w:tcPr>
          <w:p w14:paraId="7F424815" w14:textId="77777777" w:rsidR="00964B88" w:rsidRDefault="00964B88">
            <w:pPr>
              <w:cnfStyle w:val="000000000000" w:firstRow="0" w:lastRow="0" w:firstColumn="0" w:lastColumn="0" w:oddVBand="0" w:evenVBand="0" w:oddHBand="0" w:evenHBand="0" w:firstRowFirstColumn="0" w:firstRowLastColumn="0" w:lastRowFirstColumn="0" w:lastRowLastColumn="0"/>
            </w:pPr>
            <w:r>
              <w:t>1 320</w:t>
            </w:r>
          </w:p>
        </w:tc>
      </w:tr>
      <w:tr w:rsidR="00964B88" w14:paraId="74A90B46"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671C9D29" w14:textId="77777777" w:rsidR="00964B88" w:rsidRDefault="00964B88">
            <w:r>
              <w:rPr>
                <w:b/>
              </w:rPr>
              <w:t>Total non</w:t>
            </w:r>
            <w:r>
              <w:rPr>
                <w:b/>
              </w:rPr>
              <w:noBreakHyphen/>
              <w:t>financial assets</w:t>
            </w:r>
          </w:p>
        </w:tc>
        <w:tc>
          <w:tcPr>
            <w:tcW w:w="810" w:type="dxa"/>
            <w:tcBorders>
              <w:top w:val="single" w:sz="6" w:space="0" w:color="auto"/>
              <w:bottom w:val="single" w:sz="6" w:space="0" w:color="auto"/>
            </w:tcBorders>
          </w:tcPr>
          <w:p w14:paraId="4FC62A2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139 108</w:t>
            </w:r>
          </w:p>
        </w:tc>
        <w:tc>
          <w:tcPr>
            <w:tcW w:w="811" w:type="dxa"/>
            <w:tcBorders>
              <w:top w:val="single" w:sz="6" w:space="0" w:color="auto"/>
              <w:bottom w:val="single" w:sz="6" w:space="0" w:color="auto"/>
            </w:tcBorders>
          </w:tcPr>
          <w:p w14:paraId="004AED9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138 767</w:t>
            </w:r>
          </w:p>
        </w:tc>
        <w:tc>
          <w:tcPr>
            <w:tcW w:w="810" w:type="dxa"/>
            <w:tcBorders>
              <w:top w:val="single" w:sz="6" w:space="0" w:color="auto"/>
              <w:bottom w:val="single" w:sz="6" w:space="0" w:color="auto"/>
            </w:tcBorders>
          </w:tcPr>
          <w:p w14:paraId="558A474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145 107</w:t>
            </w:r>
          </w:p>
        </w:tc>
        <w:tc>
          <w:tcPr>
            <w:tcW w:w="811" w:type="dxa"/>
            <w:tcBorders>
              <w:top w:val="single" w:sz="6" w:space="0" w:color="auto"/>
              <w:bottom w:val="single" w:sz="6" w:space="0" w:color="auto"/>
            </w:tcBorders>
          </w:tcPr>
          <w:p w14:paraId="34DE0F5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149 192</w:t>
            </w:r>
          </w:p>
        </w:tc>
        <w:tc>
          <w:tcPr>
            <w:tcW w:w="811" w:type="dxa"/>
            <w:tcBorders>
              <w:top w:val="single" w:sz="6" w:space="0" w:color="auto"/>
              <w:bottom w:val="single" w:sz="6" w:space="0" w:color="auto"/>
            </w:tcBorders>
          </w:tcPr>
          <w:p w14:paraId="45FF77F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152 475</w:t>
            </w:r>
          </w:p>
        </w:tc>
      </w:tr>
      <w:tr w:rsidR="00964B88" w14:paraId="4A6791C0"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tcBorders>
          </w:tcPr>
          <w:p w14:paraId="14227B83" w14:textId="77777777" w:rsidR="00964B88" w:rsidRDefault="00964B88">
            <w:r>
              <w:rPr>
                <w:b/>
              </w:rPr>
              <w:t>Total assets</w:t>
            </w:r>
          </w:p>
        </w:tc>
        <w:tc>
          <w:tcPr>
            <w:tcW w:w="810" w:type="dxa"/>
            <w:tcBorders>
              <w:top w:val="single" w:sz="6" w:space="0" w:color="auto"/>
            </w:tcBorders>
          </w:tcPr>
          <w:p w14:paraId="09E9067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144 971</w:t>
            </w:r>
          </w:p>
        </w:tc>
        <w:tc>
          <w:tcPr>
            <w:tcW w:w="811" w:type="dxa"/>
            <w:tcBorders>
              <w:top w:val="single" w:sz="6" w:space="0" w:color="auto"/>
            </w:tcBorders>
          </w:tcPr>
          <w:p w14:paraId="4BA9CDB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144 586</w:t>
            </w:r>
          </w:p>
        </w:tc>
        <w:tc>
          <w:tcPr>
            <w:tcW w:w="810" w:type="dxa"/>
            <w:tcBorders>
              <w:top w:val="single" w:sz="6" w:space="0" w:color="auto"/>
            </w:tcBorders>
          </w:tcPr>
          <w:p w14:paraId="4C4587B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149 372</w:t>
            </w:r>
          </w:p>
        </w:tc>
        <w:tc>
          <w:tcPr>
            <w:tcW w:w="811" w:type="dxa"/>
            <w:tcBorders>
              <w:top w:val="single" w:sz="6" w:space="0" w:color="auto"/>
            </w:tcBorders>
          </w:tcPr>
          <w:p w14:paraId="22749E6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152 841</w:t>
            </w:r>
          </w:p>
        </w:tc>
        <w:tc>
          <w:tcPr>
            <w:tcW w:w="811" w:type="dxa"/>
            <w:tcBorders>
              <w:top w:val="single" w:sz="6" w:space="0" w:color="auto"/>
            </w:tcBorders>
          </w:tcPr>
          <w:p w14:paraId="6EEE636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156 343</w:t>
            </w:r>
          </w:p>
        </w:tc>
      </w:tr>
      <w:tr w:rsidR="00964B88" w14:paraId="5C634D78"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024F4301" w14:textId="77777777" w:rsidR="00964B88" w:rsidRDefault="00964B88">
            <w:r>
              <w:rPr>
                <w:b/>
              </w:rPr>
              <w:t>Liabilities</w:t>
            </w:r>
          </w:p>
        </w:tc>
        <w:tc>
          <w:tcPr>
            <w:tcW w:w="810" w:type="dxa"/>
          </w:tcPr>
          <w:p w14:paraId="35CA1F1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2617386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63DCAF9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2449600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2DF6493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4A88338"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689FDEEA" w14:textId="77777777" w:rsidR="00964B88" w:rsidRDefault="00964B88">
            <w:r>
              <w:t>Deposits held and advances received</w:t>
            </w:r>
          </w:p>
        </w:tc>
        <w:tc>
          <w:tcPr>
            <w:tcW w:w="810" w:type="dxa"/>
          </w:tcPr>
          <w:p w14:paraId="5837AD8B" w14:textId="77777777" w:rsidR="00964B88" w:rsidRDefault="00964B88">
            <w:pPr>
              <w:cnfStyle w:val="000000000000" w:firstRow="0" w:lastRow="0" w:firstColumn="0" w:lastColumn="0" w:oddVBand="0" w:evenVBand="0" w:oddHBand="0" w:evenHBand="0" w:firstRowFirstColumn="0" w:firstRowLastColumn="0" w:lastRowFirstColumn="0" w:lastRowLastColumn="0"/>
            </w:pPr>
            <w:r>
              <w:t>2 512</w:t>
            </w:r>
          </w:p>
        </w:tc>
        <w:tc>
          <w:tcPr>
            <w:tcW w:w="811" w:type="dxa"/>
          </w:tcPr>
          <w:p w14:paraId="6B0994F8" w14:textId="77777777" w:rsidR="00964B88" w:rsidRDefault="00964B88">
            <w:pPr>
              <w:cnfStyle w:val="000000000000" w:firstRow="0" w:lastRow="0" w:firstColumn="0" w:lastColumn="0" w:oddVBand="0" w:evenVBand="0" w:oddHBand="0" w:evenHBand="0" w:firstRowFirstColumn="0" w:firstRowLastColumn="0" w:lastRowFirstColumn="0" w:lastRowLastColumn="0"/>
            </w:pPr>
            <w:r>
              <w:t>2 584</w:t>
            </w:r>
          </w:p>
        </w:tc>
        <w:tc>
          <w:tcPr>
            <w:tcW w:w="810" w:type="dxa"/>
          </w:tcPr>
          <w:p w14:paraId="69A4E860" w14:textId="77777777" w:rsidR="00964B88" w:rsidRDefault="00964B88">
            <w:pPr>
              <w:cnfStyle w:val="000000000000" w:firstRow="0" w:lastRow="0" w:firstColumn="0" w:lastColumn="0" w:oddVBand="0" w:evenVBand="0" w:oddHBand="0" w:evenHBand="0" w:firstRowFirstColumn="0" w:firstRowLastColumn="0" w:lastRowFirstColumn="0" w:lastRowLastColumn="0"/>
            </w:pPr>
            <w:r>
              <w:t>1 306</w:t>
            </w:r>
          </w:p>
        </w:tc>
        <w:tc>
          <w:tcPr>
            <w:tcW w:w="811" w:type="dxa"/>
          </w:tcPr>
          <w:p w14:paraId="7673957F" w14:textId="77777777" w:rsidR="00964B88" w:rsidRDefault="00964B88">
            <w:pPr>
              <w:cnfStyle w:val="000000000000" w:firstRow="0" w:lastRow="0" w:firstColumn="0" w:lastColumn="0" w:oddVBand="0" w:evenVBand="0" w:oddHBand="0" w:evenHBand="0" w:firstRowFirstColumn="0" w:firstRowLastColumn="0" w:lastRowFirstColumn="0" w:lastRowLastColumn="0"/>
            </w:pPr>
            <w:r>
              <w:t>744</w:t>
            </w:r>
          </w:p>
        </w:tc>
        <w:tc>
          <w:tcPr>
            <w:tcW w:w="811" w:type="dxa"/>
          </w:tcPr>
          <w:p w14:paraId="4B3B152F" w14:textId="77777777" w:rsidR="00964B88" w:rsidRDefault="00964B88">
            <w:pPr>
              <w:cnfStyle w:val="000000000000" w:firstRow="0" w:lastRow="0" w:firstColumn="0" w:lastColumn="0" w:oddVBand="0" w:evenVBand="0" w:oddHBand="0" w:evenHBand="0" w:firstRowFirstColumn="0" w:firstRowLastColumn="0" w:lastRowFirstColumn="0" w:lastRowLastColumn="0"/>
            </w:pPr>
            <w:r>
              <w:t>881</w:t>
            </w:r>
          </w:p>
        </w:tc>
      </w:tr>
      <w:tr w:rsidR="00964B88" w14:paraId="0DE20E5F"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3FBEB856" w14:textId="77777777" w:rsidR="00964B88" w:rsidRDefault="00964B88">
            <w:r>
              <w:t>Payables</w:t>
            </w:r>
          </w:p>
        </w:tc>
        <w:tc>
          <w:tcPr>
            <w:tcW w:w="810" w:type="dxa"/>
          </w:tcPr>
          <w:p w14:paraId="12B28F8A" w14:textId="77777777" w:rsidR="00964B88" w:rsidRDefault="00964B88">
            <w:pPr>
              <w:cnfStyle w:val="000000000000" w:firstRow="0" w:lastRow="0" w:firstColumn="0" w:lastColumn="0" w:oddVBand="0" w:evenVBand="0" w:oddHBand="0" w:evenHBand="0" w:firstRowFirstColumn="0" w:firstRowLastColumn="0" w:lastRowFirstColumn="0" w:lastRowLastColumn="0"/>
            </w:pPr>
            <w:r>
              <w:t>10 043</w:t>
            </w:r>
          </w:p>
        </w:tc>
        <w:tc>
          <w:tcPr>
            <w:tcW w:w="811" w:type="dxa"/>
          </w:tcPr>
          <w:p w14:paraId="673961DE" w14:textId="77777777" w:rsidR="00964B88" w:rsidRDefault="00964B88">
            <w:pPr>
              <w:cnfStyle w:val="000000000000" w:firstRow="0" w:lastRow="0" w:firstColumn="0" w:lastColumn="0" w:oddVBand="0" w:evenVBand="0" w:oddHBand="0" w:evenHBand="0" w:firstRowFirstColumn="0" w:firstRowLastColumn="0" w:lastRowFirstColumn="0" w:lastRowLastColumn="0"/>
            </w:pPr>
            <w:r>
              <w:t>9 953</w:t>
            </w:r>
          </w:p>
        </w:tc>
        <w:tc>
          <w:tcPr>
            <w:tcW w:w="810" w:type="dxa"/>
          </w:tcPr>
          <w:p w14:paraId="1F6C7F75" w14:textId="77777777" w:rsidR="00964B88" w:rsidRDefault="00964B88">
            <w:pPr>
              <w:cnfStyle w:val="000000000000" w:firstRow="0" w:lastRow="0" w:firstColumn="0" w:lastColumn="0" w:oddVBand="0" w:evenVBand="0" w:oddHBand="0" w:evenHBand="0" w:firstRowFirstColumn="0" w:firstRowLastColumn="0" w:lastRowFirstColumn="0" w:lastRowLastColumn="0"/>
            </w:pPr>
            <w:r>
              <w:t>9 717</w:t>
            </w:r>
          </w:p>
        </w:tc>
        <w:tc>
          <w:tcPr>
            <w:tcW w:w="811" w:type="dxa"/>
          </w:tcPr>
          <w:p w14:paraId="20625E02" w14:textId="77777777" w:rsidR="00964B88" w:rsidRDefault="00964B88">
            <w:pPr>
              <w:cnfStyle w:val="000000000000" w:firstRow="0" w:lastRow="0" w:firstColumn="0" w:lastColumn="0" w:oddVBand="0" w:evenVBand="0" w:oddHBand="0" w:evenHBand="0" w:firstRowFirstColumn="0" w:firstRowLastColumn="0" w:lastRowFirstColumn="0" w:lastRowLastColumn="0"/>
            </w:pPr>
            <w:r>
              <w:t>9 586</w:t>
            </w:r>
          </w:p>
        </w:tc>
        <w:tc>
          <w:tcPr>
            <w:tcW w:w="811" w:type="dxa"/>
          </w:tcPr>
          <w:p w14:paraId="78BD3689" w14:textId="77777777" w:rsidR="00964B88" w:rsidRDefault="00964B88">
            <w:pPr>
              <w:cnfStyle w:val="000000000000" w:firstRow="0" w:lastRow="0" w:firstColumn="0" w:lastColumn="0" w:oddVBand="0" w:evenVBand="0" w:oddHBand="0" w:evenHBand="0" w:firstRowFirstColumn="0" w:firstRowLastColumn="0" w:lastRowFirstColumn="0" w:lastRowLastColumn="0"/>
            </w:pPr>
            <w:r>
              <w:t>9 452</w:t>
            </w:r>
          </w:p>
        </w:tc>
      </w:tr>
      <w:tr w:rsidR="00964B88" w14:paraId="486B5B0E"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344E1BDE" w14:textId="77777777" w:rsidR="00964B88" w:rsidRDefault="00964B88">
            <w:r>
              <w:t>Borrowings</w:t>
            </w:r>
          </w:p>
        </w:tc>
        <w:tc>
          <w:tcPr>
            <w:tcW w:w="810" w:type="dxa"/>
          </w:tcPr>
          <w:p w14:paraId="338FE6D2" w14:textId="77777777" w:rsidR="00964B88" w:rsidRDefault="00964B88">
            <w:pPr>
              <w:cnfStyle w:val="000000000000" w:firstRow="0" w:lastRow="0" w:firstColumn="0" w:lastColumn="0" w:oddVBand="0" w:evenVBand="0" w:oddHBand="0" w:evenHBand="0" w:firstRowFirstColumn="0" w:firstRowLastColumn="0" w:lastRowFirstColumn="0" w:lastRowLastColumn="0"/>
            </w:pPr>
            <w:r>
              <w:t>17 880</w:t>
            </w:r>
          </w:p>
        </w:tc>
        <w:tc>
          <w:tcPr>
            <w:tcW w:w="811" w:type="dxa"/>
          </w:tcPr>
          <w:p w14:paraId="3296D198" w14:textId="77777777" w:rsidR="00964B88" w:rsidRDefault="00964B88">
            <w:pPr>
              <w:cnfStyle w:val="000000000000" w:firstRow="0" w:lastRow="0" w:firstColumn="0" w:lastColumn="0" w:oddVBand="0" w:evenVBand="0" w:oddHBand="0" w:evenHBand="0" w:firstRowFirstColumn="0" w:firstRowLastColumn="0" w:lastRowFirstColumn="0" w:lastRowLastColumn="0"/>
            </w:pPr>
            <w:r>
              <w:t>18 203</w:t>
            </w:r>
          </w:p>
        </w:tc>
        <w:tc>
          <w:tcPr>
            <w:tcW w:w="810" w:type="dxa"/>
          </w:tcPr>
          <w:p w14:paraId="5EF37CBF" w14:textId="77777777" w:rsidR="00964B88" w:rsidRDefault="00964B88">
            <w:pPr>
              <w:cnfStyle w:val="000000000000" w:firstRow="0" w:lastRow="0" w:firstColumn="0" w:lastColumn="0" w:oddVBand="0" w:evenVBand="0" w:oddHBand="0" w:evenHBand="0" w:firstRowFirstColumn="0" w:firstRowLastColumn="0" w:lastRowFirstColumn="0" w:lastRowLastColumn="0"/>
            </w:pPr>
            <w:r>
              <w:t>18 914</w:t>
            </w:r>
          </w:p>
        </w:tc>
        <w:tc>
          <w:tcPr>
            <w:tcW w:w="811" w:type="dxa"/>
          </w:tcPr>
          <w:p w14:paraId="3E05A4FF" w14:textId="77777777" w:rsidR="00964B88" w:rsidRDefault="00964B88">
            <w:pPr>
              <w:cnfStyle w:val="000000000000" w:firstRow="0" w:lastRow="0" w:firstColumn="0" w:lastColumn="0" w:oddVBand="0" w:evenVBand="0" w:oddHBand="0" w:evenHBand="0" w:firstRowFirstColumn="0" w:firstRowLastColumn="0" w:lastRowFirstColumn="0" w:lastRowLastColumn="0"/>
            </w:pPr>
            <w:r>
              <w:t>19 858</w:t>
            </w:r>
          </w:p>
        </w:tc>
        <w:tc>
          <w:tcPr>
            <w:tcW w:w="811" w:type="dxa"/>
          </w:tcPr>
          <w:p w14:paraId="79979CE8" w14:textId="77777777" w:rsidR="00964B88" w:rsidRDefault="00964B88">
            <w:pPr>
              <w:cnfStyle w:val="000000000000" w:firstRow="0" w:lastRow="0" w:firstColumn="0" w:lastColumn="0" w:oddVBand="0" w:evenVBand="0" w:oddHBand="0" w:evenHBand="0" w:firstRowFirstColumn="0" w:firstRowLastColumn="0" w:lastRowFirstColumn="0" w:lastRowLastColumn="0"/>
            </w:pPr>
            <w:r>
              <w:t>20 047</w:t>
            </w:r>
          </w:p>
        </w:tc>
      </w:tr>
      <w:tr w:rsidR="00964B88" w14:paraId="08950F82"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5990FBC8" w14:textId="77777777" w:rsidR="00964B88" w:rsidRDefault="00964B88">
            <w:r>
              <w:t>Employee benefits</w:t>
            </w:r>
          </w:p>
        </w:tc>
        <w:tc>
          <w:tcPr>
            <w:tcW w:w="810" w:type="dxa"/>
          </w:tcPr>
          <w:p w14:paraId="2A17FD60" w14:textId="77777777" w:rsidR="00964B88" w:rsidRDefault="00964B88">
            <w:pPr>
              <w:cnfStyle w:val="000000000000" w:firstRow="0" w:lastRow="0" w:firstColumn="0" w:lastColumn="0" w:oddVBand="0" w:evenVBand="0" w:oddHBand="0" w:evenHBand="0" w:firstRowFirstColumn="0" w:firstRowLastColumn="0" w:lastRowFirstColumn="0" w:lastRowLastColumn="0"/>
            </w:pPr>
            <w:r>
              <w:t>478</w:t>
            </w:r>
          </w:p>
        </w:tc>
        <w:tc>
          <w:tcPr>
            <w:tcW w:w="811" w:type="dxa"/>
          </w:tcPr>
          <w:p w14:paraId="75601DEB" w14:textId="77777777" w:rsidR="00964B88" w:rsidRDefault="00964B88">
            <w:pPr>
              <w:cnfStyle w:val="000000000000" w:firstRow="0" w:lastRow="0" w:firstColumn="0" w:lastColumn="0" w:oddVBand="0" w:evenVBand="0" w:oddHBand="0" w:evenHBand="0" w:firstRowFirstColumn="0" w:firstRowLastColumn="0" w:lastRowFirstColumn="0" w:lastRowLastColumn="0"/>
            </w:pPr>
            <w:r>
              <w:t>461</w:t>
            </w:r>
          </w:p>
        </w:tc>
        <w:tc>
          <w:tcPr>
            <w:tcW w:w="810" w:type="dxa"/>
          </w:tcPr>
          <w:p w14:paraId="0368BC9B" w14:textId="77777777" w:rsidR="00964B88" w:rsidRDefault="00964B88">
            <w:pPr>
              <w:cnfStyle w:val="000000000000" w:firstRow="0" w:lastRow="0" w:firstColumn="0" w:lastColumn="0" w:oddVBand="0" w:evenVBand="0" w:oddHBand="0" w:evenHBand="0" w:firstRowFirstColumn="0" w:firstRowLastColumn="0" w:lastRowFirstColumn="0" w:lastRowLastColumn="0"/>
            </w:pPr>
            <w:r>
              <w:t>464</w:t>
            </w:r>
          </w:p>
        </w:tc>
        <w:tc>
          <w:tcPr>
            <w:tcW w:w="811" w:type="dxa"/>
          </w:tcPr>
          <w:p w14:paraId="64184014" w14:textId="77777777" w:rsidR="00964B88" w:rsidRDefault="00964B88">
            <w:pPr>
              <w:cnfStyle w:val="000000000000" w:firstRow="0" w:lastRow="0" w:firstColumn="0" w:lastColumn="0" w:oddVBand="0" w:evenVBand="0" w:oddHBand="0" w:evenHBand="0" w:firstRowFirstColumn="0" w:firstRowLastColumn="0" w:lastRowFirstColumn="0" w:lastRowLastColumn="0"/>
            </w:pPr>
            <w:r>
              <w:t>470</w:t>
            </w:r>
          </w:p>
        </w:tc>
        <w:tc>
          <w:tcPr>
            <w:tcW w:w="811" w:type="dxa"/>
          </w:tcPr>
          <w:p w14:paraId="115F1AD5" w14:textId="77777777" w:rsidR="00964B88" w:rsidRDefault="00964B88">
            <w:pPr>
              <w:cnfStyle w:val="000000000000" w:firstRow="0" w:lastRow="0" w:firstColumn="0" w:lastColumn="0" w:oddVBand="0" w:evenVBand="0" w:oddHBand="0" w:evenHBand="0" w:firstRowFirstColumn="0" w:firstRowLastColumn="0" w:lastRowFirstColumn="0" w:lastRowLastColumn="0"/>
            </w:pPr>
            <w:r>
              <w:t>474</w:t>
            </w:r>
          </w:p>
        </w:tc>
      </w:tr>
      <w:tr w:rsidR="00964B88" w14:paraId="47C3FBC1"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5980B58F" w14:textId="77777777" w:rsidR="00964B88" w:rsidRDefault="00964B88">
            <w:r>
              <w:t>Superannuation</w:t>
            </w:r>
          </w:p>
        </w:tc>
        <w:tc>
          <w:tcPr>
            <w:tcW w:w="810" w:type="dxa"/>
          </w:tcPr>
          <w:p w14:paraId="39C205CB" w14:textId="77777777" w:rsidR="00964B88" w:rsidRDefault="00964B88">
            <w:pPr>
              <w:cnfStyle w:val="000000000000" w:firstRow="0" w:lastRow="0" w:firstColumn="0" w:lastColumn="0" w:oddVBand="0" w:evenVBand="0" w:oddHBand="0" w:evenHBand="0" w:firstRowFirstColumn="0" w:firstRowLastColumn="0" w:lastRowFirstColumn="0" w:lastRowLastColumn="0"/>
            </w:pPr>
            <w:r>
              <w:t>51</w:t>
            </w:r>
          </w:p>
        </w:tc>
        <w:tc>
          <w:tcPr>
            <w:tcW w:w="811" w:type="dxa"/>
          </w:tcPr>
          <w:p w14:paraId="6365043A" w14:textId="77777777" w:rsidR="00964B88" w:rsidRDefault="00964B88">
            <w:pPr>
              <w:cnfStyle w:val="000000000000" w:firstRow="0" w:lastRow="0" w:firstColumn="0" w:lastColumn="0" w:oddVBand="0" w:evenVBand="0" w:oddHBand="0" w:evenHBand="0" w:firstRowFirstColumn="0" w:firstRowLastColumn="0" w:lastRowFirstColumn="0" w:lastRowLastColumn="0"/>
            </w:pPr>
            <w:r>
              <w:t>50</w:t>
            </w:r>
          </w:p>
        </w:tc>
        <w:tc>
          <w:tcPr>
            <w:tcW w:w="810" w:type="dxa"/>
          </w:tcPr>
          <w:p w14:paraId="356009DA" w14:textId="77777777" w:rsidR="00964B88" w:rsidRDefault="00964B88">
            <w:pPr>
              <w:cnfStyle w:val="000000000000" w:firstRow="0" w:lastRow="0" w:firstColumn="0" w:lastColumn="0" w:oddVBand="0" w:evenVBand="0" w:oddHBand="0" w:evenHBand="0" w:firstRowFirstColumn="0" w:firstRowLastColumn="0" w:lastRowFirstColumn="0" w:lastRowLastColumn="0"/>
            </w:pPr>
            <w:r>
              <w:t>50</w:t>
            </w:r>
          </w:p>
        </w:tc>
        <w:tc>
          <w:tcPr>
            <w:tcW w:w="811" w:type="dxa"/>
          </w:tcPr>
          <w:p w14:paraId="4066AF6F" w14:textId="77777777" w:rsidR="00964B88" w:rsidRDefault="00964B88">
            <w:pPr>
              <w:cnfStyle w:val="000000000000" w:firstRow="0" w:lastRow="0" w:firstColumn="0" w:lastColumn="0" w:oddVBand="0" w:evenVBand="0" w:oddHBand="0" w:evenHBand="0" w:firstRowFirstColumn="0" w:firstRowLastColumn="0" w:lastRowFirstColumn="0" w:lastRowLastColumn="0"/>
            </w:pPr>
            <w:r>
              <w:t>50</w:t>
            </w:r>
          </w:p>
        </w:tc>
        <w:tc>
          <w:tcPr>
            <w:tcW w:w="811" w:type="dxa"/>
          </w:tcPr>
          <w:p w14:paraId="3E651ADA" w14:textId="77777777" w:rsidR="00964B88" w:rsidRDefault="00964B88">
            <w:pPr>
              <w:cnfStyle w:val="000000000000" w:firstRow="0" w:lastRow="0" w:firstColumn="0" w:lastColumn="0" w:oddVBand="0" w:evenVBand="0" w:oddHBand="0" w:evenHBand="0" w:firstRowFirstColumn="0" w:firstRowLastColumn="0" w:lastRowFirstColumn="0" w:lastRowLastColumn="0"/>
            </w:pPr>
            <w:r>
              <w:t>50</w:t>
            </w:r>
          </w:p>
        </w:tc>
      </w:tr>
      <w:tr w:rsidR="00964B88" w14:paraId="27ECD63F"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449DFDCB" w14:textId="77777777" w:rsidR="00964B88" w:rsidRDefault="00964B88">
            <w:r>
              <w:t>Other provisions</w:t>
            </w:r>
          </w:p>
        </w:tc>
        <w:tc>
          <w:tcPr>
            <w:tcW w:w="810" w:type="dxa"/>
            <w:tcBorders>
              <w:bottom w:val="single" w:sz="6" w:space="0" w:color="auto"/>
            </w:tcBorders>
          </w:tcPr>
          <w:p w14:paraId="7C1E370C" w14:textId="77777777" w:rsidR="00964B88" w:rsidRDefault="00964B88">
            <w:pPr>
              <w:cnfStyle w:val="000000000000" w:firstRow="0" w:lastRow="0" w:firstColumn="0" w:lastColumn="0" w:oddVBand="0" w:evenVBand="0" w:oddHBand="0" w:evenHBand="0" w:firstRowFirstColumn="0" w:firstRowLastColumn="0" w:lastRowFirstColumn="0" w:lastRowLastColumn="0"/>
            </w:pPr>
            <w:r>
              <w:t>7 797</w:t>
            </w:r>
          </w:p>
        </w:tc>
        <w:tc>
          <w:tcPr>
            <w:tcW w:w="811" w:type="dxa"/>
            <w:tcBorders>
              <w:bottom w:val="single" w:sz="6" w:space="0" w:color="auto"/>
            </w:tcBorders>
          </w:tcPr>
          <w:p w14:paraId="2E32D38D" w14:textId="77777777" w:rsidR="00964B88" w:rsidRDefault="00964B88">
            <w:pPr>
              <w:cnfStyle w:val="000000000000" w:firstRow="0" w:lastRow="0" w:firstColumn="0" w:lastColumn="0" w:oddVBand="0" w:evenVBand="0" w:oddHBand="0" w:evenHBand="0" w:firstRowFirstColumn="0" w:firstRowLastColumn="0" w:lastRowFirstColumn="0" w:lastRowLastColumn="0"/>
            </w:pPr>
            <w:r>
              <w:t>8 161</w:t>
            </w:r>
          </w:p>
        </w:tc>
        <w:tc>
          <w:tcPr>
            <w:tcW w:w="810" w:type="dxa"/>
            <w:tcBorders>
              <w:bottom w:val="single" w:sz="6" w:space="0" w:color="auto"/>
            </w:tcBorders>
          </w:tcPr>
          <w:p w14:paraId="6EEA9C5D" w14:textId="77777777" w:rsidR="00964B88" w:rsidRDefault="00964B88">
            <w:pPr>
              <w:cnfStyle w:val="000000000000" w:firstRow="0" w:lastRow="0" w:firstColumn="0" w:lastColumn="0" w:oddVBand="0" w:evenVBand="0" w:oddHBand="0" w:evenHBand="0" w:firstRowFirstColumn="0" w:firstRowLastColumn="0" w:lastRowFirstColumn="0" w:lastRowLastColumn="0"/>
            </w:pPr>
            <w:r>
              <w:t>8 202</w:t>
            </w:r>
          </w:p>
        </w:tc>
        <w:tc>
          <w:tcPr>
            <w:tcW w:w="811" w:type="dxa"/>
            <w:tcBorders>
              <w:bottom w:val="single" w:sz="6" w:space="0" w:color="auto"/>
            </w:tcBorders>
          </w:tcPr>
          <w:p w14:paraId="397D9B50" w14:textId="77777777" w:rsidR="00964B88" w:rsidRDefault="00964B88">
            <w:pPr>
              <w:cnfStyle w:val="000000000000" w:firstRow="0" w:lastRow="0" w:firstColumn="0" w:lastColumn="0" w:oddVBand="0" w:evenVBand="0" w:oddHBand="0" w:evenHBand="0" w:firstRowFirstColumn="0" w:firstRowLastColumn="0" w:lastRowFirstColumn="0" w:lastRowLastColumn="0"/>
            </w:pPr>
            <w:r>
              <w:t>7 829</w:t>
            </w:r>
          </w:p>
        </w:tc>
        <w:tc>
          <w:tcPr>
            <w:tcW w:w="811" w:type="dxa"/>
            <w:tcBorders>
              <w:bottom w:val="single" w:sz="6" w:space="0" w:color="auto"/>
            </w:tcBorders>
          </w:tcPr>
          <w:p w14:paraId="22BC2BE6" w14:textId="77777777" w:rsidR="00964B88" w:rsidRDefault="00964B88">
            <w:pPr>
              <w:cnfStyle w:val="000000000000" w:firstRow="0" w:lastRow="0" w:firstColumn="0" w:lastColumn="0" w:oddVBand="0" w:evenVBand="0" w:oddHBand="0" w:evenHBand="0" w:firstRowFirstColumn="0" w:firstRowLastColumn="0" w:lastRowFirstColumn="0" w:lastRowLastColumn="0"/>
            </w:pPr>
            <w:r>
              <w:t>7 484</w:t>
            </w:r>
          </w:p>
        </w:tc>
      </w:tr>
      <w:tr w:rsidR="00964B88" w14:paraId="49B05287"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43E3F180" w14:textId="77777777" w:rsidR="00964B88" w:rsidRDefault="00964B88">
            <w:r>
              <w:rPr>
                <w:b/>
              </w:rPr>
              <w:t>Total liabilities</w:t>
            </w:r>
          </w:p>
        </w:tc>
        <w:tc>
          <w:tcPr>
            <w:tcW w:w="810" w:type="dxa"/>
            <w:tcBorders>
              <w:top w:val="single" w:sz="6" w:space="0" w:color="auto"/>
              <w:bottom w:val="single" w:sz="6" w:space="0" w:color="auto"/>
            </w:tcBorders>
          </w:tcPr>
          <w:p w14:paraId="1AB4815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38 760</w:t>
            </w:r>
          </w:p>
        </w:tc>
        <w:tc>
          <w:tcPr>
            <w:tcW w:w="811" w:type="dxa"/>
            <w:tcBorders>
              <w:top w:val="single" w:sz="6" w:space="0" w:color="auto"/>
              <w:bottom w:val="single" w:sz="6" w:space="0" w:color="auto"/>
            </w:tcBorders>
          </w:tcPr>
          <w:p w14:paraId="19D27EC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39 412</w:t>
            </w:r>
          </w:p>
        </w:tc>
        <w:tc>
          <w:tcPr>
            <w:tcW w:w="810" w:type="dxa"/>
            <w:tcBorders>
              <w:top w:val="single" w:sz="6" w:space="0" w:color="auto"/>
              <w:bottom w:val="single" w:sz="6" w:space="0" w:color="auto"/>
            </w:tcBorders>
          </w:tcPr>
          <w:p w14:paraId="3B57986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38 654</w:t>
            </w:r>
          </w:p>
        </w:tc>
        <w:tc>
          <w:tcPr>
            <w:tcW w:w="811" w:type="dxa"/>
            <w:tcBorders>
              <w:top w:val="single" w:sz="6" w:space="0" w:color="auto"/>
              <w:bottom w:val="single" w:sz="6" w:space="0" w:color="auto"/>
            </w:tcBorders>
          </w:tcPr>
          <w:p w14:paraId="2A7D782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38 537</w:t>
            </w:r>
          </w:p>
        </w:tc>
        <w:tc>
          <w:tcPr>
            <w:tcW w:w="811" w:type="dxa"/>
            <w:tcBorders>
              <w:top w:val="single" w:sz="6" w:space="0" w:color="auto"/>
              <w:bottom w:val="single" w:sz="6" w:space="0" w:color="auto"/>
            </w:tcBorders>
          </w:tcPr>
          <w:p w14:paraId="2A779C3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38 388</w:t>
            </w:r>
          </w:p>
        </w:tc>
      </w:tr>
      <w:tr w:rsidR="00964B88" w14:paraId="2848B7E7"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12" w:space="0" w:color="auto"/>
            </w:tcBorders>
          </w:tcPr>
          <w:p w14:paraId="0C5AE481" w14:textId="77777777" w:rsidR="00964B88" w:rsidRDefault="00964B88">
            <w:r>
              <w:rPr>
                <w:b/>
              </w:rPr>
              <w:t>Net assets</w:t>
            </w:r>
          </w:p>
        </w:tc>
        <w:tc>
          <w:tcPr>
            <w:tcW w:w="810" w:type="dxa"/>
            <w:tcBorders>
              <w:top w:val="single" w:sz="6" w:space="0" w:color="auto"/>
              <w:bottom w:val="single" w:sz="12" w:space="0" w:color="auto"/>
            </w:tcBorders>
          </w:tcPr>
          <w:p w14:paraId="15FCEC1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106 210</w:t>
            </w:r>
          </w:p>
        </w:tc>
        <w:tc>
          <w:tcPr>
            <w:tcW w:w="811" w:type="dxa"/>
            <w:tcBorders>
              <w:top w:val="single" w:sz="6" w:space="0" w:color="auto"/>
              <w:bottom w:val="single" w:sz="12" w:space="0" w:color="auto"/>
            </w:tcBorders>
          </w:tcPr>
          <w:p w14:paraId="22F96C1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105 173</w:t>
            </w:r>
          </w:p>
        </w:tc>
        <w:tc>
          <w:tcPr>
            <w:tcW w:w="810" w:type="dxa"/>
            <w:tcBorders>
              <w:top w:val="single" w:sz="6" w:space="0" w:color="auto"/>
              <w:bottom w:val="single" w:sz="12" w:space="0" w:color="auto"/>
            </w:tcBorders>
          </w:tcPr>
          <w:p w14:paraId="55B5A53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110 719</w:t>
            </w:r>
          </w:p>
        </w:tc>
        <w:tc>
          <w:tcPr>
            <w:tcW w:w="811" w:type="dxa"/>
            <w:tcBorders>
              <w:top w:val="single" w:sz="6" w:space="0" w:color="auto"/>
              <w:bottom w:val="single" w:sz="12" w:space="0" w:color="auto"/>
            </w:tcBorders>
          </w:tcPr>
          <w:p w14:paraId="34904BE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114 304</w:t>
            </w:r>
          </w:p>
        </w:tc>
        <w:tc>
          <w:tcPr>
            <w:tcW w:w="811" w:type="dxa"/>
            <w:tcBorders>
              <w:top w:val="single" w:sz="6" w:space="0" w:color="auto"/>
              <w:bottom w:val="single" w:sz="12" w:space="0" w:color="auto"/>
            </w:tcBorders>
          </w:tcPr>
          <w:p w14:paraId="1EBBDE3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117 955</w:t>
            </w:r>
          </w:p>
        </w:tc>
      </w:tr>
      <w:tr w:rsidR="00964B88" w14:paraId="7BA530B4"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0" w:space="0" w:color="auto"/>
            </w:tcBorders>
          </w:tcPr>
          <w:p w14:paraId="08C3DD2E" w14:textId="77777777" w:rsidR="00964B88" w:rsidRDefault="00964B88">
            <w:r>
              <w:t>Accumulated surplus/(deficit)</w:t>
            </w:r>
          </w:p>
        </w:tc>
        <w:tc>
          <w:tcPr>
            <w:tcW w:w="810" w:type="dxa"/>
            <w:tcBorders>
              <w:top w:val="single" w:sz="0" w:space="0" w:color="auto"/>
            </w:tcBorders>
          </w:tcPr>
          <w:p w14:paraId="5D08F365" w14:textId="77777777" w:rsidR="00964B88" w:rsidRDefault="00964B88">
            <w:pPr>
              <w:cnfStyle w:val="000000000000" w:firstRow="0" w:lastRow="0" w:firstColumn="0" w:lastColumn="0" w:oddVBand="0" w:evenVBand="0" w:oddHBand="0" w:evenHBand="0" w:firstRowFirstColumn="0" w:firstRowLastColumn="0" w:lastRowFirstColumn="0" w:lastRowLastColumn="0"/>
            </w:pPr>
            <w:r>
              <w:t>2 501</w:t>
            </w:r>
          </w:p>
        </w:tc>
        <w:tc>
          <w:tcPr>
            <w:tcW w:w="811" w:type="dxa"/>
            <w:tcBorders>
              <w:top w:val="single" w:sz="0" w:space="0" w:color="auto"/>
            </w:tcBorders>
          </w:tcPr>
          <w:p w14:paraId="3B6E40AF" w14:textId="77777777" w:rsidR="00964B88" w:rsidRDefault="00964B88">
            <w:pPr>
              <w:cnfStyle w:val="000000000000" w:firstRow="0" w:lastRow="0" w:firstColumn="0" w:lastColumn="0" w:oddVBand="0" w:evenVBand="0" w:oddHBand="0" w:evenHBand="0" w:firstRowFirstColumn="0" w:firstRowLastColumn="0" w:lastRowFirstColumn="0" w:lastRowLastColumn="0"/>
            </w:pPr>
            <w:r>
              <w:t>2 664</w:t>
            </w:r>
          </w:p>
        </w:tc>
        <w:tc>
          <w:tcPr>
            <w:tcW w:w="810" w:type="dxa"/>
            <w:tcBorders>
              <w:top w:val="single" w:sz="0" w:space="0" w:color="auto"/>
            </w:tcBorders>
          </w:tcPr>
          <w:p w14:paraId="0FB44EFF" w14:textId="77777777" w:rsidR="00964B88" w:rsidRDefault="00964B88">
            <w:pPr>
              <w:cnfStyle w:val="000000000000" w:firstRow="0" w:lastRow="0" w:firstColumn="0" w:lastColumn="0" w:oddVBand="0" w:evenVBand="0" w:oddHBand="0" w:evenHBand="0" w:firstRowFirstColumn="0" w:firstRowLastColumn="0" w:lastRowFirstColumn="0" w:lastRowLastColumn="0"/>
            </w:pPr>
            <w:r>
              <w:t>2 124</w:t>
            </w:r>
          </w:p>
        </w:tc>
        <w:tc>
          <w:tcPr>
            <w:tcW w:w="811" w:type="dxa"/>
            <w:tcBorders>
              <w:top w:val="single" w:sz="0" w:space="0" w:color="auto"/>
            </w:tcBorders>
          </w:tcPr>
          <w:p w14:paraId="134742D0" w14:textId="77777777" w:rsidR="00964B88" w:rsidRDefault="00964B88">
            <w:pPr>
              <w:cnfStyle w:val="000000000000" w:firstRow="0" w:lastRow="0" w:firstColumn="0" w:lastColumn="0" w:oddVBand="0" w:evenVBand="0" w:oddHBand="0" w:evenHBand="0" w:firstRowFirstColumn="0" w:firstRowLastColumn="0" w:lastRowFirstColumn="0" w:lastRowLastColumn="0"/>
            </w:pPr>
            <w:r>
              <w:t>1 468</w:t>
            </w:r>
          </w:p>
        </w:tc>
        <w:tc>
          <w:tcPr>
            <w:tcW w:w="811" w:type="dxa"/>
            <w:tcBorders>
              <w:top w:val="single" w:sz="0" w:space="0" w:color="auto"/>
            </w:tcBorders>
          </w:tcPr>
          <w:p w14:paraId="2FDAE58D" w14:textId="77777777" w:rsidR="00964B88" w:rsidRDefault="00964B88">
            <w:pPr>
              <w:cnfStyle w:val="000000000000" w:firstRow="0" w:lastRow="0" w:firstColumn="0" w:lastColumn="0" w:oddVBand="0" w:evenVBand="0" w:oddHBand="0" w:evenHBand="0" w:firstRowFirstColumn="0" w:firstRowLastColumn="0" w:lastRowFirstColumn="0" w:lastRowLastColumn="0"/>
            </w:pPr>
            <w:r>
              <w:t>724</w:t>
            </w:r>
          </w:p>
        </w:tc>
      </w:tr>
      <w:tr w:rsidR="00964B88" w14:paraId="3CE19BF4"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0B4A6B78" w14:textId="77777777" w:rsidR="00964B88" w:rsidRDefault="00964B88">
            <w:r>
              <w:t>Reserves</w:t>
            </w:r>
          </w:p>
        </w:tc>
        <w:tc>
          <w:tcPr>
            <w:tcW w:w="810" w:type="dxa"/>
            <w:tcBorders>
              <w:bottom w:val="single" w:sz="6" w:space="0" w:color="auto"/>
            </w:tcBorders>
          </w:tcPr>
          <w:p w14:paraId="41099AA8" w14:textId="77777777" w:rsidR="00964B88" w:rsidRDefault="00964B88">
            <w:pPr>
              <w:cnfStyle w:val="000000000000" w:firstRow="0" w:lastRow="0" w:firstColumn="0" w:lastColumn="0" w:oddVBand="0" w:evenVBand="0" w:oddHBand="0" w:evenHBand="0" w:firstRowFirstColumn="0" w:firstRowLastColumn="0" w:lastRowFirstColumn="0" w:lastRowLastColumn="0"/>
            </w:pPr>
            <w:r>
              <w:t>103 709</w:t>
            </w:r>
          </w:p>
        </w:tc>
        <w:tc>
          <w:tcPr>
            <w:tcW w:w="811" w:type="dxa"/>
            <w:tcBorders>
              <w:bottom w:val="single" w:sz="6" w:space="0" w:color="auto"/>
            </w:tcBorders>
          </w:tcPr>
          <w:p w14:paraId="287F047C" w14:textId="77777777" w:rsidR="00964B88" w:rsidRDefault="00964B88">
            <w:pPr>
              <w:cnfStyle w:val="000000000000" w:firstRow="0" w:lastRow="0" w:firstColumn="0" w:lastColumn="0" w:oddVBand="0" w:evenVBand="0" w:oddHBand="0" w:evenHBand="0" w:firstRowFirstColumn="0" w:firstRowLastColumn="0" w:lastRowFirstColumn="0" w:lastRowLastColumn="0"/>
            </w:pPr>
            <w:r>
              <w:t>102 509</w:t>
            </w:r>
          </w:p>
        </w:tc>
        <w:tc>
          <w:tcPr>
            <w:tcW w:w="810" w:type="dxa"/>
            <w:tcBorders>
              <w:bottom w:val="single" w:sz="6" w:space="0" w:color="auto"/>
            </w:tcBorders>
          </w:tcPr>
          <w:p w14:paraId="2BDBE0A4" w14:textId="77777777" w:rsidR="00964B88" w:rsidRDefault="00964B88">
            <w:pPr>
              <w:cnfStyle w:val="000000000000" w:firstRow="0" w:lastRow="0" w:firstColumn="0" w:lastColumn="0" w:oddVBand="0" w:evenVBand="0" w:oddHBand="0" w:evenHBand="0" w:firstRowFirstColumn="0" w:firstRowLastColumn="0" w:lastRowFirstColumn="0" w:lastRowLastColumn="0"/>
            </w:pPr>
            <w:r>
              <w:t>108 595</w:t>
            </w:r>
          </w:p>
        </w:tc>
        <w:tc>
          <w:tcPr>
            <w:tcW w:w="811" w:type="dxa"/>
            <w:tcBorders>
              <w:bottom w:val="single" w:sz="6" w:space="0" w:color="auto"/>
            </w:tcBorders>
          </w:tcPr>
          <w:p w14:paraId="2D45B405" w14:textId="77777777" w:rsidR="00964B88" w:rsidRDefault="00964B88">
            <w:pPr>
              <w:cnfStyle w:val="000000000000" w:firstRow="0" w:lastRow="0" w:firstColumn="0" w:lastColumn="0" w:oddVBand="0" w:evenVBand="0" w:oddHBand="0" w:evenHBand="0" w:firstRowFirstColumn="0" w:firstRowLastColumn="0" w:lastRowFirstColumn="0" w:lastRowLastColumn="0"/>
            </w:pPr>
            <w:r>
              <w:t>112 836</w:t>
            </w:r>
          </w:p>
        </w:tc>
        <w:tc>
          <w:tcPr>
            <w:tcW w:w="811" w:type="dxa"/>
            <w:tcBorders>
              <w:bottom w:val="single" w:sz="6" w:space="0" w:color="auto"/>
            </w:tcBorders>
          </w:tcPr>
          <w:p w14:paraId="6617DF62" w14:textId="77777777" w:rsidR="00964B88" w:rsidRDefault="00964B88">
            <w:pPr>
              <w:cnfStyle w:val="000000000000" w:firstRow="0" w:lastRow="0" w:firstColumn="0" w:lastColumn="0" w:oddVBand="0" w:evenVBand="0" w:oddHBand="0" w:evenHBand="0" w:firstRowFirstColumn="0" w:firstRowLastColumn="0" w:lastRowFirstColumn="0" w:lastRowLastColumn="0"/>
            </w:pPr>
            <w:r>
              <w:t>117 231</w:t>
            </w:r>
          </w:p>
        </w:tc>
      </w:tr>
      <w:tr w:rsidR="00964B88" w14:paraId="5281388A" w14:textId="77777777" w:rsidTr="00D1345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12" w:space="0" w:color="auto"/>
            </w:tcBorders>
          </w:tcPr>
          <w:p w14:paraId="3628A1F4" w14:textId="77777777" w:rsidR="00964B88" w:rsidRDefault="00964B88">
            <w:r>
              <w:rPr>
                <w:b/>
              </w:rPr>
              <w:t>Net worth</w:t>
            </w:r>
          </w:p>
        </w:tc>
        <w:tc>
          <w:tcPr>
            <w:tcW w:w="810" w:type="dxa"/>
            <w:tcBorders>
              <w:top w:val="single" w:sz="6" w:space="0" w:color="auto"/>
              <w:bottom w:val="single" w:sz="12" w:space="0" w:color="auto"/>
            </w:tcBorders>
          </w:tcPr>
          <w:p w14:paraId="4FD9DDF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106 210</w:t>
            </w:r>
          </w:p>
        </w:tc>
        <w:tc>
          <w:tcPr>
            <w:tcW w:w="811" w:type="dxa"/>
            <w:tcBorders>
              <w:top w:val="single" w:sz="6" w:space="0" w:color="auto"/>
              <w:bottom w:val="single" w:sz="12" w:space="0" w:color="auto"/>
            </w:tcBorders>
          </w:tcPr>
          <w:p w14:paraId="74251BC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105 173</w:t>
            </w:r>
          </w:p>
        </w:tc>
        <w:tc>
          <w:tcPr>
            <w:tcW w:w="810" w:type="dxa"/>
            <w:tcBorders>
              <w:top w:val="single" w:sz="6" w:space="0" w:color="auto"/>
              <w:bottom w:val="single" w:sz="12" w:space="0" w:color="auto"/>
            </w:tcBorders>
          </w:tcPr>
          <w:p w14:paraId="4EA7935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110 719</w:t>
            </w:r>
          </w:p>
        </w:tc>
        <w:tc>
          <w:tcPr>
            <w:tcW w:w="811" w:type="dxa"/>
            <w:tcBorders>
              <w:top w:val="single" w:sz="6" w:space="0" w:color="auto"/>
              <w:bottom w:val="single" w:sz="12" w:space="0" w:color="auto"/>
            </w:tcBorders>
          </w:tcPr>
          <w:p w14:paraId="0DCC0F6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114 304</w:t>
            </w:r>
          </w:p>
        </w:tc>
        <w:tc>
          <w:tcPr>
            <w:tcW w:w="811" w:type="dxa"/>
            <w:tcBorders>
              <w:top w:val="single" w:sz="6" w:space="0" w:color="auto"/>
              <w:bottom w:val="single" w:sz="12" w:space="0" w:color="auto"/>
            </w:tcBorders>
          </w:tcPr>
          <w:p w14:paraId="6877AEF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117 955</w:t>
            </w:r>
          </w:p>
        </w:tc>
      </w:tr>
      <w:tr w:rsidR="00964B88" w14:paraId="40E6F7CB" w14:textId="77777777" w:rsidTr="00D13450">
        <w:trPr>
          <w:trHeight w:hRule="exact" w:val="113"/>
        </w:trPr>
        <w:tc>
          <w:tcPr>
            <w:cnfStyle w:val="001000000000" w:firstRow="0" w:lastRow="0" w:firstColumn="1" w:lastColumn="0" w:oddVBand="0" w:evenVBand="0" w:oddHBand="0" w:evenHBand="0" w:firstRowFirstColumn="0" w:firstRowLastColumn="0" w:lastRowFirstColumn="0" w:lastRowLastColumn="0"/>
            <w:tcW w:w="3715" w:type="dxa"/>
            <w:tcBorders>
              <w:top w:val="single" w:sz="0" w:space="0" w:color="auto"/>
            </w:tcBorders>
          </w:tcPr>
          <w:p w14:paraId="4262E00C" w14:textId="77777777" w:rsidR="00964B88" w:rsidRDefault="00964B88"/>
        </w:tc>
        <w:tc>
          <w:tcPr>
            <w:tcW w:w="810" w:type="dxa"/>
            <w:tcBorders>
              <w:top w:val="single" w:sz="0" w:space="0" w:color="auto"/>
            </w:tcBorders>
          </w:tcPr>
          <w:p w14:paraId="663A04F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0" w:space="0" w:color="auto"/>
            </w:tcBorders>
          </w:tcPr>
          <w:p w14:paraId="5ADEA64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Borders>
              <w:top w:val="single" w:sz="0" w:space="0" w:color="auto"/>
            </w:tcBorders>
          </w:tcPr>
          <w:p w14:paraId="2A9D73A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0" w:space="0" w:color="auto"/>
            </w:tcBorders>
          </w:tcPr>
          <w:p w14:paraId="756B2F5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0" w:space="0" w:color="auto"/>
            </w:tcBorders>
          </w:tcPr>
          <w:p w14:paraId="2C046D6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20CED5D"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77BCF09F" w14:textId="77777777" w:rsidR="00964B88" w:rsidRDefault="00964B88">
            <w:r>
              <w:rPr>
                <w:b/>
              </w:rPr>
              <w:t>FISCAL AGGREGATES</w:t>
            </w:r>
          </w:p>
        </w:tc>
        <w:tc>
          <w:tcPr>
            <w:tcW w:w="810" w:type="dxa"/>
          </w:tcPr>
          <w:p w14:paraId="266807B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7FFCA60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1A79933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45115B7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45EE4D0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03AF0D3"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24FAE5FF" w14:textId="77777777" w:rsidR="00964B88" w:rsidRDefault="00964B88">
            <w:r>
              <w:t>Net financial worth</w:t>
            </w:r>
          </w:p>
        </w:tc>
        <w:tc>
          <w:tcPr>
            <w:tcW w:w="810" w:type="dxa"/>
          </w:tcPr>
          <w:p w14:paraId="48563FFA" w14:textId="77777777" w:rsidR="00964B88" w:rsidRDefault="00964B88">
            <w:pPr>
              <w:cnfStyle w:val="000000000000" w:firstRow="0" w:lastRow="0" w:firstColumn="0" w:lastColumn="0" w:oddVBand="0" w:evenVBand="0" w:oddHBand="0" w:evenHBand="0" w:firstRowFirstColumn="0" w:firstRowLastColumn="0" w:lastRowFirstColumn="0" w:lastRowLastColumn="0"/>
            </w:pPr>
            <w:r>
              <w:t>(32 897)</w:t>
            </w:r>
          </w:p>
        </w:tc>
        <w:tc>
          <w:tcPr>
            <w:tcW w:w="811" w:type="dxa"/>
          </w:tcPr>
          <w:p w14:paraId="2FE13994" w14:textId="77777777" w:rsidR="00964B88" w:rsidRDefault="00964B88">
            <w:pPr>
              <w:cnfStyle w:val="000000000000" w:firstRow="0" w:lastRow="0" w:firstColumn="0" w:lastColumn="0" w:oddVBand="0" w:evenVBand="0" w:oddHBand="0" w:evenHBand="0" w:firstRowFirstColumn="0" w:firstRowLastColumn="0" w:lastRowFirstColumn="0" w:lastRowLastColumn="0"/>
            </w:pPr>
            <w:r>
              <w:t>(33 594)</w:t>
            </w:r>
          </w:p>
        </w:tc>
        <w:tc>
          <w:tcPr>
            <w:tcW w:w="810" w:type="dxa"/>
          </w:tcPr>
          <w:p w14:paraId="6E6AC1D9" w14:textId="77777777" w:rsidR="00964B88" w:rsidRDefault="00964B88">
            <w:pPr>
              <w:cnfStyle w:val="000000000000" w:firstRow="0" w:lastRow="0" w:firstColumn="0" w:lastColumn="0" w:oddVBand="0" w:evenVBand="0" w:oddHBand="0" w:evenHBand="0" w:firstRowFirstColumn="0" w:firstRowLastColumn="0" w:lastRowFirstColumn="0" w:lastRowLastColumn="0"/>
            </w:pPr>
            <w:r>
              <w:t>(34 388)</w:t>
            </w:r>
          </w:p>
        </w:tc>
        <w:tc>
          <w:tcPr>
            <w:tcW w:w="811" w:type="dxa"/>
          </w:tcPr>
          <w:p w14:paraId="109B8EEE" w14:textId="77777777" w:rsidR="00964B88" w:rsidRDefault="00964B88">
            <w:pPr>
              <w:cnfStyle w:val="000000000000" w:firstRow="0" w:lastRow="0" w:firstColumn="0" w:lastColumn="0" w:oddVBand="0" w:evenVBand="0" w:oddHBand="0" w:evenHBand="0" w:firstRowFirstColumn="0" w:firstRowLastColumn="0" w:lastRowFirstColumn="0" w:lastRowLastColumn="0"/>
            </w:pPr>
            <w:r>
              <w:t>(34 889)</w:t>
            </w:r>
          </w:p>
        </w:tc>
        <w:tc>
          <w:tcPr>
            <w:tcW w:w="811" w:type="dxa"/>
          </w:tcPr>
          <w:p w14:paraId="3AC705EC" w14:textId="77777777" w:rsidR="00964B88" w:rsidRDefault="00964B88">
            <w:pPr>
              <w:cnfStyle w:val="000000000000" w:firstRow="0" w:lastRow="0" w:firstColumn="0" w:lastColumn="0" w:oddVBand="0" w:evenVBand="0" w:oddHBand="0" w:evenHBand="0" w:firstRowFirstColumn="0" w:firstRowLastColumn="0" w:lastRowFirstColumn="0" w:lastRowLastColumn="0"/>
            </w:pPr>
            <w:r>
              <w:t>(34 520)</w:t>
            </w:r>
          </w:p>
        </w:tc>
      </w:tr>
      <w:tr w:rsidR="00964B88" w14:paraId="7125BBB0"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70358A11" w14:textId="77777777" w:rsidR="00964B88" w:rsidRDefault="00964B88">
            <w:r>
              <w:t>Net financial liabilities</w:t>
            </w:r>
          </w:p>
        </w:tc>
        <w:tc>
          <w:tcPr>
            <w:tcW w:w="810" w:type="dxa"/>
          </w:tcPr>
          <w:p w14:paraId="50FEAFF4" w14:textId="77777777" w:rsidR="00964B88" w:rsidRDefault="00964B88">
            <w:pPr>
              <w:cnfStyle w:val="000000000000" w:firstRow="0" w:lastRow="0" w:firstColumn="0" w:lastColumn="0" w:oddVBand="0" w:evenVBand="0" w:oddHBand="0" w:evenHBand="0" w:firstRowFirstColumn="0" w:firstRowLastColumn="0" w:lastRowFirstColumn="0" w:lastRowLastColumn="0"/>
            </w:pPr>
            <w:r>
              <w:t>32 897</w:t>
            </w:r>
          </w:p>
        </w:tc>
        <w:tc>
          <w:tcPr>
            <w:tcW w:w="811" w:type="dxa"/>
          </w:tcPr>
          <w:p w14:paraId="55B0FC94" w14:textId="77777777" w:rsidR="00964B88" w:rsidRDefault="00964B88">
            <w:pPr>
              <w:cnfStyle w:val="000000000000" w:firstRow="0" w:lastRow="0" w:firstColumn="0" w:lastColumn="0" w:oddVBand="0" w:evenVBand="0" w:oddHBand="0" w:evenHBand="0" w:firstRowFirstColumn="0" w:firstRowLastColumn="0" w:lastRowFirstColumn="0" w:lastRowLastColumn="0"/>
            </w:pPr>
            <w:r>
              <w:t>33 594</w:t>
            </w:r>
          </w:p>
        </w:tc>
        <w:tc>
          <w:tcPr>
            <w:tcW w:w="810" w:type="dxa"/>
          </w:tcPr>
          <w:p w14:paraId="01D6AAE9" w14:textId="77777777" w:rsidR="00964B88" w:rsidRDefault="00964B88">
            <w:pPr>
              <w:cnfStyle w:val="000000000000" w:firstRow="0" w:lastRow="0" w:firstColumn="0" w:lastColumn="0" w:oddVBand="0" w:evenVBand="0" w:oddHBand="0" w:evenHBand="0" w:firstRowFirstColumn="0" w:firstRowLastColumn="0" w:lastRowFirstColumn="0" w:lastRowLastColumn="0"/>
            </w:pPr>
            <w:r>
              <w:t>34 388</w:t>
            </w:r>
          </w:p>
        </w:tc>
        <w:tc>
          <w:tcPr>
            <w:tcW w:w="811" w:type="dxa"/>
          </w:tcPr>
          <w:p w14:paraId="23676AC3" w14:textId="77777777" w:rsidR="00964B88" w:rsidRDefault="00964B88">
            <w:pPr>
              <w:cnfStyle w:val="000000000000" w:firstRow="0" w:lastRow="0" w:firstColumn="0" w:lastColumn="0" w:oddVBand="0" w:evenVBand="0" w:oddHBand="0" w:evenHBand="0" w:firstRowFirstColumn="0" w:firstRowLastColumn="0" w:lastRowFirstColumn="0" w:lastRowLastColumn="0"/>
            </w:pPr>
            <w:r>
              <w:t>34 889</w:t>
            </w:r>
          </w:p>
        </w:tc>
        <w:tc>
          <w:tcPr>
            <w:tcW w:w="811" w:type="dxa"/>
          </w:tcPr>
          <w:p w14:paraId="51778492" w14:textId="77777777" w:rsidR="00964B88" w:rsidRDefault="00964B88">
            <w:pPr>
              <w:cnfStyle w:val="000000000000" w:firstRow="0" w:lastRow="0" w:firstColumn="0" w:lastColumn="0" w:oddVBand="0" w:evenVBand="0" w:oddHBand="0" w:evenHBand="0" w:firstRowFirstColumn="0" w:firstRowLastColumn="0" w:lastRowFirstColumn="0" w:lastRowLastColumn="0"/>
            </w:pPr>
            <w:r>
              <w:t>34 520</w:t>
            </w:r>
          </w:p>
        </w:tc>
      </w:tr>
      <w:tr w:rsidR="00964B88" w14:paraId="285DB99F" w14:textId="77777777" w:rsidTr="00D13450">
        <w:tc>
          <w:tcPr>
            <w:cnfStyle w:val="001000000000" w:firstRow="0" w:lastRow="0" w:firstColumn="1" w:lastColumn="0" w:oddVBand="0" w:evenVBand="0" w:oddHBand="0" w:evenHBand="0" w:firstRowFirstColumn="0" w:firstRowLastColumn="0" w:lastRowFirstColumn="0" w:lastRowLastColumn="0"/>
            <w:tcW w:w="3715" w:type="dxa"/>
          </w:tcPr>
          <w:p w14:paraId="4F9E494B" w14:textId="77777777" w:rsidR="00964B88" w:rsidRDefault="00964B88">
            <w:r>
              <w:t>Net debt</w:t>
            </w:r>
          </w:p>
        </w:tc>
        <w:tc>
          <w:tcPr>
            <w:tcW w:w="810" w:type="dxa"/>
          </w:tcPr>
          <w:p w14:paraId="066EB3EB" w14:textId="77777777" w:rsidR="00964B88" w:rsidRDefault="00964B88">
            <w:pPr>
              <w:cnfStyle w:val="000000000000" w:firstRow="0" w:lastRow="0" w:firstColumn="0" w:lastColumn="0" w:oddVBand="0" w:evenVBand="0" w:oddHBand="0" w:evenHBand="0" w:firstRowFirstColumn="0" w:firstRowLastColumn="0" w:lastRowFirstColumn="0" w:lastRowLastColumn="0"/>
            </w:pPr>
            <w:r>
              <w:t>16 193</w:t>
            </w:r>
          </w:p>
        </w:tc>
        <w:tc>
          <w:tcPr>
            <w:tcW w:w="811" w:type="dxa"/>
          </w:tcPr>
          <w:p w14:paraId="5FF8E089" w14:textId="77777777" w:rsidR="00964B88" w:rsidRDefault="00964B88">
            <w:pPr>
              <w:cnfStyle w:val="000000000000" w:firstRow="0" w:lastRow="0" w:firstColumn="0" w:lastColumn="0" w:oddVBand="0" w:evenVBand="0" w:oddHBand="0" w:evenHBand="0" w:firstRowFirstColumn="0" w:firstRowLastColumn="0" w:lastRowFirstColumn="0" w:lastRowLastColumn="0"/>
            </w:pPr>
            <w:r>
              <w:t>16 794</w:t>
            </w:r>
          </w:p>
        </w:tc>
        <w:tc>
          <w:tcPr>
            <w:tcW w:w="810" w:type="dxa"/>
          </w:tcPr>
          <w:p w14:paraId="69CAE160" w14:textId="77777777" w:rsidR="00964B88" w:rsidRDefault="00964B88">
            <w:pPr>
              <w:cnfStyle w:val="000000000000" w:firstRow="0" w:lastRow="0" w:firstColumn="0" w:lastColumn="0" w:oddVBand="0" w:evenVBand="0" w:oddHBand="0" w:evenHBand="0" w:firstRowFirstColumn="0" w:firstRowLastColumn="0" w:lastRowFirstColumn="0" w:lastRowLastColumn="0"/>
            </w:pPr>
            <w:r>
              <w:t>17 737</w:t>
            </w:r>
          </w:p>
        </w:tc>
        <w:tc>
          <w:tcPr>
            <w:tcW w:w="811" w:type="dxa"/>
          </w:tcPr>
          <w:p w14:paraId="27351883" w14:textId="77777777" w:rsidR="00964B88" w:rsidRDefault="00964B88">
            <w:pPr>
              <w:cnfStyle w:val="000000000000" w:firstRow="0" w:lastRow="0" w:firstColumn="0" w:lastColumn="0" w:oddVBand="0" w:evenVBand="0" w:oddHBand="0" w:evenHBand="0" w:firstRowFirstColumn="0" w:firstRowLastColumn="0" w:lastRowFirstColumn="0" w:lastRowLastColumn="0"/>
            </w:pPr>
            <w:r>
              <w:t>18 750</w:t>
            </w:r>
          </w:p>
        </w:tc>
        <w:tc>
          <w:tcPr>
            <w:tcW w:w="811" w:type="dxa"/>
          </w:tcPr>
          <w:p w14:paraId="3AFA1E00" w14:textId="77777777" w:rsidR="00964B88" w:rsidRDefault="00964B88">
            <w:pPr>
              <w:cnfStyle w:val="000000000000" w:firstRow="0" w:lastRow="0" w:firstColumn="0" w:lastColumn="0" w:oddVBand="0" w:evenVBand="0" w:oddHBand="0" w:evenHBand="0" w:firstRowFirstColumn="0" w:firstRowLastColumn="0" w:lastRowFirstColumn="0" w:lastRowLastColumn="0"/>
            </w:pPr>
            <w:r>
              <w:t>19 134</w:t>
            </w:r>
          </w:p>
        </w:tc>
      </w:tr>
    </w:tbl>
    <w:p w14:paraId="2EA6D783" w14:textId="77777777" w:rsidR="00964B88" w:rsidRPr="005F55F3" w:rsidRDefault="00964B88" w:rsidP="00F53820">
      <w:pPr>
        <w:pStyle w:val="Note"/>
      </w:pPr>
      <w:r>
        <w:t>Note:</w:t>
      </w:r>
    </w:p>
    <w:p w14:paraId="51A692C2" w14:textId="77777777" w:rsidR="00964B88" w:rsidRPr="00926603" w:rsidRDefault="00964B88" w:rsidP="00F53820">
      <w:pPr>
        <w:pStyle w:val="Note"/>
      </w:pPr>
      <w:r w:rsidRPr="00926603">
        <w:t>(a)</w:t>
      </w:r>
      <w:r w:rsidRPr="00926603">
        <w:tab/>
        <w:t>Balances represent actual</w:t>
      </w:r>
      <w:r>
        <w:t xml:space="preserve"> opening balances at 1 July 2019 plus 2019-20</w:t>
      </w:r>
      <w:r w:rsidRPr="00926603">
        <w:t xml:space="preserve"> budgeted movements.</w:t>
      </w:r>
    </w:p>
    <w:p w14:paraId="7E58F1F7" w14:textId="77777777" w:rsidR="00964B88" w:rsidRDefault="00964B88" w:rsidP="00F53820"/>
    <w:p w14:paraId="35479A99" w14:textId="77777777" w:rsidR="00964B88" w:rsidRPr="00D13450" w:rsidRDefault="00964B88" w:rsidP="00D13450">
      <w:r w:rsidRPr="00D13450">
        <w:br w:type="page"/>
      </w:r>
    </w:p>
    <w:p w14:paraId="1702C1D1" w14:textId="77777777" w:rsidR="00964B88" w:rsidRDefault="00964B88" w:rsidP="00F53820">
      <w:pPr>
        <w:pStyle w:val="TableHeading"/>
      </w:pPr>
      <w:r>
        <w:lastRenderedPageBreak/>
        <w:t>Table 5.3</w:t>
      </w:r>
      <w:r w:rsidR="009C1504">
        <w:t>:</w:t>
      </w:r>
      <w:r>
        <w:tab/>
        <w:t xml:space="preserve">Public non-financial corporations sector cash flow statement </w:t>
      </w:r>
      <w:r w:rsidR="00506B7C">
        <w:br/>
      </w:r>
      <w:r>
        <w:t>for the financial year ended 30 June</w:t>
      </w:r>
      <w:r>
        <w:tab/>
        <w:t>($ million)</w:t>
      </w:r>
    </w:p>
    <w:tbl>
      <w:tblPr>
        <w:tblStyle w:val="DTFTable"/>
        <w:tblW w:w="7768" w:type="dxa"/>
        <w:tblLayout w:type="fixed"/>
        <w:tblLook w:val="06E0" w:firstRow="1" w:lastRow="1" w:firstColumn="1" w:lastColumn="0" w:noHBand="1" w:noVBand="1"/>
      </w:tblPr>
      <w:tblGrid>
        <w:gridCol w:w="3431"/>
        <w:gridCol w:w="567"/>
        <w:gridCol w:w="300"/>
        <w:gridCol w:w="867"/>
        <w:gridCol w:w="868"/>
        <w:gridCol w:w="867"/>
        <w:gridCol w:w="868"/>
      </w:tblGrid>
      <w:tr w:rsidR="00964B88" w14:paraId="6D431E64" w14:textId="77777777" w:rsidTr="00D134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tcPr>
          <w:p w14:paraId="5FD2276C" w14:textId="77777777" w:rsidR="00964B88" w:rsidRDefault="00964B88"/>
        </w:tc>
        <w:tc>
          <w:tcPr>
            <w:tcW w:w="867" w:type="dxa"/>
            <w:gridSpan w:val="2"/>
          </w:tcPr>
          <w:p w14:paraId="1C3F326D"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67" w:type="dxa"/>
          </w:tcPr>
          <w:p w14:paraId="3F7E516B"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68" w:type="dxa"/>
          </w:tcPr>
          <w:p w14:paraId="6C065D3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67" w:type="dxa"/>
          </w:tcPr>
          <w:p w14:paraId="4B32338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68" w:type="dxa"/>
          </w:tcPr>
          <w:p w14:paraId="5FEEF53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203421D6"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42F1DE7C" w14:textId="77777777" w:rsidR="00964B88" w:rsidRDefault="00964B88">
            <w:r>
              <w:rPr>
                <w:b/>
              </w:rPr>
              <w:t>Cash flows from operating activities</w:t>
            </w:r>
          </w:p>
        </w:tc>
        <w:tc>
          <w:tcPr>
            <w:tcW w:w="867" w:type="dxa"/>
            <w:gridSpan w:val="2"/>
          </w:tcPr>
          <w:p w14:paraId="53F1142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629E5B6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7026673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0C51DA0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3B25477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67AF97E"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0B02D4A7" w14:textId="77777777" w:rsidR="00964B88" w:rsidRDefault="00964B88">
            <w:r>
              <w:rPr>
                <w:b/>
              </w:rPr>
              <w:t>Receipts</w:t>
            </w:r>
          </w:p>
        </w:tc>
        <w:tc>
          <w:tcPr>
            <w:tcW w:w="867" w:type="dxa"/>
            <w:gridSpan w:val="2"/>
          </w:tcPr>
          <w:p w14:paraId="06A4D03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7BD423F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1473D89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3B485B5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61E4ED9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A417569"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56C22F7D" w14:textId="77777777" w:rsidR="00964B88" w:rsidRDefault="00964B88">
            <w:r>
              <w:t>Grants</w:t>
            </w:r>
          </w:p>
        </w:tc>
        <w:tc>
          <w:tcPr>
            <w:tcW w:w="867" w:type="dxa"/>
            <w:gridSpan w:val="2"/>
          </w:tcPr>
          <w:p w14:paraId="72A4AAA5" w14:textId="77777777" w:rsidR="00964B88" w:rsidRDefault="00964B88">
            <w:pPr>
              <w:cnfStyle w:val="000000000000" w:firstRow="0" w:lastRow="0" w:firstColumn="0" w:lastColumn="0" w:oddVBand="0" w:evenVBand="0" w:oddHBand="0" w:evenHBand="0" w:firstRowFirstColumn="0" w:firstRowLastColumn="0" w:lastRowFirstColumn="0" w:lastRowLastColumn="0"/>
            </w:pPr>
            <w:r>
              <w:t>3 902</w:t>
            </w:r>
          </w:p>
        </w:tc>
        <w:tc>
          <w:tcPr>
            <w:tcW w:w="867" w:type="dxa"/>
          </w:tcPr>
          <w:p w14:paraId="32336CC9" w14:textId="77777777" w:rsidR="00964B88" w:rsidRDefault="00964B88">
            <w:pPr>
              <w:cnfStyle w:val="000000000000" w:firstRow="0" w:lastRow="0" w:firstColumn="0" w:lastColumn="0" w:oddVBand="0" w:evenVBand="0" w:oddHBand="0" w:evenHBand="0" w:firstRowFirstColumn="0" w:firstRowLastColumn="0" w:lastRowFirstColumn="0" w:lastRowLastColumn="0"/>
            </w:pPr>
            <w:r>
              <w:t>3 999</w:t>
            </w:r>
          </w:p>
        </w:tc>
        <w:tc>
          <w:tcPr>
            <w:tcW w:w="868" w:type="dxa"/>
          </w:tcPr>
          <w:p w14:paraId="79E123C6" w14:textId="77777777" w:rsidR="00964B88" w:rsidRDefault="00964B88">
            <w:pPr>
              <w:cnfStyle w:val="000000000000" w:firstRow="0" w:lastRow="0" w:firstColumn="0" w:lastColumn="0" w:oddVBand="0" w:evenVBand="0" w:oddHBand="0" w:evenHBand="0" w:firstRowFirstColumn="0" w:firstRowLastColumn="0" w:lastRowFirstColumn="0" w:lastRowLastColumn="0"/>
            </w:pPr>
            <w:r>
              <w:t>3 943</w:t>
            </w:r>
          </w:p>
        </w:tc>
        <w:tc>
          <w:tcPr>
            <w:tcW w:w="867" w:type="dxa"/>
          </w:tcPr>
          <w:p w14:paraId="4D264B14" w14:textId="77777777" w:rsidR="00964B88" w:rsidRDefault="00964B88">
            <w:pPr>
              <w:cnfStyle w:val="000000000000" w:firstRow="0" w:lastRow="0" w:firstColumn="0" w:lastColumn="0" w:oddVBand="0" w:evenVBand="0" w:oddHBand="0" w:evenHBand="0" w:firstRowFirstColumn="0" w:firstRowLastColumn="0" w:lastRowFirstColumn="0" w:lastRowLastColumn="0"/>
            </w:pPr>
            <w:r>
              <w:t>4 002</w:t>
            </w:r>
          </w:p>
        </w:tc>
        <w:tc>
          <w:tcPr>
            <w:tcW w:w="868" w:type="dxa"/>
          </w:tcPr>
          <w:p w14:paraId="511B2AB0" w14:textId="77777777" w:rsidR="00964B88" w:rsidRDefault="00964B88">
            <w:pPr>
              <w:cnfStyle w:val="000000000000" w:firstRow="0" w:lastRow="0" w:firstColumn="0" w:lastColumn="0" w:oddVBand="0" w:evenVBand="0" w:oddHBand="0" w:evenHBand="0" w:firstRowFirstColumn="0" w:firstRowLastColumn="0" w:lastRowFirstColumn="0" w:lastRowLastColumn="0"/>
            </w:pPr>
            <w:r>
              <w:t>4 096</w:t>
            </w:r>
          </w:p>
        </w:tc>
      </w:tr>
      <w:tr w:rsidR="00964B88" w14:paraId="0CCD5345"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5C41FDF5" w14:textId="77777777" w:rsidR="00964B88" w:rsidRDefault="00964B88">
            <w:r>
              <w:t>Sales of goods and services</w:t>
            </w:r>
            <w:r>
              <w:rPr>
                <w:vertAlign w:val="superscript"/>
              </w:rPr>
              <w:t xml:space="preserve"> (a)</w:t>
            </w:r>
          </w:p>
        </w:tc>
        <w:tc>
          <w:tcPr>
            <w:tcW w:w="867" w:type="dxa"/>
            <w:gridSpan w:val="2"/>
          </w:tcPr>
          <w:p w14:paraId="6AB87E69" w14:textId="77777777" w:rsidR="00964B88" w:rsidRDefault="00964B88">
            <w:pPr>
              <w:cnfStyle w:val="000000000000" w:firstRow="0" w:lastRow="0" w:firstColumn="0" w:lastColumn="0" w:oddVBand="0" w:evenVBand="0" w:oddHBand="0" w:evenHBand="0" w:firstRowFirstColumn="0" w:firstRowLastColumn="0" w:lastRowFirstColumn="0" w:lastRowLastColumn="0"/>
            </w:pPr>
            <w:r>
              <w:t>7 300</w:t>
            </w:r>
          </w:p>
        </w:tc>
        <w:tc>
          <w:tcPr>
            <w:tcW w:w="867" w:type="dxa"/>
          </w:tcPr>
          <w:p w14:paraId="42D67D40" w14:textId="77777777" w:rsidR="00964B88" w:rsidRDefault="00964B88">
            <w:pPr>
              <w:cnfStyle w:val="000000000000" w:firstRow="0" w:lastRow="0" w:firstColumn="0" w:lastColumn="0" w:oddVBand="0" w:evenVBand="0" w:oddHBand="0" w:evenHBand="0" w:firstRowFirstColumn="0" w:firstRowLastColumn="0" w:lastRowFirstColumn="0" w:lastRowLastColumn="0"/>
            </w:pPr>
            <w:r>
              <w:t>7 004</w:t>
            </w:r>
          </w:p>
        </w:tc>
        <w:tc>
          <w:tcPr>
            <w:tcW w:w="868" w:type="dxa"/>
          </w:tcPr>
          <w:p w14:paraId="398FEACC" w14:textId="77777777" w:rsidR="00964B88" w:rsidRDefault="00964B88">
            <w:pPr>
              <w:cnfStyle w:val="000000000000" w:firstRow="0" w:lastRow="0" w:firstColumn="0" w:lastColumn="0" w:oddVBand="0" w:evenVBand="0" w:oddHBand="0" w:evenHBand="0" w:firstRowFirstColumn="0" w:firstRowLastColumn="0" w:lastRowFirstColumn="0" w:lastRowLastColumn="0"/>
            </w:pPr>
            <w:r>
              <w:t>7 421</w:t>
            </w:r>
          </w:p>
        </w:tc>
        <w:tc>
          <w:tcPr>
            <w:tcW w:w="867" w:type="dxa"/>
          </w:tcPr>
          <w:p w14:paraId="612F7930" w14:textId="77777777" w:rsidR="00964B88" w:rsidRDefault="00964B88">
            <w:pPr>
              <w:cnfStyle w:val="000000000000" w:firstRow="0" w:lastRow="0" w:firstColumn="0" w:lastColumn="0" w:oddVBand="0" w:evenVBand="0" w:oddHBand="0" w:evenHBand="0" w:firstRowFirstColumn="0" w:firstRowLastColumn="0" w:lastRowFirstColumn="0" w:lastRowLastColumn="0"/>
            </w:pPr>
            <w:r>
              <w:t>7 380</w:t>
            </w:r>
          </w:p>
        </w:tc>
        <w:tc>
          <w:tcPr>
            <w:tcW w:w="868" w:type="dxa"/>
          </w:tcPr>
          <w:p w14:paraId="7549018C" w14:textId="77777777" w:rsidR="00964B88" w:rsidRDefault="00964B88">
            <w:pPr>
              <w:cnfStyle w:val="000000000000" w:firstRow="0" w:lastRow="0" w:firstColumn="0" w:lastColumn="0" w:oddVBand="0" w:evenVBand="0" w:oddHBand="0" w:evenHBand="0" w:firstRowFirstColumn="0" w:firstRowLastColumn="0" w:lastRowFirstColumn="0" w:lastRowLastColumn="0"/>
            </w:pPr>
            <w:r>
              <w:t>7 899</w:t>
            </w:r>
          </w:p>
        </w:tc>
      </w:tr>
      <w:tr w:rsidR="00964B88" w14:paraId="05B195E4"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3C0037D6" w14:textId="77777777" w:rsidR="00964B88" w:rsidRDefault="00964B88">
            <w:r>
              <w:t>Interest received</w:t>
            </w:r>
          </w:p>
        </w:tc>
        <w:tc>
          <w:tcPr>
            <w:tcW w:w="867" w:type="dxa"/>
            <w:gridSpan w:val="2"/>
          </w:tcPr>
          <w:p w14:paraId="6F6AE84D" w14:textId="77777777" w:rsidR="00964B88" w:rsidRDefault="00964B88">
            <w:pPr>
              <w:cnfStyle w:val="000000000000" w:firstRow="0" w:lastRow="0" w:firstColumn="0" w:lastColumn="0" w:oddVBand="0" w:evenVBand="0" w:oddHBand="0" w:evenHBand="0" w:firstRowFirstColumn="0" w:firstRowLastColumn="0" w:lastRowFirstColumn="0" w:lastRowLastColumn="0"/>
            </w:pPr>
            <w:r>
              <w:t>81</w:t>
            </w:r>
          </w:p>
        </w:tc>
        <w:tc>
          <w:tcPr>
            <w:tcW w:w="867" w:type="dxa"/>
          </w:tcPr>
          <w:p w14:paraId="735ED0D3" w14:textId="77777777" w:rsidR="00964B88" w:rsidRDefault="00964B88">
            <w:pPr>
              <w:cnfStyle w:val="000000000000" w:firstRow="0" w:lastRow="0" w:firstColumn="0" w:lastColumn="0" w:oddVBand="0" w:evenVBand="0" w:oddHBand="0" w:evenHBand="0" w:firstRowFirstColumn="0" w:firstRowLastColumn="0" w:lastRowFirstColumn="0" w:lastRowLastColumn="0"/>
            </w:pPr>
            <w:r>
              <w:t>94</w:t>
            </w:r>
          </w:p>
        </w:tc>
        <w:tc>
          <w:tcPr>
            <w:tcW w:w="868" w:type="dxa"/>
          </w:tcPr>
          <w:p w14:paraId="177E1C6D" w14:textId="77777777" w:rsidR="00964B88" w:rsidRDefault="00964B88">
            <w:pPr>
              <w:cnfStyle w:val="000000000000" w:firstRow="0" w:lastRow="0" w:firstColumn="0" w:lastColumn="0" w:oddVBand="0" w:evenVBand="0" w:oddHBand="0" w:evenHBand="0" w:firstRowFirstColumn="0" w:firstRowLastColumn="0" w:lastRowFirstColumn="0" w:lastRowLastColumn="0"/>
            </w:pPr>
            <w:r>
              <w:t>46</w:t>
            </w:r>
          </w:p>
        </w:tc>
        <w:tc>
          <w:tcPr>
            <w:tcW w:w="867" w:type="dxa"/>
          </w:tcPr>
          <w:p w14:paraId="5C15391E" w14:textId="77777777" w:rsidR="00964B88" w:rsidRDefault="00964B88">
            <w:pPr>
              <w:cnfStyle w:val="000000000000" w:firstRow="0" w:lastRow="0" w:firstColumn="0" w:lastColumn="0" w:oddVBand="0" w:evenVBand="0" w:oddHBand="0" w:evenHBand="0" w:firstRowFirstColumn="0" w:firstRowLastColumn="0" w:lastRowFirstColumn="0" w:lastRowLastColumn="0"/>
            </w:pPr>
            <w:r>
              <w:t>28</w:t>
            </w:r>
          </w:p>
        </w:tc>
        <w:tc>
          <w:tcPr>
            <w:tcW w:w="868" w:type="dxa"/>
          </w:tcPr>
          <w:p w14:paraId="353D2497" w14:textId="77777777" w:rsidR="00964B88" w:rsidRDefault="00964B88">
            <w:pPr>
              <w:cnfStyle w:val="000000000000" w:firstRow="0" w:lastRow="0" w:firstColumn="0" w:lastColumn="0" w:oddVBand="0" w:evenVBand="0" w:oddHBand="0" w:evenHBand="0" w:firstRowFirstColumn="0" w:firstRowLastColumn="0" w:lastRowFirstColumn="0" w:lastRowLastColumn="0"/>
            </w:pPr>
            <w:r>
              <w:t>21</w:t>
            </w:r>
          </w:p>
        </w:tc>
      </w:tr>
      <w:tr w:rsidR="00964B88" w14:paraId="1D6AA8A1"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08D007ED" w14:textId="77777777" w:rsidR="00964B88" w:rsidRDefault="00964B88">
            <w:r>
              <w:t>Dividend receipts</w:t>
            </w:r>
          </w:p>
        </w:tc>
        <w:tc>
          <w:tcPr>
            <w:tcW w:w="867" w:type="dxa"/>
            <w:gridSpan w:val="2"/>
          </w:tcPr>
          <w:p w14:paraId="2FCCB623" w14:textId="77777777" w:rsidR="00964B88" w:rsidRDefault="00964B88">
            <w:pPr>
              <w:cnfStyle w:val="000000000000" w:firstRow="0" w:lastRow="0" w:firstColumn="0" w:lastColumn="0" w:oddVBand="0" w:evenVBand="0" w:oddHBand="0" w:evenHBand="0" w:firstRowFirstColumn="0" w:firstRowLastColumn="0" w:lastRowFirstColumn="0" w:lastRowLastColumn="0"/>
            </w:pPr>
            <w:r>
              <w:t>22</w:t>
            </w:r>
          </w:p>
        </w:tc>
        <w:tc>
          <w:tcPr>
            <w:tcW w:w="867" w:type="dxa"/>
          </w:tcPr>
          <w:p w14:paraId="5B74288A" w14:textId="77777777" w:rsidR="00964B88" w:rsidRDefault="00964B88">
            <w:pPr>
              <w:cnfStyle w:val="000000000000" w:firstRow="0" w:lastRow="0" w:firstColumn="0" w:lastColumn="0" w:oddVBand="0" w:evenVBand="0" w:oddHBand="0" w:evenHBand="0" w:firstRowFirstColumn="0" w:firstRowLastColumn="0" w:lastRowFirstColumn="0" w:lastRowLastColumn="0"/>
            </w:pPr>
            <w:r>
              <w:t>24</w:t>
            </w:r>
          </w:p>
        </w:tc>
        <w:tc>
          <w:tcPr>
            <w:tcW w:w="868" w:type="dxa"/>
          </w:tcPr>
          <w:p w14:paraId="12442F72" w14:textId="77777777" w:rsidR="00964B88" w:rsidRDefault="00964B88">
            <w:pPr>
              <w:cnfStyle w:val="000000000000" w:firstRow="0" w:lastRow="0" w:firstColumn="0" w:lastColumn="0" w:oddVBand="0" w:evenVBand="0" w:oddHBand="0" w:evenHBand="0" w:firstRowFirstColumn="0" w:firstRowLastColumn="0" w:lastRowFirstColumn="0" w:lastRowLastColumn="0"/>
            </w:pPr>
            <w:r>
              <w:t>22</w:t>
            </w:r>
          </w:p>
        </w:tc>
        <w:tc>
          <w:tcPr>
            <w:tcW w:w="867" w:type="dxa"/>
          </w:tcPr>
          <w:p w14:paraId="5CDCDED0" w14:textId="77777777" w:rsidR="00964B88" w:rsidRDefault="00964B88">
            <w:pPr>
              <w:cnfStyle w:val="000000000000" w:firstRow="0" w:lastRow="0" w:firstColumn="0" w:lastColumn="0" w:oddVBand="0" w:evenVBand="0" w:oddHBand="0" w:evenHBand="0" w:firstRowFirstColumn="0" w:firstRowLastColumn="0" w:lastRowFirstColumn="0" w:lastRowLastColumn="0"/>
            </w:pPr>
            <w:r>
              <w:t>23</w:t>
            </w:r>
          </w:p>
        </w:tc>
        <w:tc>
          <w:tcPr>
            <w:tcW w:w="868" w:type="dxa"/>
          </w:tcPr>
          <w:p w14:paraId="205CA675" w14:textId="77777777" w:rsidR="00964B88" w:rsidRDefault="00964B88">
            <w:pPr>
              <w:cnfStyle w:val="000000000000" w:firstRow="0" w:lastRow="0" w:firstColumn="0" w:lastColumn="0" w:oddVBand="0" w:evenVBand="0" w:oddHBand="0" w:evenHBand="0" w:firstRowFirstColumn="0" w:firstRowLastColumn="0" w:lastRowFirstColumn="0" w:lastRowLastColumn="0"/>
            </w:pPr>
            <w:r>
              <w:t>24</w:t>
            </w:r>
          </w:p>
        </w:tc>
      </w:tr>
      <w:tr w:rsidR="00964B88" w14:paraId="40CD398C"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bottom w:val="single" w:sz="6" w:space="0" w:color="auto"/>
            </w:tcBorders>
          </w:tcPr>
          <w:p w14:paraId="1FD3DEF7" w14:textId="77777777" w:rsidR="00964B88" w:rsidRDefault="00964B88">
            <w:r>
              <w:t>Other receipts</w:t>
            </w:r>
          </w:p>
        </w:tc>
        <w:tc>
          <w:tcPr>
            <w:tcW w:w="867" w:type="dxa"/>
            <w:gridSpan w:val="2"/>
            <w:tcBorders>
              <w:bottom w:val="single" w:sz="6" w:space="0" w:color="auto"/>
            </w:tcBorders>
          </w:tcPr>
          <w:p w14:paraId="1E1D5F3B" w14:textId="77777777" w:rsidR="00964B88" w:rsidRDefault="00964B88">
            <w:pPr>
              <w:cnfStyle w:val="000000000000" w:firstRow="0" w:lastRow="0" w:firstColumn="0" w:lastColumn="0" w:oddVBand="0" w:evenVBand="0" w:oddHBand="0" w:evenHBand="0" w:firstRowFirstColumn="0" w:firstRowLastColumn="0" w:lastRowFirstColumn="0" w:lastRowLastColumn="0"/>
            </w:pPr>
            <w:r>
              <w:t>360</w:t>
            </w:r>
          </w:p>
        </w:tc>
        <w:tc>
          <w:tcPr>
            <w:tcW w:w="867" w:type="dxa"/>
            <w:tcBorders>
              <w:bottom w:val="single" w:sz="6" w:space="0" w:color="auto"/>
            </w:tcBorders>
          </w:tcPr>
          <w:p w14:paraId="67DB286F" w14:textId="77777777" w:rsidR="00964B88" w:rsidRDefault="00964B88">
            <w:pPr>
              <w:cnfStyle w:val="000000000000" w:firstRow="0" w:lastRow="0" w:firstColumn="0" w:lastColumn="0" w:oddVBand="0" w:evenVBand="0" w:oddHBand="0" w:evenHBand="0" w:firstRowFirstColumn="0" w:firstRowLastColumn="0" w:lastRowFirstColumn="0" w:lastRowLastColumn="0"/>
            </w:pPr>
            <w:r>
              <w:t>334</w:t>
            </w:r>
          </w:p>
        </w:tc>
        <w:tc>
          <w:tcPr>
            <w:tcW w:w="868" w:type="dxa"/>
            <w:tcBorders>
              <w:bottom w:val="single" w:sz="6" w:space="0" w:color="auto"/>
            </w:tcBorders>
          </w:tcPr>
          <w:p w14:paraId="5DAB0789" w14:textId="77777777" w:rsidR="00964B88" w:rsidRDefault="00964B88">
            <w:pPr>
              <w:cnfStyle w:val="000000000000" w:firstRow="0" w:lastRow="0" w:firstColumn="0" w:lastColumn="0" w:oddVBand="0" w:evenVBand="0" w:oddHBand="0" w:evenHBand="0" w:firstRowFirstColumn="0" w:firstRowLastColumn="0" w:lastRowFirstColumn="0" w:lastRowLastColumn="0"/>
            </w:pPr>
            <w:r>
              <w:t>323</w:t>
            </w:r>
          </w:p>
        </w:tc>
        <w:tc>
          <w:tcPr>
            <w:tcW w:w="867" w:type="dxa"/>
            <w:tcBorders>
              <w:bottom w:val="single" w:sz="6" w:space="0" w:color="auto"/>
            </w:tcBorders>
          </w:tcPr>
          <w:p w14:paraId="054CEB1D" w14:textId="77777777" w:rsidR="00964B88" w:rsidRDefault="00964B88">
            <w:pPr>
              <w:cnfStyle w:val="000000000000" w:firstRow="0" w:lastRow="0" w:firstColumn="0" w:lastColumn="0" w:oddVBand="0" w:evenVBand="0" w:oddHBand="0" w:evenHBand="0" w:firstRowFirstColumn="0" w:firstRowLastColumn="0" w:lastRowFirstColumn="0" w:lastRowLastColumn="0"/>
            </w:pPr>
            <w:r>
              <w:t>305</w:t>
            </w:r>
          </w:p>
        </w:tc>
        <w:tc>
          <w:tcPr>
            <w:tcW w:w="868" w:type="dxa"/>
            <w:tcBorders>
              <w:bottom w:val="single" w:sz="6" w:space="0" w:color="auto"/>
            </w:tcBorders>
          </w:tcPr>
          <w:p w14:paraId="72E470ED" w14:textId="77777777" w:rsidR="00964B88" w:rsidRDefault="00964B88">
            <w:pPr>
              <w:cnfStyle w:val="000000000000" w:firstRow="0" w:lastRow="0" w:firstColumn="0" w:lastColumn="0" w:oddVBand="0" w:evenVBand="0" w:oddHBand="0" w:evenHBand="0" w:firstRowFirstColumn="0" w:firstRowLastColumn="0" w:lastRowFirstColumn="0" w:lastRowLastColumn="0"/>
            </w:pPr>
            <w:r>
              <w:t>185</w:t>
            </w:r>
          </w:p>
        </w:tc>
      </w:tr>
      <w:tr w:rsidR="00964B88" w14:paraId="5754176D"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top w:val="single" w:sz="6" w:space="0" w:color="auto"/>
            </w:tcBorders>
          </w:tcPr>
          <w:p w14:paraId="1C2576AB" w14:textId="77777777" w:rsidR="00964B88" w:rsidRDefault="00964B88">
            <w:r>
              <w:rPr>
                <w:b/>
              </w:rPr>
              <w:t>Total receipts</w:t>
            </w:r>
          </w:p>
        </w:tc>
        <w:tc>
          <w:tcPr>
            <w:tcW w:w="867" w:type="dxa"/>
            <w:gridSpan w:val="2"/>
            <w:tcBorders>
              <w:top w:val="single" w:sz="6" w:space="0" w:color="auto"/>
            </w:tcBorders>
          </w:tcPr>
          <w:p w14:paraId="64464A8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11 665</w:t>
            </w:r>
          </w:p>
        </w:tc>
        <w:tc>
          <w:tcPr>
            <w:tcW w:w="867" w:type="dxa"/>
            <w:tcBorders>
              <w:top w:val="single" w:sz="6" w:space="0" w:color="auto"/>
            </w:tcBorders>
          </w:tcPr>
          <w:p w14:paraId="77A6C12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11 454</w:t>
            </w:r>
          </w:p>
        </w:tc>
        <w:tc>
          <w:tcPr>
            <w:tcW w:w="868" w:type="dxa"/>
            <w:tcBorders>
              <w:top w:val="single" w:sz="6" w:space="0" w:color="auto"/>
            </w:tcBorders>
          </w:tcPr>
          <w:p w14:paraId="534E309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11 754</w:t>
            </w:r>
          </w:p>
        </w:tc>
        <w:tc>
          <w:tcPr>
            <w:tcW w:w="867" w:type="dxa"/>
            <w:tcBorders>
              <w:top w:val="single" w:sz="6" w:space="0" w:color="auto"/>
            </w:tcBorders>
          </w:tcPr>
          <w:p w14:paraId="79AB0F4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11 739</w:t>
            </w:r>
          </w:p>
        </w:tc>
        <w:tc>
          <w:tcPr>
            <w:tcW w:w="868" w:type="dxa"/>
            <w:tcBorders>
              <w:top w:val="single" w:sz="6" w:space="0" w:color="auto"/>
            </w:tcBorders>
          </w:tcPr>
          <w:p w14:paraId="3275413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12 225</w:t>
            </w:r>
          </w:p>
        </w:tc>
      </w:tr>
      <w:tr w:rsidR="00964B88" w14:paraId="402FBF70"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501383C4" w14:textId="77777777" w:rsidR="00964B88" w:rsidRDefault="00964B88">
            <w:r>
              <w:rPr>
                <w:b/>
              </w:rPr>
              <w:t>Payments</w:t>
            </w:r>
          </w:p>
        </w:tc>
        <w:tc>
          <w:tcPr>
            <w:tcW w:w="867" w:type="dxa"/>
            <w:gridSpan w:val="2"/>
          </w:tcPr>
          <w:p w14:paraId="17B2E7D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45761E8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5F7E8DB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1510844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35B01C0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64959D2"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02CFFA71" w14:textId="77777777" w:rsidR="00964B88" w:rsidRDefault="00964B88">
            <w:r>
              <w:t>Payments for employees</w:t>
            </w:r>
          </w:p>
        </w:tc>
        <w:tc>
          <w:tcPr>
            <w:tcW w:w="867" w:type="dxa"/>
            <w:gridSpan w:val="2"/>
          </w:tcPr>
          <w:p w14:paraId="7FC770DA" w14:textId="77777777" w:rsidR="00964B88" w:rsidRDefault="00964B88">
            <w:pPr>
              <w:cnfStyle w:val="000000000000" w:firstRow="0" w:lastRow="0" w:firstColumn="0" w:lastColumn="0" w:oddVBand="0" w:evenVBand="0" w:oddHBand="0" w:evenHBand="0" w:firstRowFirstColumn="0" w:firstRowLastColumn="0" w:lastRowFirstColumn="0" w:lastRowLastColumn="0"/>
            </w:pPr>
            <w:r>
              <w:t>(1 402)</w:t>
            </w:r>
          </w:p>
        </w:tc>
        <w:tc>
          <w:tcPr>
            <w:tcW w:w="867" w:type="dxa"/>
          </w:tcPr>
          <w:p w14:paraId="2141570E" w14:textId="77777777" w:rsidR="00964B88" w:rsidRDefault="00964B88">
            <w:pPr>
              <w:cnfStyle w:val="000000000000" w:firstRow="0" w:lastRow="0" w:firstColumn="0" w:lastColumn="0" w:oddVBand="0" w:evenVBand="0" w:oddHBand="0" w:evenHBand="0" w:firstRowFirstColumn="0" w:firstRowLastColumn="0" w:lastRowFirstColumn="0" w:lastRowLastColumn="0"/>
            </w:pPr>
            <w:r>
              <w:t>(1 457)</w:t>
            </w:r>
          </w:p>
        </w:tc>
        <w:tc>
          <w:tcPr>
            <w:tcW w:w="868" w:type="dxa"/>
          </w:tcPr>
          <w:p w14:paraId="62B5883B" w14:textId="77777777" w:rsidR="00964B88" w:rsidRDefault="00964B88">
            <w:pPr>
              <w:cnfStyle w:val="000000000000" w:firstRow="0" w:lastRow="0" w:firstColumn="0" w:lastColumn="0" w:oddVBand="0" w:evenVBand="0" w:oddHBand="0" w:evenHBand="0" w:firstRowFirstColumn="0" w:firstRowLastColumn="0" w:lastRowFirstColumn="0" w:lastRowLastColumn="0"/>
            </w:pPr>
            <w:r>
              <w:t>(1 443)</w:t>
            </w:r>
          </w:p>
        </w:tc>
        <w:tc>
          <w:tcPr>
            <w:tcW w:w="867" w:type="dxa"/>
          </w:tcPr>
          <w:p w14:paraId="69381899" w14:textId="77777777" w:rsidR="00964B88" w:rsidRDefault="00964B88">
            <w:pPr>
              <w:cnfStyle w:val="000000000000" w:firstRow="0" w:lastRow="0" w:firstColumn="0" w:lastColumn="0" w:oddVBand="0" w:evenVBand="0" w:oddHBand="0" w:evenHBand="0" w:firstRowFirstColumn="0" w:firstRowLastColumn="0" w:lastRowFirstColumn="0" w:lastRowLastColumn="0"/>
            </w:pPr>
            <w:r>
              <w:t>(1 480)</w:t>
            </w:r>
          </w:p>
        </w:tc>
        <w:tc>
          <w:tcPr>
            <w:tcW w:w="868" w:type="dxa"/>
          </w:tcPr>
          <w:p w14:paraId="28148544" w14:textId="77777777" w:rsidR="00964B88" w:rsidRDefault="00964B88">
            <w:pPr>
              <w:cnfStyle w:val="000000000000" w:firstRow="0" w:lastRow="0" w:firstColumn="0" w:lastColumn="0" w:oddVBand="0" w:evenVBand="0" w:oddHBand="0" w:evenHBand="0" w:firstRowFirstColumn="0" w:firstRowLastColumn="0" w:lastRowFirstColumn="0" w:lastRowLastColumn="0"/>
            </w:pPr>
            <w:r>
              <w:t>(1 507)</w:t>
            </w:r>
          </w:p>
        </w:tc>
      </w:tr>
      <w:tr w:rsidR="00964B88" w14:paraId="3B4C0B94"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37079825" w14:textId="77777777" w:rsidR="00964B88" w:rsidRDefault="00964B88">
            <w:r>
              <w:t>Superannuation</w:t>
            </w:r>
          </w:p>
        </w:tc>
        <w:tc>
          <w:tcPr>
            <w:tcW w:w="867" w:type="dxa"/>
            <w:gridSpan w:val="2"/>
          </w:tcPr>
          <w:p w14:paraId="39648887" w14:textId="77777777" w:rsidR="00964B88" w:rsidRDefault="00964B88">
            <w:pPr>
              <w:cnfStyle w:val="000000000000" w:firstRow="0" w:lastRow="0" w:firstColumn="0" w:lastColumn="0" w:oddVBand="0" w:evenVBand="0" w:oddHBand="0" w:evenHBand="0" w:firstRowFirstColumn="0" w:firstRowLastColumn="0" w:lastRowFirstColumn="0" w:lastRowLastColumn="0"/>
            </w:pPr>
            <w:r>
              <w:t>(139)</w:t>
            </w:r>
          </w:p>
        </w:tc>
        <w:tc>
          <w:tcPr>
            <w:tcW w:w="867" w:type="dxa"/>
          </w:tcPr>
          <w:p w14:paraId="60D668A6" w14:textId="77777777" w:rsidR="00964B88" w:rsidRDefault="00964B88">
            <w:pPr>
              <w:cnfStyle w:val="000000000000" w:firstRow="0" w:lastRow="0" w:firstColumn="0" w:lastColumn="0" w:oddVBand="0" w:evenVBand="0" w:oddHBand="0" w:evenHBand="0" w:firstRowFirstColumn="0" w:firstRowLastColumn="0" w:lastRowFirstColumn="0" w:lastRowLastColumn="0"/>
            </w:pPr>
            <w:r>
              <w:t>(148)</w:t>
            </w:r>
          </w:p>
        </w:tc>
        <w:tc>
          <w:tcPr>
            <w:tcW w:w="868" w:type="dxa"/>
          </w:tcPr>
          <w:p w14:paraId="1C799EB2" w14:textId="77777777" w:rsidR="00964B88" w:rsidRDefault="00964B88">
            <w:pPr>
              <w:cnfStyle w:val="000000000000" w:firstRow="0" w:lastRow="0" w:firstColumn="0" w:lastColumn="0" w:oddVBand="0" w:evenVBand="0" w:oddHBand="0" w:evenHBand="0" w:firstRowFirstColumn="0" w:firstRowLastColumn="0" w:lastRowFirstColumn="0" w:lastRowLastColumn="0"/>
            </w:pPr>
            <w:r>
              <w:t>(142)</w:t>
            </w:r>
          </w:p>
        </w:tc>
        <w:tc>
          <w:tcPr>
            <w:tcW w:w="867" w:type="dxa"/>
          </w:tcPr>
          <w:p w14:paraId="00C9C5D8" w14:textId="77777777" w:rsidR="00964B88" w:rsidRDefault="00964B88">
            <w:pPr>
              <w:cnfStyle w:val="000000000000" w:firstRow="0" w:lastRow="0" w:firstColumn="0" w:lastColumn="0" w:oddVBand="0" w:evenVBand="0" w:oddHBand="0" w:evenHBand="0" w:firstRowFirstColumn="0" w:firstRowLastColumn="0" w:lastRowFirstColumn="0" w:lastRowLastColumn="0"/>
            </w:pPr>
            <w:r>
              <w:t>(149)</w:t>
            </w:r>
          </w:p>
        </w:tc>
        <w:tc>
          <w:tcPr>
            <w:tcW w:w="868" w:type="dxa"/>
          </w:tcPr>
          <w:p w14:paraId="57B7A544" w14:textId="77777777" w:rsidR="00964B88" w:rsidRDefault="00964B88">
            <w:pPr>
              <w:cnfStyle w:val="000000000000" w:firstRow="0" w:lastRow="0" w:firstColumn="0" w:lastColumn="0" w:oddVBand="0" w:evenVBand="0" w:oddHBand="0" w:evenHBand="0" w:firstRowFirstColumn="0" w:firstRowLastColumn="0" w:lastRowFirstColumn="0" w:lastRowLastColumn="0"/>
            </w:pPr>
            <w:r>
              <w:t>(154)</w:t>
            </w:r>
          </w:p>
        </w:tc>
      </w:tr>
      <w:tr w:rsidR="00964B88" w14:paraId="00CD19FD"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6F6504F4" w14:textId="77777777" w:rsidR="00964B88" w:rsidRDefault="00964B88">
            <w:r>
              <w:t>Interest paid</w:t>
            </w:r>
          </w:p>
        </w:tc>
        <w:tc>
          <w:tcPr>
            <w:tcW w:w="867" w:type="dxa"/>
            <w:gridSpan w:val="2"/>
          </w:tcPr>
          <w:p w14:paraId="117BFCD4" w14:textId="77777777" w:rsidR="00964B88" w:rsidRDefault="00964B88">
            <w:pPr>
              <w:cnfStyle w:val="000000000000" w:firstRow="0" w:lastRow="0" w:firstColumn="0" w:lastColumn="0" w:oddVBand="0" w:evenVBand="0" w:oddHBand="0" w:evenHBand="0" w:firstRowFirstColumn="0" w:firstRowLastColumn="0" w:lastRowFirstColumn="0" w:lastRowLastColumn="0"/>
            </w:pPr>
            <w:r>
              <w:t>(1 014)</w:t>
            </w:r>
          </w:p>
        </w:tc>
        <w:tc>
          <w:tcPr>
            <w:tcW w:w="867" w:type="dxa"/>
          </w:tcPr>
          <w:p w14:paraId="5C9F11FA" w14:textId="77777777" w:rsidR="00964B88" w:rsidRDefault="00964B88">
            <w:pPr>
              <w:cnfStyle w:val="000000000000" w:firstRow="0" w:lastRow="0" w:firstColumn="0" w:lastColumn="0" w:oddVBand="0" w:evenVBand="0" w:oddHBand="0" w:evenHBand="0" w:firstRowFirstColumn="0" w:firstRowLastColumn="0" w:lastRowFirstColumn="0" w:lastRowLastColumn="0"/>
            </w:pPr>
            <w:r>
              <w:t>(990)</w:t>
            </w:r>
          </w:p>
        </w:tc>
        <w:tc>
          <w:tcPr>
            <w:tcW w:w="868" w:type="dxa"/>
          </w:tcPr>
          <w:p w14:paraId="5D81902A" w14:textId="77777777" w:rsidR="00964B88" w:rsidRDefault="00964B88">
            <w:pPr>
              <w:cnfStyle w:val="000000000000" w:firstRow="0" w:lastRow="0" w:firstColumn="0" w:lastColumn="0" w:oddVBand="0" w:evenVBand="0" w:oddHBand="0" w:evenHBand="0" w:firstRowFirstColumn="0" w:firstRowLastColumn="0" w:lastRowFirstColumn="0" w:lastRowLastColumn="0"/>
            </w:pPr>
            <w:r>
              <w:t>(992)</w:t>
            </w:r>
          </w:p>
        </w:tc>
        <w:tc>
          <w:tcPr>
            <w:tcW w:w="867" w:type="dxa"/>
          </w:tcPr>
          <w:p w14:paraId="4E848E1F" w14:textId="77777777" w:rsidR="00964B88" w:rsidRDefault="00964B88">
            <w:pPr>
              <w:cnfStyle w:val="000000000000" w:firstRow="0" w:lastRow="0" w:firstColumn="0" w:lastColumn="0" w:oddVBand="0" w:evenVBand="0" w:oddHBand="0" w:evenHBand="0" w:firstRowFirstColumn="0" w:firstRowLastColumn="0" w:lastRowFirstColumn="0" w:lastRowLastColumn="0"/>
            </w:pPr>
            <w:r>
              <w:t>(977)</w:t>
            </w:r>
          </w:p>
        </w:tc>
        <w:tc>
          <w:tcPr>
            <w:tcW w:w="868" w:type="dxa"/>
          </w:tcPr>
          <w:p w14:paraId="4E4D268F" w14:textId="77777777" w:rsidR="00964B88" w:rsidRDefault="00964B88">
            <w:pPr>
              <w:cnfStyle w:val="000000000000" w:firstRow="0" w:lastRow="0" w:firstColumn="0" w:lastColumn="0" w:oddVBand="0" w:evenVBand="0" w:oddHBand="0" w:evenHBand="0" w:firstRowFirstColumn="0" w:firstRowLastColumn="0" w:lastRowFirstColumn="0" w:lastRowLastColumn="0"/>
            </w:pPr>
            <w:r>
              <w:t>(983)</w:t>
            </w:r>
          </w:p>
        </w:tc>
      </w:tr>
      <w:tr w:rsidR="00964B88" w14:paraId="550AD820"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576AB0D0" w14:textId="77777777" w:rsidR="00964B88" w:rsidRDefault="00964B88">
            <w:r>
              <w:t>Grants and subsidies</w:t>
            </w:r>
          </w:p>
        </w:tc>
        <w:tc>
          <w:tcPr>
            <w:tcW w:w="867" w:type="dxa"/>
            <w:gridSpan w:val="2"/>
          </w:tcPr>
          <w:p w14:paraId="330DF45B" w14:textId="77777777" w:rsidR="00964B88" w:rsidRDefault="00964B88">
            <w:pPr>
              <w:cnfStyle w:val="000000000000" w:firstRow="0" w:lastRow="0" w:firstColumn="0" w:lastColumn="0" w:oddVBand="0" w:evenVBand="0" w:oddHBand="0" w:evenHBand="0" w:firstRowFirstColumn="0" w:firstRowLastColumn="0" w:lastRowFirstColumn="0" w:lastRowLastColumn="0"/>
            </w:pPr>
            <w:r>
              <w:t>(94)</w:t>
            </w:r>
          </w:p>
        </w:tc>
        <w:tc>
          <w:tcPr>
            <w:tcW w:w="867" w:type="dxa"/>
          </w:tcPr>
          <w:p w14:paraId="39640F5D" w14:textId="77777777" w:rsidR="00964B88" w:rsidRDefault="00964B88">
            <w:pPr>
              <w:cnfStyle w:val="000000000000" w:firstRow="0" w:lastRow="0" w:firstColumn="0" w:lastColumn="0" w:oddVBand="0" w:evenVBand="0" w:oddHBand="0" w:evenHBand="0" w:firstRowFirstColumn="0" w:firstRowLastColumn="0" w:lastRowFirstColumn="0" w:lastRowLastColumn="0"/>
            </w:pPr>
            <w:r>
              <w:t>(99)</w:t>
            </w:r>
          </w:p>
        </w:tc>
        <w:tc>
          <w:tcPr>
            <w:tcW w:w="868" w:type="dxa"/>
          </w:tcPr>
          <w:p w14:paraId="4EAE477D" w14:textId="77777777" w:rsidR="00964B88" w:rsidRDefault="00964B88">
            <w:pPr>
              <w:cnfStyle w:val="000000000000" w:firstRow="0" w:lastRow="0" w:firstColumn="0" w:lastColumn="0" w:oddVBand="0" w:evenVBand="0" w:oddHBand="0" w:evenHBand="0" w:firstRowFirstColumn="0" w:firstRowLastColumn="0" w:lastRowFirstColumn="0" w:lastRowLastColumn="0"/>
            </w:pPr>
            <w:r>
              <w:t>(72)</w:t>
            </w:r>
          </w:p>
        </w:tc>
        <w:tc>
          <w:tcPr>
            <w:tcW w:w="867" w:type="dxa"/>
          </w:tcPr>
          <w:p w14:paraId="0EF9650C" w14:textId="77777777" w:rsidR="00964B88" w:rsidRDefault="00964B88">
            <w:pPr>
              <w:cnfStyle w:val="000000000000" w:firstRow="0" w:lastRow="0" w:firstColumn="0" w:lastColumn="0" w:oddVBand="0" w:evenVBand="0" w:oddHBand="0" w:evenHBand="0" w:firstRowFirstColumn="0" w:firstRowLastColumn="0" w:lastRowFirstColumn="0" w:lastRowLastColumn="0"/>
            </w:pPr>
            <w:r>
              <w:t>(56)</w:t>
            </w:r>
          </w:p>
        </w:tc>
        <w:tc>
          <w:tcPr>
            <w:tcW w:w="868" w:type="dxa"/>
          </w:tcPr>
          <w:p w14:paraId="10A640A6" w14:textId="77777777" w:rsidR="00964B88" w:rsidRDefault="00964B88">
            <w:pPr>
              <w:cnfStyle w:val="000000000000" w:firstRow="0" w:lastRow="0" w:firstColumn="0" w:lastColumn="0" w:oddVBand="0" w:evenVBand="0" w:oddHBand="0" w:evenHBand="0" w:firstRowFirstColumn="0" w:firstRowLastColumn="0" w:lastRowFirstColumn="0" w:lastRowLastColumn="0"/>
            </w:pPr>
            <w:r>
              <w:t>(49)</w:t>
            </w:r>
          </w:p>
        </w:tc>
      </w:tr>
      <w:tr w:rsidR="00964B88" w14:paraId="1F5412C3"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1C1229D4" w14:textId="77777777" w:rsidR="00964B88" w:rsidRDefault="00964B88">
            <w:r>
              <w:t>Goods and services</w:t>
            </w:r>
            <w:r>
              <w:rPr>
                <w:vertAlign w:val="superscript"/>
              </w:rPr>
              <w:t xml:space="preserve"> (a)</w:t>
            </w:r>
          </w:p>
        </w:tc>
        <w:tc>
          <w:tcPr>
            <w:tcW w:w="867" w:type="dxa"/>
            <w:gridSpan w:val="2"/>
          </w:tcPr>
          <w:p w14:paraId="7FDB7A8F" w14:textId="77777777" w:rsidR="00964B88" w:rsidRDefault="00964B88">
            <w:pPr>
              <w:cnfStyle w:val="000000000000" w:firstRow="0" w:lastRow="0" w:firstColumn="0" w:lastColumn="0" w:oddVBand="0" w:evenVBand="0" w:oddHBand="0" w:evenHBand="0" w:firstRowFirstColumn="0" w:firstRowLastColumn="0" w:lastRowFirstColumn="0" w:lastRowLastColumn="0"/>
            </w:pPr>
            <w:r>
              <w:t>(4 420)</w:t>
            </w:r>
          </w:p>
        </w:tc>
        <w:tc>
          <w:tcPr>
            <w:tcW w:w="867" w:type="dxa"/>
          </w:tcPr>
          <w:p w14:paraId="21F9CA45" w14:textId="77777777" w:rsidR="00964B88" w:rsidRDefault="00964B88">
            <w:pPr>
              <w:cnfStyle w:val="000000000000" w:firstRow="0" w:lastRow="0" w:firstColumn="0" w:lastColumn="0" w:oddVBand="0" w:evenVBand="0" w:oddHBand="0" w:evenHBand="0" w:firstRowFirstColumn="0" w:firstRowLastColumn="0" w:lastRowFirstColumn="0" w:lastRowLastColumn="0"/>
            </w:pPr>
            <w:r>
              <w:t>(4 573)</w:t>
            </w:r>
          </w:p>
        </w:tc>
        <w:tc>
          <w:tcPr>
            <w:tcW w:w="868" w:type="dxa"/>
          </w:tcPr>
          <w:p w14:paraId="06D17889" w14:textId="77777777" w:rsidR="00964B88" w:rsidRDefault="00964B88">
            <w:pPr>
              <w:cnfStyle w:val="000000000000" w:firstRow="0" w:lastRow="0" w:firstColumn="0" w:lastColumn="0" w:oddVBand="0" w:evenVBand="0" w:oddHBand="0" w:evenHBand="0" w:firstRowFirstColumn="0" w:firstRowLastColumn="0" w:lastRowFirstColumn="0" w:lastRowLastColumn="0"/>
            </w:pPr>
            <w:r>
              <w:t>(4 739)</w:t>
            </w:r>
          </w:p>
        </w:tc>
        <w:tc>
          <w:tcPr>
            <w:tcW w:w="867" w:type="dxa"/>
          </w:tcPr>
          <w:p w14:paraId="2D09CD7A" w14:textId="77777777" w:rsidR="00964B88" w:rsidRDefault="00964B88">
            <w:pPr>
              <w:cnfStyle w:val="000000000000" w:firstRow="0" w:lastRow="0" w:firstColumn="0" w:lastColumn="0" w:oddVBand="0" w:evenVBand="0" w:oddHBand="0" w:evenHBand="0" w:firstRowFirstColumn="0" w:firstRowLastColumn="0" w:lastRowFirstColumn="0" w:lastRowLastColumn="0"/>
            </w:pPr>
            <w:r>
              <w:t>(4 498)</w:t>
            </w:r>
          </w:p>
        </w:tc>
        <w:tc>
          <w:tcPr>
            <w:tcW w:w="868" w:type="dxa"/>
          </w:tcPr>
          <w:p w14:paraId="6C1C9384" w14:textId="77777777" w:rsidR="00964B88" w:rsidRDefault="00964B88">
            <w:pPr>
              <w:cnfStyle w:val="000000000000" w:firstRow="0" w:lastRow="0" w:firstColumn="0" w:lastColumn="0" w:oddVBand="0" w:evenVBand="0" w:oddHBand="0" w:evenHBand="0" w:firstRowFirstColumn="0" w:firstRowLastColumn="0" w:lastRowFirstColumn="0" w:lastRowLastColumn="0"/>
            </w:pPr>
            <w:r>
              <w:t>(4 959)</w:t>
            </w:r>
          </w:p>
        </w:tc>
      </w:tr>
      <w:tr w:rsidR="00964B88" w14:paraId="4F74F070"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bottom w:val="single" w:sz="6" w:space="0" w:color="auto"/>
            </w:tcBorders>
          </w:tcPr>
          <w:p w14:paraId="77607437" w14:textId="77777777" w:rsidR="00964B88" w:rsidRDefault="00964B88">
            <w:r>
              <w:t>Other payments</w:t>
            </w:r>
          </w:p>
        </w:tc>
        <w:tc>
          <w:tcPr>
            <w:tcW w:w="867" w:type="dxa"/>
            <w:gridSpan w:val="2"/>
            <w:tcBorders>
              <w:bottom w:val="single" w:sz="6" w:space="0" w:color="auto"/>
            </w:tcBorders>
          </w:tcPr>
          <w:p w14:paraId="4A5756B8" w14:textId="77777777" w:rsidR="00964B88" w:rsidRDefault="00964B88">
            <w:pPr>
              <w:cnfStyle w:val="000000000000" w:firstRow="0" w:lastRow="0" w:firstColumn="0" w:lastColumn="0" w:oddVBand="0" w:evenVBand="0" w:oddHBand="0" w:evenHBand="0" w:firstRowFirstColumn="0" w:firstRowLastColumn="0" w:lastRowFirstColumn="0" w:lastRowLastColumn="0"/>
            </w:pPr>
            <w:r>
              <w:t>(2 811)</w:t>
            </w:r>
          </w:p>
        </w:tc>
        <w:tc>
          <w:tcPr>
            <w:tcW w:w="867" w:type="dxa"/>
            <w:tcBorders>
              <w:bottom w:val="single" w:sz="6" w:space="0" w:color="auto"/>
            </w:tcBorders>
          </w:tcPr>
          <w:p w14:paraId="13A6AAB0" w14:textId="77777777" w:rsidR="00964B88" w:rsidRDefault="00964B88">
            <w:pPr>
              <w:cnfStyle w:val="000000000000" w:firstRow="0" w:lastRow="0" w:firstColumn="0" w:lastColumn="0" w:oddVBand="0" w:evenVBand="0" w:oddHBand="0" w:evenHBand="0" w:firstRowFirstColumn="0" w:firstRowLastColumn="0" w:lastRowFirstColumn="0" w:lastRowLastColumn="0"/>
            </w:pPr>
            <w:r>
              <w:t>(2 894)</w:t>
            </w:r>
          </w:p>
        </w:tc>
        <w:tc>
          <w:tcPr>
            <w:tcW w:w="868" w:type="dxa"/>
            <w:tcBorders>
              <w:bottom w:val="single" w:sz="6" w:space="0" w:color="auto"/>
            </w:tcBorders>
          </w:tcPr>
          <w:p w14:paraId="7BEECD3E" w14:textId="77777777" w:rsidR="00964B88" w:rsidRDefault="00964B88">
            <w:pPr>
              <w:cnfStyle w:val="000000000000" w:firstRow="0" w:lastRow="0" w:firstColumn="0" w:lastColumn="0" w:oddVBand="0" w:evenVBand="0" w:oddHBand="0" w:evenHBand="0" w:firstRowFirstColumn="0" w:firstRowLastColumn="0" w:lastRowFirstColumn="0" w:lastRowLastColumn="0"/>
            </w:pPr>
            <w:r>
              <w:t>(2 851)</w:t>
            </w:r>
          </w:p>
        </w:tc>
        <w:tc>
          <w:tcPr>
            <w:tcW w:w="867" w:type="dxa"/>
            <w:tcBorders>
              <w:bottom w:val="single" w:sz="6" w:space="0" w:color="auto"/>
            </w:tcBorders>
          </w:tcPr>
          <w:p w14:paraId="1344C347" w14:textId="77777777" w:rsidR="00964B88" w:rsidRDefault="00964B88">
            <w:pPr>
              <w:cnfStyle w:val="000000000000" w:firstRow="0" w:lastRow="0" w:firstColumn="0" w:lastColumn="0" w:oddVBand="0" w:evenVBand="0" w:oddHBand="0" w:evenHBand="0" w:firstRowFirstColumn="0" w:firstRowLastColumn="0" w:lastRowFirstColumn="0" w:lastRowLastColumn="0"/>
            </w:pPr>
            <w:r>
              <w:t>(2 957)</w:t>
            </w:r>
          </w:p>
        </w:tc>
        <w:tc>
          <w:tcPr>
            <w:tcW w:w="868" w:type="dxa"/>
            <w:tcBorders>
              <w:bottom w:val="single" w:sz="6" w:space="0" w:color="auto"/>
            </w:tcBorders>
          </w:tcPr>
          <w:p w14:paraId="50044918" w14:textId="77777777" w:rsidR="00964B88" w:rsidRDefault="00964B88">
            <w:pPr>
              <w:cnfStyle w:val="000000000000" w:firstRow="0" w:lastRow="0" w:firstColumn="0" w:lastColumn="0" w:oddVBand="0" w:evenVBand="0" w:oddHBand="0" w:evenHBand="0" w:firstRowFirstColumn="0" w:firstRowLastColumn="0" w:lastRowFirstColumn="0" w:lastRowLastColumn="0"/>
            </w:pPr>
            <w:r>
              <w:t>(3 053)</w:t>
            </w:r>
          </w:p>
        </w:tc>
      </w:tr>
      <w:tr w:rsidR="00964B88" w14:paraId="4A9C7171"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top w:val="single" w:sz="6" w:space="0" w:color="auto"/>
              <w:bottom w:val="single" w:sz="6" w:space="0" w:color="auto"/>
            </w:tcBorders>
          </w:tcPr>
          <w:p w14:paraId="5438E6E8" w14:textId="77777777" w:rsidR="00964B88" w:rsidRDefault="00964B88">
            <w:r>
              <w:rPr>
                <w:b/>
              </w:rPr>
              <w:t>Total payments</w:t>
            </w:r>
          </w:p>
        </w:tc>
        <w:tc>
          <w:tcPr>
            <w:tcW w:w="867" w:type="dxa"/>
            <w:gridSpan w:val="2"/>
            <w:tcBorders>
              <w:top w:val="single" w:sz="6" w:space="0" w:color="auto"/>
              <w:bottom w:val="single" w:sz="6" w:space="0" w:color="auto"/>
            </w:tcBorders>
          </w:tcPr>
          <w:p w14:paraId="25FF338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(9 881)</w:t>
            </w:r>
          </w:p>
        </w:tc>
        <w:tc>
          <w:tcPr>
            <w:tcW w:w="867" w:type="dxa"/>
            <w:tcBorders>
              <w:top w:val="single" w:sz="6" w:space="0" w:color="auto"/>
              <w:bottom w:val="single" w:sz="6" w:space="0" w:color="auto"/>
            </w:tcBorders>
          </w:tcPr>
          <w:p w14:paraId="4A69062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(10 161)</w:t>
            </w:r>
          </w:p>
        </w:tc>
        <w:tc>
          <w:tcPr>
            <w:tcW w:w="868" w:type="dxa"/>
            <w:tcBorders>
              <w:top w:val="single" w:sz="6" w:space="0" w:color="auto"/>
              <w:bottom w:val="single" w:sz="6" w:space="0" w:color="auto"/>
            </w:tcBorders>
          </w:tcPr>
          <w:p w14:paraId="3A1D076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(10 240)</w:t>
            </w:r>
          </w:p>
        </w:tc>
        <w:tc>
          <w:tcPr>
            <w:tcW w:w="867" w:type="dxa"/>
            <w:tcBorders>
              <w:top w:val="single" w:sz="6" w:space="0" w:color="auto"/>
              <w:bottom w:val="single" w:sz="6" w:space="0" w:color="auto"/>
            </w:tcBorders>
          </w:tcPr>
          <w:p w14:paraId="06B1544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(10 117)</w:t>
            </w:r>
          </w:p>
        </w:tc>
        <w:tc>
          <w:tcPr>
            <w:tcW w:w="868" w:type="dxa"/>
            <w:tcBorders>
              <w:top w:val="single" w:sz="6" w:space="0" w:color="auto"/>
              <w:bottom w:val="single" w:sz="6" w:space="0" w:color="auto"/>
            </w:tcBorders>
          </w:tcPr>
          <w:p w14:paraId="5BFB168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(10 705)</w:t>
            </w:r>
          </w:p>
        </w:tc>
      </w:tr>
      <w:tr w:rsidR="00964B88" w14:paraId="537BA424"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top w:val="single" w:sz="6" w:space="0" w:color="auto"/>
            </w:tcBorders>
          </w:tcPr>
          <w:p w14:paraId="6EB8D690" w14:textId="77777777" w:rsidR="00964B88" w:rsidRDefault="00964B88">
            <w:r>
              <w:rPr>
                <w:b/>
              </w:rPr>
              <w:t>Net cash flows from operating activities</w:t>
            </w:r>
          </w:p>
        </w:tc>
        <w:tc>
          <w:tcPr>
            <w:tcW w:w="867" w:type="dxa"/>
            <w:gridSpan w:val="2"/>
            <w:tcBorders>
              <w:top w:val="single" w:sz="6" w:space="0" w:color="auto"/>
            </w:tcBorders>
          </w:tcPr>
          <w:p w14:paraId="440C3C5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1 784</w:t>
            </w:r>
          </w:p>
        </w:tc>
        <w:tc>
          <w:tcPr>
            <w:tcW w:w="867" w:type="dxa"/>
            <w:tcBorders>
              <w:top w:val="single" w:sz="6" w:space="0" w:color="auto"/>
            </w:tcBorders>
          </w:tcPr>
          <w:p w14:paraId="247389F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1 293</w:t>
            </w:r>
          </w:p>
        </w:tc>
        <w:tc>
          <w:tcPr>
            <w:tcW w:w="868" w:type="dxa"/>
            <w:tcBorders>
              <w:top w:val="single" w:sz="6" w:space="0" w:color="auto"/>
            </w:tcBorders>
          </w:tcPr>
          <w:p w14:paraId="7F813AB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1 514</w:t>
            </w:r>
          </w:p>
        </w:tc>
        <w:tc>
          <w:tcPr>
            <w:tcW w:w="867" w:type="dxa"/>
            <w:tcBorders>
              <w:top w:val="single" w:sz="6" w:space="0" w:color="auto"/>
            </w:tcBorders>
          </w:tcPr>
          <w:p w14:paraId="1BB7A60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1 622</w:t>
            </w:r>
          </w:p>
        </w:tc>
        <w:tc>
          <w:tcPr>
            <w:tcW w:w="868" w:type="dxa"/>
            <w:tcBorders>
              <w:top w:val="single" w:sz="6" w:space="0" w:color="auto"/>
            </w:tcBorders>
          </w:tcPr>
          <w:p w14:paraId="6F6A138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1 520</w:t>
            </w:r>
          </w:p>
        </w:tc>
      </w:tr>
      <w:tr w:rsidR="00964B88" w14:paraId="402577DD"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4954D637" w14:textId="77777777" w:rsidR="00964B88" w:rsidRDefault="00964B88">
            <w:r>
              <w:rPr>
                <w:b/>
              </w:rPr>
              <w:t>Cash flows from investing activities</w:t>
            </w:r>
          </w:p>
        </w:tc>
        <w:tc>
          <w:tcPr>
            <w:tcW w:w="867" w:type="dxa"/>
            <w:gridSpan w:val="2"/>
          </w:tcPr>
          <w:p w14:paraId="56AACD5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7194D99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766BBB1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1DF611C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04154C8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40046377" w14:textId="77777777" w:rsidTr="00D13450">
        <w:tc>
          <w:tcPr>
            <w:cnfStyle w:val="001000000000" w:firstRow="0" w:lastRow="0" w:firstColumn="1" w:lastColumn="0" w:oddVBand="0" w:evenVBand="0" w:oddHBand="0" w:evenHBand="0" w:firstRowFirstColumn="0" w:firstRowLastColumn="0" w:lastRowFirstColumn="0" w:lastRowLastColumn="0"/>
            <w:tcW w:w="3998" w:type="dxa"/>
            <w:gridSpan w:val="2"/>
          </w:tcPr>
          <w:p w14:paraId="78742230" w14:textId="77777777" w:rsidR="00964B88" w:rsidRDefault="00964B88">
            <w:r>
              <w:rPr>
                <w:b/>
              </w:rPr>
              <w:t>Cash flows from investments in non</w:t>
            </w:r>
            <w:r>
              <w:rPr>
                <w:b/>
              </w:rPr>
              <w:noBreakHyphen/>
              <w:t>financial assets</w:t>
            </w:r>
          </w:p>
        </w:tc>
        <w:tc>
          <w:tcPr>
            <w:tcW w:w="300" w:type="dxa"/>
          </w:tcPr>
          <w:p w14:paraId="1A50818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1D85D5B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32646D6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51C5CA6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2BF3B8C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9A9699D"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0368966A" w14:textId="77777777" w:rsidR="00964B88" w:rsidRDefault="00964B88">
            <w:r>
              <w:t>Purchases of non</w:t>
            </w:r>
            <w:r>
              <w:noBreakHyphen/>
              <w:t>financial assets</w:t>
            </w:r>
          </w:p>
        </w:tc>
        <w:tc>
          <w:tcPr>
            <w:tcW w:w="867" w:type="dxa"/>
            <w:gridSpan w:val="2"/>
          </w:tcPr>
          <w:p w14:paraId="5E5F0D3D" w14:textId="77777777" w:rsidR="00964B88" w:rsidRDefault="00964B88">
            <w:pPr>
              <w:cnfStyle w:val="000000000000" w:firstRow="0" w:lastRow="0" w:firstColumn="0" w:lastColumn="0" w:oddVBand="0" w:evenVBand="0" w:oddHBand="0" w:evenHBand="0" w:firstRowFirstColumn="0" w:firstRowLastColumn="0" w:lastRowFirstColumn="0" w:lastRowLastColumn="0"/>
            </w:pPr>
            <w:r>
              <w:t>(3 128)</w:t>
            </w:r>
          </w:p>
        </w:tc>
        <w:tc>
          <w:tcPr>
            <w:tcW w:w="867" w:type="dxa"/>
          </w:tcPr>
          <w:p w14:paraId="7F8BC7DB" w14:textId="77777777" w:rsidR="00964B88" w:rsidRDefault="00964B88">
            <w:pPr>
              <w:cnfStyle w:val="000000000000" w:firstRow="0" w:lastRow="0" w:firstColumn="0" w:lastColumn="0" w:oddVBand="0" w:evenVBand="0" w:oddHBand="0" w:evenHBand="0" w:firstRowFirstColumn="0" w:firstRowLastColumn="0" w:lastRowFirstColumn="0" w:lastRowLastColumn="0"/>
            </w:pPr>
            <w:r>
              <w:t>(3 367)</w:t>
            </w:r>
          </w:p>
        </w:tc>
        <w:tc>
          <w:tcPr>
            <w:tcW w:w="868" w:type="dxa"/>
          </w:tcPr>
          <w:p w14:paraId="307F0F93" w14:textId="77777777" w:rsidR="00964B88" w:rsidRDefault="00964B88">
            <w:pPr>
              <w:cnfStyle w:val="000000000000" w:firstRow="0" w:lastRow="0" w:firstColumn="0" w:lastColumn="0" w:oddVBand="0" w:evenVBand="0" w:oddHBand="0" w:evenHBand="0" w:firstRowFirstColumn="0" w:firstRowLastColumn="0" w:lastRowFirstColumn="0" w:lastRowLastColumn="0"/>
            </w:pPr>
            <w:r>
              <w:t>(2 303)</w:t>
            </w:r>
          </w:p>
        </w:tc>
        <w:tc>
          <w:tcPr>
            <w:tcW w:w="867" w:type="dxa"/>
          </w:tcPr>
          <w:p w14:paraId="15854D5A" w14:textId="77777777" w:rsidR="00964B88" w:rsidRDefault="00964B88">
            <w:pPr>
              <w:cnfStyle w:val="000000000000" w:firstRow="0" w:lastRow="0" w:firstColumn="0" w:lastColumn="0" w:oddVBand="0" w:evenVBand="0" w:oddHBand="0" w:evenHBand="0" w:firstRowFirstColumn="0" w:firstRowLastColumn="0" w:lastRowFirstColumn="0" w:lastRowLastColumn="0"/>
            </w:pPr>
            <w:r>
              <w:t>(2 533)</w:t>
            </w:r>
          </w:p>
        </w:tc>
        <w:tc>
          <w:tcPr>
            <w:tcW w:w="868" w:type="dxa"/>
          </w:tcPr>
          <w:p w14:paraId="35F52C18" w14:textId="77777777" w:rsidR="00964B88" w:rsidRDefault="00964B88">
            <w:pPr>
              <w:cnfStyle w:val="000000000000" w:firstRow="0" w:lastRow="0" w:firstColumn="0" w:lastColumn="0" w:oddVBand="0" w:evenVBand="0" w:oddHBand="0" w:evenHBand="0" w:firstRowFirstColumn="0" w:firstRowLastColumn="0" w:lastRowFirstColumn="0" w:lastRowLastColumn="0"/>
            </w:pPr>
            <w:r>
              <w:t>(1 779)</w:t>
            </w:r>
          </w:p>
        </w:tc>
      </w:tr>
      <w:tr w:rsidR="00964B88" w14:paraId="19026B9F"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bottom w:val="single" w:sz="6" w:space="0" w:color="auto"/>
            </w:tcBorders>
          </w:tcPr>
          <w:p w14:paraId="13457E29" w14:textId="77777777" w:rsidR="00964B88" w:rsidRDefault="00964B88">
            <w:r>
              <w:t>Sales of non</w:t>
            </w:r>
            <w:r>
              <w:noBreakHyphen/>
              <w:t>financial assets</w:t>
            </w:r>
          </w:p>
        </w:tc>
        <w:tc>
          <w:tcPr>
            <w:tcW w:w="867" w:type="dxa"/>
            <w:gridSpan w:val="2"/>
            <w:tcBorders>
              <w:bottom w:val="single" w:sz="6" w:space="0" w:color="auto"/>
            </w:tcBorders>
          </w:tcPr>
          <w:p w14:paraId="6C05A15D" w14:textId="77777777" w:rsidR="00964B88" w:rsidRDefault="00964B88">
            <w:pPr>
              <w:cnfStyle w:val="000000000000" w:firstRow="0" w:lastRow="0" w:firstColumn="0" w:lastColumn="0" w:oddVBand="0" w:evenVBand="0" w:oddHBand="0" w:evenHBand="0" w:firstRowFirstColumn="0" w:firstRowLastColumn="0" w:lastRowFirstColumn="0" w:lastRowLastColumn="0"/>
            </w:pPr>
            <w:r>
              <w:t>295</w:t>
            </w:r>
          </w:p>
        </w:tc>
        <w:tc>
          <w:tcPr>
            <w:tcW w:w="867" w:type="dxa"/>
            <w:tcBorders>
              <w:bottom w:val="single" w:sz="6" w:space="0" w:color="auto"/>
            </w:tcBorders>
          </w:tcPr>
          <w:p w14:paraId="2F0C6F03" w14:textId="77777777" w:rsidR="00964B88" w:rsidRDefault="00964B88">
            <w:pPr>
              <w:cnfStyle w:val="000000000000" w:firstRow="0" w:lastRow="0" w:firstColumn="0" w:lastColumn="0" w:oddVBand="0" w:evenVBand="0" w:oddHBand="0" w:evenHBand="0" w:firstRowFirstColumn="0" w:firstRowLastColumn="0" w:lastRowFirstColumn="0" w:lastRowLastColumn="0"/>
            </w:pPr>
            <w:r>
              <w:t>774</w:t>
            </w:r>
          </w:p>
        </w:tc>
        <w:tc>
          <w:tcPr>
            <w:tcW w:w="868" w:type="dxa"/>
            <w:tcBorders>
              <w:bottom w:val="single" w:sz="6" w:space="0" w:color="auto"/>
            </w:tcBorders>
          </w:tcPr>
          <w:p w14:paraId="0B0B943E" w14:textId="77777777" w:rsidR="00964B88" w:rsidRDefault="00964B88">
            <w:pPr>
              <w:cnfStyle w:val="000000000000" w:firstRow="0" w:lastRow="0" w:firstColumn="0" w:lastColumn="0" w:oddVBand="0" w:evenVBand="0" w:oddHBand="0" w:evenHBand="0" w:firstRowFirstColumn="0" w:firstRowLastColumn="0" w:lastRowFirstColumn="0" w:lastRowLastColumn="0"/>
            </w:pPr>
            <w:r>
              <w:t>170</w:t>
            </w:r>
          </w:p>
        </w:tc>
        <w:tc>
          <w:tcPr>
            <w:tcW w:w="867" w:type="dxa"/>
            <w:tcBorders>
              <w:bottom w:val="single" w:sz="6" w:space="0" w:color="auto"/>
            </w:tcBorders>
          </w:tcPr>
          <w:p w14:paraId="5642D34E" w14:textId="77777777" w:rsidR="00964B88" w:rsidRDefault="00964B88">
            <w:pPr>
              <w:cnfStyle w:val="000000000000" w:firstRow="0" w:lastRow="0" w:firstColumn="0" w:lastColumn="0" w:oddVBand="0" w:evenVBand="0" w:oddHBand="0" w:evenHBand="0" w:firstRowFirstColumn="0" w:firstRowLastColumn="0" w:lastRowFirstColumn="0" w:lastRowLastColumn="0"/>
            </w:pPr>
            <w:r>
              <w:t>413</w:t>
            </w:r>
          </w:p>
        </w:tc>
        <w:tc>
          <w:tcPr>
            <w:tcW w:w="868" w:type="dxa"/>
            <w:tcBorders>
              <w:bottom w:val="single" w:sz="6" w:space="0" w:color="auto"/>
            </w:tcBorders>
          </w:tcPr>
          <w:p w14:paraId="5CB14DCC" w14:textId="77777777" w:rsidR="00964B88" w:rsidRDefault="00964B88">
            <w:pPr>
              <w:cnfStyle w:val="000000000000" w:firstRow="0" w:lastRow="0" w:firstColumn="0" w:lastColumn="0" w:oddVBand="0" w:evenVBand="0" w:oddHBand="0" w:evenHBand="0" w:firstRowFirstColumn="0" w:firstRowLastColumn="0" w:lastRowFirstColumn="0" w:lastRowLastColumn="0"/>
            </w:pPr>
            <w:r>
              <w:t>195</w:t>
            </w:r>
          </w:p>
        </w:tc>
      </w:tr>
      <w:tr w:rsidR="00964B88" w14:paraId="213C907F"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top w:val="single" w:sz="6" w:space="0" w:color="auto"/>
            </w:tcBorders>
          </w:tcPr>
          <w:p w14:paraId="0CE76471" w14:textId="77777777" w:rsidR="00964B88" w:rsidRDefault="00964B88">
            <w:r>
              <w:rPr>
                <w:b/>
              </w:rPr>
              <w:t>Net cash flows from investments in non</w:t>
            </w:r>
            <w:r>
              <w:rPr>
                <w:b/>
              </w:rPr>
              <w:noBreakHyphen/>
              <w:t>financial assets</w:t>
            </w:r>
          </w:p>
        </w:tc>
        <w:tc>
          <w:tcPr>
            <w:tcW w:w="867" w:type="dxa"/>
            <w:gridSpan w:val="2"/>
            <w:tcBorders>
              <w:top w:val="single" w:sz="6" w:space="0" w:color="auto"/>
            </w:tcBorders>
          </w:tcPr>
          <w:p w14:paraId="240506F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(2 833)</w:t>
            </w:r>
          </w:p>
        </w:tc>
        <w:tc>
          <w:tcPr>
            <w:tcW w:w="867" w:type="dxa"/>
            <w:tcBorders>
              <w:top w:val="single" w:sz="6" w:space="0" w:color="auto"/>
            </w:tcBorders>
          </w:tcPr>
          <w:p w14:paraId="6FE7EE6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(2 592)</w:t>
            </w:r>
          </w:p>
        </w:tc>
        <w:tc>
          <w:tcPr>
            <w:tcW w:w="868" w:type="dxa"/>
            <w:tcBorders>
              <w:top w:val="single" w:sz="6" w:space="0" w:color="auto"/>
            </w:tcBorders>
          </w:tcPr>
          <w:p w14:paraId="2FB15DE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(2 133)</w:t>
            </w:r>
          </w:p>
        </w:tc>
        <w:tc>
          <w:tcPr>
            <w:tcW w:w="867" w:type="dxa"/>
            <w:tcBorders>
              <w:top w:val="single" w:sz="6" w:space="0" w:color="auto"/>
            </w:tcBorders>
          </w:tcPr>
          <w:p w14:paraId="426D20A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(2 120)</w:t>
            </w:r>
          </w:p>
        </w:tc>
        <w:tc>
          <w:tcPr>
            <w:tcW w:w="868" w:type="dxa"/>
            <w:tcBorders>
              <w:top w:val="single" w:sz="6" w:space="0" w:color="auto"/>
            </w:tcBorders>
          </w:tcPr>
          <w:p w14:paraId="6F8A21B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(1 584)</w:t>
            </w:r>
          </w:p>
        </w:tc>
      </w:tr>
      <w:tr w:rsidR="00964B88" w14:paraId="77209006"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bottom w:val="single" w:sz="6" w:space="0" w:color="auto"/>
            </w:tcBorders>
          </w:tcPr>
          <w:p w14:paraId="2B802D55" w14:textId="77777777" w:rsidR="00964B88" w:rsidRDefault="00964B88">
            <w:r>
              <w:t>Net cash flows from investments in financial assets for policy purposes</w:t>
            </w:r>
          </w:p>
        </w:tc>
        <w:tc>
          <w:tcPr>
            <w:tcW w:w="867" w:type="dxa"/>
            <w:gridSpan w:val="2"/>
            <w:tcBorders>
              <w:bottom w:val="single" w:sz="6" w:space="0" w:color="auto"/>
            </w:tcBorders>
          </w:tcPr>
          <w:p w14:paraId="6F57DD82" w14:textId="77777777" w:rsidR="00964B88" w:rsidRDefault="00964B88">
            <w:pPr>
              <w:cnfStyle w:val="000000000000" w:firstRow="0" w:lastRow="0" w:firstColumn="0" w:lastColumn="0" w:oddVBand="0" w:evenVBand="0" w:oddHBand="0" w:evenHBand="0" w:firstRowFirstColumn="0" w:firstRowLastColumn="0" w:lastRowFirstColumn="0" w:lastRowLastColumn="0"/>
            </w:pPr>
            <w:r>
              <w:t>1 813</w:t>
            </w:r>
          </w:p>
        </w:tc>
        <w:tc>
          <w:tcPr>
            <w:tcW w:w="867" w:type="dxa"/>
            <w:tcBorders>
              <w:bottom w:val="single" w:sz="6" w:space="0" w:color="auto"/>
            </w:tcBorders>
          </w:tcPr>
          <w:p w14:paraId="18D9B6F2" w14:textId="77777777" w:rsidR="00964B88" w:rsidRDefault="00964B88">
            <w:pPr>
              <w:cnfStyle w:val="000000000000" w:firstRow="0" w:lastRow="0" w:firstColumn="0" w:lastColumn="0" w:oddVBand="0" w:evenVBand="0" w:oddHBand="0" w:evenHBand="0" w:firstRowFirstColumn="0" w:firstRowLastColumn="0" w:lastRowFirstColumn="0" w:lastRowLastColumn="0"/>
            </w:pPr>
            <w:r>
              <w:t>1 932</w:t>
            </w:r>
          </w:p>
        </w:tc>
        <w:tc>
          <w:tcPr>
            <w:tcW w:w="868" w:type="dxa"/>
            <w:tcBorders>
              <w:bottom w:val="single" w:sz="6" w:space="0" w:color="auto"/>
            </w:tcBorders>
          </w:tcPr>
          <w:p w14:paraId="734C18FC" w14:textId="77777777" w:rsidR="00964B88" w:rsidRDefault="00964B88">
            <w:pPr>
              <w:cnfStyle w:val="000000000000" w:firstRow="0" w:lastRow="0" w:firstColumn="0" w:lastColumn="0" w:oddVBand="0" w:evenVBand="0" w:oddHBand="0" w:evenHBand="0" w:firstRowFirstColumn="0" w:firstRowLastColumn="0" w:lastRowFirstColumn="0" w:lastRowLastColumn="0"/>
            </w:pPr>
            <w:r>
              <w:t>1 218</w:t>
            </w:r>
          </w:p>
        </w:tc>
        <w:tc>
          <w:tcPr>
            <w:tcW w:w="867" w:type="dxa"/>
            <w:tcBorders>
              <w:bottom w:val="single" w:sz="6" w:space="0" w:color="auto"/>
            </w:tcBorders>
          </w:tcPr>
          <w:p w14:paraId="496768CB" w14:textId="77777777" w:rsidR="00964B88" w:rsidRDefault="00964B88">
            <w:pPr>
              <w:cnfStyle w:val="000000000000" w:firstRow="0" w:lastRow="0" w:firstColumn="0" w:lastColumn="0" w:oddVBand="0" w:evenVBand="0" w:oddHBand="0" w:evenHBand="0" w:firstRowFirstColumn="0" w:firstRowLastColumn="0" w:lastRowFirstColumn="0" w:lastRowLastColumn="0"/>
            </w:pPr>
            <w:r>
              <w:t>534</w:t>
            </w:r>
          </w:p>
        </w:tc>
        <w:tc>
          <w:tcPr>
            <w:tcW w:w="868" w:type="dxa"/>
            <w:tcBorders>
              <w:bottom w:val="single" w:sz="6" w:space="0" w:color="auto"/>
            </w:tcBorders>
          </w:tcPr>
          <w:p w14:paraId="1F2C074B" w14:textId="77777777" w:rsidR="00964B88" w:rsidRDefault="00964B88">
            <w:pPr>
              <w:cnfStyle w:val="000000000000" w:firstRow="0" w:lastRow="0" w:firstColumn="0" w:lastColumn="0" w:oddVBand="0" w:evenVBand="0" w:oddHBand="0" w:evenHBand="0" w:firstRowFirstColumn="0" w:firstRowLastColumn="0" w:lastRowFirstColumn="0" w:lastRowLastColumn="0"/>
            </w:pPr>
            <w:r>
              <w:t>151</w:t>
            </w:r>
          </w:p>
        </w:tc>
      </w:tr>
      <w:tr w:rsidR="00964B88" w14:paraId="1FB7B816"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top w:val="single" w:sz="6" w:space="0" w:color="auto"/>
            </w:tcBorders>
          </w:tcPr>
          <w:p w14:paraId="374236D5" w14:textId="77777777" w:rsidR="00964B88" w:rsidRDefault="00964B88">
            <w:r>
              <w:rPr>
                <w:b/>
              </w:rPr>
              <w:t>Subtotal</w:t>
            </w:r>
          </w:p>
        </w:tc>
        <w:tc>
          <w:tcPr>
            <w:tcW w:w="867" w:type="dxa"/>
            <w:gridSpan w:val="2"/>
            <w:tcBorders>
              <w:top w:val="single" w:sz="6" w:space="0" w:color="auto"/>
            </w:tcBorders>
          </w:tcPr>
          <w:p w14:paraId="023E5E9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(1 020)</w:t>
            </w:r>
          </w:p>
        </w:tc>
        <w:tc>
          <w:tcPr>
            <w:tcW w:w="867" w:type="dxa"/>
            <w:tcBorders>
              <w:top w:val="single" w:sz="6" w:space="0" w:color="auto"/>
            </w:tcBorders>
          </w:tcPr>
          <w:p w14:paraId="2DBEF50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(661)</w:t>
            </w:r>
          </w:p>
        </w:tc>
        <w:tc>
          <w:tcPr>
            <w:tcW w:w="868" w:type="dxa"/>
            <w:tcBorders>
              <w:top w:val="single" w:sz="6" w:space="0" w:color="auto"/>
            </w:tcBorders>
          </w:tcPr>
          <w:p w14:paraId="11CB26A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(916)</w:t>
            </w:r>
          </w:p>
        </w:tc>
        <w:tc>
          <w:tcPr>
            <w:tcW w:w="867" w:type="dxa"/>
            <w:tcBorders>
              <w:top w:val="single" w:sz="6" w:space="0" w:color="auto"/>
            </w:tcBorders>
          </w:tcPr>
          <w:p w14:paraId="3995962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(1 586)</w:t>
            </w:r>
          </w:p>
        </w:tc>
        <w:tc>
          <w:tcPr>
            <w:tcW w:w="868" w:type="dxa"/>
            <w:tcBorders>
              <w:top w:val="single" w:sz="6" w:space="0" w:color="auto"/>
            </w:tcBorders>
          </w:tcPr>
          <w:p w14:paraId="3AAD26D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(1 433)</w:t>
            </w:r>
          </w:p>
        </w:tc>
      </w:tr>
      <w:tr w:rsidR="00964B88" w14:paraId="708DDF3D"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bottom w:val="single" w:sz="6" w:space="0" w:color="auto"/>
            </w:tcBorders>
          </w:tcPr>
          <w:p w14:paraId="661DDD63" w14:textId="77777777" w:rsidR="00964B88" w:rsidRDefault="00964B88">
            <w:r>
              <w:t>Net cash flows from investment in financial assets for liquidity management purposes</w:t>
            </w:r>
          </w:p>
        </w:tc>
        <w:tc>
          <w:tcPr>
            <w:tcW w:w="867" w:type="dxa"/>
            <w:gridSpan w:val="2"/>
            <w:tcBorders>
              <w:bottom w:val="single" w:sz="6" w:space="0" w:color="auto"/>
            </w:tcBorders>
          </w:tcPr>
          <w:p w14:paraId="22C2FE0D" w14:textId="77777777" w:rsidR="00964B88" w:rsidRDefault="00964B88">
            <w:pPr>
              <w:cnfStyle w:val="000000000000" w:firstRow="0" w:lastRow="0" w:firstColumn="0" w:lastColumn="0" w:oddVBand="0" w:evenVBand="0" w:oddHBand="0" w:evenHBand="0" w:firstRowFirstColumn="0" w:firstRowLastColumn="0" w:lastRowFirstColumn="0" w:lastRowLastColumn="0"/>
            </w:pPr>
            <w:r>
              <w:t>402</w:t>
            </w:r>
          </w:p>
        </w:tc>
        <w:tc>
          <w:tcPr>
            <w:tcW w:w="867" w:type="dxa"/>
            <w:tcBorders>
              <w:bottom w:val="single" w:sz="6" w:space="0" w:color="auto"/>
            </w:tcBorders>
          </w:tcPr>
          <w:p w14:paraId="2D98FF75" w14:textId="77777777" w:rsidR="00964B88" w:rsidRDefault="00964B88">
            <w:pPr>
              <w:cnfStyle w:val="000000000000" w:firstRow="0" w:lastRow="0" w:firstColumn="0" w:lastColumn="0" w:oddVBand="0" w:evenVBand="0" w:oddHBand="0" w:evenHBand="0" w:firstRowFirstColumn="0" w:firstRowLastColumn="0" w:lastRowFirstColumn="0" w:lastRowLastColumn="0"/>
            </w:pPr>
            <w:r>
              <w:t>79</w:t>
            </w:r>
          </w:p>
        </w:tc>
        <w:tc>
          <w:tcPr>
            <w:tcW w:w="868" w:type="dxa"/>
            <w:tcBorders>
              <w:bottom w:val="single" w:sz="6" w:space="0" w:color="auto"/>
            </w:tcBorders>
          </w:tcPr>
          <w:p w14:paraId="618CF0F6" w14:textId="77777777" w:rsidR="00964B88" w:rsidRDefault="00964B88">
            <w:pPr>
              <w:cnfStyle w:val="000000000000" w:firstRow="0" w:lastRow="0" w:firstColumn="0" w:lastColumn="0" w:oddVBand="0" w:evenVBand="0" w:oddHBand="0" w:evenHBand="0" w:firstRowFirstColumn="0" w:firstRowLastColumn="0" w:lastRowFirstColumn="0" w:lastRowLastColumn="0"/>
            </w:pPr>
            <w:r>
              <w:t>(38)</w:t>
            </w:r>
          </w:p>
        </w:tc>
        <w:tc>
          <w:tcPr>
            <w:tcW w:w="867" w:type="dxa"/>
            <w:tcBorders>
              <w:bottom w:val="single" w:sz="6" w:space="0" w:color="auto"/>
            </w:tcBorders>
          </w:tcPr>
          <w:p w14:paraId="7704F5D0" w14:textId="77777777" w:rsidR="00964B88" w:rsidRDefault="00964B88">
            <w:pPr>
              <w:cnfStyle w:val="000000000000" w:firstRow="0" w:lastRow="0" w:firstColumn="0" w:lastColumn="0" w:oddVBand="0" w:evenVBand="0" w:oddHBand="0" w:evenHBand="0" w:firstRowFirstColumn="0" w:firstRowLastColumn="0" w:lastRowFirstColumn="0" w:lastRowLastColumn="0"/>
            </w:pPr>
            <w:r>
              <w:t>(49)</w:t>
            </w:r>
          </w:p>
        </w:tc>
        <w:tc>
          <w:tcPr>
            <w:tcW w:w="868" w:type="dxa"/>
            <w:tcBorders>
              <w:bottom w:val="single" w:sz="6" w:space="0" w:color="auto"/>
            </w:tcBorders>
          </w:tcPr>
          <w:p w14:paraId="145734B6" w14:textId="77777777" w:rsidR="00964B88" w:rsidRDefault="00964B88">
            <w:pPr>
              <w:cnfStyle w:val="000000000000" w:firstRow="0" w:lastRow="0" w:firstColumn="0" w:lastColumn="0" w:oddVBand="0" w:evenVBand="0" w:oddHBand="0" w:evenHBand="0" w:firstRowFirstColumn="0" w:firstRowLastColumn="0" w:lastRowFirstColumn="0" w:lastRowLastColumn="0"/>
            </w:pPr>
            <w:r>
              <w:t>(24)</w:t>
            </w:r>
          </w:p>
        </w:tc>
      </w:tr>
      <w:tr w:rsidR="00964B88" w14:paraId="62948912"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top w:val="single" w:sz="6" w:space="0" w:color="auto"/>
            </w:tcBorders>
          </w:tcPr>
          <w:p w14:paraId="0DBA1F0C" w14:textId="77777777" w:rsidR="00964B88" w:rsidRDefault="00964B88">
            <w:r>
              <w:rPr>
                <w:b/>
              </w:rPr>
              <w:t>Net cash flows from investing activities</w:t>
            </w:r>
          </w:p>
        </w:tc>
        <w:tc>
          <w:tcPr>
            <w:tcW w:w="867" w:type="dxa"/>
            <w:gridSpan w:val="2"/>
            <w:tcBorders>
              <w:top w:val="single" w:sz="6" w:space="0" w:color="auto"/>
            </w:tcBorders>
          </w:tcPr>
          <w:p w14:paraId="3845DAD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(618)</w:t>
            </w:r>
          </w:p>
        </w:tc>
        <w:tc>
          <w:tcPr>
            <w:tcW w:w="867" w:type="dxa"/>
            <w:tcBorders>
              <w:top w:val="single" w:sz="6" w:space="0" w:color="auto"/>
            </w:tcBorders>
          </w:tcPr>
          <w:p w14:paraId="6AE8340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(582)</w:t>
            </w:r>
          </w:p>
        </w:tc>
        <w:tc>
          <w:tcPr>
            <w:tcW w:w="868" w:type="dxa"/>
            <w:tcBorders>
              <w:top w:val="single" w:sz="6" w:space="0" w:color="auto"/>
            </w:tcBorders>
          </w:tcPr>
          <w:p w14:paraId="6920E1E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(953)</w:t>
            </w:r>
          </w:p>
        </w:tc>
        <w:tc>
          <w:tcPr>
            <w:tcW w:w="867" w:type="dxa"/>
            <w:tcBorders>
              <w:top w:val="single" w:sz="6" w:space="0" w:color="auto"/>
            </w:tcBorders>
          </w:tcPr>
          <w:p w14:paraId="2D877AB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(1 636)</w:t>
            </w:r>
          </w:p>
        </w:tc>
        <w:tc>
          <w:tcPr>
            <w:tcW w:w="868" w:type="dxa"/>
            <w:tcBorders>
              <w:top w:val="single" w:sz="6" w:space="0" w:color="auto"/>
            </w:tcBorders>
          </w:tcPr>
          <w:p w14:paraId="417C8F5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(1 457)</w:t>
            </w:r>
          </w:p>
        </w:tc>
      </w:tr>
      <w:tr w:rsidR="00964B88" w14:paraId="12D922CF"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775B70C5" w14:textId="77777777" w:rsidR="00964B88" w:rsidRDefault="00964B88">
            <w:r>
              <w:rPr>
                <w:b/>
              </w:rPr>
              <w:t>Cash flows from financing activities</w:t>
            </w:r>
          </w:p>
        </w:tc>
        <w:tc>
          <w:tcPr>
            <w:tcW w:w="867" w:type="dxa"/>
            <w:gridSpan w:val="2"/>
          </w:tcPr>
          <w:p w14:paraId="0A0231B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113A5F4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0766BF5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0BC6AF6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604359C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253CC52"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2F19130D" w14:textId="77777777" w:rsidR="00964B88" w:rsidRDefault="00964B88">
            <w:r>
              <w:t>Advances received (net)</w:t>
            </w:r>
          </w:p>
        </w:tc>
        <w:tc>
          <w:tcPr>
            <w:tcW w:w="867" w:type="dxa"/>
            <w:gridSpan w:val="2"/>
          </w:tcPr>
          <w:p w14:paraId="6FFCA7DF" w14:textId="77777777" w:rsidR="00964B88" w:rsidRDefault="00964B88">
            <w:pPr>
              <w:cnfStyle w:val="000000000000" w:firstRow="0" w:lastRow="0" w:firstColumn="0" w:lastColumn="0" w:oddVBand="0" w:evenVBand="0" w:oddHBand="0" w:evenHBand="0" w:firstRowFirstColumn="0" w:firstRowLastColumn="0" w:lastRowFirstColumn="0" w:lastRowLastColumn="0"/>
            </w:pPr>
            <w:r>
              <w:t>(1 947)</w:t>
            </w:r>
          </w:p>
        </w:tc>
        <w:tc>
          <w:tcPr>
            <w:tcW w:w="867" w:type="dxa"/>
          </w:tcPr>
          <w:p w14:paraId="4AC10129" w14:textId="77777777" w:rsidR="00964B88" w:rsidRDefault="00964B88">
            <w:pPr>
              <w:cnfStyle w:val="000000000000" w:firstRow="0" w:lastRow="0" w:firstColumn="0" w:lastColumn="0" w:oddVBand="0" w:evenVBand="0" w:oddHBand="0" w:evenHBand="0" w:firstRowFirstColumn="0" w:firstRowLastColumn="0" w:lastRowFirstColumn="0" w:lastRowLastColumn="0"/>
            </w:pPr>
            <w:r>
              <w:t>(1 870)</w:t>
            </w:r>
          </w:p>
        </w:tc>
        <w:tc>
          <w:tcPr>
            <w:tcW w:w="868" w:type="dxa"/>
          </w:tcPr>
          <w:p w14:paraId="69565224" w14:textId="77777777" w:rsidR="00964B88" w:rsidRDefault="00964B88">
            <w:pPr>
              <w:cnfStyle w:val="000000000000" w:firstRow="0" w:lastRow="0" w:firstColumn="0" w:lastColumn="0" w:oddVBand="0" w:evenVBand="0" w:oddHBand="0" w:evenHBand="0" w:firstRowFirstColumn="0" w:firstRowLastColumn="0" w:lastRowFirstColumn="0" w:lastRowLastColumn="0"/>
            </w:pPr>
            <w:r>
              <w:t>(1 270)</w:t>
            </w:r>
          </w:p>
        </w:tc>
        <w:tc>
          <w:tcPr>
            <w:tcW w:w="867" w:type="dxa"/>
          </w:tcPr>
          <w:p w14:paraId="2F9A1D86" w14:textId="77777777" w:rsidR="00964B88" w:rsidRDefault="00964B88">
            <w:pPr>
              <w:cnfStyle w:val="000000000000" w:firstRow="0" w:lastRow="0" w:firstColumn="0" w:lastColumn="0" w:oddVBand="0" w:evenVBand="0" w:oddHBand="0" w:evenHBand="0" w:firstRowFirstColumn="0" w:firstRowLastColumn="0" w:lastRowFirstColumn="0" w:lastRowLastColumn="0"/>
            </w:pPr>
            <w:r>
              <w:t>(555)</w:t>
            </w:r>
          </w:p>
        </w:tc>
        <w:tc>
          <w:tcPr>
            <w:tcW w:w="868" w:type="dxa"/>
          </w:tcPr>
          <w:p w14:paraId="466B6D7A" w14:textId="77777777" w:rsidR="00964B88" w:rsidRDefault="00964B88">
            <w:pPr>
              <w:cnfStyle w:val="000000000000" w:firstRow="0" w:lastRow="0" w:firstColumn="0" w:lastColumn="0" w:oddVBand="0" w:evenVBand="0" w:oddHBand="0" w:evenHBand="0" w:firstRowFirstColumn="0" w:firstRowLastColumn="0" w:lastRowFirstColumn="0" w:lastRowLastColumn="0"/>
            </w:pPr>
            <w:r>
              <w:t>143</w:t>
            </w:r>
          </w:p>
        </w:tc>
      </w:tr>
      <w:tr w:rsidR="00964B88" w14:paraId="4C15DE29"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03D227F4" w14:textId="77777777" w:rsidR="00964B88" w:rsidRDefault="00964B88">
            <w:r>
              <w:t>Net borrowings</w:t>
            </w:r>
          </w:p>
        </w:tc>
        <w:tc>
          <w:tcPr>
            <w:tcW w:w="867" w:type="dxa"/>
            <w:gridSpan w:val="2"/>
          </w:tcPr>
          <w:p w14:paraId="30537E07" w14:textId="77777777" w:rsidR="00964B88" w:rsidRDefault="00964B88">
            <w:pPr>
              <w:cnfStyle w:val="000000000000" w:firstRow="0" w:lastRow="0" w:firstColumn="0" w:lastColumn="0" w:oddVBand="0" w:evenVBand="0" w:oddHBand="0" w:evenHBand="0" w:firstRowFirstColumn="0" w:firstRowLastColumn="0" w:lastRowFirstColumn="0" w:lastRowLastColumn="0"/>
            </w:pPr>
            <w:r>
              <w:t>1 100</w:t>
            </w:r>
          </w:p>
        </w:tc>
        <w:tc>
          <w:tcPr>
            <w:tcW w:w="867" w:type="dxa"/>
          </w:tcPr>
          <w:p w14:paraId="0E16A9D6" w14:textId="77777777" w:rsidR="00964B88" w:rsidRDefault="00964B88">
            <w:pPr>
              <w:cnfStyle w:val="000000000000" w:firstRow="0" w:lastRow="0" w:firstColumn="0" w:lastColumn="0" w:oddVBand="0" w:evenVBand="0" w:oddHBand="0" w:evenHBand="0" w:firstRowFirstColumn="0" w:firstRowLastColumn="0" w:lastRowFirstColumn="0" w:lastRowLastColumn="0"/>
            </w:pPr>
            <w:r>
              <w:t>1 426</w:t>
            </w:r>
          </w:p>
        </w:tc>
        <w:tc>
          <w:tcPr>
            <w:tcW w:w="868" w:type="dxa"/>
          </w:tcPr>
          <w:p w14:paraId="167E41AC" w14:textId="77777777" w:rsidR="00964B88" w:rsidRDefault="00964B88">
            <w:pPr>
              <w:cnfStyle w:val="000000000000" w:firstRow="0" w:lastRow="0" w:firstColumn="0" w:lastColumn="0" w:oddVBand="0" w:evenVBand="0" w:oddHBand="0" w:evenHBand="0" w:firstRowFirstColumn="0" w:firstRowLastColumn="0" w:lastRowFirstColumn="0" w:lastRowLastColumn="0"/>
            </w:pPr>
            <w:r>
              <w:t>690</w:t>
            </w:r>
          </w:p>
        </w:tc>
        <w:tc>
          <w:tcPr>
            <w:tcW w:w="867" w:type="dxa"/>
          </w:tcPr>
          <w:p w14:paraId="04AA2F8A" w14:textId="77777777" w:rsidR="00964B88" w:rsidRDefault="00964B88">
            <w:pPr>
              <w:cnfStyle w:val="000000000000" w:firstRow="0" w:lastRow="0" w:firstColumn="0" w:lastColumn="0" w:oddVBand="0" w:evenVBand="0" w:oddHBand="0" w:evenHBand="0" w:firstRowFirstColumn="0" w:firstRowLastColumn="0" w:lastRowFirstColumn="0" w:lastRowLastColumn="0"/>
            </w:pPr>
            <w:r>
              <w:t>972</w:t>
            </w:r>
          </w:p>
        </w:tc>
        <w:tc>
          <w:tcPr>
            <w:tcW w:w="868" w:type="dxa"/>
          </w:tcPr>
          <w:p w14:paraId="0FEE82A0" w14:textId="77777777" w:rsidR="00964B88" w:rsidRDefault="00964B88">
            <w:pPr>
              <w:cnfStyle w:val="000000000000" w:firstRow="0" w:lastRow="0" w:firstColumn="0" w:lastColumn="0" w:oddVBand="0" w:evenVBand="0" w:oddHBand="0" w:evenHBand="0" w:firstRowFirstColumn="0" w:firstRowLastColumn="0" w:lastRowFirstColumn="0" w:lastRowLastColumn="0"/>
            </w:pPr>
            <w:r>
              <w:t>197</w:t>
            </w:r>
          </w:p>
        </w:tc>
      </w:tr>
      <w:tr w:rsidR="00964B88" w14:paraId="42AE21C0"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7DF8A0E9" w14:textId="77777777" w:rsidR="00964B88" w:rsidRDefault="00964B88">
            <w:r>
              <w:t>Deposits received (net)</w:t>
            </w:r>
          </w:p>
        </w:tc>
        <w:tc>
          <w:tcPr>
            <w:tcW w:w="867" w:type="dxa"/>
            <w:gridSpan w:val="2"/>
          </w:tcPr>
          <w:p w14:paraId="4641F89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67" w:type="dxa"/>
          </w:tcPr>
          <w:p w14:paraId="6BE99822" w14:textId="77777777" w:rsidR="00964B88" w:rsidRDefault="00964B88">
            <w:pPr>
              <w:cnfStyle w:val="000000000000" w:firstRow="0" w:lastRow="0" w:firstColumn="0" w:lastColumn="0" w:oddVBand="0" w:evenVBand="0" w:oddHBand="0" w:evenHBand="0" w:firstRowFirstColumn="0" w:firstRowLastColumn="0" w:lastRowFirstColumn="0" w:lastRowLastColumn="0"/>
            </w:pPr>
            <w:r>
              <w:t>(5)</w:t>
            </w:r>
          </w:p>
        </w:tc>
        <w:tc>
          <w:tcPr>
            <w:tcW w:w="868" w:type="dxa"/>
          </w:tcPr>
          <w:p w14:paraId="7B7E38CC" w14:textId="77777777" w:rsidR="00964B88" w:rsidRDefault="00964B88">
            <w:pPr>
              <w:cnfStyle w:val="000000000000" w:firstRow="0" w:lastRow="0" w:firstColumn="0" w:lastColumn="0" w:oddVBand="0" w:evenVBand="0" w:oddHBand="0" w:evenHBand="0" w:firstRowFirstColumn="0" w:firstRowLastColumn="0" w:lastRowFirstColumn="0" w:lastRowLastColumn="0"/>
            </w:pPr>
            <w:r>
              <w:t>(8)</w:t>
            </w:r>
          </w:p>
        </w:tc>
        <w:tc>
          <w:tcPr>
            <w:tcW w:w="867" w:type="dxa"/>
          </w:tcPr>
          <w:p w14:paraId="3455F268" w14:textId="77777777" w:rsidR="00964B88" w:rsidRDefault="00964B88">
            <w:pPr>
              <w:cnfStyle w:val="000000000000" w:firstRow="0" w:lastRow="0" w:firstColumn="0" w:lastColumn="0" w:oddVBand="0" w:evenVBand="0" w:oddHBand="0" w:evenHBand="0" w:firstRowFirstColumn="0" w:firstRowLastColumn="0" w:lastRowFirstColumn="0" w:lastRowLastColumn="0"/>
            </w:pPr>
            <w:r>
              <w:t>(7)</w:t>
            </w:r>
          </w:p>
        </w:tc>
        <w:tc>
          <w:tcPr>
            <w:tcW w:w="868" w:type="dxa"/>
          </w:tcPr>
          <w:p w14:paraId="604142D7"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r>
      <w:tr w:rsidR="00964B88" w14:paraId="15B866E2"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bottom w:val="single" w:sz="6" w:space="0" w:color="auto"/>
            </w:tcBorders>
          </w:tcPr>
          <w:p w14:paraId="2D518EF4" w14:textId="77777777" w:rsidR="00964B88" w:rsidRDefault="00964B88">
            <w:r>
              <w:t>Other financing (net)</w:t>
            </w:r>
          </w:p>
        </w:tc>
        <w:tc>
          <w:tcPr>
            <w:tcW w:w="867" w:type="dxa"/>
            <w:gridSpan w:val="2"/>
            <w:tcBorders>
              <w:bottom w:val="single" w:sz="6" w:space="0" w:color="auto"/>
            </w:tcBorders>
          </w:tcPr>
          <w:p w14:paraId="2CE5F611" w14:textId="77777777" w:rsidR="00964B88" w:rsidRDefault="00964B88">
            <w:pPr>
              <w:cnfStyle w:val="000000000000" w:firstRow="0" w:lastRow="0" w:firstColumn="0" w:lastColumn="0" w:oddVBand="0" w:evenVBand="0" w:oddHBand="0" w:evenHBand="0" w:firstRowFirstColumn="0" w:firstRowLastColumn="0" w:lastRowFirstColumn="0" w:lastRowLastColumn="0"/>
            </w:pPr>
            <w:r>
              <w:t>(170)</w:t>
            </w:r>
          </w:p>
        </w:tc>
        <w:tc>
          <w:tcPr>
            <w:tcW w:w="867" w:type="dxa"/>
            <w:tcBorders>
              <w:bottom w:val="single" w:sz="6" w:space="0" w:color="auto"/>
            </w:tcBorders>
          </w:tcPr>
          <w:p w14:paraId="0D1DB256" w14:textId="77777777" w:rsidR="00964B88" w:rsidRDefault="00964B88">
            <w:pPr>
              <w:cnfStyle w:val="000000000000" w:firstRow="0" w:lastRow="0" w:firstColumn="0" w:lastColumn="0" w:oddVBand="0" w:evenVBand="0" w:oddHBand="0" w:evenHBand="0" w:firstRowFirstColumn="0" w:firstRowLastColumn="0" w:lastRowFirstColumn="0" w:lastRowLastColumn="0"/>
            </w:pPr>
            <w:r>
              <w:t>(623)</w:t>
            </w:r>
          </w:p>
        </w:tc>
        <w:tc>
          <w:tcPr>
            <w:tcW w:w="868" w:type="dxa"/>
            <w:tcBorders>
              <w:bottom w:val="single" w:sz="6" w:space="0" w:color="auto"/>
            </w:tcBorders>
          </w:tcPr>
          <w:p w14:paraId="474F3DA5" w14:textId="77777777" w:rsidR="00964B88" w:rsidRDefault="00964B88">
            <w:pPr>
              <w:cnfStyle w:val="000000000000" w:firstRow="0" w:lastRow="0" w:firstColumn="0" w:lastColumn="0" w:oddVBand="0" w:evenVBand="0" w:oddHBand="0" w:evenHBand="0" w:firstRowFirstColumn="0" w:firstRowLastColumn="0" w:lastRowFirstColumn="0" w:lastRowLastColumn="0"/>
            </w:pPr>
            <w:r>
              <w:t>(308)</w:t>
            </w:r>
          </w:p>
        </w:tc>
        <w:tc>
          <w:tcPr>
            <w:tcW w:w="867" w:type="dxa"/>
            <w:tcBorders>
              <w:bottom w:val="single" w:sz="6" w:space="0" w:color="auto"/>
            </w:tcBorders>
          </w:tcPr>
          <w:p w14:paraId="45FCC9D1" w14:textId="77777777" w:rsidR="00964B88" w:rsidRDefault="00964B88">
            <w:pPr>
              <w:cnfStyle w:val="000000000000" w:firstRow="0" w:lastRow="0" w:firstColumn="0" w:lastColumn="0" w:oddVBand="0" w:evenVBand="0" w:oddHBand="0" w:evenHBand="0" w:firstRowFirstColumn="0" w:firstRowLastColumn="0" w:lastRowFirstColumn="0" w:lastRowLastColumn="0"/>
            </w:pPr>
            <w:r>
              <w:t>(534)</w:t>
            </w:r>
          </w:p>
        </w:tc>
        <w:tc>
          <w:tcPr>
            <w:tcW w:w="868" w:type="dxa"/>
            <w:tcBorders>
              <w:bottom w:val="single" w:sz="6" w:space="0" w:color="auto"/>
            </w:tcBorders>
          </w:tcPr>
          <w:p w14:paraId="0DD73FD4" w14:textId="77777777" w:rsidR="00964B88" w:rsidRDefault="00964B88">
            <w:pPr>
              <w:cnfStyle w:val="000000000000" w:firstRow="0" w:lastRow="0" w:firstColumn="0" w:lastColumn="0" w:oddVBand="0" w:evenVBand="0" w:oddHBand="0" w:evenHBand="0" w:firstRowFirstColumn="0" w:firstRowLastColumn="0" w:lastRowFirstColumn="0" w:lastRowLastColumn="0"/>
            </w:pPr>
            <w:r>
              <w:t>(322)</w:t>
            </w:r>
          </w:p>
        </w:tc>
      </w:tr>
      <w:tr w:rsidR="00964B88" w14:paraId="049FFCCC"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top w:val="single" w:sz="6" w:space="0" w:color="auto"/>
              <w:bottom w:val="single" w:sz="6" w:space="0" w:color="auto"/>
            </w:tcBorders>
          </w:tcPr>
          <w:p w14:paraId="5E4FAEC9" w14:textId="77777777" w:rsidR="00964B88" w:rsidRDefault="00964B88">
            <w:r>
              <w:rPr>
                <w:b/>
              </w:rPr>
              <w:t>Net cash flows from financing activities</w:t>
            </w:r>
          </w:p>
        </w:tc>
        <w:tc>
          <w:tcPr>
            <w:tcW w:w="867" w:type="dxa"/>
            <w:gridSpan w:val="2"/>
            <w:tcBorders>
              <w:top w:val="single" w:sz="6" w:space="0" w:color="auto"/>
              <w:bottom w:val="single" w:sz="6" w:space="0" w:color="auto"/>
            </w:tcBorders>
          </w:tcPr>
          <w:p w14:paraId="31F1482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(1 018)</w:t>
            </w:r>
          </w:p>
        </w:tc>
        <w:tc>
          <w:tcPr>
            <w:tcW w:w="867" w:type="dxa"/>
            <w:tcBorders>
              <w:top w:val="single" w:sz="6" w:space="0" w:color="auto"/>
              <w:bottom w:val="single" w:sz="6" w:space="0" w:color="auto"/>
            </w:tcBorders>
          </w:tcPr>
          <w:p w14:paraId="106B13E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(1 072)</w:t>
            </w:r>
          </w:p>
        </w:tc>
        <w:tc>
          <w:tcPr>
            <w:tcW w:w="868" w:type="dxa"/>
            <w:tcBorders>
              <w:top w:val="single" w:sz="6" w:space="0" w:color="auto"/>
              <w:bottom w:val="single" w:sz="6" w:space="0" w:color="auto"/>
            </w:tcBorders>
          </w:tcPr>
          <w:p w14:paraId="76E692A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(897)</w:t>
            </w:r>
          </w:p>
        </w:tc>
        <w:tc>
          <w:tcPr>
            <w:tcW w:w="867" w:type="dxa"/>
            <w:tcBorders>
              <w:top w:val="single" w:sz="6" w:space="0" w:color="auto"/>
              <w:bottom w:val="single" w:sz="6" w:space="0" w:color="auto"/>
            </w:tcBorders>
          </w:tcPr>
          <w:p w14:paraId="0694EA7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(125)</w:t>
            </w:r>
          </w:p>
        </w:tc>
        <w:tc>
          <w:tcPr>
            <w:tcW w:w="868" w:type="dxa"/>
            <w:tcBorders>
              <w:top w:val="single" w:sz="6" w:space="0" w:color="auto"/>
              <w:bottom w:val="single" w:sz="6" w:space="0" w:color="auto"/>
            </w:tcBorders>
          </w:tcPr>
          <w:p w14:paraId="19F26F2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w:t>
            </w:r>
          </w:p>
        </w:tc>
      </w:tr>
      <w:tr w:rsidR="00964B88" w14:paraId="2092D90E"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top w:val="single" w:sz="6" w:space="0" w:color="auto"/>
            </w:tcBorders>
          </w:tcPr>
          <w:p w14:paraId="08B1E3B9" w14:textId="77777777" w:rsidR="00964B88" w:rsidRDefault="00964B88">
            <w:r>
              <w:rPr>
                <w:b/>
              </w:rPr>
              <w:t xml:space="preserve">Net increase/(decrease) in cash and </w:t>
            </w:r>
            <w:r w:rsidR="00D13450">
              <w:rPr>
                <w:b/>
              </w:rPr>
              <w:br/>
            </w:r>
            <w:r>
              <w:rPr>
                <w:b/>
              </w:rPr>
              <w:t>cash equivalents</w:t>
            </w:r>
          </w:p>
        </w:tc>
        <w:tc>
          <w:tcPr>
            <w:tcW w:w="867" w:type="dxa"/>
            <w:gridSpan w:val="2"/>
            <w:tcBorders>
              <w:top w:val="single" w:sz="6" w:space="0" w:color="auto"/>
            </w:tcBorders>
          </w:tcPr>
          <w:p w14:paraId="2B79D9DE" w14:textId="77777777" w:rsidR="00964B88" w:rsidRDefault="00964B88">
            <w:pPr>
              <w:cnfStyle w:val="000000000000" w:firstRow="0" w:lastRow="0" w:firstColumn="0" w:lastColumn="0" w:oddVBand="0" w:evenVBand="0" w:oddHBand="0" w:evenHBand="0" w:firstRowFirstColumn="0" w:firstRowLastColumn="0" w:lastRowFirstColumn="0" w:lastRowLastColumn="0"/>
            </w:pPr>
            <w:r>
              <w:t>149</w:t>
            </w:r>
          </w:p>
        </w:tc>
        <w:tc>
          <w:tcPr>
            <w:tcW w:w="867" w:type="dxa"/>
            <w:tcBorders>
              <w:top w:val="single" w:sz="6" w:space="0" w:color="auto"/>
            </w:tcBorders>
          </w:tcPr>
          <w:p w14:paraId="7CA7F32F" w14:textId="77777777" w:rsidR="00964B88" w:rsidRDefault="00964B88">
            <w:pPr>
              <w:cnfStyle w:val="000000000000" w:firstRow="0" w:lastRow="0" w:firstColumn="0" w:lastColumn="0" w:oddVBand="0" w:evenVBand="0" w:oddHBand="0" w:evenHBand="0" w:firstRowFirstColumn="0" w:firstRowLastColumn="0" w:lastRowFirstColumn="0" w:lastRowLastColumn="0"/>
            </w:pPr>
            <w:r>
              <w:t>(361)</w:t>
            </w:r>
          </w:p>
        </w:tc>
        <w:tc>
          <w:tcPr>
            <w:tcW w:w="868" w:type="dxa"/>
            <w:tcBorders>
              <w:top w:val="single" w:sz="6" w:space="0" w:color="auto"/>
            </w:tcBorders>
          </w:tcPr>
          <w:p w14:paraId="52295499" w14:textId="77777777" w:rsidR="00964B88" w:rsidRDefault="00964B88">
            <w:pPr>
              <w:cnfStyle w:val="000000000000" w:firstRow="0" w:lastRow="0" w:firstColumn="0" w:lastColumn="0" w:oddVBand="0" w:evenVBand="0" w:oddHBand="0" w:evenHBand="0" w:firstRowFirstColumn="0" w:firstRowLastColumn="0" w:lastRowFirstColumn="0" w:lastRowLastColumn="0"/>
            </w:pPr>
            <w:r>
              <w:t>(337)</w:t>
            </w:r>
          </w:p>
        </w:tc>
        <w:tc>
          <w:tcPr>
            <w:tcW w:w="867" w:type="dxa"/>
            <w:tcBorders>
              <w:top w:val="single" w:sz="6" w:space="0" w:color="auto"/>
            </w:tcBorders>
          </w:tcPr>
          <w:p w14:paraId="169F5B9C" w14:textId="77777777" w:rsidR="00964B88" w:rsidRDefault="00964B88">
            <w:pPr>
              <w:cnfStyle w:val="000000000000" w:firstRow="0" w:lastRow="0" w:firstColumn="0" w:lastColumn="0" w:oddVBand="0" w:evenVBand="0" w:oddHBand="0" w:evenHBand="0" w:firstRowFirstColumn="0" w:firstRowLastColumn="0" w:lastRowFirstColumn="0" w:lastRowLastColumn="0"/>
            </w:pPr>
            <w:r>
              <w:t>(139)</w:t>
            </w:r>
          </w:p>
        </w:tc>
        <w:tc>
          <w:tcPr>
            <w:tcW w:w="868" w:type="dxa"/>
            <w:tcBorders>
              <w:top w:val="single" w:sz="6" w:space="0" w:color="auto"/>
            </w:tcBorders>
          </w:tcPr>
          <w:p w14:paraId="7A8A23F8" w14:textId="77777777" w:rsidR="00964B88" w:rsidRDefault="00964B88">
            <w:pPr>
              <w:cnfStyle w:val="000000000000" w:firstRow="0" w:lastRow="0" w:firstColumn="0" w:lastColumn="0" w:oddVBand="0" w:evenVBand="0" w:oddHBand="0" w:evenHBand="0" w:firstRowFirstColumn="0" w:firstRowLastColumn="0" w:lastRowFirstColumn="0" w:lastRowLastColumn="0"/>
            </w:pPr>
            <w:r>
              <w:t>75</w:t>
            </w:r>
          </w:p>
        </w:tc>
      </w:tr>
      <w:tr w:rsidR="00964B88" w14:paraId="42686309"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bottom w:val="single" w:sz="6" w:space="0" w:color="auto"/>
            </w:tcBorders>
          </w:tcPr>
          <w:p w14:paraId="3C9DC095" w14:textId="77777777" w:rsidR="00964B88" w:rsidRDefault="00964B88">
            <w:r>
              <w:t>Cash and cash equivalents at beginning of reporting period</w:t>
            </w:r>
            <w:r>
              <w:rPr>
                <w:vertAlign w:val="superscript"/>
              </w:rPr>
              <w:t xml:space="preserve"> (b)</w:t>
            </w:r>
          </w:p>
        </w:tc>
        <w:tc>
          <w:tcPr>
            <w:tcW w:w="867" w:type="dxa"/>
            <w:gridSpan w:val="2"/>
            <w:tcBorders>
              <w:bottom w:val="single" w:sz="6" w:space="0" w:color="auto"/>
            </w:tcBorders>
          </w:tcPr>
          <w:p w14:paraId="0AF1ED72" w14:textId="77777777" w:rsidR="00964B88" w:rsidRDefault="00964B88">
            <w:pPr>
              <w:cnfStyle w:val="000000000000" w:firstRow="0" w:lastRow="0" w:firstColumn="0" w:lastColumn="0" w:oddVBand="0" w:evenVBand="0" w:oddHBand="0" w:evenHBand="0" w:firstRowFirstColumn="0" w:firstRowLastColumn="0" w:lastRowFirstColumn="0" w:lastRowLastColumn="0"/>
            </w:pPr>
            <w:r>
              <w:t>1 598</w:t>
            </w:r>
          </w:p>
        </w:tc>
        <w:tc>
          <w:tcPr>
            <w:tcW w:w="867" w:type="dxa"/>
            <w:tcBorders>
              <w:bottom w:val="single" w:sz="6" w:space="0" w:color="auto"/>
            </w:tcBorders>
          </w:tcPr>
          <w:p w14:paraId="7E2EF5AB" w14:textId="77777777" w:rsidR="00964B88" w:rsidRDefault="00964B88">
            <w:pPr>
              <w:cnfStyle w:val="000000000000" w:firstRow="0" w:lastRow="0" w:firstColumn="0" w:lastColumn="0" w:oddVBand="0" w:evenVBand="0" w:oddHBand="0" w:evenHBand="0" w:firstRowFirstColumn="0" w:firstRowLastColumn="0" w:lastRowFirstColumn="0" w:lastRowLastColumn="0"/>
            </w:pPr>
            <w:r>
              <w:t>1 598</w:t>
            </w:r>
          </w:p>
        </w:tc>
        <w:tc>
          <w:tcPr>
            <w:tcW w:w="868" w:type="dxa"/>
            <w:tcBorders>
              <w:bottom w:val="single" w:sz="6" w:space="0" w:color="auto"/>
            </w:tcBorders>
          </w:tcPr>
          <w:p w14:paraId="6A93975B" w14:textId="77777777" w:rsidR="00964B88" w:rsidRDefault="00964B88">
            <w:pPr>
              <w:cnfStyle w:val="000000000000" w:firstRow="0" w:lastRow="0" w:firstColumn="0" w:lastColumn="0" w:oddVBand="0" w:evenVBand="0" w:oddHBand="0" w:evenHBand="0" w:firstRowFirstColumn="0" w:firstRowLastColumn="0" w:lastRowFirstColumn="0" w:lastRowLastColumn="0"/>
            </w:pPr>
            <w:r>
              <w:t>1 237</w:t>
            </w:r>
          </w:p>
        </w:tc>
        <w:tc>
          <w:tcPr>
            <w:tcW w:w="867" w:type="dxa"/>
            <w:tcBorders>
              <w:bottom w:val="single" w:sz="6" w:space="0" w:color="auto"/>
            </w:tcBorders>
          </w:tcPr>
          <w:p w14:paraId="3B22702D" w14:textId="77777777" w:rsidR="00964B88" w:rsidRDefault="00964B88">
            <w:pPr>
              <w:cnfStyle w:val="000000000000" w:firstRow="0" w:lastRow="0" w:firstColumn="0" w:lastColumn="0" w:oddVBand="0" w:evenVBand="0" w:oddHBand="0" w:evenHBand="0" w:firstRowFirstColumn="0" w:firstRowLastColumn="0" w:lastRowFirstColumn="0" w:lastRowLastColumn="0"/>
            </w:pPr>
            <w:r>
              <w:t>901</w:t>
            </w:r>
          </w:p>
        </w:tc>
        <w:tc>
          <w:tcPr>
            <w:tcW w:w="868" w:type="dxa"/>
            <w:tcBorders>
              <w:bottom w:val="single" w:sz="6" w:space="0" w:color="auto"/>
            </w:tcBorders>
          </w:tcPr>
          <w:p w14:paraId="33363A53" w14:textId="77777777" w:rsidR="00964B88" w:rsidRDefault="00964B88">
            <w:pPr>
              <w:cnfStyle w:val="000000000000" w:firstRow="0" w:lastRow="0" w:firstColumn="0" w:lastColumn="0" w:oddVBand="0" w:evenVBand="0" w:oddHBand="0" w:evenHBand="0" w:firstRowFirstColumn="0" w:firstRowLastColumn="0" w:lastRowFirstColumn="0" w:lastRowLastColumn="0"/>
            </w:pPr>
            <w:r>
              <w:t>762</w:t>
            </w:r>
          </w:p>
        </w:tc>
      </w:tr>
      <w:tr w:rsidR="00964B88" w:rsidRPr="009B6CF1" w14:paraId="3DA49A04" w14:textId="77777777" w:rsidTr="00D1345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6" w:space="0" w:color="auto"/>
              <w:bottom w:val="single" w:sz="6" w:space="0" w:color="auto"/>
            </w:tcBorders>
          </w:tcPr>
          <w:p w14:paraId="39AC24CA" w14:textId="77777777" w:rsidR="00964B88" w:rsidRPr="009B6CF1" w:rsidRDefault="00964B88">
            <w:r w:rsidRPr="009B6CF1">
              <w:t xml:space="preserve">Cash and cash equivalents at end of reporting period </w:t>
            </w:r>
            <w:r w:rsidRPr="009B6CF1">
              <w:rPr>
                <w:vertAlign w:val="superscript"/>
              </w:rPr>
              <w:t>(b)</w:t>
            </w:r>
          </w:p>
        </w:tc>
        <w:tc>
          <w:tcPr>
            <w:tcW w:w="867" w:type="dxa"/>
            <w:gridSpan w:val="2"/>
            <w:tcBorders>
              <w:top w:val="single" w:sz="6" w:space="0" w:color="auto"/>
              <w:bottom w:val="single" w:sz="6" w:space="0" w:color="auto"/>
            </w:tcBorders>
          </w:tcPr>
          <w:p w14:paraId="1C0C2F07" w14:textId="77777777" w:rsidR="00964B88" w:rsidRPr="009B6CF1" w:rsidRDefault="00964B88">
            <w:pPr>
              <w:cnfStyle w:val="010000000000" w:firstRow="0" w:lastRow="1" w:firstColumn="0" w:lastColumn="0" w:oddVBand="0" w:evenVBand="0" w:oddHBand="0" w:evenHBand="0" w:firstRowFirstColumn="0" w:firstRowLastColumn="0" w:lastRowFirstColumn="0" w:lastRowLastColumn="0"/>
            </w:pPr>
            <w:r w:rsidRPr="009B6CF1">
              <w:t>1 747</w:t>
            </w:r>
          </w:p>
        </w:tc>
        <w:tc>
          <w:tcPr>
            <w:tcW w:w="867" w:type="dxa"/>
            <w:tcBorders>
              <w:top w:val="single" w:sz="6" w:space="0" w:color="auto"/>
              <w:bottom w:val="single" w:sz="6" w:space="0" w:color="auto"/>
            </w:tcBorders>
          </w:tcPr>
          <w:p w14:paraId="1A74EAA0" w14:textId="77777777" w:rsidR="00964B88" w:rsidRPr="009B6CF1" w:rsidRDefault="00964B88">
            <w:pPr>
              <w:cnfStyle w:val="010000000000" w:firstRow="0" w:lastRow="1" w:firstColumn="0" w:lastColumn="0" w:oddVBand="0" w:evenVBand="0" w:oddHBand="0" w:evenHBand="0" w:firstRowFirstColumn="0" w:firstRowLastColumn="0" w:lastRowFirstColumn="0" w:lastRowLastColumn="0"/>
            </w:pPr>
            <w:r w:rsidRPr="009B6CF1">
              <w:t>1 237</w:t>
            </w:r>
          </w:p>
        </w:tc>
        <w:tc>
          <w:tcPr>
            <w:tcW w:w="868" w:type="dxa"/>
            <w:tcBorders>
              <w:top w:val="single" w:sz="6" w:space="0" w:color="auto"/>
              <w:bottom w:val="single" w:sz="6" w:space="0" w:color="auto"/>
            </w:tcBorders>
          </w:tcPr>
          <w:p w14:paraId="1259AFC1" w14:textId="77777777" w:rsidR="00964B88" w:rsidRPr="009B6CF1" w:rsidRDefault="00964B88">
            <w:pPr>
              <w:cnfStyle w:val="010000000000" w:firstRow="0" w:lastRow="1" w:firstColumn="0" w:lastColumn="0" w:oddVBand="0" w:evenVBand="0" w:oddHBand="0" w:evenHBand="0" w:firstRowFirstColumn="0" w:firstRowLastColumn="0" w:lastRowFirstColumn="0" w:lastRowLastColumn="0"/>
            </w:pPr>
            <w:r w:rsidRPr="009B6CF1">
              <w:t>901</w:t>
            </w:r>
          </w:p>
        </w:tc>
        <w:tc>
          <w:tcPr>
            <w:tcW w:w="867" w:type="dxa"/>
            <w:tcBorders>
              <w:top w:val="single" w:sz="6" w:space="0" w:color="auto"/>
              <w:bottom w:val="single" w:sz="6" w:space="0" w:color="auto"/>
            </w:tcBorders>
          </w:tcPr>
          <w:p w14:paraId="15B8385D" w14:textId="77777777" w:rsidR="00964B88" w:rsidRPr="009B6CF1" w:rsidRDefault="00964B88">
            <w:pPr>
              <w:cnfStyle w:val="010000000000" w:firstRow="0" w:lastRow="1" w:firstColumn="0" w:lastColumn="0" w:oddVBand="0" w:evenVBand="0" w:oddHBand="0" w:evenHBand="0" w:firstRowFirstColumn="0" w:firstRowLastColumn="0" w:lastRowFirstColumn="0" w:lastRowLastColumn="0"/>
            </w:pPr>
            <w:r w:rsidRPr="009B6CF1">
              <w:t>762</w:t>
            </w:r>
          </w:p>
        </w:tc>
        <w:tc>
          <w:tcPr>
            <w:tcW w:w="868" w:type="dxa"/>
            <w:tcBorders>
              <w:top w:val="single" w:sz="6" w:space="0" w:color="auto"/>
              <w:bottom w:val="single" w:sz="6" w:space="0" w:color="auto"/>
            </w:tcBorders>
          </w:tcPr>
          <w:p w14:paraId="5756F291" w14:textId="77777777" w:rsidR="00964B88" w:rsidRPr="009B6CF1" w:rsidRDefault="00964B88">
            <w:pPr>
              <w:cnfStyle w:val="010000000000" w:firstRow="0" w:lastRow="1" w:firstColumn="0" w:lastColumn="0" w:oddVBand="0" w:evenVBand="0" w:oddHBand="0" w:evenHBand="0" w:firstRowFirstColumn="0" w:firstRowLastColumn="0" w:lastRowFirstColumn="0" w:lastRowLastColumn="0"/>
            </w:pPr>
            <w:r w:rsidRPr="009B6CF1">
              <w:t>837</w:t>
            </w:r>
          </w:p>
        </w:tc>
      </w:tr>
    </w:tbl>
    <w:p w14:paraId="6EB55029" w14:textId="77777777" w:rsidR="009B6CF1" w:rsidRDefault="009B6CF1"/>
    <w:p w14:paraId="3CD12463" w14:textId="77777777" w:rsidR="009B6CF1" w:rsidRDefault="009B6CF1" w:rsidP="009B6CF1">
      <w:pPr>
        <w:pStyle w:val="TableHeading"/>
      </w:pPr>
      <w:r>
        <w:lastRenderedPageBreak/>
        <w:t>Table 5.3</w:t>
      </w:r>
      <w:r w:rsidR="009C1504">
        <w:t>:</w:t>
      </w:r>
      <w:r>
        <w:tab/>
        <w:t xml:space="preserve">Public non-financial corporations sector cash flow statement </w:t>
      </w:r>
      <w:r w:rsidR="00506B7C">
        <w:br/>
      </w:r>
      <w:r>
        <w:t xml:space="preserve">for the financial year ended 30 June </w:t>
      </w:r>
      <w:r w:rsidRPr="009B6CF1">
        <w:rPr>
          <w:i/>
        </w:rPr>
        <w:t>(continued)</w:t>
      </w:r>
      <w:r>
        <w:tab/>
        <w:t>($ million)</w:t>
      </w:r>
    </w:p>
    <w:tbl>
      <w:tblPr>
        <w:tblStyle w:val="DTFTable"/>
        <w:tblW w:w="7768" w:type="dxa"/>
        <w:tblLayout w:type="fixed"/>
        <w:tblLook w:val="06E0" w:firstRow="1" w:lastRow="1" w:firstColumn="1" w:lastColumn="0" w:noHBand="1" w:noVBand="1"/>
      </w:tblPr>
      <w:tblGrid>
        <w:gridCol w:w="3431"/>
        <w:gridCol w:w="867"/>
        <w:gridCol w:w="867"/>
        <w:gridCol w:w="868"/>
        <w:gridCol w:w="867"/>
        <w:gridCol w:w="868"/>
      </w:tblGrid>
      <w:tr w:rsidR="009B6CF1" w14:paraId="11549D9C" w14:textId="77777777" w:rsidTr="002A32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tcPr>
          <w:p w14:paraId="3E6DCE98" w14:textId="77777777" w:rsidR="009B6CF1" w:rsidRDefault="009B6CF1" w:rsidP="002A3255"/>
        </w:tc>
        <w:tc>
          <w:tcPr>
            <w:tcW w:w="867" w:type="dxa"/>
          </w:tcPr>
          <w:p w14:paraId="159B74E3" w14:textId="77777777" w:rsidR="009B6CF1" w:rsidRDefault="009B6CF1" w:rsidP="002A3255">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67" w:type="dxa"/>
          </w:tcPr>
          <w:p w14:paraId="07DFEFE0" w14:textId="77777777" w:rsidR="009B6CF1" w:rsidRDefault="009B6CF1" w:rsidP="002A3255">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68" w:type="dxa"/>
          </w:tcPr>
          <w:p w14:paraId="35021BD3" w14:textId="77777777" w:rsidR="009B6CF1" w:rsidRDefault="009B6CF1" w:rsidP="002A3255">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67" w:type="dxa"/>
          </w:tcPr>
          <w:p w14:paraId="2CF23104" w14:textId="77777777" w:rsidR="009B6CF1" w:rsidRDefault="009B6CF1" w:rsidP="002A3255">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68" w:type="dxa"/>
          </w:tcPr>
          <w:p w14:paraId="624F253E" w14:textId="77777777" w:rsidR="009B6CF1" w:rsidRDefault="009B6CF1" w:rsidP="002A3255">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3AD545F2"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762F143A" w14:textId="77777777" w:rsidR="00964B88" w:rsidRDefault="00964B88" w:rsidP="009B6CF1">
            <w:r>
              <w:rPr>
                <w:b/>
              </w:rPr>
              <w:t>FISCAL AGGREGATES</w:t>
            </w:r>
          </w:p>
        </w:tc>
        <w:tc>
          <w:tcPr>
            <w:tcW w:w="867" w:type="dxa"/>
          </w:tcPr>
          <w:p w14:paraId="0727FBD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23F644C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39BA151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7" w:type="dxa"/>
          </w:tcPr>
          <w:p w14:paraId="32C7B1B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68" w:type="dxa"/>
          </w:tcPr>
          <w:p w14:paraId="31F90F8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F80A49E"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22E92C95" w14:textId="77777777" w:rsidR="00964B88" w:rsidRDefault="00964B88">
            <w:r>
              <w:t>Net cash flows from operating activities</w:t>
            </w:r>
          </w:p>
        </w:tc>
        <w:tc>
          <w:tcPr>
            <w:tcW w:w="867" w:type="dxa"/>
          </w:tcPr>
          <w:p w14:paraId="66601789" w14:textId="77777777" w:rsidR="00964B88" w:rsidRDefault="00964B88">
            <w:pPr>
              <w:cnfStyle w:val="000000000000" w:firstRow="0" w:lastRow="0" w:firstColumn="0" w:lastColumn="0" w:oddVBand="0" w:evenVBand="0" w:oddHBand="0" w:evenHBand="0" w:firstRowFirstColumn="0" w:firstRowLastColumn="0" w:lastRowFirstColumn="0" w:lastRowLastColumn="0"/>
            </w:pPr>
            <w:r>
              <w:t>1 784</w:t>
            </w:r>
          </w:p>
        </w:tc>
        <w:tc>
          <w:tcPr>
            <w:tcW w:w="867" w:type="dxa"/>
          </w:tcPr>
          <w:p w14:paraId="0F73C095" w14:textId="77777777" w:rsidR="00964B88" w:rsidRDefault="00964B88">
            <w:pPr>
              <w:cnfStyle w:val="000000000000" w:firstRow="0" w:lastRow="0" w:firstColumn="0" w:lastColumn="0" w:oddVBand="0" w:evenVBand="0" w:oddHBand="0" w:evenHBand="0" w:firstRowFirstColumn="0" w:firstRowLastColumn="0" w:lastRowFirstColumn="0" w:lastRowLastColumn="0"/>
            </w:pPr>
            <w:r>
              <w:t>1 293</w:t>
            </w:r>
          </w:p>
        </w:tc>
        <w:tc>
          <w:tcPr>
            <w:tcW w:w="868" w:type="dxa"/>
          </w:tcPr>
          <w:p w14:paraId="66AFD77D" w14:textId="77777777" w:rsidR="00964B88" w:rsidRDefault="00964B88">
            <w:pPr>
              <w:cnfStyle w:val="000000000000" w:firstRow="0" w:lastRow="0" w:firstColumn="0" w:lastColumn="0" w:oddVBand="0" w:evenVBand="0" w:oddHBand="0" w:evenHBand="0" w:firstRowFirstColumn="0" w:firstRowLastColumn="0" w:lastRowFirstColumn="0" w:lastRowLastColumn="0"/>
            </w:pPr>
            <w:r>
              <w:t>1 514</w:t>
            </w:r>
          </w:p>
        </w:tc>
        <w:tc>
          <w:tcPr>
            <w:tcW w:w="867" w:type="dxa"/>
          </w:tcPr>
          <w:p w14:paraId="02EABB91" w14:textId="77777777" w:rsidR="00964B88" w:rsidRDefault="00964B88">
            <w:pPr>
              <w:cnfStyle w:val="000000000000" w:firstRow="0" w:lastRow="0" w:firstColumn="0" w:lastColumn="0" w:oddVBand="0" w:evenVBand="0" w:oddHBand="0" w:evenHBand="0" w:firstRowFirstColumn="0" w:firstRowLastColumn="0" w:lastRowFirstColumn="0" w:lastRowLastColumn="0"/>
            </w:pPr>
            <w:r>
              <w:t>1 622</w:t>
            </w:r>
          </w:p>
        </w:tc>
        <w:tc>
          <w:tcPr>
            <w:tcW w:w="868" w:type="dxa"/>
          </w:tcPr>
          <w:p w14:paraId="022A6566" w14:textId="77777777" w:rsidR="00964B88" w:rsidRDefault="00964B88">
            <w:pPr>
              <w:cnfStyle w:val="000000000000" w:firstRow="0" w:lastRow="0" w:firstColumn="0" w:lastColumn="0" w:oddVBand="0" w:evenVBand="0" w:oddHBand="0" w:evenHBand="0" w:firstRowFirstColumn="0" w:firstRowLastColumn="0" w:lastRowFirstColumn="0" w:lastRowLastColumn="0"/>
            </w:pPr>
            <w:r>
              <w:t>1 520</w:t>
            </w:r>
          </w:p>
        </w:tc>
      </w:tr>
      <w:tr w:rsidR="00964B88" w14:paraId="5671CA61"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75381277" w14:textId="77777777" w:rsidR="00964B88" w:rsidRDefault="00964B88">
            <w:r>
              <w:t>Dividends paid</w:t>
            </w:r>
          </w:p>
        </w:tc>
        <w:tc>
          <w:tcPr>
            <w:tcW w:w="867" w:type="dxa"/>
          </w:tcPr>
          <w:p w14:paraId="032945F6" w14:textId="77777777" w:rsidR="00964B88" w:rsidRDefault="00964B88">
            <w:pPr>
              <w:cnfStyle w:val="000000000000" w:firstRow="0" w:lastRow="0" w:firstColumn="0" w:lastColumn="0" w:oddVBand="0" w:evenVBand="0" w:oddHBand="0" w:evenHBand="0" w:firstRowFirstColumn="0" w:firstRowLastColumn="0" w:lastRowFirstColumn="0" w:lastRowLastColumn="0"/>
            </w:pPr>
            <w:r>
              <w:t>(385)</w:t>
            </w:r>
          </w:p>
        </w:tc>
        <w:tc>
          <w:tcPr>
            <w:tcW w:w="867" w:type="dxa"/>
          </w:tcPr>
          <w:p w14:paraId="616DA30A" w14:textId="77777777" w:rsidR="00964B88" w:rsidRDefault="00964B88">
            <w:pPr>
              <w:cnfStyle w:val="000000000000" w:firstRow="0" w:lastRow="0" w:firstColumn="0" w:lastColumn="0" w:oddVBand="0" w:evenVBand="0" w:oddHBand="0" w:evenHBand="0" w:firstRowFirstColumn="0" w:firstRowLastColumn="0" w:lastRowFirstColumn="0" w:lastRowLastColumn="0"/>
            </w:pPr>
            <w:r>
              <w:t>(340)</w:t>
            </w:r>
          </w:p>
        </w:tc>
        <w:tc>
          <w:tcPr>
            <w:tcW w:w="868" w:type="dxa"/>
          </w:tcPr>
          <w:p w14:paraId="4614AB13" w14:textId="77777777" w:rsidR="00964B88" w:rsidRDefault="00964B88">
            <w:pPr>
              <w:cnfStyle w:val="000000000000" w:firstRow="0" w:lastRow="0" w:firstColumn="0" w:lastColumn="0" w:oddVBand="0" w:evenVBand="0" w:oddHBand="0" w:evenHBand="0" w:firstRowFirstColumn="0" w:firstRowLastColumn="0" w:lastRowFirstColumn="0" w:lastRowLastColumn="0"/>
            </w:pPr>
            <w:r>
              <w:t>(115)</w:t>
            </w:r>
          </w:p>
        </w:tc>
        <w:tc>
          <w:tcPr>
            <w:tcW w:w="867" w:type="dxa"/>
          </w:tcPr>
          <w:p w14:paraId="21F3CCB9" w14:textId="77777777" w:rsidR="00964B88" w:rsidRDefault="00964B88">
            <w:pPr>
              <w:cnfStyle w:val="000000000000" w:firstRow="0" w:lastRow="0" w:firstColumn="0" w:lastColumn="0" w:oddVBand="0" w:evenVBand="0" w:oddHBand="0" w:evenHBand="0" w:firstRowFirstColumn="0" w:firstRowLastColumn="0" w:lastRowFirstColumn="0" w:lastRowLastColumn="0"/>
            </w:pPr>
            <w:r>
              <w:t>(132)</w:t>
            </w:r>
          </w:p>
        </w:tc>
        <w:tc>
          <w:tcPr>
            <w:tcW w:w="868" w:type="dxa"/>
          </w:tcPr>
          <w:p w14:paraId="2101A05D" w14:textId="77777777" w:rsidR="00964B88" w:rsidRDefault="00964B88">
            <w:pPr>
              <w:cnfStyle w:val="000000000000" w:firstRow="0" w:lastRow="0" w:firstColumn="0" w:lastColumn="0" w:oddVBand="0" w:evenVBand="0" w:oddHBand="0" w:evenHBand="0" w:firstRowFirstColumn="0" w:firstRowLastColumn="0" w:lastRowFirstColumn="0" w:lastRowLastColumn="0"/>
            </w:pPr>
            <w:r>
              <w:t>(168)</w:t>
            </w:r>
          </w:p>
        </w:tc>
      </w:tr>
      <w:tr w:rsidR="00964B88" w14:paraId="43D80A99" w14:textId="77777777" w:rsidTr="00D13450">
        <w:tc>
          <w:tcPr>
            <w:cnfStyle w:val="001000000000" w:firstRow="0" w:lastRow="0" w:firstColumn="1" w:lastColumn="0" w:oddVBand="0" w:evenVBand="0" w:oddHBand="0" w:evenHBand="0" w:firstRowFirstColumn="0" w:firstRowLastColumn="0" w:lastRowFirstColumn="0" w:lastRowLastColumn="0"/>
            <w:tcW w:w="3431" w:type="dxa"/>
            <w:tcBorders>
              <w:bottom w:val="single" w:sz="6" w:space="0" w:color="auto"/>
            </w:tcBorders>
          </w:tcPr>
          <w:p w14:paraId="666DC6B9" w14:textId="77777777" w:rsidR="00964B88" w:rsidRDefault="00964B88">
            <w:r>
              <w:t>Net cash flows from investments in non</w:t>
            </w:r>
            <w:r>
              <w:noBreakHyphen/>
              <w:t>financial assets</w:t>
            </w:r>
          </w:p>
        </w:tc>
        <w:tc>
          <w:tcPr>
            <w:tcW w:w="867" w:type="dxa"/>
            <w:tcBorders>
              <w:bottom w:val="single" w:sz="6" w:space="0" w:color="auto"/>
            </w:tcBorders>
          </w:tcPr>
          <w:p w14:paraId="1C6D9F18" w14:textId="77777777" w:rsidR="00964B88" w:rsidRDefault="00964B88">
            <w:pPr>
              <w:cnfStyle w:val="000000000000" w:firstRow="0" w:lastRow="0" w:firstColumn="0" w:lastColumn="0" w:oddVBand="0" w:evenVBand="0" w:oddHBand="0" w:evenHBand="0" w:firstRowFirstColumn="0" w:firstRowLastColumn="0" w:lastRowFirstColumn="0" w:lastRowLastColumn="0"/>
            </w:pPr>
            <w:r>
              <w:t>(2 833)</w:t>
            </w:r>
          </w:p>
        </w:tc>
        <w:tc>
          <w:tcPr>
            <w:tcW w:w="867" w:type="dxa"/>
            <w:tcBorders>
              <w:bottom w:val="single" w:sz="6" w:space="0" w:color="auto"/>
            </w:tcBorders>
          </w:tcPr>
          <w:p w14:paraId="347D272C" w14:textId="77777777" w:rsidR="00964B88" w:rsidRDefault="00964B88">
            <w:pPr>
              <w:cnfStyle w:val="000000000000" w:firstRow="0" w:lastRow="0" w:firstColumn="0" w:lastColumn="0" w:oddVBand="0" w:evenVBand="0" w:oddHBand="0" w:evenHBand="0" w:firstRowFirstColumn="0" w:firstRowLastColumn="0" w:lastRowFirstColumn="0" w:lastRowLastColumn="0"/>
            </w:pPr>
            <w:r>
              <w:t>(2 592)</w:t>
            </w:r>
          </w:p>
        </w:tc>
        <w:tc>
          <w:tcPr>
            <w:tcW w:w="868" w:type="dxa"/>
            <w:tcBorders>
              <w:bottom w:val="single" w:sz="6" w:space="0" w:color="auto"/>
            </w:tcBorders>
          </w:tcPr>
          <w:p w14:paraId="40549974" w14:textId="77777777" w:rsidR="00964B88" w:rsidRDefault="00964B88">
            <w:pPr>
              <w:cnfStyle w:val="000000000000" w:firstRow="0" w:lastRow="0" w:firstColumn="0" w:lastColumn="0" w:oddVBand="0" w:evenVBand="0" w:oddHBand="0" w:evenHBand="0" w:firstRowFirstColumn="0" w:firstRowLastColumn="0" w:lastRowFirstColumn="0" w:lastRowLastColumn="0"/>
            </w:pPr>
            <w:r>
              <w:t>(2 133)</w:t>
            </w:r>
          </w:p>
        </w:tc>
        <w:tc>
          <w:tcPr>
            <w:tcW w:w="867" w:type="dxa"/>
            <w:tcBorders>
              <w:bottom w:val="single" w:sz="6" w:space="0" w:color="auto"/>
            </w:tcBorders>
          </w:tcPr>
          <w:p w14:paraId="088FC226" w14:textId="77777777" w:rsidR="00964B88" w:rsidRDefault="00964B88">
            <w:pPr>
              <w:cnfStyle w:val="000000000000" w:firstRow="0" w:lastRow="0" w:firstColumn="0" w:lastColumn="0" w:oddVBand="0" w:evenVBand="0" w:oddHBand="0" w:evenHBand="0" w:firstRowFirstColumn="0" w:firstRowLastColumn="0" w:lastRowFirstColumn="0" w:lastRowLastColumn="0"/>
            </w:pPr>
            <w:r>
              <w:t>(2 120)</w:t>
            </w:r>
          </w:p>
        </w:tc>
        <w:tc>
          <w:tcPr>
            <w:tcW w:w="868" w:type="dxa"/>
            <w:tcBorders>
              <w:bottom w:val="single" w:sz="6" w:space="0" w:color="auto"/>
            </w:tcBorders>
          </w:tcPr>
          <w:p w14:paraId="0E17D877" w14:textId="77777777" w:rsidR="00964B88" w:rsidRDefault="00964B88">
            <w:pPr>
              <w:cnfStyle w:val="000000000000" w:firstRow="0" w:lastRow="0" w:firstColumn="0" w:lastColumn="0" w:oddVBand="0" w:evenVBand="0" w:oddHBand="0" w:evenHBand="0" w:firstRowFirstColumn="0" w:firstRowLastColumn="0" w:lastRowFirstColumn="0" w:lastRowLastColumn="0"/>
            </w:pPr>
            <w:r>
              <w:t>(1 584)</w:t>
            </w:r>
          </w:p>
        </w:tc>
      </w:tr>
      <w:tr w:rsidR="00964B88" w14:paraId="1E75411B" w14:textId="77777777" w:rsidTr="00D1345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521B605B" w14:textId="77777777" w:rsidR="00964B88" w:rsidRDefault="00964B88">
            <w:r>
              <w:t>Cash surplus/(deficit)</w:t>
            </w:r>
          </w:p>
        </w:tc>
        <w:tc>
          <w:tcPr>
            <w:tcW w:w="867" w:type="dxa"/>
          </w:tcPr>
          <w:p w14:paraId="7F4C558D" w14:textId="77777777" w:rsidR="00964B88" w:rsidRDefault="00964B88">
            <w:pPr>
              <w:cnfStyle w:val="010000000000" w:firstRow="0" w:lastRow="1" w:firstColumn="0" w:lastColumn="0" w:oddVBand="0" w:evenVBand="0" w:oddHBand="0" w:evenHBand="0" w:firstRowFirstColumn="0" w:firstRowLastColumn="0" w:lastRowFirstColumn="0" w:lastRowLastColumn="0"/>
            </w:pPr>
            <w:r>
              <w:t>(1 434)</w:t>
            </w:r>
          </w:p>
        </w:tc>
        <w:tc>
          <w:tcPr>
            <w:tcW w:w="867" w:type="dxa"/>
          </w:tcPr>
          <w:p w14:paraId="2E7B01E7" w14:textId="77777777" w:rsidR="00964B88" w:rsidRDefault="00964B88">
            <w:pPr>
              <w:cnfStyle w:val="010000000000" w:firstRow="0" w:lastRow="1" w:firstColumn="0" w:lastColumn="0" w:oddVBand="0" w:evenVBand="0" w:oddHBand="0" w:evenHBand="0" w:firstRowFirstColumn="0" w:firstRowLastColumn="0" w:lastRowFirstColumn="0" w:lastRowLastColumn="0"/>
            </w:pPr>
            <w:r>
              <w:t>(1 639)</w:t>
            </w:r>
          </w:p>
        </w:tc>
        <w:tc>
          <w:tcPr>
            <w:tcW w:w="868" w:type="dxa"/>
          </w:tcPr>
          <w:p w14:paraId="4004C22D" w14:textId="77777777" w:rsidR="00964B88" w:rsidRDefault="00964B88">
            <w:pPr>
              <w:cnfStyle w:val="010000000000" w:firstRow="0" w:lastRow="1" w:firstColumn="0" w:lastColumn="0" w:oddVBand="0" w:evenVBand="0" w:oddHBand="0" w:evenHBand="0" w:firstRowFirstColumn="0" w:firstRowLastColumn="0" w:lastRowFirstColumn="0" w:lastRowLastColumn="0"/>
            </w:pPr>
            <w:r>
              <w:t>(735)</w:t>
            </w:r>
          </w:p>
        </w:tc>
        <w:tc>
          <w:tcPr>
            <w:tcW w:w="867" w:type="dxa"/>
          </w:tcPr>
          <w:p w14:paraId="119A0839" w14:textId="77777777" w:rsidR="00964B88" w:rsidRDefault="00964B88">
            <w:pPr>
              <w:cnfStyle w:val="010000000000" w:firstRow="0" w:lastRow="1" w:firstColumn="0" w:lastColumn="0" w:oddVBand="0" w:evenVBand="0" w:oddHBand="0" w:evenHBand="0" w:firstRowFirstColumn="0" w:firstRowLastColumn="0" w:lastRowFirstColumn="0" w:lastRowLastColumn="0"/>
            </w:pPr>
            <w:r>
              <w:t>(630)</w:t>
            </w:r>
          </w:p>
        </w:tc>
        <w:tc>
          <w:tcPr>
            <w:tcW w:w="868" w:type="dxa"/>
          </w:tcPr>
          <w:p w14:paraId="5D3A3E4F" w14:textId="77777777" w:rsidR="00964B88" w:rsidRDefault="00964B88">
            <w:pPr>
              <w:cnfStyle w:val="010000000000" w:firstRow="0" w:lastRow="1" w:firstColumn="0" w:lastColumn="0" w:oddVBand="0" w:evenVBand="0" w:oddHBand="0" w:evenHBand="0" w:firstRowFirstColumn="0" w:firstRowLastColumn="0" w:lastRowFirstColumn="0" w:lastRowLastColumn="0"/>
            </w:pPr>
            <w:r>
              <w:t>(232)</w:t>
            </w:r>
          </w:p>
        </w:tc>
      </w:tr>
    </w:tbl>
    <w:p w14:paraId="134F6B93" w14:textId="77777777" w:rsidR="00964B88" w:rsidRDefault="00964B88" w:rsidP="00F53820">
      <w:pPr>
        <w:pStyle w:val="Note"/>
      </w:pPr>
      <w:r>
        <w:t>Notes:</w:t>
      </w:r>
    </w:p>
    <w:p w14:paraId="68DE93CF" w14:textId="77777777" w:rsidR="00964B88" w:rsidRDefault="00964B88" w:rsidP="00F53820">
      <w:pPr>
        <w:pStyle w:val="Note"/>
      </w:pPr>
      <w:r>
        <w:t>(a)</w:t>
      </w:r>
      <w:r>
        <w:tab/>
        <w:t>Inclusive of goods and services tax.</w:t>
      </w:r>
    </w:p>
    <w:p w14:paraId="3DD948E3" w14:textId="77777777" w:rsidR="00964B88" w:rsidRDefault="00964B88" w:rsidP="00F53820">
      <w:pPr>
        <w:pStyle w:val="Note"/>
      </w:pPr>
      <w:r>
        <w:t>(b)</w:t>
      </w:r>
      <w:r>
        <w:tab/>
      </w:r>
      <w:r>
        <w:rPr>
          <w:i w:val="0"/>
        </w:rPr>
        <w:t>2019-20</w:t>
      </w:r>
      <w:r w:rsidRPr="0027459D">
        <w:rPr>
          <w:i w:val="0"/>
        </w:rPr>
        <w:t xml:space="preserve"> Budget</w:t>
      </w:r>
      <w:r>
        <w:t xml:space="preserve"> figures have been restated to represent actual opening balances at 1 July 2019.</w:t>
      </w:r>
    </w:p>
    <w:p w14:paraId="53CDFA64" w14:textId="77777777" w:rsidR="00964B88" w:rsidRDefault="00964B88">
      <w:pPr>
        <w:keepLines w:val="0"/>
        <w:rPr>
          <w:rFonts w:asciiTheme="majorHAnsi" w:hAnsiTheme="majorHAnsi"/>
          <w:i/>
          <w:spacing w:val="-2"/>
          <w:sz w:val="14"/>
        </w:rPr>
      </w:pPr>
    </w:p>
    <w:p w14:paraId="200BA493" w14:textId="77777777" w:rsidR="00506B7C" w:rsidRDefault="00506B7C">
      <w:pPr>
        <w:keepLines w:val="0"/>
        <w:rPr>
          <w:rFonts w:asciiTheme="majorHAnsi" w:hAnsiTheme="majorHAnsi"/>
          <w:b/>
          <w:sz w:val="20"/>
          <w:szCs w:val="20"/>
        </w:rPr>
      </w:pPr>
      <w:r>
        <w:br w:type="page"/>
      </w:r>
    </w:p>
    <w:p w14:paraId="79B5517F" w14:textId="77777777" w:rsidR="00964B88" w:rsidRDefault="00964B88" w:rsidP="00506B7C">
      <w:pPr>
        <w:pStyle w:val="TableHeading"/>
      </w:pPr>
      <w:r>
        <w:lastRenderedPageBreak/>
        <w:t>Table 5.4</w:t>
      </w:r>
      <w:r w:rsidR="009C1504">
        <w:t>:</w:t>
      </w:r>
      <w:r>
        <w:tab/>
        <w:t xml:space="preserve">Public non-financial corporations sector statement of </w:t>
      </w:r>
      <w:r>
        <w:br/>
        <w:t>changes in equity for the financial year ended 30 June</w:t>
      </w:r>
      <w:r>
        <w:tab/>
        <w:t>($ million)</w:t>
      </w:r>
    </w:p>
    <w:tbl>
      <w:tblPr>
        <w:tblStyle w:val="DTFTable"/>
        <w:tblW w:w="7768" w:type="dxa"/>
        <w:tblLayout w:type="fixed"/>
        <w:tblLook w:val="06E0" w:firstRow="1" w:lastRow="1" w:firstColumn="1" w:lastColumn="0" w:noHBand="1" w:noVBand="1"/>
      </w:tblPr>
      <w:tblGrid>
        <w:gridCol w:w="4991"/>
        <w:gridCol w:w="1275"/>
        <w:gridCol w:w="1502"/>
      </w:tblGrid>
      <w:tr w:rsidR="00964B88" w14:paraId="2AFA1732"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1" w:type="dxa"/>
          </w:tcPr>
          <w:p w14:paraId="3C047AE2" w14:textId="77777777" w:rsidR="00964B88" w:rsidRDefault="00964B88"/>
        </w:tc>
        <w:tc>
          <w:tcPr>
            <w:tcW w:w="1275" w:type="dxa"/>
          </w:tcPr>
          <w:p w14:paraId="12EB12C9" w14:textId="77777777" w:rsidR="00964B88" w:rsidRDefault="00964B88">
            <w:pPr>
              <w:cnfStyle w:val="100000000000" w:firstRow="1" w:lastRow="0" w:firstColumn="0" w:lastColumn="0" w:oddVBand="0" w:evenVBand="0" w:oddHBand="0" w:evenHBand="0" w:firstRowFirstColumn="0" w:firstRowLastColumn="0" w:lastRowFirstColumn="0" w:lastRowLastColumn="0"/>
            </w:pPr>
            <w:r>
              <w:t>Accumulated surplus/(deficit)</w:t>
            </w:r>
          </w:p>
        </w:tc>
        <w:tc>
          <w:tcPr>
            <w:tcW w:w="1502" w:type="dxa"/>
          </w:tcPr>
          <w:p w14:paraId="5F3C64F6" w14:textId="77777777" w:rsidR="00964B88" w:rsidRDefault="00964B88">
            <w:pPr>
              <w:cnfStyle w:val="100000000000" w:firstRow="1" w:lastRow="0" w:firstColumn="0" w:lastColumn="0" w:oddVBand="0" w:evenVBand="0" w:oddHBand="0" w:evenHBand="0" w:firstRowFirstColumn="0" w:firstRowLastColumn="0" w:lastRowFirstColumn="0" w:lastRowLastColumn="0"/>
            </w:pPr>
            <w:r>
              <w:t>Contributions</w:t>
            </w:r>
            <w:r>
              <w:br/>
              <w:t>by owners</w:t>
            </w:r>
          </w:p>
        </w:tc>
      </w:tr>
      <w:tr w:rsidR="00964B88" w14:paraId="6EA06301" w14:textId="77777777">
        <w:tc>
          <w:tcPr>
            <w:cnfStyle w:val="001000000000" w:firstRow="0" w:lastRow="0" w:firstColumn="1" w:lastColumn="0" w:oddVBand="0" w:evenVBand="0" w:oddHBand="0" w:evenHBand="0" w:firstRowFirstColumn="0" w:firstRowLastColumn="0" w:lastRowFirstColumn="0" w:lastRowLastColumn="0"/>
            <w:tcW w:w="4991" w:type="dxa"/>
          </w:tcPr>
          <w:p w14:paraId="5758AD3C" w14:textId="77777777" w:rsidR="00964B88" w:rsidRDefault="00964B88">
            <w:r>
              <w:rPr>
                <w:b/>
              </w:rPr>
              <w:t>2019</w:t>
            </w:r>
            <w:r>
              <w:rPr>
                <w:b/>
              </w:rPr>
              <w:noBreakHyphen/>
              <w:t>20 budget</w:t>
            </w:r>
            <w:r>
              <w:rPr>
                <w:b/>
                <w:vertAlign w:val="superscript"/>
              </w:rPr>
              <w:t xml:space="preserve"> (a)</w:t>
            </w:r>
          </w:p>
        </w:tc>
        <w:tc>
          <w:tcPr>
            <w:tcW w:w="1275" w:type="dxa"/>
          </w:tcPr>
          <w:p w14:paraId="7FFAA8F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02" w:type="dxa"/>
          </w:tcPr>
          <w:p w14:paraId="4E31FC1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55C9FC31" w14:textId="77777777">
        <w:tc>
          <w:tcPr>
            <w:cnfStyle w:val="001000000000" w:firstRow="0" w:lastRow="0" w:firstColumn="1" w:lastColumn="0" w:oddVBand="0" w:evenVBand="0" w:oddHBand="0" w:evenHBand="0" w:firstRowFirstColumn="0" w:firstRowLastColumn="0" w:lastRowFirstColumn="0" w:lastRowLastColumn="0"/>
            <w:tcW w:w="4991" w:type="dxa"/>
          </w:tcPr>
          <w:p w14:paraId="1A03121B" w14:textId="77777777" w:rsidR="00964B88" w:rsidRDefault="00964B88">
            <w:r>
              <w:t>Balance at 1 July 2019</w:t>
            </w:r>
          </w:p>
        </w:tc>
        <w:tc>
          <w:tcPr>
            <w:tcW w:w="1275" w:type="dxa"/>
          </w:tcPr>
          <w:p w14:paraId="02DA494A" w14:textId="77777777" w:rsidR="00964B88" w:rsidRDefault="00964B88">
            <w:pPr>
              <w:cnfStyle w:val="000000000000" w:firstRow="0" w:lastRow="0" w:firstColumn="0" w:lastColumn="0" w:oddVBand="0" w:evenVBand="0" w:oddHBand="0" w:evenHBand="0" w:firstRowFirstColumn="0" w:firstRowLastColumn="0" w:lastRowFirstColumn="0" w:lastRowLastColumn="0"/>
            </w:pPr>
            <w:r>
              <w:t>2 857</w:t>
            </w:r>
          </w:p>
        </w:tc>
        <w:tc>
          <w:tcPr>
            <w:tcW w:w="1502" w:type="dxa"/>
          </w:tcPr>
          <w:p w14:paraId="0B3A4732" w14:textId="77777777" w:rsidR="00964B88" w:rsidRDefault="00964B88">
            <w:pPr>
              <w:cnfStyle w:val="000000000000" w:firstRow="0" w:lastRow="0" w:firstColumn="0" w:lastColumn="0" w:oddVBand="0" w:evenVBand="0" w:oddHBand="0" w:evenHBand="0" w:firstRowFirstColumn="0" w:firstRowLastColumn="0" w:lastRowFirstColumn="0" w:lastRowLastColumn="0"/>
            </w:pPr>
            <w:r>
              <w:t>62 949</w:t>
            </w:r>
          </w:p>
        </w:tc>
      </w:tr>
      <w:tr w:rsidR="00964B88" w14:paraId="085CBCF8" w14:textId="77777777">
        <w:tc>
          <w:tcPr>
            <w:cnfStyle w:val="001000000000" w:firstRow="0" w:lastRow="0" w:firstColumn="1" w:lastColumn="0" w:oddVBand="0" w:evenVBand="0" w:oddHBand="0" w:evenHBand="0" w:firstRowFirstColumn="0" w:firstRowLastColumn="0" w:lastRowFirstColumn="0" w:lastRowLastColumn="0"/>
            <w:tcW w:w="4991" w:type="dxa"/>
          </w:tcPr>
          <w:p w14:paraId="40DCC905" w14:textId="77777777" w:rsidR="00964B88" w:rsidRDefault="00964B88">
            <w:r>
              <w:t>Net result for the year</w:t>
            </w:r>
          </w:p>
        </w:tc>
        <w:tc>
          <w:tcPr>
            <w:tcW w:w="1275" w:type="dxa"/>
          </w:tcPr>
          <w:p w14:paraId="71189E94" w14:textId="77777777" w:rsidR="00964B88" w:rsidRDefault="00964B88">
            <w:pPr>
              <w:cnfStyle w:val="000000000000" w:firstRow="0" w:lastRow="0" w:firstColumn="0" w:lastColumn="0" w:oddVBand="0" w:evenVBand="0" w:oddHBand="0" w:evenHBand="0" w:firstRowFirstColumn="0" w:firstRowLastColumn="0" w:lastRowFirstColumn="0" w:lastRowLastColumn="0"/>
            </w:pPr>
            <w:r>
              <w:t>179</w:t>
            </w:r>
          </w:p>
        </w:tc>
        <w:tc>
          <w:tcPr>
            <w:tcW w:w="1502" w:type="dxa"/>
          </w:tcPr>
          <w:p w14:paraId="588884D5"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10F71DDF" w14:textId="77777777">
        <w:tc>
          <w:tcPr>
            <w:cnfStyle w:val="001000000000" w:firstRow="0" w:lastRow="0" w:firstColumn="1" w:lastColumn="0" w:oddVBand="0" w:evenVBand="0" w:oddHBand="0" w:evenHBand="0" w:firstRowFirstColumn="0" w:firstRowLastColumn="0" w:lastRowFirstColumn="0" w:lastRowLastColumn="0"/>
            <w:tcW w:w="4991" w:type="dxa"/>
          </w:tcPr>
          <w:p w14:paraId="68CA248C" w14:textId="77777777" w:rsidR="00964B88" w:rsidRDefault="00964B88">
            <w:r>
              <w:t>Other comprehensive income for the year</w:t>
            </w:r>
          </w:p>
        </w:tc>
        <w:tc>
          <w:tcPr>
            <w:tcW w:w="1275" w:type="dxa"/>
          </w:tcPr>
          <w:p w14:paraId="2DE90061" w14:textId="77777777" w:rsidR="00964B88" w:rsidRDefault="00964B88">
            <w:pPr>
              <w:cnfStyle w:val="000000000000" w:firstRow="0" w:lastRow="0" w:firstColumn="0" w:lastColumn="0" w:oddVBand="0" w:evenVBand="0" w:oddHBand="0" w:evenHBand="0" w:firstRowFirstColumn="0" w:firstRowLastColumn="0" w:lastRowFirstColumn="0" w:lastRowLastColumn="0"/>
            </w:pPr>
            <w:r>
              <w:t>(149)</w:t>
            </w:r>
          </w:p>
        </w:tc>
        <w:tc>
          <w:tcPr>
            <w:tcW w:w="1502" w:type="dxa"/>
          </w:tcPr>
          <w:p w14:paraId="5EC043D5"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5B424267" w14:textId="77777777">
        <w:tc>
          <w:tcPr>
            <w:cnfStyle w:val="001000000000" w:firstRow="0" w:lastRow="0" w:firstColumn="1" w:lastColumn="0" w:oddVBand="0" w:evenVBand="0" w:oddHBand="0" w:evenHBand="0" w:firstRowFirstColumn="0" w:firstRowLastColumn="0" w:lastRowFirstColumn="0" w:lastRowLastColumn="0"/>
            <w:tcW w:w="4991" w:type="dxa"/>
          </w:tcPr>
          <w:p w14:paraId="73419F2B" w14:textId="77777777" w:rsidR="00964B88" w:rsidRDefault="00964B88">
            <w:r>
              <w:t>Dividends paid</w:t>
            </w:r>
          </w:p>
        </w:tc>
        <w:tc>
          <w:tcPr>
            <w:tcW w:w="1275" w:type="dxa"/>
          </w:tcPr>
          <w:p w14:paraId="37842670" w14:textId="77777777" w:rsidR="00964B88" w:rsidRDefault="00964B88">
            <w:pPr>
              <w:cnfStyle w:val="000000000000" w:firstRow="0" w:lastRow="0" w:firstColumn="0" w:lastColumn="0" w:oddVBand="0" w:evenVBand="0" w:oddHBand="0" w:evenHBand="0" w:firstRowFirstColumn="0" w:firstRowLastColumn="0" w:lastRowFirstColumn="0" w:lastRowLastColumn="0"/>
            </w:pPr>
            <w:r>
              <w:t>(385)</w:t>
            </w:r>
          </w:p>
        </w:tc>
        <w:tc>
          <w:tcPr>
            <w:tcW w:w="1502" w:type="dxa"/>
          </w:tcPr>
          <w:p w14:paraId="63C36D3A"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111CC62E"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bottom w:val="single" w:sz="6" w:space="0" w:color="auto"/>
            </w:tcBorders>
          </w:tcPr>
          <w:p w14:paraId="17FA5EAF" w14:textId="77777777" w:rsidR="00964B88" w:rsidRDefault="00964B88">
            <w:r>
              <w:t>Transactions with owners in their capacity as owners</w:t>
            </w:r>
          </w:p>
        </w:tc>
        <w:tc>
          <w:tcPr>
            <w:tcW w:w="1275" w:type="dxa"/>
            <w:tcBorders>
              <w:bottom w:val="single" w:sz="6" w:space="0" w:color="auto"/>
            </w:tcBorders>
          </w:tcPr>
          <w:p w14:paraId="7B0F1D5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Borders>
              <w:bottom w:val="single" w:sz="6" w:space="0" w:color="auto"/>
            </w:tcBorders>
          </w:tcPr>
          <w:p w14:paraId="0DE479AE" w14:textId="77777777" w:rsidR="00964B88" w:rsidRDefault="00964B88">
            <w:pPr>
              <w:cnfStyle w:val="000000000000" w:firstRow="0" w:lastRow="0" w:firstColumn="0" w:lastColumn="0" w:oddVBand="0" w:evenVBand="0" w:oddHBand="0" w:evenHBand="0" w:firstRowFirstColumn="0" w:firstRowLastColumn="0" w:lastRowFirstColumn="0" w:lastRowLastColumn="0"/>
            </w:pPr>
            <w:r>
              <w:t>6 429</w:t>
            </w:r>
          </w:p>
        </w:tc>
      </w:tr>
      <w:tr w:rsidR="00964B88" w14:paraId="1643210C"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top w:val="single" w:sz="6" w:space="0" w:color="auto"/>
              <w:bottom w:val="single" w:sz="6" w:space="0" w:color="auto"/>
            </w:tcBorders>
          </w:tcPr>
          <w:p w14:paraId="17EB8E82" w14:textId="77777777" w:rsidR="00964B88" w:rsidRDefault="00964B88">
            <w:r>
              <w:rPr>
                <w:b/>
              </w:rPr>
              <w:t>Total equity as at 30 June 2020</w:t>
            </w:r>
          </w:p>
        </w:tc>
        <w:tc>
          <w:tcPr>
            <w:tcW w:w="1275" w:type="dxa"/>
            <w:tcBorders>
              <w:top w:val="single" w:sz="6" w:space="0" w:color="auto"/>
              <w:bottom w:val="single" w:sz="6" w:space="0" w:color="auto"/>
            </w:tcBorders>
          </w:tcPr>
          <w:p w14:paraId="42C6C2C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2 501</w:t>
            </w:r>
          </w:p>
        </w:tc>
        <w:tc>
          <w:tcPr>
            <w:tcW w:w="1502" w:type="dxa"/>
            <w:tcBorders>
              <w:top w:val="single" w:sz="6" w:space="0" w:color="auto"/>
              <w:bottom w:val="single" w:sz="6" w:space="0" w:color="auto"/>
            </w:tcBorders>
          </w:tcPr>
          <w:p w14:paraId="5E2A426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69 378</w:t>
            </w:r>
          </w:p>
        </w:tc>
      </w:tr>
      <w:tr w:rsidR="00964B88" w14:paraId="5276F9CF"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top w:val="single" w:sz="6" w:space="0" w:color="auto"/>
            </w:tcBorders>
          </w:tcPr>
          <w:p w14:paraId="28578DD8" w14:textId="77777777" w:rsidR="00964B88" w:rsidRDefault="00964B88">
            <w:r>
              <w:rPr>
                <w:b/>
              </w:rPr>
              <w:t>2019</w:t>
            </w:r>
            <w:r>
              <w:rPr>
                <w:b/>
              </w:rPr>
              <w:noBreakHyphen/>
              <w:t>20 revised</w:t>
            </w:r>
          </w:p>
        </w:tc>
        <w:tc>
          <w:tcPr>
            <w:tcW w:w="1275" w:type="dxa"/>
            <w:tcBorders>
              <w:top w:val="single" w:sz="6" w:space="0" w:color="auto"/>
            </w:tcBorders>
          </w:tcPr>
          <w:p w14:paraId="41E9720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02" w:type="dxa"/>
            <w:tcBorders>
              <w:top w:val="single" w:sz="6" w:space="0" w:color="auto"/>
            </w:tcBorders>
          </w:tcPr>
          <w:p w14:paraId="33C9741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889CA81" w14:textId="77777777">
        <w:tc>
          <w:tcPr>
            <w:cnfStyle w:val="001000000000" w:firstRow="0" w:lastRow="0" w:firstColumn="1" w:lastColumn="0" w:oddVBand="0" w:evenVBand="0" w:oddHBand="0" w:evenHBand="0" w:firstRowFirstColumn="0" w:firstRowLastColumn="0" w:lastRowFirstColumn="0" w:lastRowLastColumn="0"/>
            <w:tcW w:w="4991" w:type="dxa"/>
          </w:tcPr>
          <w:p w14:paraId="395A4C2C" w14:textId="77777777" w:rsidR="00964B88" w:rsidRDefault="00964B88">
            <w:r>
              <w:t>Balance at 1 July 2019</w:t>
            </w:r>
          </w:p>
        </w:tc>
        <w:tc>
          <w:tcPr>
            <w:tcW w:w="1275" w:type="dxa"/>
          </w:tcPr>
          <w:p w14:paraId="582902E2" w14:textId="77777777" w:rsidR="00964B88" w:rsidRDefault="00964B88">
            <w:pPr>
              <w:cnfStyle w:val="000000000000" w:firstRow="0" w:lastRow="0" w:firstColumn="0" w:lastColumn="0" w:oddVBand="0" w:evenVBand="0" w:oddHBand="0" w:evenHBand="0" w:firstRowFirstColumn="0" w:firstRowLastColumn="0" w:lastRowFirstColumn="0" w:lastRowLastColumn="0"/>
            </w:pPr>
            <w:r>
              <w:t>2 857</w:t>
            </w:r>
          </w:p>
        </w:tc>
        <w:tc>
          <w:tcPr>
            <w:tcW w:w="1502" w:type="dxa"/>
          </w:tcPr>
          <w:p w14:paraId="38607C35" w14:textId="77777777" w:rsidR="00964B88" w:rsidRDefault="00964B88">
            <w:pPr>
              <w:cnfStyle w:val="000000000000" w:firstRow="0" w:lastRow="0" w:firstColumn="0" w:lastColumn="0" w:oddVBand="0" w:evenVBand="0" w:oddHBand="0" w:evenHBand="0" w:firstRowFirstColumn="0" w:firstRowLastColumn="0" w:lastRowFirstColumn="0" w:lastRowLastColumn="0"/>
            </w:pPr>
            <w:r>
              <w:t>62 949</w:t>
            </w:r>
          </w:p>
        </w:tc>
      </w:tr>
      <w:tr w:rsidR="00964B88" w14:paraId="43DA3B4D" w14:textId="77777777">
        <w:tc>
          <w:tcPr>
            <w:cnfStyle w:val="001000000000" w:firstRow="0" w:lastRow="0" w:firstColumn="1" w:lastColumn="0" w:oddVBand="0" w:evenVBand="0" w:oddHBand="0" w:evenHBand="0" w:firstRowFirstColumn="0" w:firstRowLastColumn="0" w:lastRowFirstColumn="0" w:lastRowLastColumn="0"/>
            <w:tcW w:w="4991" w:type="dxa"/>
          </w:tcPr>
          <w:p w14:paraId="092A9B1F" w14:textId="77777777" w:rsidR="00964B88" w:rsidRDefault="00964B88">
            <w:r>
              <w:t>Net result for the year</w:t>
            </w:r>
          </w:p>
        </w:tc>
        <w:tc>
          <w:tcPr>
            <w:tcW w:w="1275" w:type="dxa"/>
          </w:tcPr>
          <w:p w14:paraId="428DA916" w14:textId="77777777" w:rsidR="00964B88" w:rsidRDefault="00964B88">
            <w:pPr>
              <w:cnfStyle w:val="000000000000" w:firstRow="0" w:lastRow="0" w:firstColumn="0" w:lastColumn="0" w:oddVBand="0" w:evenVBand="0" w:oddHBand="0" w:evenHBand="0" w:firstRowFirstColumn="0" w:firstRowLastColumn="0" w:lastRowFirstColumn="0" w:lastRowLastColumn="0"/>
            </w:pPr>
            <w:r>
              <w:t>203</w:t>
            </w:r>
          </w:p>
        </w:tc>
        <w:tc>
          <w:tcPr>
            <w:tcW w:w="1502" w:type="dxa"/>
          </w:tcPr>
          <w:p w14:paraId="4F9C8D01"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2C987C7C" w14:textId="77777777">
        <w:tc>
          <w:tcPr>
            <w:cnfStyle w:val="001000000000" w:firstRow="0" w:lastRow="0" w:firstColumn="1" w:lastColumn="0" w:oddVBand="0" w:evenVBand="0" w:oddHBand="0" w:evenHBand="0" w:firstRowFirstColumn="0" w:firstRowLastColumn="0" w:lastRowFirstColumn="0" w:lastRowLastColumn="0"/>
            <w:tcW w:w="4991" w:type="dxa"/>
          </w:tcPr>
          <w:p w14:paraId="2621CDF1" w14:textId="77777777" w:rsidR="00964B88" w:rsidRDefault="00964B88">
            <w:r>
              <w:t>Other comprehensive income for the year</w:t>
            </w:r>
          </w:p>
        </w:tc>
        <w:tc>
          <w:tcPr>
            <w:tcW w:w="1275" w:type="dxa"/>
          </w:tcPr>
          <w:p w14:paraId="79E66FA3" w14:textId="77777777" w:rsidR="00964B88" w:rsidRDefault="00964B88">
            <w:pPr>
              <w:cnfStyle w:val="000000000000" w:firstRow="0" w:lastRow="0" w:firstColumn="0" w:lastColumn="0" w:oddVBand="0" w:evenVBand="0" w:oddHBand="0" w:evenHBand="0" w:firstRowFirstColumn="0" w:firstRowLastColumn="0" w:lastRowFirstColumn="0" w:lastRowLastColumn="0"/>
            </w:pPr>
            <w:r>
              <w:t>(56)</w:t>
            </w:r>
          </w:p>
        </w:tc>
        <w:tc>
          <w:tcPr>
            <w:tcW w:w="1502" w:type="dxa"/>
          </w:tcPr>
          <w:p w14:paraId="1855BF4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13CCA057" w14:textId="77777777">
        <w:tc>
          <w:tcPr>
            <w:cnfStyle w:val="001000000000" w:firstRow="0" w:lastRow="0" w:firstColumn="1" w:lastColumn="0" w:oddVBand="0" w:evenVBand="0" w:oddHBand="0" w:evenHBand="0" w:firstRowFirstColumn="0" w:firstRowLastColumn="0" w:lastRowFirstColumn="0" w:lastRowLastColumn="0"/>
            <w:tcW w:w="4991" w:type="dxa"/>
          </w:tcPr>
          <w:p w14:paraId="70EC6B86" w14:textId="77777777" w:rsidR="00964B88" w:rsidRDefault="00964B88">
            <w:r>
              <w:t>Dividends paid</w:t>
            </w:r>
          </w:p>
        </w:tc>
        <w:tc>
          <w:tcPr>
            <w:tcW w:w="1275" w:type="dxa"/>
          </w:tcPr>
          <w:p w14:paraId="38E5E2A6" w14:textId="77777777" w:rsidR="00964B88" w:rsidRDefault="00964B88">
            <w:pPr>
              <w:cnfStyle w:val="000000000000" w:firstRow="0" w:lastRow="0" w:firstColumn="0" w:lastColumn="0" w:oddVBand="0" w:evenVBand="0" w:oddHBand="0" w:evenHBand="0" w:firstRowFirstColumn="0" w:firstRowLastColumn="0" w:lastRowFirstColumn="0" w:lastRowLastColumn="0"/>
            </w:pPr>
            <w:r>
              <w:t>(340)</w:t>
            </w:r>
          </w:p>
        </w:tc>
        <w:tc>
          <w:tcPr>
            <w:tcW w:w="1502" w:type="dxa"/>
          </w:tcPr>
          <w:p w14:paraId="6634D497"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109B18B3"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bottom w:val="single" w:sz="6" w:space="0" w:color="auto"/>
            </w:tcBorders>
          </w:tcPr>
          <w:p w14:paraId="2C2FEA45" w14:textId="77777777" w:rsidR="00964B88" w:rsidRDefault="00964B88">
            <w:r>
              <w:t>Transactions with owners in their capacity as owners</w:t>
            </w:r>
          </w:p>
        </w:tc>
        <w:tc>
          <w:tcPr>
            <w:tcW w:w="1275" w:type="dxa"/>
            <w:tcBorders>
              <w:bottom w:val="single" w:sz="6" w:space="0" w:color="auto"/>
            </w:tcBorders>
          </w:tcPr>
          <w:p w14:paraId="453B298A"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Borders>
              <w:bottom w:val="single" w:sz="6" w:space="0" w:color="auto"/>
            </w:tcBorders>
          </w:tcPr>
          <w:p w14:paraId="09B5701F" w14:textId="77777777" w:rsidR="00964B88" w:rsidRDefault="00964B88">
            <w:pPr>
              <w:cnfStyle w:val="000000000000" w:firstRow="0" w:lastRow="0" w:firstColumn="0" w:lastColumn="0" w:oddVBand="0" w:evenVBand="0" w:oddHBand="0" w:evenHBand="0" w:firstRowFirstColumn="0" w:firstRowLastColumn="0" w:lastRowFirstColumn="0" w:lastRowLastColumn="0"/>
            </w:pPr>
            <w:r>
              <w:t>5 324</w:t>
            </w:r>
          </w:p>
        </w:tc>
      </w:tr>
      <w:tr w:rsidR="00964B88" w14:paraId="415DAD98"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top w:val="single" w:sz="6" w:space="0" w:color="auto"/>
              <w:bottom w:val="single" w:sz="6" w:space="0" w:color="auto"/>
            </w:tcBorders>
          </w:tcPr>
          <w:p w14:paraId="290F50CA" w14:textId="77777777" w:rsidR="00964B88" w:rsidRDefault="00964B88">
            <w:r>
              <w:rPr>
                <w:b/>
              </w:rPr>
              <w:t>Total equity as at 30 June 2020</w:t>
            </w:r>
          </w:p>
        </w:tc>
        <w:tc>
          <w:tcPr>
            <w:tcW w:w="1275" w:type="dxa"/>
            <w:tcBorders>
              <w:top w:val="single" w:sz="6" w:space="0" w:color="auto"/>
              <w:bottom w:val="single" w:sz="6" w:space="0" w:color="auto"/>
            </w:tcBorders>
          </w:tcPr>
          <w:p w14:paraId="4B9B0CF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2 664</w:t>
            </w:r>
          </w:p>
        </w:tc>
        <w:tc>
          <w:tcPr>
            <w:tcW w:w="1502" w:type="dxa"/>
            <w:tcBorders>
              <w:top w:val="single" w:sz="6" w:space="0" w:color="auto"/>
              <w:bottom w:val="single" w:sz="6" w:space="0" w:color="auto"/>
            </w:tcBorders>
          </w:tcPr>
          <w:p w14:paraId="164DCA7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68 274</w:t>
            </w:r>
          </w:p>
        </w:tc>
      </w:tr>
      <w:tr w:rsidR="00964B88" w14:paraId="60EAEE39"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top w:val="single" w:sz="6" w:space="0" w:color="auto"/>
            </w:tcBorders>
          </w:tcPr>
          <w:p w14:paraId="41D9830D" w14:textId="77777777" w:rsidR="00964B88" w:rsidRDefault="00964B88">
            <w:r>
              <w:rPr>
                <w:b/>
              </w:rPr>
              <w:t>2020</w:t>
            </w:r>
            <w:r>
              <w:rPr>
                <w:b/>
              </w:rPr>
              <w:noBreakHyphen/>
              <w:t>21 estimate</w:t>
            </w:r>
          </w:p>
        </w:tc>
        <w:tc>
          <w:tcPr>
            <w:tcW w:w="1275" w:type="dxa"/>
            <w:tcBorders>
              <w:top w:val="single" w:sz="6" w:space="0" w:color="auto"/>
            </w:tcBorders>
          </w:tcPr>
          <w:p w14:paraId="5085539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02" w:type="dxa"/>
            <w:tcBorders>
              <w:top w:val="single" w:sz="6" w:space="0" w:color="auto"/>
            </w:tcBorders>
          </w:tcPr>
          <w:p w14:paraId="25E5188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7B4AE068" w14:textId="77777777">
        <w:tc>
          <w:tcPr>
            <w:cnfStyle w:val="001000000000" w:firstRow="0" w:lastRow="0" w:firstColumn="1" w:lastColumn="0" w:oddVBand="0" w:evenVBand="0" w:oddHBand="0" w:evenHBand="0" w:firstRowFirstColumn="0" w:firstRowLastColumn="0" w:lastRowFirstColumn="0" w:lastRowLastColumn="0"/>
            <w:tcW w:w="4991" w:type="dxa"/>
          </w:tcPr>
          <w:p w14:paraId="2FC1F23A" w14:textId="77777777" w:rsidR="00964B88" w:rsidRDefault="00964B88">
            <w:r>
              <w:t>Balance at 1 July 2020</w:t>
            </w:r>
          </w:p>
        </w:tc>
        <w:tc>
          <w:tcPr>
            <w:tcW w:w="1275" w:type="dxa"/>
          </w:tcPr>
          <w:p w14:paraId="3E7655AA" w14:textId="77777777" w:rsidR="00964B88" w:rsidRDefault="00964B88">
            <w:pPr>
              <w:cnfStyle w:val="000000000000" w:firstRow="0" w:lastRow="0" w:firstColumn="0" w:lastColumn="0" w:oddVBand="0" w:evenVBand="0" w:oddHBand="0" w:evenHBand="0" w:firstRowFirstColumn="0" w:firstRowLastColumn="0" w:lastRowFirstColumn="0" w:lastRowLastColumn="0"/>
            </w:pPr>
            <w:r>
              <w:t>2 664</w:t>
            </w:r>
          </w:p>
        </w:tc>
        <w:tc>
          <w:tcPr>
            <w:tcW w:w="1502" w:type="dxa"/>
          </w:tcPr>
          <w:p w14:paraId="5CC1363E" w14:textId="77777777" w:rsidR="00964B88" w:rsidRDefault="00964B88">
            <w:pPr>
              <w:cnfStyle w:val="000000000000" w:firstRow="0" w:lastRow="0" w:firstColumn="0" w:lastColumn="0" w:oddVBand="0" w:evenVBand="0" w:oddHBand="0" w:evenHBand="0" w:firstRowFirstColumn="0" w:firstRowLastColumn="0" w:lastRowFirstColumn="0" w:lastRowLastColumn="0"/>
            </w:pPr>
            <w:r>
              <w:t>68 274</w:t>
            </w:r>
          </w:p>
        </w:tc>
      </w:tr>
      <w:tr w:rsidR="00964B88" w14:paraId="5EE8437C" w14:textId="77777777">
        <w:tc>
          <w:tcPr>
            <w:cnfStyle w:val="001000000000" w:firstRow="0" w:lastRow="0" w:firstColumn="1" w:lastColumn="0" w:oddVBand="0" w:evenVBand="0" w:oddHBand="0" w:evenHBand="0" w:firstRowFirstColumn="0" w:firstRowLastColumn="0" w:lastRowFirstColumn="0" w:lastRowLastColumn="0"/>
            <w:tcW w:w="4991" w:type="dxa"/>
          </w:tcPr>
          <w:p w14:paraId="028FE79A" w14:textId="77777777" w:rsidR="00964B88" w:rsidRDefault="00964B88">
            <w:r>
              <w:t>Net result for the year</w:t>
            </w:r>
          </w:p>
        </w:tc>
        <w:tc>
          <w:tcPr>
            <w:tcW w:w="1275" w:type="dxa"/>
          </w:tcPr>
          <w:p w14:paraId="65B4AF1F" w14:textId="77777777" w:rsidR="00964B88" w:rsidRDefault="00964B88">
            <w:pPr>
              <w:cnfStyle w:val="000000000000" w:firstRow="0" w:lastRow="0" w:firstColumn="0" w:lastColumn="0" w:oddVBand="0" w:evenVBand="0" w:oddHBand="0" w:evenHBand="0" w:firstRowFirstColumn="0" w:firstRowLastColumn="0" w:lastRowFirstColumn="0" w:lastRowLastColumn="0"/>
            </w:pPr>
            <w:r>
              <w:t>(397)</w:t>
            </w:r>
          </w:p>
        </w:tc>
        <w:tc>
          <w:tcPr>
            <w:tcW w:w="1502" w:type="dxa"/>
          </w:tcPr>
          <w:p w14:paraId="5FAF3099"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78DD7446" w14:textId="77777777">
        <w:tc>
          <w:tcPr>
            <w:cnfStyle w:val="001000000000" w:firstRow="0" w:lastRow="0" w:firstColumn="1" w:lastColumn="0" w:oddVBand="0" w:evenVBand="0" w:oddHBand="0" w:evenHBand="0" w:firstRowFirstColumn="0" w:firstRowLastColumn="0" w:lastRowFirstColumn="0" w:lastRowLastColumn="0"/>
            <w:tcW w:w="4991" w:type="dxa"/>
          </w:tcPr>
          <w:p w14:paraId="0F71C717" w14:textId="77777777" w:rsidR="00964B88" w:rsidRDefault="00964B88">
            <w:r>
              <w:t>Other comprehensive income for the year</w:t>
            </w:r>
          </w:p>
        </w:tc>
        <w:tc>
          <w:tcPr>
            <w:tcW w:w="1275" w:type="dxa"/>
          </w:tcPr>
          <w:p w14:paraId="1AEF6512" w14:textId="77777777" w:rsidR="00964B88" w:rsidRDefault="00964B88">
            <w:pPr>
              <w:cnfStyle w:val="000000000000" w:firstRow="0" w:lastRow="0" w:firstColumn="0" w:lastColumn="0" w:oddVBand="0" w:evenVBand="0" w:oddHBand="0" w:evenHBand="0" w:firstRowFirstColumn="0" w:firstRowLastColumn="0" w:lastRowFirstColumn="0" w:lastRowLastColumn="0"/>
            </w:pPr>
            <w:r>
              <w:t>(28)</w:t>
            </w:r>
          </w:p>
        </w:tc>
        <w:tc>
          <w:tcPr>
            <w:tcW w:w="1502" w:type="dxa"/>
          </w:tcPr>
          <w:p w14:paraId="6D05215A"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2617AEB0" w14:textId="77777777">
        <w:tc>
          <w:tcPr>
            <w:cnfStyle w:val="001000000000" w:firstRow="0" w:lastRow="0" w:firstColumn="1" w:lastColumn="0" w:oddVBand="0" w:evenVBand="0" w:oddHBand="0" w:evenHBand="0" w:firstRowFirstColumn="0" w:firstRowLastColumn="0" w:lastRowFirstColumn="0" w:lastRowLastColumn="0"/>
            <w:tcW w:w="4991" w:type="dxa"/>
          </w:tcPr>
          <w:p w14:paraId="62C2A7ED" w14:textId="77777777" w:rsidR="00964B88" w:rsidRDefault="00964B88">
            <w:r>
              <w:t>Dividends paid</w:t>
            </w:r>
          </w:p>
        </w:tc>
        <w:tc>
          <w:tcPr>
            <w:tcW w:w="1275" w:type="dxa"/>
          </w:tcPr>
          <w:p w14:paraId="60B10ABC" w14:textId="77777777" w:rsidR="00964B88" w:rsidRDefault="00964B88">
            <w:pPr>
              <w:cnfStyle w:val="000000000000" w:firstRow="0" w:lastRow="0" w:firstColumn="0" w:lastColumn="0" w:oddVBand="0" w:evenVBand="0" w:oddHBand="0" w:evenHBand="0" w:firstRowFirstColumn="0" w:firstRowLastColumn="0" w:lastRowFirstColumn="0" w:lastRowLastColumn="0"/>
            </w:pPr>
            <w:r>
              <w:t>(115)</w:t>
            </w:r>
          </w:p>
        </w:tc>
        <w:tc>
          <w:tcPr>
            <w:tcW w:w="1502" w:type="dxa"/>
          </w:tcPr>
          <w:p w14:paraId="02F5ADC2"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2178A791"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bottom w:val="single" w:sz="6" w:space="0" w:color="auto"/>
            </w:tcBorders>
          </w:tcPr>
          <w:p w14:paraId="75956D27" w14:textId="77777777" w:rsidR="00964B88" w:rsidRDefault="00964B88">
            <w:r>
              <w:t>Transactions with owners in their capacity as owners</w:t>
            </w:r>
          </w:p>
        </w:tc>
        <w:tc>
          <w:tcPr>
            <w:tcW w:w="1275" w:type="dxa"/>
            <w:tcBorders>
              <w:bottom w:val="single" w:sz="6" w:space="0" w:color="auto"/>
            </w:tcBorders>
          </w:tcPr>
          <w:p w14:paraId="0089728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Borders>
              <w:bottom w:val="single" w:sz="6" w:space="0" w:color="auto"/>
            </w:tcBorders>
          </w:tcPr>
          <w:p w14:paraId="33FA3965" w14:textId="77777777" w:rsidR="00964B88" w:rsidRDefault="00964B88">
            <w:pPr>
              <w:cnfStyle w:val="000000000000" w:firstRow="0" w:lastRow="0" w:firstColumn="0" w:lastColumn="0" w:oddVBand="0" w:evenVBand="0" w:oddHBand="0" w:evenHBand="0" w:firstRowFirstColumn="0" w:firstRowLastColumn="0" w:lastRowFirstColumn="0" w:lastRowLastColumn="0"/>
            </w:pPr>
            <w:r>
              <w:t>5 088</w:t>
            </w:r>
          </w:p>
        </w:tc>
      </w:tr>
      <w:tr w:rsidR="00964B88" w14:paraId="00FD29C8"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top w:val="single" w:sz="6" w:space="0" w:color="auto"/>
              <w:bottom w:val="single" w:sz="6" w:space="0" w:color="auto"/>
            </w:tcBorders>
          </w:tcPr>
          <w:p w14:paraId="2CC13CC8" w14:textId="77777777" w:rsidR="00964B88" w:rsidRDefault="00964B88">
            <w:r>
              <w:rPr>
                <w:b/>
              </w:rPr>
              <w:t>Total equity as at 30 June 2021</w:t>
            </w:r>
          </w:p>
        </w:tc>
        <w:tc>
          <w:tcPr>
            <w:tcW w:w="1275" w:type="dxa"/>
            <w:tcBorders>
              <w:top w:val="single" w:sz="6" w:space="0" w:color="auto"/>
              <w:bottom w:val="single" w:sz="6" w:space="0" w:color="auto"/>
            </w:tcBorders>
          </w:tcPr>
          <w:p w14:paraId="0C45915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2 124</w:t>
            </w:r>
          </w:p>
        </w:tc>
        <w:tc>
          <w:tcPr>
            <w:tcW w:w="1502" w:type="dxa"/>
            <w:tcBorders>
              <w:top w:val="single" w:sz="6" w:space="0" w:color="auto"/>
              <w:bottom w:val="single" w:sz="6" w:space="0" w:color="auto"/>
            </w:tcBorders>
          </w:tcPr>
          <w:p w14:paraId="63E5C68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73 362</w:t>
            </w:r>
          </w:p>
        </w:tc>
      </w:tr>
      <w:tr w:rsidR="00964B88" w14:paraId="5ABB0B96"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top w:val="single" w:sz="6" w:space="0" w:color="auto"/>
            </w:tcBorders>
          </w:tcPr>
          <w:p w14:paraId="0B389076" w14:textId="77777777" w:rsidR="00964B88" w:rsidRDefault="00964B88">
            <w:r>
              <w:rPr>
                <w:b/>
              </w:rPr>
              <w:t>2021</w:t>
            </w:r>
            <w:r>
              <w:rPr>
                <w:b/>
              </w:rPr>
              <w:noBreakHyphen/>
              <w:t>22 estimate</w:t>
            </w:r>
          </w:p>
        </w:tc>
        <w:tc>
          <w:tcPr>
            <w:tcW w:w="1275" w:type="dxa"/>
            <w:tcBorders>
              <w:top w:val="single" w:sz="6" w:space="0" w:color="auto"/>
            </w:tcBorders>
          </w:tcPr>
          <w:p w14:paraId="140AB83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02" w:type="dxa"/>
            <w:tcBorders>
              <w:top w:val="single" w:sz="6" w:space="0" w:color="auto"/>
            </w:tcBorders>
          </w:tcPr>
          <w:p w14:paraId="7A48ED0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48141554" w14:textId="77777777">
        <w:tc>
          <w:tcPr>
            <w:cnfStyle w:val="001000000000" w:firstRow="0" w:lastRow="0" w:firstColumn="1" w:lastColumn="0" w:oddVBand="0" w:evenVBand="0" w:oddHBand="0" w:evenHBand="0" w:firstRowFirstColumn="0" w:firstRowLastColumn="0" w:lastRowFirstColumn="0" w:lastRowLastColumn="0"/>
            <w:tcW w:w="4991" w:type="dxa"/>
          </w:tcPr>
          <w:p w14:paraId="54B86577" w14:textId="77777777" w:rsidR="00964B88" w:rsidRDefault="00964B88">
            <w:r>
              <w:t>Balance at 1 July 2021</w:t>
            </w:r>
          </w:p>
        </w:tc>
        <w:tc>
          <w:tcPr>
            <w:tcW w:w="1275" w:type="dxa"/>
          </w:tcPr>
          <w:p w14:paraId="41195641" w14:textId="77777777" w:rsidR="00964B88" w:rsidRDefault="00964B88">
            <w:pPr>
              <w:cnfStyle w:val="000000000000" w:firstRow="0" w:lastRow="0" w:firstColumn="0" w:lastColumn="0" w:oddVBand="0" w:evenVBand="0" w:oddHBand="0" w:evenHBand="0" w:firstRowFirstColumn="0" w:firstRowLastColumn="0" w:lastRowFirstColumn="0" w:lastRowLastColumn="0"/>
            </w:pPr>
            <w:r>
              <w:t>2 124</w:t>
            </w:r>
          </w:p>
        </w:tc>
        <w:tc>
          <w:tcPr>
            <w:tcW w:w="1502" w:type="dxa"/>
          </w:tcPr>
          <w:p w14:paraId="040ED528" w14:textId="77777777" w:rsidR="00964B88" w:rsidRDefault="00964B88">
            <w:pPr>
              <w:cnfStyle w:val="000000000000" w:firstRow="0" w:lastRow="0" w:firstColumn="0" w:lastColumn="0" w:oddVBand="0" w:evenVBand="0" w:oddHBand="0" w:evenHBand="0" w:firstRowFirstColumn="0" w:firstRowLastColumn="0" w:lastRowFirstColumn="0" w:lastRowLastColumn="0"/>
            </w:pPr>
            <w:r>
              <w:t>73 362</w:t>
            </w:r>
          </w:p>
        </w:tc>
      </w:tr>
      <w:tr w:rsidR="00964B88" w14:paraId="6B17B5C4" w14:textId="77777777">
        <w:tc>
          <w:tcPr>
            <w:cnfStyle w:val="001000000000" w:firstRow="0" w:lastRow="0" w:firstColumn="1" w:lastColumn="0" w:oddVBand="0" w:evenVBand="0" w:oddHBand="0" w:evenHBand="0" w:firstRowFirstColumn="0" w:firstRowLastColumn="0" w:lastRowFirstColumn="0" w:lastRowLastColumn="0"/>
            <w:tcW w:w="4991" w:type="dxa"/>
          </w:tcPr>
          <w:p w14:paraId="45832164" w14:textId="77777777" w:rsidR="00964B88" w:rsidRDefault="00964B88">
            <w:r>
              <w:t>Net result for the year</w:t>
            </w:r>
          </w:p>
        </w:tc>
        <w:tc>
          <w:tcPr>
            <w:tcW w:w="1275" w:type="dxa"/>
          </w:tcPr>
          <w:p w14:paraId="52A4C60E" w14:textId="77777777" w:rsidR="00964B88" w:rsidRDefault="00964B88">
            <w:pPr>
              <w:cnfStyle w:val="000000000000" w:firstRow="0" w:lastRow="0" w:firstColumn="0" w:lastColumn="0" w:oddVBand="0" w:evenVBand="0" w:oddHBand="0" w:evenHBand="0" w:firstRowFirstColumn="0" w:firstRowLastColumn="0" w:lastRowFirstColumn="0" w:lastRowLastColumn="0"/>
            </w:pPr>
            <w:r>
              <w:t>(478)</w:t>
            </w:r>
          </w:p>
        </w:tc>
        <w:tc>
          <w:tcPr>
            <w:tcW w:w="1502" w:type="dxa"/>
          </w:tcPr>
          <w:p w14:paraId="164EE0EE"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6DECA64E" w14:textId="77777777">
        <w:tc>
          <w:tcPr>
            <w:cnfStyle w:val="001000000000" w:firstRow="0" w:lastRow="0" w:firstColumn="1" w:lastColumn="0" w:oddVBand="0" w:evenVBand="0" w:oddHBand="0" w:evenHBand="0" w:firstRowFirstColumn="0" w:firstRowLastColumn="0" w:lastRowFirstColumn="0" w:lastRowLastColumn="0"/>
            <w:tcW w:w="4991" w:type="dxa"/>
          </w:tcPr>
          <w:p w14:paraId="07A51FF6" w14:textId="77777777" w:rsidR="00964B88" w:rsidRDefault="00964B88">
            <w:r>
              <w:t>Other comprehensive income for the year</w:t>
            </w:r>
          </w:p>
        </w:tc>
        <w:tc>
          <w:tcPr>
            <w:tcW w:w="1275" w:type="dxa"/>
          </w:tcPr>
          <w:p w14:paraId="64C7C84D" w14:textId="77777777" w:rsidR="00964B88" w:rsidRDefault="00964B88">
            <w:pPr>
              <w:cnfStyle w:val="000000000000" w:firstRow="0" w:lastRow="0" w:firstColumn="0" w:lastColumn="0" w:oddVBand="0" w:evenVBand="0" w:oddHBand="0" w:evenHBand="0" w:firstRowFirstColumn="0" w:firstRowLastColumn="0" w:lastRowFirstColumn="0" w:lastRowLastColumn="0"/>
            </w:pPr>
            <w:r>
              <w:t>(46)</w:t>
            </w:r>
          </w:p>
        </w:tc>
        <w:tc>
          <w:tcPr>
            <w:tcW w:w="1502" w:type="dxa"/>
          </w:tcPr>
          <w:p w14:paraId="5F5C2B0E"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60BF747C" w14:textId="77777777">
        <w:tc>
          <w:tcPr>
            <w:cnfStyle w:val="001000000000" w:firstRow="0" w:lastRow="0" w:firstColumn="1" w:lastColumn="0" w:oddVBand="0" w:evenVBand="0" w:oddHBand="0" w:evenHBand="0" w:firstRowFirstColumn="0" w:firstRowLastColumn="0" w:lastRowFirstColumn="0" w:lastRowLastColumn="0"/>
            <w:tcW w:w="4991" w:type="dxa"/>
          </w:tcPr>
          <w:p w14:paraId="2AB4DF98" w14:textId="77777777" w:rsidR="00964B88" w:rsidRDefault="00964B88">
            <w:r>
              <w:t>Dividends paid</w:t>
            </w:r>
          </w:p>
        </w:tc>
        <w:tc>
          <w:tcPr>
            <w:tcW w:w="1275" w:type="dxa"/>
          </w:tcPr>
          <w:p w14:paraId="77F29B5D" w14:textId="77777777" w:rsidR="00964B88" w:rsidRDefault="00964B88">
            <w:pPr>
              <w:cnfStyle w:val="000000000000" w:firstRow="0" w:lastRow="0" w:firstColumn="0" w:lastColumn="0" w:oddVBand="0" w:evenVBand="0" w:oddHBand="0" w:evenHBand="0" w:firstRowFirstColumn="0" w:firstRowLastColumn="0" w:lastRowFirstColumn="0" w:lastRowLastColumn="0"/>
            </w:pPr>
            <w:r>
              <w:t>(132)</w:t>
            </w:r>
          </w:p>
        </w:tc>
        <w:tc>
          <w:tcPr>
            <w:tcW w:w="1502" w:type="dxa"/>
          </w:tcPr>
          <w:p w14:paraId="313F342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7F76DA87"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bottom w:val="single" w:sz="6" w:space="0" w:color="auto"/>
            </w:tcBorders>
          </w:tcPr>
          <w:p w14:paraId="2BE4901D" w14:textId="77777777" w:rsidR="00964B88" w:rsidRDefault="00964B88">
            <w:r>
              <w:t>Transactions with owners in their capacity as owners</w:t>
            </w:r>
          </w:p>
        </w:tc>
        <w:tc>
          <w:tcPr>
            <w:tcW w:w="1275" w:type="dxa"/>
            <w:tcBorders>
              <w:bottom w:val="single" w:sz="6" w:space="0" w:color="auto"/>
            </w:tcBorders>
          </w:tcPr>
          <w:p w14:paraId="7A7984E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Borders>
              <w:bottom w:val="single" w:sz="6" w:space="0" w:color="auto"/>
            </w:tcBorders>
          </w:tcPr>
          <w:p w14:paraId="22ED2A27" w14:textId="77777777" w:rsidR="00964B88" w:rsidRDefault="00964B88">
            <w:pPr>
              <w:cnfStyle w:val="000000000000" w:firstRow="0" w:lastRow="0" w:firstColumn="0" w:lastColumn="0" w:oddVBand="0" w:evenVBand="0" w:oddHBand="0" w:evenHBand="0" w:firstRowFirstColumn="0" w:firstRowLastColumn="0" w:lastRowFirstColumn="0" w:lastRowLastColumn="0"/>
            </w:pPr>
            <w:r>
              <w:t>4 194</w:t>
            </w:r>
          </w:p>
        </w:tc>
      </w:tr>
      <w:tr w:rsidR="00964B88" w14:paraId="4CCD1CA7"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top w:val="single" w:sz="6" w:space="0" w:color="auto"/>
              <w:bottom w:val="single" w:sz="6" w:space="0" w:color="auto"/>
            </w:tcBorders>
          </w:tcPr>
          <w:p w14:paraId="0DAA6E5F" w14:textId="77777777" w:rsidR="00964B88" w:rsidRDefault="00964B88">
            <w:r>
              <w:rPr>
                <w:b/>
              </w:rPr>
              <w:t>Total equity as at 30 June 2022</w:t>
            </w:r>
          </w:p>
        </w:tc>
        <w:tc>
          <w:tcPr>
            <w:tcW w:w="1275" w:type="dxa"/>
            <w:tcBorders>
              <w:top w:val="single" w:sz="6" w:space="0" w:color="auto"/>
              <w:bottom w:val="single" w:sz="6" w:space="0" w:color="auto"/>
            </w:tcBorders>
          </w:tcPr>
          <w:p w14:paraId="5E58F9C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1 468</w:t>
            </w:r>
          </w:p>
        </w:tc>
        <w:tc>
          <w:tcPr>
            <w:tcW w:w="1502" w:type="dxa"/>
            <w:tcBorders>
              <w:top w:val="single" w:sz="6" w:space="0" w:color="auto"/>
              <w:bottom w:val="single" w:sz="6" w:space="0" w:color="auto"/>
            </w:tcBorders>
          </w:tcPr>
          <w:p w14:paraId="1672CA7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77 556</w:t>
            </w:r>
          </w:p>
        </w:tc>
      </w:tr>
      <w:tr w:rsidR="00964B88" w14:paraId="2339169A"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top w:val="single" w:sz="6" w:space="0" w:color="auto"/>
            </w:tcBorders>
          </w:tcPr>
          <w:p w14:paraId="73D11712" w14:textId="77777777" w:rsidR="00964B88" w:rsidRDefault="00964B88">
            <w:r>
              <w:rPr>
                <w:b/>
              </w:rPr>
              <w:t>2022</w:t>
            </w:r>
            <w:r>
              <w:rPr>
                <w:b/>
              </w:rPr>
              <w:noBreakHyphen/>
              <w:t>23 estimate</w:t>
            </w:r>
          </w:p>
        </w:tc>
        <w:tc>
          <w:tcPr>
            <w:tcW w:w="1275" w:type="dxa"/>
            <w:tcBorders>
              <w:top w:val="single" w:sz="6" w:space="0" w:color="auto"/>
            </w:tcBorders>
          </w:tcPr>
          <w:p w14:paraId="376EF6A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02" w:type="dxa"/>
            <w:tcBorders>
              <w:top w:val="single" w:sz="6" w:space="0" w:color="auto"/>
            </w:tcBorders>
          </w:tcPr>
          <w:p w14:paraId="36F9AB9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FFAD323" w14:textId="77777777">
        <w:tc>
          <w:tcPr>
            <w:cnfStyle w:val="001000000000" w:firstRow="0" w:lastRow="0" w:firstColumn="1" w:lastColumn="0" w:oddVBand="0" w:evenVBand="0" w:oddHBand="0" w:evenHBand="0" w:firstRowFirstColumn="0" w:firstRowLastColumn="0" w:lastRowFirstColumn="0" w:lastRowLastColumn="0"/>
            <w:tcW w:w="4991" w:type="dxa"/>
          </w:tcPr>
          <w:p w14:paraId="6024DBBF" w14:textId="77777777" w:rsidR="00964B88" w:rsidRDefault="00964B88">
            <w:r>
              <w:t>Balance at 1 July 2022</w:t>
            </w:r>
          </w:p>
        </w:tc>
        <w:tc>
          <w:tcPr>
            <w:tcW w:w="1275" w:type="dxa"/>
          </w:tcPr>
          <w:p w14:paraId="010F2B5F" w14:textId="77777777" w:rsidR="00964B88" w:rsidRDefault="00964B88">
            <w:pPr>
              <w:cnfStyle w:val="000000000000" w:firstRow="0" w:lastRow="0" w:firstColumn="0" w:lastColumn="0" w:oddVBand="0" w:evenVBand="0" w:oddHBand="0" w:evenHBand="0" w:firstRowFirstColumn="0" w:firstRowLastColumn="0" w:lastRowFirstColumn="0" w:lastRowLastColumn="0"/>
            </w:pPr>
            <w:r>
              <w:t>1 468</w:t>
            </w:r>
          </w:p>
        </w:tc>
        <w:tc>
          <w:tcPr>
            <w:tcW w:w="1502" w:type="dxa"/>
          </w:tcPr>
          <w:p w14:paraId="3DFF8E17" w14:textId="77777777" w:rsidR="00964B88" w:rsidRDefault="00964B88">
            <w:pPr>
              <w:cnfStyle w:val="000000000000" w:firstRow="0" w:lastRow="0" w:firstColumn="0" w:lastColumn="0" w:oddVBand="0" w:evenVBand="0" w:oddHBand="0" w:evenHBand="0" w:firstRowFirstColumn="0" w:firstRowLastColumn="0" w:lastRowFirstColumn="0" w:lastRowLastColumn="0"/>
            </w:pPr>
            <w:r>
              <w:t>77 556</w:t>
            </w:r>
          </w:p>
        </w:tc>
      </w:tr>
      <w:tr w:rsidR="00964B88" w14:paraId="70BBED5F" w14:textId="77777777">
        <w:tc>
          <w:tcPr>
            <w:cnfStyle w:val="001000000000" w:firstRow="0" w:lastRow="0" w:firstColumn="1" w:lastColumn="0" w:oddVBand="0" w:evenVBand="0" w:oddHBand="0" w:evenHBand="0" w:firstRowFirstColumn="0" w:firstRowLastColumn="0" w:lastRowFirstColumn="0" w:lastRowLastColumn="0"/>
            <w:tcW w:w="4991" w:type="dxa"/>
          </w:tcPr>
          <w:p w14:paraId="2482AF4C" w14:textId="77777777" w:rsidR="00964B88" w:rsidRDefault="00964B88">
            <w:r>
              <w:t>Net result for the year</w:t>
            </w:r>
          </w:p>
        </w:tc>
        <w:tc>
          <w:tcPr>
            <w:tcW w:w="1275" w:type="dxa"/>
          </w:tcPr>
          <w:p w14:paraId="448BB852" w14:textId="77777777" w:rsidR="00964B88" w:rsidRDefault="00964B88">
            <w:pPr>
              <w:cnfStyle w:val="000000000000" w:firstRow="0" w:lastRow="0" w:firstColumn="0" w:lastColumn="0" w:oddVBand="0" w:evenVBand="0" w:oddHBand="0" w:evenHBand="0" w:firstRowFirstColumn="0" w:firstRowLastColumn="0" w:lastRowFirstColumn="0" w:lastRowLastColumn="0"/>
            </w:pPr>
            <w:r>
              <w:t>(523)</w:t>
            </w:r>
          </w:p>
        </w:tc>
        <w:tc>
          <w:tcPr>
            <w:tcW w:w="1502" w:type="dxa"/>
          </w:tcPr>
          <w:p w14:paraId="3F2B0718"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730CD564" w14:textId="77777777">
        <w:tc>
          <w:tcPr>
            <w:cnfStyle w:val="001000000000" w:firstRow="0" w:lastRow="0" w:firstColumn="1" w:lastColumn="0" w:oddVBand="0" w:evenVBand="0" w:oddHBand="0" w:evenHBand="0" w:firstRowFirstColumn="0" w:firstRowLastColumn="0" w:lastRowFirstColumn="0" w:lastRowLastColumn="0"/>
            <w:tcW w:w="4991" w:type="dxa"/>
          </w:tcPr>
          <w:p w14:paraId="748E448D" w14:textId="77777777" w:rsidR="00964B88" w:rsidRDefault="00964B88">
            <w:r>
              <w:t>Other comprehensive income for the year</w:t>
            </w:r>
          </w:p>
        </w:tc>
        <w:tc>
          <w:tcPr>
            <w:tcW w:w="1275" w:type="dxa"/>
          </w:tcPr>
          <w:p w14:paraId="10E8DCEC"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1502" w:type="dxa"/>
          </w:tcPr>
          <w:p w14:paraId="506FFB69"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08612C23" w14:textId="77777777">
        <w:tc>
          <w:tcPr>
            <w:cnfStyle w:val="001000000000" w:firstRow="0" w:lastRow="0" w:firstColumn="1" w:lastColumn="0" w:oddVBand="0" w:evenVBand="0" w:oddHBand="0" w:evenHBand="0" w:firstRowFirstColumn="0" w:firstRowLastColumn="0" w:lastRowFirstColumn="0" w:lastRowLastColumn="0"/>
            <w:tcW w:w="4991" w:type="dxa"/>
          </w:tcPr>
          <w:p w14:paraId="4E634CE5" w14:textId="77777777" w:rsidR="00964B88" w:rsidRDefault="00964B88">
            <w:r>
              <w:t>Dividends paid</w:t>
            </w:r>
          </w:p>
        </w:tc>
        <w:tc>
          <w:tcPr>
            <w:tcW w:w="1275" w:type="dxa"/>
          </w:tcPr>
          <w:p w14:paraId="5289D8DD" w14:textId="77777777" w:rsidR="00964B88" w:rsidRDefault="00964B88">
            <w:pPr>
              <w:cnfStyle w:val="000000000000" w:firstRow="0" w:lastRow="0" w:firstColumn="0" w:lastColumn="0" w:oddVBand="0" w:evenVBand="0" w:oddHBand="0" w:evenHBand="0" w:firstRowFirstColumn="0" w:firstRowLastColumn="0" w:lastRowFirstColumn="0" w:lastRowLastColumn="0"/>
            </w:pPr>
            <w:r>
              <w:t>(175)</w:t>
            </w:r>
          </w:p>
        </w:tc>
        <w:tc>
          <w:tcPr>
            <w:tcW w:w="1502" w:type="dxa"/>
          </w:tcPr>
          <w:p w14:paraId="0D5170C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61709CC9" w14:textId="77777777" w:rsidTr="00F53820">
        <w:tc>
          <w:tcPr>
            <w:cnfStyle w:val="001000000000" w:firstRow="0" w:lastRow="0" w:firstColumn="1" w:lastColumn="0" w:oddVBand="0" w:evenVBand="0" w:oddHBand="0" w:evenHBand="0" w:firstRowFirstColumn="0" w:firstRowLastColumn="0" w:lastRowFirstColumn="0" w:lastRowLastColumn="0"/>
            <w:tcW w:w="4991" w:type="dxa"/>
            <w:tcBorders>
              <w:bottom w:val="single" w:sz="6" w:space="0" w:color="auto"/>
            </w:tcBorders>
          </w:tcPr>
          <w:p w14:paraId="12E6EF05" w14:textId="77777777" w:rsidR="00964B88" w:rsidRDefault="00964B88">
            <w:r>
              <w:t>Transactions with owners in their capacity as owners</w:t>
            </w:r>
          </w:p>
        </w:tc>
        <w:tc>
          <w:tcPr>
            <w:tcW w:w="1275" w:type="dxa"/>
            <w:tcBorders>
              <w:bottom w:val="single" w:sz="6" w:space="0" w:color="auto"/>
            </w:tcBorders>
          </w:tcPr>
          <w:p w14:paraId="406C3E0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Borders>
              <w:bottom w:val="single" w:sz="6" w:space="0" w:color="auto"/>
            </w:tcBorders>
          </w:tcPr>
          <w:p w14:paraId="13954B26" w14:textId="77777777" w:rsidR="00964B88" w:rsidRDefault="00964B88">
            <w:pPr>
              <w:cnfStyle w:val="000000000000" w:firstRow="0" w:lastRow="0" w:firstColumn="0" w:lastColumn="0" w:oddVBand="0" w:evenVBand="0" w:oddHBand="0" w:evenHBand="0" w:firstRowFirstColumn="0" w:firstRowLastColumn="0" w:lastRowFirstColumn="0" w:lastRowLastColumn="0"/>
            </w:pPr>
            <w:r>
              <w:t>4 350</w:t>
            </w:r>
          </w:p>
        </w:tc>
      </w:tr>
      <w:tr w:rsidR="00964B88" w14:paraId="558F4494"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1" w:type="dxa"/>
          </w:tcPr>
          <w:p w14:paraId="383BBCC3" w14:textId="77777777" w:rsidR="00964B88" w:rsidRDefault="00964B88">
            <w:r>
              <w:t>Total equity as at 30 June 2023</w:t>
            </w:r>
          </w:p>
        </w:tc>
        <w:tc>
          <w:tcPr>
            <w:tcW w:w="1275" w:type="dxa"/>
          </w:tcPr>
          <w:p w14:paraId="66C55456" w14:textId="77777777" w:rsidR="00964B88" w:rsidRDefault="00964B88">
            <w:pPr>
              <w:cnfStyle w:val="010000000000" w:firstRow="0" w:lastRow="1" w:firstColumn="0" w:lastColumn="0" w:oddVBand="0" w:evenVBand="0" w:oddHBand="0" w:evenHBand="0" w:firstRowFirstColumn="0" w:firstRowLastColumn="0" w:lastRowFirstColumn="0" w:lastRowLastColumn="0"/>
            </w:pPr>
            <w:r>
              <w:t>724</w:t>
            </w:r>
          </w:p>
        </w:tc>
        <w:tc>
          <w:tcPr>
            <w:tcW w:w="1502" w:type="dxa"/>
          </w:tcPr>
          <w:p w14:paraId="3B415CBB" w14:textId="77777777" w:rsidR="00964B88" w:rsidRDefault="00964B88">
            <w:pPr>
              <w:cnfStyle w:val="010000000000" w:firstRow="0" w:lastRow="1" w:firstColumn="0" w:lastColumn="0" w:oddVBand="0" w:evenVBand="0" w:oddHBand="0" w:evenHBand="0" w:firstRowFirstColumn="0" w:firstRowLastColumn="0" w:lastRowFirstColumn="0" w:lastRowLastColumn="0"/>
            </w:pPr>
            <w:r>
              <w:t>81 906</w:t>
            </w:r>
          </w:p>
        </w:tc>
      </w:tr>
    </w:tbl>
    <w:p w14:paraId="7446C904" w14:textId="77777777" w:rsidR="00964B88" w:rsidRPr="006E4D7E" w:rsidRDefault="00964B88" w:rsidP="00F53820">
      <w:pPr>
        <w:pStyle w:val="Note"/>
      </w:pPr>
      <w:r w:rsidRPr="006E4D7E">
        <w:t>Note:</w:t>
      </w:r>
    </w:p>
    <w:p w14:paraId="5A9A83D4" w14:textId="77777777" w:rsidR="00964B88" w:rsidRPr="00926603" w:rsidRDefault="00964B88" w:rsidP="00F53820">
      <w:pPr>
        <w:pStyle w:val="Note"/>
      </w:pPr>
      <w:r w:rsidRPr="00926603">
        <w:t>(a)</w:t>
      </w:r>
      <w:r w:rsidRPr="00926603">
        <w:tab/>
        <w:t>Balances represent actual</w:t>
      </w:r>
      <w:r>
        <w:t xml:space="preserve"> opening balances at 1 July 2019 plus 2019-20</w:t>
      </w:r>
      <w:r w:rsidRPr="00926603">
        <w:t xml:space="preserve"> budgeted movements.</w:t>
      </w:r>
    </w:p>
    <w:p w14:paraId="74C05313" w14:textId="77777777" w:rsidR="00964B88" w:rsidRDefault="00964B88" w:rsidP="00F53820">
      <w:pPr>
        <w:pStyle w:val="Note"/>
      </w:pPr>
    </w:p>
    <w:p w14:paraId="113FF1CC" w14:textId="77777777" w:rsidR="00964B88" w:rsidRPr="009B6CF1" w:rsidRDefault="00964B88" w:rsidP="00506B7C">
      <w:pPr>
        <w:pStyle w:val="TableHeading"/>
        <w:pageBreakBefore/>
        <w:spacing w:before="0"/>
      </w:pPr>
      <w:r w:rsidRPr="009B6CF1">
        <w:lastRenderedPageBreak/>
        <w:br/>
      </w:r>
    </w:p>
    <w:tbl>
      <w:tblPr>
        <w:tblStyle w:val="DTFTable"/>
        <w:tblW w:w="7768" w:type="dxa"/>
        <w:tblLayout w:type="fixed"/>
        <w:tblLook w:val="0660" w:firstRow="1" w:lastRow="1" w:firstColumn="0" w:lastColumn="0" w:noHBand="1" w:noVBand="1"/>
      </w:tblPr>
      <w:tblGrid>
        <w:gridCol w:w="2588"/>
        <w:gridCol w:w="2590"/>
        <w:gridCol w:w="2590"/>
      </w:tblGrid>
      <w:tr w:rsidR="00964B88" w14:paraId="1C7E9257" w14:textId="77777777" w:rsidTr="00F53820">
        <w:trPr>
          <w:cnfStyle w:val="100000000000" w:firstRow="1" w:lastRow="0" w:firstColumn="0" w:lastColumn="0" w:oddVBand="0" w:evenVBand="0" w:oddHBand="0" w:evenHBand="0" w:firstRowFirstColumn="0" w:firstRowLastColumn="0" w:lastRowFirstColumn="0" w:lastRowLastColumn="0"/>
          <w:tblHeader/>
        </w:trPr>
        <w:tc>
          <w:tcPr>
            <w:tcW w:w="2588" w:type="dxa"/>
          </w:tcPr>
          <w:p w14:paraId="5D2BD62E" w14:textId="77777777" w:rsidR="00964B88" w:rsidRDefault="00964B88">
            <w:r>
              <w:t>Non</w:t>
            </w:r>
            <w:r>
              <w:noBreakHyphen/>
              <w:t>financial assets</w:t>
            </w:r>
            <w:r>
              <w:br/>
              <w:t>revaluation surplus</w:t>
            </w:r>
          </w:p>
        </w:tc>
        <w:tc>
          <w:tcPr>
            <w:tcW w:w="2590" w:type="dxa"/>
          </w:tcPr>
          <w:p w14:paraId="75C48FF4" w14:textId="77777777" w:rsidR="00964B88" w:rsidRDefault="00964B88">
            <w:r>
              <w:t>Other</w:t>
            </w:r>
            <w:r>
              <w:br/>
              <w:t>reserves</w:t>
            </w:r>
          </w:p>
        </w:tc>
        <w:tc>
          <w:tcPr>
            <w:tcW w:w="2590" w:type="dxa"/>
          </w:tcPr>
          <w:p w14:paraId="10D37D67" w14:textId="77777777" w:rsidR="00964B88" w:rsidRDefault="00964B88">
            <w:r>
              <w:t>Total</w:t>
            </w:r>
          </w:p>
        </w:tc>
      </w:tr>
      <w:tr w:rsidR="00964B88" w14:paraId="6F160163" w14:textId="77777777" w:rsidTr="00F53820">
        <w:tc>
          <w:tcPr>
            <w:tcW w:w="2588" w:type="dxa"/>
          </w:tcPr>
          <w:p w14:paraId="3EC0D6BE" w14:textId="77777777" w:rsidR="00964B88" w:rsidRDefault="00964B88"/>
        </w:tc>
        <w:tc>
          <w:tcPr>
            <w:tcW w:w="2590" w:type="dxa"/>
          </w:tcPr>
          <w:p w14:paraId="06FB0747" w14:textId="77777777" w:rsidR="00964B88" w:rsidRDefault="00964B88"/>
        </w:tc>
        <w:tc>
          <w:tcPr>
            <w:tcW w:w="2590" w:type="dxa"/>
          </w:tcPr>
          <w:p w14:paraId="6752D082" w14:textId="77777777" w:rsidR="00964B88" w:rsidRDefault="00964B88"/>
        </w:tc>
      </w:tr>
      <w:tr w:rsidR="00964B88" w14:paraId="2C7C2A0F" w14:textId="77777777" w:rsidTr="00F53820">
        <w:tc>
          <w:tcPr>
            <w:tcW w:w="2588" w:type="dxa"/>
          </w:tcPr>
          <w:p w14:paraId="3A401DF7" w14:textId="77777777" w:rsidR="00964B88" w:rsidRDefault="00964B88">
            <w:r>
              <w:t>32 620</w:t>
            </w:r>
          </w:p>
        </w:tc>
        <w:tc>
          <w:tcPr>
            <w:tcW w:w="2590" w:type="dxa"/>
          </w:tcPr>
          <w:p w14:paraId="48CA4EE4" w14:textId="77777777" w:rsidR="00964B88" w:rsidRDefault="00964B88">
            <w:r>
              <w:t>586</w:t>
            </w:r>
          </w:p>
        </w:tc>
        <w:tc>
          <w:tcPr>
            <w:tcW w:w="2590" w:type="dxa"/>
          </w:tcPr>
          <w:p w14:paraId="14416995" w14:textId="77777777" w:rsidR="00964B88" w:rsidRDefault="00964B88">
            <w:r>
              <w:t>99 013</w:t>
            </w:r>
          </w:p>
        </w:tc>
      </w:tr>
      <w:tr w:rsidR="00964B88" w14:paraId="6F2A7BB1" w14:textId="77777777" w:rsidTr="00F53820">
        <w:tc>
          <w:tcPr>
            <w:tcW w:w="2588" w:type="dxa"/>
          </w:tcPr>
          <w:p w14:paraId="32664C61" w14:textId="77777777" w:rsidR="00964B88" w:rsidRDefault="00964B88">
            <w:r>
              <w:t>..</w:t>
            </w:r>
          </w:p>
        </w:tc>
        <w:tc>
          <w:tcPr>
            <w:tcW w:w="2590" w:type="dxa"/>
          </w:tcPr>
          <w:p w14:paraId="198CF14B" w14:textId="77777777" w:rsidR="00964B88" w:rsidRDefault="00964B88">
            <w:r>
              <w:t>..</w:t>
            </w:r>
          </w:p>
        </w:tc>
        <w:tc>
          <w:tcPr>
            <w:tcW w:w="2590" w:type="dxa"/>
          </w:tcPr>
          <w:p w14:paraId="4F118BBC" w14:textId="77777777" w:rsidR="00964B88" w:rsidRDefault="00964B88">
            <w:r>
              <w:t>179</w:t>
            </w:r>
          </w:p>
        </w:tc>
      </w:tr>
      <w:tr w:rsidR="00964B88" w14:paraId="385214C8" w14:textId="77777777" w:rsidTr="00F53820">
        <w:tc>
          <w:tcPr>
            <w:tcW w:w="2588" w:type="dxa"/>
          </w:tcPr>
          <w:p w14:paraId="4BD831AE" w14:textId="77777777" w:rsidR="00964B88" w:rsidRDefault="00964B88">
            <w:r>
              <w:t>1 091</w:t>
            </w:r>
          </w:p>
        </w:tc>
        <w:tc>
          <w:tcPr>
            <w:tcW w:w="2590" w:type="dxa"/>
          </w:tcPr>
          <w:p w14:paraId="3FF6CE22" w14:textId="77777777" w:rsidR="00964B88" w:rsidRDefault="00964B88">
            <w:r>
              <w:t>33</w:t>
            </w:r>
          </w:p>
        </w:tc>
        <w:tc>
          <w:tcPr>
            <w:tcW w:w="2590" w:type="dxa"/>
          </w:tcPr>
          <w:p w14:paraId="7A4EB3BB" w14:textId="77777777" w:rsidR="00964B88" w:rsidRDefault="00964B88">
            <w:r>
              <w:t>975</w:t>
            </w:r>
          </w:p>
        </w:tc>
      </w:tr>
      <w:tr w:rsidR="00964B88" w14:paraId="43DC3D1D" w14:textId="77777777" w:rsidTr="00F53820">
        <w:tc>
          <w:tcPr>
            <w:tcW w:w="2588" w:type="dxa"/>
          </w:tcPr>
          <w:p w14:paraId="3FF3FC45" w14:textId="77777777" w:rsidR="00964B88" w:rsidRDefault="00964B88">
            <w:r>
              <w:t>..</w:t>
            </w:r>
          </w:p>
        </w:tc>
        <w:tc>
          <w:tcPr>
            <w:tcW w:w="2590" w:type="dxa"/>
          </w:tcPr>
          <w:p w14:paraId="0E21C513" w14:textId="77777777" w:rsidR="00964B88" w:rsidRDefault="00964B88">
            <w:r>
              <w:t>..</w:t>
            </w:r>
          </w:p>
        </w:tc>
        <w:tc>
          <w:tcPr>
            <w:tcW w:w="2590" w:type="dxa"/>
          </w:tcPr>
          <w:p w14:paraId="409233DB" w14:textId="77777777" w:rsidR="00964B88" w:rsidRDefault="00964B88">
            <w:r>
              <w:t>(385)</w:t>
            </w:r>
          </w:p>
        </w:tc>
      </w:tr>
      <w:tr w:rsidR="00964B88" w14:paraId="62F8CBBC" w14:textId="77777777" w:rsidTr="00F53820">
        <w:tc>
          <w:tcPr>
            <w:tcW w:w="2588" w:type="dxa"/>
            <w:tcBorders>
              <w:bottom w:val="single" w:sz="6" w:space="0" w:color="auto"/>
            </w:tcBorders>
          </w:tcPr>
          <w:p w14:paraId="7321523B" w14:textId="77777777" w:rsidR="00964B88" w:rsidRDefault="00964B88">
            <w:r>
              <w:t>..</w:t>
            </w:r>
          </w:p>
        </w:tc>
        <w:tc>
          <w:tcPr>
            <w:tcW w:w="2590" w:type="dxa"/>
            <w:tcBorders>
              <w:bottom w:val="single" w:sz="6" w:space="0" w:color="auto"/>
            </w:tcBorders>
          </w:tcPr>
          <w:p w14:paraId="605C9353" w14:textId="77777777" w:rsidR="00964B88" w:rsidRDefault="00964B88">
            <w:r>
              <w:t>..</w:t>
            </w:r>
          </w:p>
        </w:tc>
        <w:tc>
          <w:tcPr>
            <w:tcW w:w="2590" w:type="dxa"/>
            <w:tcBorders>
              <w:bottom w:val="single" w:sz="6" w:space="0" w:color="auto"/>
            </w:tcBorders>
          </w:tcPr>
          <w:p w14:paraId="5A8CB496" w14:textId="77777777" w:rsidR="00964B88" w:rsidRDefault="00964B88">
            <w:r>
              <w:t>6 429</w:t>
            </w:r>
          </w:p>
        </w:tc>
      </w:tr>
      <w:tr w:rsidR="00964B88" w14:paraId="6166E3BC" w14:textId="77777777" w:rsidTr="00F53820">
        <w:tc>
          <w:tcPr>
            <w:tcW w:w="2588" w:type="dxa"/>
            <w:tcBorders>
              <w:top w:val="single" w:sz="6" w:space="0" w:color="auto"/>
              <w:bottom w:val="single" w:sz="6" w:space="0" w:color="auto"/>
            </w:tcBorders>
          </w:tcPr>
          <w:p w14:paraId="7DACE50D" w14:textId="77777777" w:rsidR="00964B88" w:rsidRDefault="00964B88">
            <w:r>
              <w:rPr>
                <w:b/>
              </w:rPr>
              <w:t>33 712</w:t>
            </w:r>
          </w:p>
        </w:tc>
        <w:tc>
          <w:tcPr>
            <w:tcW w:w="2590" w:type="dxa"/>
            <w:tcBorders>
              <w:top w:val="single" w:sz="6" w:space="0" w:color="auto"/>
              <w:bottom w:val="single" w:sz="6" w:space="0" w:color="auto"/>
            </w:tcBorders>
          </w:tcPr>
          <w:p w14:paraId="6CDC2A4B" w14:textId="77777777" w:rsidR="00964B88" w:rsidRDefault="00964B88">
            <w:r>
              <w:rPr>
                <w:b/>
              </w:rPr>
              <w:t>619</w:t>
            </w:r>
          </w:p>
        </w:tc>
        <w:tc>
          <w:tcPr>
            <w:tcW w:w="2590" w:type="dxa"/>
            <w:tcBorders>
              <w:top w:val="single" w:sz="6" w:space="0" w:color="auto"/>
              <w:bottom w:val="single" w:sz="6" w:space="0" w:color="auto"/>
            </w:tcBorders>
          </w:tcPr>
          <w:p w14:paraId="554F61C7" w14:textId="77777777" w:rsidR="00964B88" w:rsidRDefault="00964B88">
            <w:r>
              <w:rPr>
                <w:b/>
              </w:rPr>
              <w:t>106 210</w:t>
            </w:r>
          </w:p>
        </w:tc>
      </w:tr>
      <w:tr w:rsidR="00964B88" w14:paraId="1528BEE4" w14:textId="77777777" w:rsidTr="00F53820">
        <w:tc>
          <w:tcPr>
            <w:tcW w:w="2588" w:type="dxa"/>
            <w:tcBorders>
              <w:top w:val="single" w:sz="6" w:space="0" w:color="auto"/>
            </w:tcBorders>
          </w:tcPr>
          <w:p w14:paraId="433B9856" w14:textId="77777777" w:rsidR="00964B88" w:rsidRDefault="00964B88"/>
        </w:tc>
        <w:tc>
          <w:tcPr>
            <w:tcW w:w="2590" w:type="dxa"/>
            <w:tcBorders>
              <w:top w:val="single" w:sz="6" w:space="0" w:color="auto"/>
            </w:tcBorders>
          </w:tcPr>
          <w:p w14:paraId="604FEA71" w14:textId="77777777" w:rsidR="00964B88" w:rsidRDefault="00964B88"/>
        </w:tc>
        <w:tc>
          <w:tcPr>
            <w:tcW w:w="2590" w:type="dxa"/>
            <w:tcBorders>
              <w:top w:val="single" w:sz="6" w:space="0" w:color="auto"/>
            </w:tcBorders>
          </w:tcPr>
          <w:p w14:paraId="74E1CAAA" w14:textId="77777777" w:rsidR="00964B88" w:rsidRDefault="00964B88"/>
        </w:tc>
      </w:tr>
      <w:tr w:rsidR="00964B88" w14:paraId="5875C191" w14:textId="77777777" w:rsidTr="00F53820">
        <w:tc>
          <w:tcPr>
            <w:tcW w:w="2588" w:type="dxa"/>
          </w:tcPr>
          <w:p w14:paraId="572FF04B" w14:textId="77777777" w:rsidR="00964B88" w:rsidRDefault="00964B88">
            <w:r>
              <w:t>32 620</w:t>
            </w:r>
          </w:p>
        </w:tc>
        <w:tc>
          <w:tcPr>
            <w:tcW w:w="2590" w:type="dxa"/>
          </w:tcPr>
          <w:p w14:paraId="65224150" w14:textId="77777777" w:rsidR="00964B88" w:rsidRDefault="00964B88">
            <w:r>
              <w:t>586</w:t>
            </w:r>
          </w:p>
        </w:tc>
        <w:tc>
          <w:tcPr>
            <w:tcW w:w="2590" w:type="dxa"/>
          </w:tcPr>
          <w:p w14:paraId="6E30929F" w14:textId="77777777" w:rsidR="00964B88" w:rsidRDefault="00964B88">
            <w:r>
              <w:t>99 013</w:t>
            </w:r>
          </w:p>
        </w:tc>
      </w:tr>
      <w:tr w:rsidR="00964B88" w14:paraId="571E0D93" w14:textId="77777777" w:rsidTr="00F53820">
        <w:tc>
          <w:tcPr>
            <w:tcW w:w="2588" w:type="dxa"/>
          </w:tcPr>
          <w:p w14:paraId="388FAF6B" w14:textId="77777777" w:rsidR="00964B88" w:rsidRDefault="00964B88">
            <w:r>
              <w:t>..</w:t>
            </w:r>
          </w:p>
        </w:tc>
        <w:tc>
          <w:tcPr>
            <w:tcW w:w="2590" w:type="dxa"/>
          </w:tcPr>
          <w:p w14:paraId="7B496A3E" w14:textId="77777777" w:rsidR="00964B88" w:rsidRDefault="00964B88">
            <w:r>
              <w:t>..</w:t>
            </w:r>
          </w:p>
        </w:tc>
        <w:tc>
          <w:tcPr>
            <w:tcW w:w="2590" w:type="dxa"/>
          </w:tcPr>
          <w:p w14:paraId="4A7DCC93" w14:textId="77777777" w:rsidR="00964B88" w:rsidRDefault="00964B88">
            <w:r>
              <w:t>203</w:t>
            </w:r>
          </w:p>
        </w:tc>
      </w:tr>
      <w:tr w:rsidR="00964B88" w14:paraId="0C6B66E9" w14:textId="77777777" w:rsidTr="00F53820">
        <w:tc>
          <w:tcPr>
            <w:tcW w:w="2588" w:type="dxa"/>
          </w:tcPr>
          <w:p w14:paraId="36FBA901" w14:textId="77777777" w:rsidR="00964B88" w:rsidRDefault="00964B88">
            <w:r>
              <w:t>996</w:t>
            </w:r>
          </w:p>
        </w:tc>
        <w:tc>
          <w:tcPr>
            <w:tcW w:w="2590" w:type="dxa"/>
          </w:tcPr>
          <w:p w14:paraId="6F8F54B7" w14:textId="77777777" w:rsidR="00964B88" w:rsidRDefault="00964B88">
            <w:r>
              <w:t>32</w:t>
            </w:r>
          </w:p>
        </w:tc>
        <w:tc>
          <w:tcPr>
            <w:tcW w:w="2590" w:type="dxa"/>
          </w:tcPr>
          <w:p w14:paraId="68B1EA03" w14:textId="77777777" w:rsidR="00964B88" w:rsidRDefault="00964B88">
            <w:r>
              <w:t>973</w:t>
            </w:r>
          </w:p>
        </w:tc>
      </w:tr>
      <w:tr w:rsidR="00964B88" w14:paraId="5E7EB714" w14:textId="77777777" w:rsidTr="00F53820">
        <w:tc>
          <w:tcPr>
            <w:tcW w:w="2588" w:type="dxa"/>
          </w:tcPr>
          <w:p w14:paraId="0F57A8C0" w14:textId="77777777" w:rsidR="00964B88" w:rsidRDefault="00964B88">
            <w:r>
              <w:t>..</w:t>
            </w:r>
          </w:p>
        </w:tc>
        <w:tc>
          <w:tcPr>
            <w:tcW w:w="2590" w:type="dxa"/>
          </w:tcPr>
          <w:p w14:paraId="30F198C1" w14:textId="77777777" w:rsidR="00964B88" w:rsidRDefault="00964B88">
            <w:r>
              <w:t>..</w:t>
            </w:r>
          </w:p>
        </w:tc>
        <w:tc>
          <w:tcPr>
            <w:tcW w:w="2590" w:type="dxa"/>
          </w:tcPr>
          <w:p w14:paraId="3F7DF722" w14:textId="77777777" w:rsidR="00964B88" w:rsidRDefault="00964B88">
            <w:r>
              <w:t>(340)</w:t>
            </w:r>
          </w:p>
        </w:tc>
      </w:tr>
      <w:tr w:rsidR="00964B88" w14:paraId="7EFD7768" w14:textId="77777777" w:rsidTr="00F53820">
        <w:tc>
          <w:tcPr>
            <w:tcW w:w="2588" w:type="dxa"/>
            <w:tcBorders>
              <w:bottom w:val="single" w:sz="6" w:space="0" w:color="auto"/>
            </w:tcBorders>
          </w:tcPr>
          <w:p w14:paraId="3E427167" w14:textId="77777777" w:rsidR="00964B88" w:rsidRDefault="00964B88">
            <w:r>
              <w:t>..</w:t>
            </w:r>
          </w:p>
        </w:tc>
        <w:tc>
          <w:tcPr>
            <w:tcW w:w="2590" w:type="dxa"/>
            <w:tcBorders>
              <w:bottom w:val="single" w:sz="6" w:space="0" w:color="auto"/>
            </w:tcBorders>
          </w:tcPr>
          <w:p w14:paraId="16054EEB" w14:textId="77777777" w:rsidR="00964B88" w:rsidRDefault="00964B88">
            <w:r>
              <w:t>..</w:t>
            </w:r>
          </w:p>
        </w:tc>
        <w:tc>
          <w:tcPr>
            <w:tcW w:w="2590" w:type="dxa"/>
            <w:tcBorders>
              <w:bottom w:val="single" w:sz="6" w:space="0" w:color="auto"/>
            </w:tcBorders>
          </w:tcPr>
          <w:p w14:paraId="64B14052" w14:textId="77777777" w:rsidR="00964B88" w:rsidRDefault="00964B88">
            <w:r>
              <w:t>5 324</w:t>
            </w:r>
          </w:p>
        </w:tc>
      </w:tr>
      <w:tr w:rsidR="00964B88" w14:paraId="4F535956" w14:textId="77777777" w:rsidTr="00F53820">
        <w:tc>
          <w:tcPr>
            <w:tcW w:w="2588" w:type="dxa"/>
            <w:tcBorders>
              <w:top w:val="single" w:sz="6" w:space="0" w:color="auto"/>
              <w:bottom w:val="single" w:sz="6" w:space="0" w:color="auto"/>
            </w:tcBorders>
          </w:tcPr>
          <w:p w14:paraId="5CDAC704" w14:textId="77777777" w:rsidR="00964B88" w:rsidRDefault="00964B88">
            <w:r>
              <w:rPr>
                <w:b/>
              </w:rPr>
              <w:t>33 617</w:t>
            </w:r>
          </w:p>
        </w:tc>
        <w:tc>
          <w:tcPr>
            <w:tcW w:w="2590" w:type="dxa"/>
            <w:tcBorders>
              <w:top w:val="single" w:sz="6" w:space="0" w:color="auto"/>
              <w:bottom w:val="single" w:sz="6" w:space="0" w:color="auto"/>
            </w:tcBorders>
          </w:tcPr>
          <w:p w14:paraId="5011D691" w14:textId="77777777" w:rsidR="00964B88" w:rsidRDefault="00964B88">
            <w:r>
              <w:rPr>
                <w:b/>
              </w:rPr>
              <w:t>619</w:t>
            </w:r>
          </w:p>
        </w:tc>
        <w:tc>
          <w:tcPr>
            <w:tcW w:w="2590" w:type="dxa"/>
            <w:tcBorders>
              <w:top w:val="single" w:sz="6" w:space="0" w:color="auto"/>
              <w:bottom w:val="single" w:sz="6" w:space="0" w:color="auto"/>
            </w:tcBorders>
          </w:tcPr>
          <w:p w14:paraId="57616B04" w14:textId="77777777" w:rsidR="00964B88" w:rsidRDefault="00964B88">
            <w:r>
              <w:rPr>
                <w:b/>
              </w:rPr>
              <w:t>105 173</w:t>
            </w:r>
          </w:p>
        </w:tc>
      </w:tr>
      <w:tr w:rsidR="00964B88" w14:paraId="4F65BFC3" w14:textId="77777777" w:rsidTr="00F53820">
        <w:tc>
          <w:tcPr>
            <w:tcW w:w="2588" w:type="dxa"/>
            <w:tcBorders>
              <w:top w:val="single" w:sz="6" w:space="0" w:color="auto"/>
            </w:tcBorders>
          </w:tcPr>
          <w:p w14:paraId="4B970CC3" w14:textId="77777777" w:rsidR="00964B88" w:rsidRDefault="00964B88"/>
        </w:tc>
        <w:tc>
          <w:tcPr>
            <w:tcW w:w="2590" w:type="dxa"/>
            <w:tcBorders>
              <w:top w:val="single" w:sz="6" w:space="0" w:color="auto"/>
            </w:tcBorders>
          </w:tcPr>
          <w:p w14:paraId="7CD16A7B" w14:textId="77777777" w:rsidR="00964B88" w:rsidRDefault="00964B88"/>
        </w:tc>
        <w:tc>
          <w:tcPr>
            <w:tcW w:w="2590" w:type="dxa"/>
            <w:tcBorders>
              <w:top w:val="single" w:sz="6" w:space="0" w:color="auto"/>
            </w:tcBorders>
          </w:tcPr>
          <w:p w14:paraId="08EEE221" w14:textId="77777777" w:rsidR="00964B88" w:rsidRDefault="00964B88"/>
        </w:tc>
      </w:tr>
      <w:tr w:rsidR="00964B88" w14:paraId="4F51DD53" w14:textId="77777777" w:rsidTr="00F53820">
        <w:tc>
          <w:tcPr>
            <w:tcW w:w="2588" w:type="dxa"/>
          </w:tcPr>
          <w:p w14:paraId="0D7A8963" w14:textId="77777777" w:rsidR="00964B88" w:rsidRDefault="00964B88">
            <w:r>
              <w:t>33 617</w:t>
            </w:r>
          </w:p>
        </w:tc>
        <w:tc>
          <w:tcPr>
            <w:tcW w:w="2590" w:type="dxa"/>
          </w:tcPr>
          <w:p w14:paraId="30F563DF" w14:textId="77777777" w:rsidR="00964B88" w:rsidRDefault="00964B88">
            <w:r>
              <w:t>619</w:t>
            </w:r>
          </w:p>
        </w:tc>
        <w:tc>
          <w:tcPr>
            <w:tcW w:w="2590" w:type="dxa"/>
          </w:tcPr>
          <w:p w14:paraId="510531BC" w14:textId="77777777" w:rsidR="00964B88" w:rsidRDefault="00964B88">
            <w:r>
              <w:t>105 173</w:t>
            </w:r>
          </w:p>
        </w:tc>
      </w:tr>
      <w:tr w:rsidR="00964B88" w14:paraId="11672D75" w14:textId="77777777" w:rsidTr="00F53820">
        <w:tc>
          <w:tcPr>
            <w:tcW w:w="2588" w:type="dxa"/>
          </w:tcPr>
          <w:p w14:paraId="12A4A5CD" w14:textId="77777777" w:rsidR="00964B88" w:rsidRDefault="00964B88">
            <w:r>
              <w:t>..</w:t>
            </w:r>
          </w:p>
        </w:tc>
        <w:tc>
          <w:tcPr>
            <w:tcW w:w="2590" w:type="dxa"/>
          </w:tcPr>
          <w:p w14:paraId="51796B7C" w14:textId="77777777" w:rsidR="00964B88" w:rsidRDefault="00964B88">
            <w:r>
              <w:t>..</w:t>
            </w:r>
          </w:p>
        </w:tc>
        <w:tc>
          <w:tcPr>
            <w:tcW w:w="2590" w:type="dxa"/>
          </w:tcPr>
          <w:p w14:paraId="3A1D4EDC" w14:textId="77777777" w:rsidR="00964B88" w:rsidRDefault="00964B88">
            <w:r>
              <w:t>(397)</w:t>
            </w:r>
          </w:p>
        </w:tc>
      </w:tr>
      <w:tr w:rsidR="00964B88" w14:paraId="702B29F0" w14:textId="77777777" w:rsidTr="00F53820">
        <w:tc>
          <w:tcPr>
            <w:tcW w:w="2588" w:type="dxa"/>
          </w:tcPr>
          <w:p w14:paraId="3E47ABAF" w14:textId="77777777" w:rsidR="00964B88" w:rsidRDefault="00964B88">
            <w:r>
              <w:t>963</w:t>
            </w:r>
          </w:p>
        </w:tc>
        <w:tc>
          <w:tcPr>
            <w:tcW w:w="2590" w:type="dxa"/>
          </w:tcPr>
          <w:p w14:paraId="5E922BAB" w14:textId="77777777" w:rsidR="00964B88" w:rsidRDefault="00964B88">
            <w:r>
              <w:t>34</w:t>
            </w:r>
          </w:p>
        </w:tc>
        <w:tc>
          <w:tcPr>
            <w:tcW w:w="2590" w:type="dxa"/>
          </w:tcPr>
          <w:p w14:paraId="28A229D2" w14:textId="77777777" w:rsidR="00964B88" w:rsidRDefault="00964B88">
            <w:r>
              <w:t>969</w:t>
            </w:r>
          </w:p>
        </w:tc>
      </w:tr>
      <w:tr w:rsidR="00964B88" w14:paraId="71635A7A" w14:textId="77777777" w:rsidTr="00F53820">
        <w:tc>
          <w:tcPr>
            <w:tcW w:w="2588" w:type="dxa"/>
          </w:tcPr>
          <w:p w14:paraId="42F4D56C" w14:textId="77777777" w:rsidR="00964B88" w:rsidRDefault="00964B88">
            <w:r>
              <w:t>..</w:t>
            </w:r>
          </w:p>
        </w:tc>
        <w:tc>
          <w:tcPr>
            <w:tcW w:w="2590" w:type="dxa"/>
          </w:tcPr>
          <w:p w14:paraId="45AC662D" w14:textId="77777777" w:rsidR="00964B88" w:rsidRDefault="00964B88">
            <w:r>
              <w:t>..</w:t>
            </w:r>
          </w:p>
        </w:tc>
        <w:tc>
          <w:tcPr>
            <w:tcW w:w="2590" w:type="dxa"/>
          </w:tcPr>
          <w:p w14:paraId="01D8B34E" w14:textId="77777777" w:rsidR="00964B88" w:rsidRDefault="00964B88">
            <w:r>
              <w:t>(115)</w:t>
            </w:r>
          </w:p>
        </w:tc>
      </w:tr>
      <w:tr w:rsidR="00964B88" w14:paraId="7C383264" w14:textId="77777777" w:rsidTr="00F53820">
        <w:tc>
          <w:tcPr>
            <w:tcW w:w="2588" w:type="dxa"/>
            <w:tcBorders>
              <w:bottom w:val="single" w:sz="6" w:space="0" w:color="auto"/>
            </w:tcBorders>
          </w:tcPr>
          <w:p w14:paraId="0B92DB6F" w14:textId="77777777" w:rsidR="00964B88" w:rsidRDefault="00964B88">
            <w:r>
              <w:t>..</w:t>
            </w:r>
          </w:p>
        </w:tc>
        <w:tc>
          <w:tcPr>
            <w:tcW w:w="2590" w:type="dxa"/>
            <w:tcBorders>
              <w:bottom w:val="single" w:sz="6" w:space="0" w:color="auto"/>
            </w:tcBorders>
          </w:tcPr>
          <w:p w14:paraId="1BF8E51A" w14:textId="77777777" w:rsidR="00964B88" w:rsidRDefault="00964B88">
            <w:r>
              <w:t>..</w:t>
            </w:r>
          </w:p>
        </w:tc>
        <w:tc>
          <w:tcPr>
            <w:tcW w:w="2590" w:type="dxa"/>
            <w:tcBorders>
              <w:bottom w:val="single" w:sz="6" w:space="0" w:color="auto"/>
            </w:tcBorders>
          </w:tcPr>
          <w:p w14:paraId="3679DDA1" w14:textId="77777777" w:rsidR="00964B88" w:rsidRDefault="00964B88">
            <w:r>
              <w:t>5 088</w:t>
            </w:r>
          </w:p>
        </w:tc>
      </w:tr>
      <w:tr w:rsidR="00964B88" w14:paraId="47DBF108" w14:textId="77777777" w:rsidTr="00F53820">
        <w:tc>
          <w:tcPr>
            <w:tcW w:w="2588" w:type="dxa"/>
            <w:tcBorders>
              <w:top w:val="single" w:sz="6" w:space="0" w:color="auto"/>
              <w:bottom w:val="single" w:sz="6" w:space="0" w:color="auto"/>
            </w:tcBorders>
          </w:tcPr>
          <w:p w14:paraId="12F21C6B" w14:textId="77777777" w:rsidR="00964B88" w:rsidRDefault="00964B88">
            <w:r>
              <w:rPr>
                <w:b/>
              </w:rPr>
              <w:t>34 580</w:t>
            </w:r>
          </w:p>
        </w:tc>
        <w:tc>
          <w:tcPr>
            <w:tcW w:w="2590" w:type="dxa"/>
            <w:tcBorders>
              <w:top w:val="single" w:sz="6" w:space="0" w:color="auto"/>
              <w:bottom w:val="single" w:sz="6" w:space="0" w:color="auto"/>
            </w:tcBorders>
          </w:tcPr>
          <w:p w14:paraId="6D38F289" w14:textId="77777777" w:rsidR="00964B88" w:rsidRDefault="00964B88">
            <w:r>
              <w:rPr>
                <w:b/>
              </w:rPr>
              <w:t>653</w:t>
            </w:r>
          </w:p>
        </w:tc>
        <w:tc>
          <w:tcPr>
            <w:tcW w:w="2590" w:type="dxa"/>
            <w:tcBorders>
              <w:top w:val="single" w:sz="6" w:space="0" w:color="auto"/>
              <w:bottom w:val="single" w:sz="6" w:space="0" w:color="auto"/>
            </w:tcBorders>
          </w:tcPr>
          <w:p w14:paraId="3CBD5E6B" w14:textId="77777777" w:rsidR="00964B88" w:rsidRDefault="00964B88">
            <w:r>
              <w:rPr>
                <w:b/>
              </w:rPr>
              <w:t>110 719</w:t>
            </w:r>
          </w:p>
        </w:tc>
      </w:tr>
      <w:tr w:rsidR="00964B88" w14:paraId="25AECCAF" w14:textId="77777777" w:rsidTr="00F53820">
        <w:tc>
          <w:tcPr>
            <w:tcW w:w="2588" w:type="dxa"/>
            <w:tcBorders>
              <w:top w:val="single" w:sz="6" w:space="0" w:color="auto"/>
            </w:tcBorders>
          </w:tcPr>
          <w:p w14:paraId="5BBAA8A8" w14:textId="77777777" w:rsidR="00964B88" w:rsidRDefault="00964B88"/>
        </w:tc>
        <w:tc>
          <w:tcPr>
            <w:tcW w:w="2590" w:type="dxa"/>
            <w:tcBorders>
              <w:top w:val="single" w:sz="6" w:space="0" w:color="auto"/>
            </w:tcBorders>
          </w:tcPr>
          <w:p w14:paraId="22E50C53" w14:textId="77777777" w:rsidR="00964B88" w:rsidRDefault="00964B88"/>
        </w:tc>
        <w:tc>
          <w:tcPr>
            <w:tcW w:w="2590" w:type="dxa"/>
            <w:tcBorders>
              <w:top w:val="single" w:sz="6" w:space="0" w:color="auto"/>
            </w:tcBorders>
          </w:tcPr>
          <w:p w14:paraId="48169715" w14:textId="77777777" w:rsidR="00964B88" w:rsidRDefault="00964B88"/>
        </w:tc>
      </w:tr>
      <w:tr w:rsidR="00964B88" w14:paraId="456026C5" w14:textId="77777777" w:rsidTr="00F53820">
        <w:tc>
          <w:tcPr>
            <w:tcW w:w="2588" w:type="dxa"/>
          </w:tcPr>
          <w:p w14:paraId="3DEF1710" w14:textId="77777777" w:rsidR="00964B88" w:rsidRDefault="00964B88">
            <w:r>
              <w:t>34 580</w:t>
            </w:r>
          </w:p>
        </w:tc>
        <w:tc>
          <w:tcPr>
            <w:tcW w:w="2590" w:type="dxa"/>
          </w:tcPr>
          <w:p w14:paraId="18549137" w14:textId="77777777" w:rsidR="00964B88" w:rsidRDefault="00964B88">
            <w:r>
              <w:t>653</w:t>
            </w:r>
          </w:p>
        </w:tc>
        <w:tc>
          <w:tcPr>
            <w:tcW w:w="2590" w:type="dxa"/>
          </w:tcPr>
          <w:p w14:paraId="7F539AA2" w14:textId="77777777" w:rsidR="00964B88" w:rsidRDefault="00964B88">
            <w:r>
              <w:t>110 719</w:t>
            </w:r>
          </w:p>
        </w:tc>
      </w:tr>
      <w:tr w:rsidR="00964B88" w14:paraId="25968F4C" w14:textId="77777777" w:rsidTr="00F53820">
        <w:tc>
          <w:tcPr>
            <w:tcW w:w="2588" w:type="dxa"/>
          </w:tcPr>
          <w:p w14:paraId="14BC3F64" w14:textId="77777777" w:rsidR="00964B88" w:rsidRDefault="00964B88">
            <w:r>
              <w:t>..</w:t>
            </w:r>
          </w:p>
        </w:tc>
        <w:tc>
          <w:tcPr>
            <w:tcW w:w="2590" w:type="dxa"/>
          </w:tcPr>
          <w:p w14:paraId="14D8A16B" w14:textId="77777777" w:rsidR="00964B88" w:rsidRDefault="00964B88">
            <w:r>
              <w:t>..</w:t>
            </w:r>
          </w:p>
        </w:tc>
        <w:tc>
          <w:tcPr>
            <w:tcW w:w="2590" w:type="dxa"/>
          </w:tcPr>
          <w:p w14:paraId="55B5414A" w14:textId="77777777" w:rsidR="00964B88" w:rsidRDefault="00964B88">
            <w:r>
              <w:t>(478)</w:t>
            </w:r>
          </w:p>
        </w:tc>
      </w:tr>
      <w:tr w:rsidR="00964B88" w14:paraId="5A151C7B" w14:textId="77777777" w:rsidTr="00F53820">
        <w:tc>
          <w:tcPr>
            <w:tcW w:w="2588" w:type="dxa"/>
          </w:tcPr>
          <w:p w14:paraId="1C04212A" w14:textId="77777777" w:rsidR="00964B88" w:rsidRDefault="00964B88">
            <w:r>
              <w:t>9</w:t>
            </w:r>
          </w:p>
        </w:tc>
        <w:tc>
          <w:tcPr>
            <w:tcW w:w="2590" w:type="dxa"/>
          </w:tcPr>
          <w:p w14:paraId="657917D4" w14:textId="77777777" w:rsidR="00964B88" w:rsidRDefault="00964B88">
            <w:r>
              <w:t>38</w:t>
            </w:r>
          </w:p>
        </w:tc>
        <w:tc>
          <w:tcPr>
            <w:tcW w:w="2590" w:type="dxa"/>
          </w:tcPr>
          <w:p w14:paraId="71941C78" w14:textId="77777777" w:rsidR="00964B88" w:rsidRDefault="00964B88">
            <w:r>
              <w:t>1</w:t>
            </w:r>
          </w:p>
        </w:tc>
      </w:tr>
      <w:tr w:rsidR="00964B88" w14:paraId="45439745" w14:textId="77777777" w:rsidTr="00F53820">
        <w:tc>
          <w:tcPr>
            <w:tcW w:w="2588" w:type="dxa"/>
          </w:tcPr>
          <w:p w14:paraId="76F2824E" w14:textId="77777777" w:rsidR="00964B88" w:rsidRDefault="00964B88">
            <w:r>
              <w:t>..</w:t>
            </w:r>
          </w:p>
        </w:tc>
        <w:tc>
          <w:tcPr>
            <w:tcW w:w="2590" w:type="dxa"/>
          </w:tcPr>
          <w:p w14:paraId="507DF28E" w14:textId="77777777" w:rsidR="00964B88" w:rsidRDefault="00964B88">
            <w:r>
              <w:t>..</w:t>
            </w:r>
          </w:p>
        </w:tc>
        <w:tc>
          <w:tcPr>
            <w:tcW w:w="2590" w:type="dxa"/>
          </w:tcPr>
          <w:p w14:paraId="0ACF141F" w14:textId="77777777" w:rsidR="00964B88" w:rsidRDefault="00964B88">
            <w:r>
              <w:t>(132)</w:t>
            </w:r>
          </w:p>
        </w:tc>
      </w:tr>
      <w:tr w:rsidR="00964B88" w14:paraId="2AD9E610" w14:textId="77777777" w:rsidTr="00F53820">
        <w:tc>
          <w:tcPr>
            <w:tcW w:w="2588" w:type="dxa"/>
            <w:tcBorders>
              <w:bottom w:val="single" w:sz="6" w:space="0" w:color="auto"/>
            </w:tcBorders>
          </w:tcPr>
          <w:p w14:paraId="4D0EF9C6" w14:textId="77777777" w:rsidR="00964B88" w:rsidRDefault="00964B88">
            <w:r>
              <w:t>..</w:t>
            </w:r>
          </w:p>
        </w:tc>
        <w:tc>
          <w:tcPr>
            <w:tcW w:w="2590" w:type="dxa"/>
            <w:tcBorders>
              <w:bottom w:val="single" w:sz="6" w:space="0" w:color="auto"/>
            </w:tcBorders>
          </w:tcPr>
          <w:p w14:paraId="5290F440" w14:textId="77777777" w:rsidR="00964B88" w:rsidRDefault="00964B88">
            <w:r>
              <w:t>..</w:t>
            </w:r>
          </w:p>
        </w:tc>
        <w:tc>
          <w:tcPr>
            <w:tcW w:w="2590" w:type="dxa"/>
            <w:tcBorders>
              <w:bottom w:val="single" w:sz="6" w:space="0" w:color="auto"/>
            </w:tcBorders>
          </w:tcPr>
          <w:p w14:paraId="1DF7147E" w14:textId="77777777" w:rsidR="00964B88" w:rsidRDefault="00964B88">
            <w:r>
              <w:t>4 194</w:t>
            </w:r>
          </w:p>
        </w:tc>
      </w:tr>
      <w:tr w:rsidR="00964B88" w14:paraId="7807480B" w14:textId="77777777" w:rsidTr="00F53820">
        <w:tc>
          <w:tcPr>
            <w:tcW w:w="2588" w:type="dxa"/>
            <w:tcBorders>
              <w:top w:val="single" w:sz="6" w:space="0" w:color="auto"/>
              <w:bottom w:val="single" w:sz="6" w:space="0" w:color="auto"/>
            </w:tcBorders>
          </w:tcPr>
          <w:p w14:paraId="045BC7D0" w14:textId="77777777" w:rsidR="00964B88" w:rsidRDefault="00964B88">
            <w:r>
              <w:rPr>
                <w:b/>
              </w:rPr>
              <w:t>34 589</w:t>
            </w:r>
          </w:p>
        </w:tc>
        <w:tc>
          <w:tcPr>
            <w:tcW w:w="2590" w:type="dxa"/>
            <w:tcBorders>
              <w:top w:val="single" w:sz="6" w:space="0" w:color="auto"/>
              <w:bottom w:val="single" w:sz="6" w:space="0" w:color="auto"/>
            </w:tcBorders>
          </w:tcPr>
          <w:p w14:paraId="500D1B6D" w14:textId="77777777" w:rsidR="00964B88" w:rsidRDefault="00964B88">
            <w:r>
              <w:rPr>
                <w:b/>
              </w:rPr>
              <w:t>690</w:t>
            </w:r>
          </w:p>
        </w:tc>
        <w:tc>
          <w:tcPr>
            <w:tcW w:w="2590" w:type="dxa"/>
            <w:tcBorders>
              <w:top w:val="single" w:sz="6" w:space="0" w:color="auto"/>
              <w:bottom w:val="single" w:sz="6" w:space="0" w:color="auto"/>
            </w:tcBorders>
          </w:tcPr>
          <w:p w14:paraId="21E20C86" w14:textId="77777777" w:rsidR="00964B88" w:rsidRDefault="00964B88">
            <w:r>
              <w:rPr>
                <w:b/>
              </w:rPr>
              <w:t>114 304</w:t>
            </w:r>
          </w:p>
        </w:tc>
      </w:tr>
      <w:tr w:rsidR="00964B88" w14:paraId="2BEE4EFF" w14:textId="77777777" w:rsidTr="00F53820">
        <w:tc>
          <w:tcPr>
            <w:tcW w:w="2588" w:type="dxa"/>
            <w:tcBorders>
              <w:top w:val="single" w:sz="6" w:space="0" w:color="auto"/>
            </w:tcBorders>
          </w:tcPr>
          <w:p w14:paraId="4A63C641" w14:textId="77777777" w:rsidR="00964B88" w:rsidRDefault="00964B88"/>
        </w:tc>
        <w:tc>
          <w:tcPr>
            <w:tcW w:w="2590" w:type="dxa"/>
            <w:tcBorders>
              <w:top w:val="single" w:sz="6" w:space="0" w:color="auto"/>
            </w:tcBorders>
          </w:tcPr>
          <w:p w14:paraId="70B999FB" w14:textId="77777777" w:rsidR="00964B88" w:rsidRDefault="00964B88"/>
        </w:tc>
        <w:tc>
          <w:tcPr>
            <w:tcW w:w="2590" w:type="dxa"/>
            <w:tcBorders>
              <w:top w:val="single" w:sz="6" w:space="0" w:color="auto"/>
            </w:tcBorders>
          </w:tcPr>
          <w:p w14:paraId="1B552161" w14:textId="77777777" w:rsidR="00964B88" w:rsidRDefault="00964B88"/>
        </w:tc>
      </w:tr>
      <w:tr w:rsidR="00964B88" w14:paraId="6BDBDAC3" w14:textId="77777777" w:rsidTr="00F53820">
        <w:tc>
          <w:tcPr>
            <w:tcW w:w="2588" w:type="dxa"/>
          </w:tcPr>
          <w:p w14:paraId="70594E6C" w14:textId="77777777" w:rsidR="00964B88" w:rsidRDefault="00964B88">
            <w:r>
              <w:t>34 589</w:t>
            </w:r>
          </w:p>
        </w:tc>
        <w:tc>
          <w:tcPr>
            <w:tcW w:w="2590" w:type="dxa"/>
          </w:tcPr>
          <w:p w14:paraId="2D227182" w14:textId="77777777" w:rsidR="00964B88" w:rsidRDefault="00964B88">
            <w:r>
              <w:t>690</w:t>
            </w:r>
          </w:p>
        </w:tc>
        <w:tc>
          <w:tcPr>
            <w:tcW w:w="2590" w:type="dxa"/>
          </w:tcPr>
          <w:p w14:paraId="1D694DD6" w14:textId="77777777" w:rsidR="00964B88" w:rsidRDefault="00964B88">
            <w:r>
              <w:t>114 304</w:t>
            </w:r>
          </w:p>
        </w:tc>
      </w:tr>
      <w:tr w:rsidR="00964B88" w14:paraId="06ECF3C5" w14:textId="77777777" w:rsidTr="00F53820">
        <w:tc>
          <w:tcPr>
            <w:tcW w:w="2588" w:type="dxa"/>
          </w:tcPr>
          <w:p w14:paraId="6C646ABD" w14:textId="77777777" w:rsidR="00964B88" w:rsidRDefault="00964B88">
            <w:r>
              <w:t>..</w:t>
            </w:r>
          </w:p>
        </w:tc>
        <w:tc>
          <w:tcPr>
            <w:tcW w:w="2590" w:type="dxa"/>
          </w:tcPr>
          <w:p w14:paraId="635FD742" w14:textId="77777777" w:rsidR="00964B88" w:rsidRDefault="00964B88">
            <w:r>
              <w:t>..</w:t>
            </w:r>
          </w:p>
        </w:tc>
        <w:tc>
          <w:tcPr>
            <w:tcW w:w="2590" w:type="dxa"/>
          </w:tcPr>
          <w:p w14:paraId="6ED1EFE4" w14:textId="77777777" w:rsidR="00964B88" w:rsidRDefault="00964B88">
            <w:r>
              <w:t>(523)</w:t>
            </w:r>
          </w:p>
        </w:tc>
      </w:tr>
      <w:tr w:rsidR="00964B88" w14:paraId="218A4A16" w14:textId="77777777" w:rsidTr="00F53820">
        <w:tc>
          <w:tcPr>
            <w:tcW w:w="2588" w:type="dxa"/>
          </w:tcPr>
          <w:p w14:paraId="4B507C72" w14:textId="77777777" w:rsidR="00964B88" w:rsidRDefault="00964B88">
            <w:r>
              <w:t>6</w:t>
            </w:r>
          </w:p>
        </w:tc>
        <w:tc>
          <w:tcPr>
            <w:tcW w:w="2590" w:type="dxa"/>
          </w:tcPr>
          <w:p w14:paraId="69C2FDE0" w14:textId="77777777" w:rsidR="00964B88" w:rsidRDefault="00964B88">
            <w:r>
              <w:t>39</w:t>
            </w:r>
          </w:p>
        </w:tc>
        <w:tc>
          <w:tcPr>
            <w:tcW w:w="2590" w:type="dxa"/>
          </w:tcPr>
          <w:p w14:paraId="789259C1" w14:textId="77777777" w:rsidR="00964B88" w:rsidRDefault="00964B88">
            <w:r>
              <w:t>..</w:t>
            </w:r>
          </w:p>
        </w:tc>
      </w:tr>
      <w:tr w:rsidR="00964B88" w14:paraId="149DA714" w14:textId="77777777" w:rsidTr="00F53820">
        <w:tc>
          <w:tcPr>
            <w:tcW w:w="2588" w:type="dxa"/>
          </w:tcPr>
          <w:p w14:paraId="5148E2F7" w14:textId="77777777" w:rsidR="00964B88" w:rsidRDefault="00964B88">
            <w:r>
              <w:t>..</w:t>
            </w:r>
          </w:p>
        </w:tc>
        <w:tc>
          <w:tcPr>
            <w:tcW w:w="2590" w:type="dxa"/>
          </w:tcPr>
          <w:p w14:paraId="743807AD" w14:textId="77777777" w:rsidR="00964B88" w:rsidRDefault="00964B88">
            <w:r>
              <w:t>..</w:t>
            </w:r>
          </w:p>
        </w:tc>
        <w:tc>
          <w:tcPr>
            <w:tcW w:w="2590" w:type="dxa"/>
          </w:tcPr>
          <w:p w14:paraId="248B71E8" w14:textId="77777777" w:rsidR="00964B88" w:rsidRDefault="00964B88">
            <w:r>
              <w:t>(175)</w:t>
            </w:r>
          </w:p>
        </w:tc>
      </w:tr>
      <w:tr w:rsidR="00964B88" w14:paraId="5A5BEE06" w14:textId="77777777" w:rsidTr="00F53820">
        <w:tc>
          <w:tcPr>
            <w:tcW w:w="2588" w:type="dxa"/>
            <w:tcBorders>
              <w:bottom w:val="single" w:sz="6" w:space="0" w:color="auto"/>
            </w:tcBorders>
          </w:tcPr>
          <w:p w14:paraId="7F1F5CEA" w14:textId="77777777" w:rsidR="00964B88" w:rsidRDefault="00964B88">
            <w:r>
              <w:t>..</w:t>
            </w:r>
          </w:p>
        </w:tc>
        <w:tc>
          <w:tcPr>
            <w:tcW w:w="2590" w:type="dxa"/>
            <w:tcBorders>
              <w:bottom w:val="single" w:sz="6" w:space="0" w:color="auto"/>
            </w:tcBorders>
          </w:tcPr>
          <w:p w14:paraId="713C751D" w14:textId="77777777" w:rsidR="00964B88" w:rsidRDefault="00964B88">
            <w:r>
              <w:t>..</w:t>
            </w:r>
          </w:p>
        </w:tc>
        <w:tc>
          <w:tcPr>
            <w:tcW w:w="2590" w:type="dxa"/>
            <w:tcBorders>
              <w:bottom w:val="single" w:sz="6" w:space="0" w:color="auto"/>
            </w:tcBorders>
          </w:tcPr>
          <w:p w14:paraId="3765E055" w14:textId="77777777" w:rsidR="00964B88" w:rsidRDefault="00964B88">
            <w:r>
              <w:t>4 350</w:t>
            </w:r>
          </w:p>
        </w:tc>
      </w:tr>
      <w:tr w:rsidR="00964B88" w14:paraId="57CB2C1D" w14:textId="77777777" w:rsidTr="00F53820">
        <w:trPr>
          <w:cnfStyle w:val="010000000000" w:firstRow="0" w:lastRow="1" w:firstColumn="0" w:lastColumn="0" w:oddVBand="0" w:evenVBand="0" w:oddHBand="0" w:evenHBand="0" w:firstRowFirstColumn="0" w:firstRowLastColumn="0" w:lastRowFirstColumn="0" w:lastRowLastColumn="0"/>
        </w:trPr>
        <w:tc>
          <w:tcPr>
            <w:tcW w:w="2588" w:type="dxa"/>
          </w:tcPr>
          <w:p w14:paraId="13C75185" w14:textId="77777777" w:rsidR="00964B88" w:rsidRDefault="00964B88">
            <w:r>
              <w:t>34 595</w:t>
            </w:r>
          </w:p>
        </w:tc>
        <w:tc>
          <w:tcPr>
            <w:tcW w:w="2590" w:type="dxa"/>
          </w:tcPr>
          <w:p w14:paraId="608F2006" w14:textId="77777777" w:rsidR="00964B88" w:rsidRDefault="00964B88">
            <w:r>
              <w:t>729</w:t>
            </w:r>
          </w:p>
        </w:tc>
        <w:tc>
          <w:tcPr>
            <w:tcW w:w="2590" w:type="dxa"/>
          </w:tcPr>
          <w:p w14:paraId="6DCC75AC" w14:textId="77777777" w:rsidR="00964B88" w:rsidRDefault="00964B88">
            <w:r>
              <w:t>117 955</w:t>
            </w:r>
          </w:p>
        </w:tc>
      </w:tr>
    </w:tbl>
    <w:p w14:paraId="28682C47" w14:textId="77777777" w:rsidR="00964B88" w:rsidRDefault="00964B88" w:rsidP="00F53820"/>
    <w:p w14:paraId="3F776E2B" w14:textId="77777777" w:rsidR="00964B88" w:rsidRPr="0026771A" w:rsidRDefault="00964B88" w:rsidP="00F53820">
      <w:r>
        <w:br w:type="page"/>
      </w:r>
    </w:p>
    <w:p w14:paraId="63CA414F" w14:textId="77777777" w:rsidR="00964B88" w:rsidRDefault="00964B88" w:rsidP="00F53820">
      <w:pPr>
        <w:pStyle w:val="TableHeading"/>
      </w:pPr>
      <w:r>
        <w:lastRenderedPageBreak/>
        <w:t>Table 5.5</w:t>
      </w:r>
      <w:r w:rsidR="009C1504">
        <w:t>:</w:t>
      </w:r>
      <w:r>
        <w:tab/>
        <w:t xml:space="preserve">Net acquisition of non-financial assets – </w:t>
      </w:r>
      <w:r>
        <w:br/>
        <w:t>public non-financial corporations sector</w:t>
      </w:r>
      <w:r>
        <w:tab/>
        <w:t>($ million)</w:t>
      </w:r>
    </w:p>
    <w:tbl>
      <w:tblPr>
        <w:tblStyle w:val="DTFTable"/>
        <w:tblW w:w="7768" w:type="dxa"/>
        <w:tblLayout w:type="fixed"/>
        <w:tblLook w:val="06E0" w:firstRow="1" w:lastRow="1" w:firstColumn="1" w:lastColumn="0" w:noHBand="1" w:noVBand="1"/>
      </w:tblPr>
      <w:tblGrid>
        <w:gridCol w:w="3431"/>
        <w:gridCol w:w="142"/>
        <w:gridCol w:w="725"/>
        <w:gridCol w:w="867"/>
        <w:gridCol w:w="868"/>
        <w:gridCol w:w="867"/>
        <w:gridCol w:w="868"/>
      </w:tblGrid>
      <w:tr w:rsidR="00964B88" w14:paraId="7E9B9C3C" w14:textId="77777777" w:rsidTr="00D134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tcPr>
          <w:p w14:paraId="61385DCC" w14:textId="77777777" w:rsidR="00964B88" w:rsidRDefault="00964B88"/>
        </w:tc>
        <w:tc>
          <w:tcPr>
            <w:tcW w:w="867" w:type="dxa"/>
            <w:gridSpan w:val="2"/>
          </w:tcPr>
          <w:p w14:paraId="4A733CBE"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67" w:type="dxa"/>
          </w:tcPr>
          <w:p w14:paraId="41EE1280"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68" w:type="dxa"/>
          </w:tcPr>
          <w:p w14:paraId="65488B4B"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67" w:type="dxa"/>
          </w:tcPr>
          <w:p w14:paraId="2B14B16F"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68" w:type="dxa"/>
          </w:tcPr>
          <w:p w14:paraId="53E7CC7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428379D9"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32C5B40A" w14:textId="77777777" w:rsidR="00964B88" w:rsidRDefault="00964B88">
            <w:r>
              <w:t>Purchases of non</w:t>
            </w:r>
            <w:r>
              <w:noBreakHyphen/>
              <w:t xml:space="preserve">financial assets </w:t>
            </w:r>
            <w:r w:rsidR="00D13450">
              <w:br/>
            </w:r>
            <w:r>
              <w:t>(including change in inventories)</w:t>
            </w:r>
          </w:p>
        </w:tc>
        <w:tc>
          <w:tcPr>
            <w:tcW w:w="867" w:type="dxa"/>
            <w:gridSpan w:val="2"/>
          </w:tcPr>
          <w:p w14:paraId="6598C26A" w14:textId="77777777" w:rsidR="00964B88" w:rsidRDefault="00964B88">
            <w:pPr>
              <w:cnfStyle w:val="000000000000" w:firstRow="0" w:lastRow="0" w:firstColumn="0" w:lastColumn="0" w:oddVBand="0" w:evenVBand="0" w:oddHBand="0" w:evenHBand="0" w:firstRowFirstColumn="0" w:firstRowLastColumn="0" w:lastRowFirstColumn="0" w:lastRowLastColumn="0"/>
            </w:pPr>
            <w:r>
              <w:t>3 106</w:t>
            </w:r>
          </w:p>
        </w:tc>
        <w:tc>
          <w:tcPr>
            <w:tcW w:w="867" w:type="dxa"/>
          </w:tcPr>
          <w:p w14:paraId="30675418" w14:textId="77777777" w:rsidR="00964B88" w:rsidRDefault="00964B88">
            <w:pPr>
              <w:cnfStyle w:val="000000000000" w:firstRow="0" w:lastRow="0" w:firstColumn="0" w:lastColumn="0" w:oddVBand="0" w:evenVBand="0" w:oddHBand="0" w:evenHBand="0" w:firstRowFirstColumn="0" w:firstRowLastColumn="0" w:lastRowFirstColumn="0" w:lastRowLastColumn="0"/>
            </w:pPr>
            <w:r>
              <w:t>3 367</w:t>
            </w:r>
          </w:p>
        </w:tc>
        <w:tc>
          <w:tcPr>
            <w:tcW w:w="868" w:type="dxa"/>
          </w:tcPr>
          <w:p w14:paraId="0711F2AA" w14:textId="77777777" w:rsidR="00964B88" w:rsidRDefault="00964B88">
            <w:pPr>
              <w:cnfStyle w:val="000000000000" w:firstRow="0" w:lastRow="0" w:firstColumn="0" w:lastColumn="0" w:oddVBand="0" w:evenVBand="0" w:oddHBand="0" w:evenHBand="0" w:firstRowFirstColumn="0" w:firstRowLastColumn="0" w:lastRowFirstColumn="0" w:lastRowLastColumn="0"/>
            </w:pPr>
            <w:r>
              <w:t>2 304</w:t>
            </w:r>
          </w:p>
        </w:tc>
        <w:tc>
          <w:tcPr>
            <w:tcW w:w="867" w:type="dxa"/>
          </w:tcPr>
          <w:p w14:paraId="56972458" w14:textId="77777777" w:rsidR="00964B88" w:rsidRDefault="00964B88">
            <w:pPr>
              <w:cnfStyle w:val="000000000000" w:firstRow="0" w:lastRow="0" w:firstColumn="0" w:lastColumn="0" w:oddVBand="0" w:evenVBand="0" w:oddHBand="0" w:evenHBand="0" w:firstRowFirstColumn="0" w:firstRowLastColumn="0" w:lastRowFirstColumn="0" w:lastRowLastColumn="0"/>
            </w:pPr>
            <w:r>
              <w:t>2 541</w:t>
            </w:r>
          </w:p>
        </w:tc>
        <w:tc>
          <w:tcPr>
            <w:tcW w:w="868" w:type="dxa"/>
          </w:tcPr>
          <w:p w14:paraId="7F5A33D5" w14:textId="77777777" w:rsidR="00964B88" w:rsidRDefault="00964B88">
            <w:pPr>
              <w:cnfStyle w:val="000000000000" w:firstRow="0" w:lastRow="0" w:firstColumn="0" w:lastColumn="0" w:oddVBand="0" w:evenVBand="0" w:oddHBand="0" w:evenHBand="0" w:firstRowFirstColumn="0" w:firstRowLastColumn="0" w:lastRowFirstColumn="0" w:lastRowLastColumn="0"/>
            </w:pPr>
            <w:r>
              <w:t>1 774</w:t>
            </w:r>
          </w:p>
        </w:tc>
      </w:tr>
      <w:tr w:rsidR="00964B88" w14:paraId="793CE061"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48E66342" w14:textId="77777777" w:rsidR="00964B88" w:rsidRDefault="00964B88">
            <w:r>
              <w:t>Less: Sales of non</w:t>
            </w:r>
            <w:r>
              <w:noBreakHyphen/>
              <w:t>financial assets</w:t>
            </w:r>
          </w:p>
        </w:tc>
        <w:tc>
          <w:tcPr>
            <w:tcW w:w="867" w:type="dxa"/>
            <w:gridSpan w:val="2"/>
          </w:tcPr>
          <w:p w14:paraId="497AA442" w14:textId="77777777" w:rsidR="00964B88" w:rsidRDefault="00964B88">
            <w:pPr>
              <w:cnfStyle w:val="000000000000" w:firstRow="0" w:lastRow="0" w:firstColumn="0" w:lastColumn="0" w:oddVBand="0" w:evenVBand="0" w:oddHBand="0" w:evenHBand="0" w:firstRowFirstColumn="0" w:firstRowLastColumn="0" w:lastRowFirstColumn="0" w:lastRowLastColumn="0"/>
            </w:pPr>
            <w:r>
              <w:t>(295)</w:t>
            </w:r>
          </w:p>
        </w:tc>
        <w:tc>
          <w:tcPr>
            <w:tcW w:w="867" w:type="dxa"/>
          </w:tcPr>
          <w:p w14:paraId="00FC442F" w14:textId="77777777" w:rsidR="00964B88" w:rsidRDefault="00964B88">
            <w:pPr>
              <w:cnfStyle w:val="000000000000" w:firstRow="0" w:lastRow="0" w:firstColumn="0" w:lastColumn="0" w:oddVBand="0" w:evenVBand="0" w:oddHBand="0" w:evenHBand="0" w:firstRowFirstColumn="0" w:firstRowLastColumn="0" w:lastRowFirstColumn="0" w:lastRowLastColumn="0"/>
            </w:pPr>
            <w:r>
              <w:t>(774)</w:t>
            </w:r>
          </w:p>
        </w:tc>
        <w:tc>
          <w:tcPr>
            <w:tcW w:w="868" w:type="dxa"/>
          </w:tcPr>
          <w:p w14:paraId="68D06822" w14:textId="77777777" w:rsidR="00964B88" w:rsidRDefault="00964B88">
            <w:pPr>
              <w:cnfStyle w:val="000000000000" w:firstRow="0" w:lastRow="0" w:firstColumn="0" w:lastColumn="0" w:oddVBand="0" w:evenVBand="0" w:oddHBand="0" w:evenHBand="0" w:firstRowFirstColumn="0" w:firstRowLastColumn="0" w:lastRowFirstColumn="0" w:lastRowLastColumn="0"/>
            </w:pPr>
            <w:r>
              <w:t>(170)</w:t>
            </w:r>
          </w:p>
        </w:tc>
        <w:tc>
          <w:tcPr>
            <w:tcW w:w="867" w:type="dxa"/>
          </w:tcPr>
          <w:p w14:paraId="1E37CEE0" w14:textId="77777777" w:rsidR="00964B88" w:rsidRDefault="00964B88">
            <w:pPr>
              <w:cnfStyle w:val="000000000000" w:firstRow="0" w:lastRow="0" w:firstColumn="0" w:lastColumn="0" w:oddVBand="0" w:evenVBand="0" w:oddHBand="0" w:evenHBand="0" w:firstRowFirstColumn="0" w:firstRowLastColumn="0" w:lastRowFirstColumn="0" w:lastRowLastColumn="0"/>
            </w:pPr>
            <w:r>
              <w:t>(413)</w:t>
            </w:r>
          </w:p>
        </w:tc>
        <w:tc>
          <w:tcPr>
            <w:tcW w:w="868" w:type="dxa"/>
          </w:tcPr>
          <w:p w14:paraId="5E08233E" w14:textId="77777777" w:rsidR="00964B88" w:rsidRDefault="00964B88">
            <w:pPr>
              <w:cnfStyle w:val="000000000000" w:firstRow="0" w:lastRow="0" w:firstColumn="0" w:lastColumn="0" w:oddVBand="0" w:evenVBand="0" w:oddHBand="0" w:evenHBand="0" w:firstRowFirstColumn="0" w:firstRowLastColumn="0" w:lastRowFirstColumn="0" w:lastRowLastColumn="0"/>
            </w:pPr>
            <w:r>
              <w:t>(195)</w:t>
            </w:r>
          </w:p>
        </w:tc>
      </w:tr>
      <w:tr w:rsidR="00964B88" w14:paraId="14A063DE" w14:textId="77777777" w:rsidTr="00D13450">
        <w:tc>
          <w:tcPr>
            <w:cnfStyle w:val="001000000000" w:firstRow="0" w:lastRow="0" w:firstColumn="1" w:lastColumn="0" w:oddVBand="0" w:evenVBand="0" w:oddHBand="0" w:evenHBand="0" w:firstRowFirstColumn="0" w:firstRowLastColumn="0" w:lastRowFirstColumn="0" w:lastRowLastColumn="0"/>
            <w:tcW w:w="3431" w:type="dxa"/>
          </w:tcPr>
          <w:p w14:paraId="2F78E7CB" w14:textId="77777777" w:rsidR="00964B88" w:rsidRDefault="00964B88">
            <w:r>
              <w:t>Less: Depreciation and amortisation</w:t>
            </w:r>
          </w:p>
        </w:tc>
        <w:tc>
          <w:tcPr>
            <w:tcW w:w="867" w:type="dxa"/>
            <w:gridSpan w:val="2"/>
          </w:tcPr>
          <w:p w14:paraId="4C6128A4" w14:textId="77777777" w:rsidR="00964B88" w:rsidRDefault="00964B88">
            <w:pPr>
              <w:cnfStyle w:val="000000000000" w:firstRow="0" w:lastRow="0" w:firstColumn="0" w:lastColumn="0" w:oddVBand="0" w:evenVBand="0" w:oddHBand="0" w:evenHBand="0" w:firstRowFirstColumn="0" w:firstRowLastColumn="0" w:lastRowFirstColumn="0" w:lastRowLastColumn="0"/>
            </w:pPr>
            <w:r>
              <w:t>(2 469)</w:t>
            </w:r>
          </w:p>
        </w:tc>
        <w:tc>
          <w:tcPr>
            <w:tcW w:w="867" w:type="dxa"/>
          </w:tcPr>
          <w:p w14:paraId="466109DF" w14:textId="77777777" w:rsidR="00964B88" w:rsidRDefault="00964B88">
            <w:pPr>
              <w:cnfStyle w:val="000000000000" w:firstRow="0" w:lastRow="0" w:firstColumn="0" w:lastColumn="0" w:oddVBand="0" w:evenVBand="0" w:oddHBand="0" w:evenHBand="0" w:firstRowFirstColumn="0" w:firstRowLastColumn="0" w:lastRowFirstColumn="0" w:lastRowLastColumn="0"/>
            </w:pPr>
            <w:r>
              <w:t>(2 550)</w:t>
            </w:r>
          </w:p>
        </w:tc>
        <w:tc>
          <w:tcPr>
            <w:tcW w:w="868" w:type="dxa"/>
          </w:tcPr>
          <w:p w14:paraId="13C4983D" w14:textId="77777777" w:rsidR="00964B88" w:rsidRDefault="00964B88">
            <w:pPr>
              <w:cnfStyle w:val="000000000000" w:firstRow="0" w:lastRow="0" w:firstColumn="0" w:lastColumn="0" w:oddVBand="0" w:evenVBand="0" w:oddHBand="0" w:evenHBand="0" w:firstRowFirstColumn="0" w:firstRowLastColumn="0" w:lastRowFirstColumn="0" w:lastRowLastColumn="0"/>
            </w:pPr>
            <w:r>
              <w:t>(2 685)</w:t>
            </w:r>
          </w:p>
        </w:tc>
        <w:tc>
          <w:tcPr>
            <w:tcW w:w="867" w:type="dxa"/>
          </w:tcPr>
          <w:p w14:paraId="78112909" w14:textId="77777777" w:rsidR="00964B88" w:rsidRDefault="00964B88">
            <w:pPr>
              <w:cnfStyle w:val="000000000000" w:firstRow="0" w:lastRow="0" w:firstColumn="0" w:lastColumn="0" w:oddVBand="0" w:evenVBand="0" w:oddHBand="0" w:evenHBand="0" w:firstRowFirstColumn="0" w:firstRowLastColumn="0" w:lastRowFirstColumn="0" w:lastRowLastColumn="0"/>
            </w:pPr>
            <w:r>
              <w:t>(2 849)</w:t>
            </w:r>
          </w:p>
        </w:tc>
        <w:tc>
          <w:tcPr>
            <w:tcW w:w="868" w:type="dxa"/>
          </w:tcPr>
          <w:p w14:paraId="4560260C" w14:textId="77777777" w:rsidR="00964B88" w:rsidRDefault="00964B88">
            <w:pPr>
              <w:cnfStyle w:val="000000000000" w:firstRow="0" w:lastRow="0" w:firstColumn="0" w:lastColumn="0" w:oddVBand="0" w:evenVBand="0" w:oddHBand="0" w:evenHBand="0" w:firstRowFirstColumn="0" w:firstRowLastColumn="0" w:lastRowFirstColumn="0" w:lastRowLastColumn="0"/>
            </w:pPr>
            <w:r>
              <w:t>(3 010)</w:t>
            </w:r>
          </w:p>
        </w:tc>
      </w:tr>
      <w:tr w:rsidR="00964B88" w14:paraId="56629B3E" w14:textId="77777777" w:rsidTr="00D13450">
        <w:tc>
          <w:tcPr>
            <w:cnfStyle w:val="001000000000" w:firstRow="0" w:lastRow="0" w:firstColumn="1" w:lastColumn="0" w:oddVBand="0" w:evenVBand="0" w:oddHBand="0" w:evenHBand="0" w:firstRowFirstColumn="0" w:firstRowLastColumn="0" w:lastRowFirstColumn="0" w:lastRowLastColumn="0"/>
            <w:tcW w:w="3573" w:type="dxa"/>
            <w:gridSpan w:val="2"/>
            <w:tcBorders>
              <w:bottom w:val="single" w:sz="6" w:space="0" w:color="auto"/>
            </w:tcBorders>
          </w:tcPr>
          <w:p w14:paraId="6823F664" w14:textId="77777777" w:rsidR="00964B88" w:rsidRDefault="00964B88">
            <w:r>
              <w:t>Plus: Other movements in non</w:t>
            </w:r>
            <w:r>
              <w:noBreakHyphen/>
              <w:t>financial assets</w:t>
            </w:r>
            <w:r>
              <w:rPr>
                <w:vertAlign w:val="superscript"/>
              </w:rPr>
              <w:t xml:space="preserve"> (a)</w:t>
            </w:r>
          </w:p>
        </w:tc>
        <w:tc>
          <w:tcPr>
            <w:tcW w:w="725" w:type="dxa"/>
            <w:tcBorders>
              <w:bottom w:val="single" w:sz="6" w:space="0" w:color="auto"/>
            </w:tcBorders>
          </w:tcPr>
          <w:p w14:paraId="46B043C1" w14:textId="77777777" w:rsidR="00964B88" w:rsidRDefault="00964B88">
            <w:pPr>
              <w:cnfStyle w:val="000000000000" w:firstRow="0" w:lastRow="0" w:firstColumn="0" w:lastColumn="0" w:oddVBand="0" w:evenVBand="0" w:oddHBand="0" w:evenHBand="0" w:firstRowFirstColumn="0" w:firstRowLastColumn="0" w:lastRowFirstColumn="0" w:lastRowLastColumn="0"/>
            </w:pPr>
            <w:r>
              <w:t>6 418</w:t>
            </w:r>
          </w:p>
        </w:tc>
        <w:tc>
          <w:tcPr>
            <w:tcW w:w="867" w:type="dxa"/>
            <w:tcBorders>
              <w:bottom w:val="single" w:sz="6" w:space="0" w:color="auto"/>
            </w:tcBorders>
          </w:tcPr>
          <w:p w14:paraId="73240C64" w14:textId="77777777" w:rsidR="00964B88" w:rsidRDefault="00964B88">
            <w:pPr>
              <w:cnfStyle w:val="000000000000" w:firstRow="0" w:lastRow="0" w:firstColumn="0" w:lastColumn="0" w:oddVBand="0" w:evenVBand="0" w:oddHBand="0" w:evenHBand="0" w:firstRowFirstColumn="0" w:firstRowLastColumn="0" w:lastRowFirstColumn="0" w:lastRowLastColumn="0"/>
            </w:pPr>
            <w:r>
              <w:t>5 880</w:t>
            </w:r>
          </w:p>
        </w:tc>
        <w:tc>
          <w:tcPr>
            <w:tcW w:w="868" w:type="dxa"/>
            <w:tcBorders>
              <w:bottom w:val="single" w:sz="6" w:space="0" w:color="auto"/>
            </w:tcBorders>
          </w:tcPr>
          <w:p w14:paraId="48FC4AE5" w14:textId="77777777" w:rsidR="00964B88" w:rsidRDefault="00964B88">
            <w:pPr>
              <w:cnfStyle w:val="000000000000" w:firstRow="0" w:lastRow="0" w:firstColumn="0" w:lastColumn="0" w:oddVBand="0" w:evenVBand="0" w:oddHBand="0" w:evenHBand="0" w:firstRowFirstColumn="0" w:firstRowLastColumn="0" w:lastRowFirstColumn="0" w:lastRowLastColumn="0"/>
            </w:pPr>
            <w:r>
              <w:t>5 558</w:t>
            </w:r>
          </w:p>
        </w:tc>
        <w:tc>
          <w:tcPr>
            <w:tcW w:w="867" w:type="dxa"/>
            <w:tcBorders>
              <w:bottom w:val="single" w:sz="6" w:space="0" w:color="auto"/>
            </w:tcBorders>
          </w:tcPr>
          <w:p w14:paraId="11D202B2" w14:textId="77777777" w:rsidR="00964B88" w:rsidRDefault="00964B88">
            <w:pPr>
              <w:cnfStyle w:val="000000000000" w:firstRow="0" w:lastRow="0" w:firstColumn="0" w:lastColumn="0" w:oddVBand="0" w:evenVBand="0" w:oddHBand="0" w:evenHBand="0" w:firstRowFirstColumn="0" w:firstRowLastColumn="0" w:lastRowFirstColumn="0" w:lastRowLastColumn="0"/>
            </w:pPr>
            <w:r>
              <w:t>4 807</w:t>
            </w:r>
          </w:p>
        </w:tc>
        <w:tc>
          <w:tcPr>
            <w:tcW w:w="868" w:type="dxa"/>
            <w:tcBorders>
              <w:bottom w:val="single" w:sz="6" w:space="0" w:color="auto"/>
            </w:tcBorders>
          </w:tcPr>
          <w:p w14:paraId="40BE0F6D" w14:textId="77777777" w:rsidR="00964B88" w:rsidRDefault="00964B88">
            <w:pPr>
              <w:cnfStyle w:val="000000000000" w:firstRow="0" w:lastRow="0" w:firstColumn="0" w:lastColumn="0" w:oddVBand="0" w:evenVBand="0" w:oddHBand="0" w:evenHBand="0" w:firstRowFirstColumn="0" w:firstRowLastColumn="0" w:lastRowFirstColumn="0" w:lastRowLastColumn="0"/>
            </w:pPr>
            <w:r>
              <w:t>4 725</w:t>
            </w:r>
          </w:p>
        </w:tc>
      </w:tr>
      <w:tr w:rsidR="00964B88" w14:paraId="20B83469" w14:textId="77777777" w:rsidTr="00D1345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1FEA80C7" w14:textId="77777777" w:rsidR="00964B88" w:rsidRDefault="00964B88">
            <w:r>
              <w:t>Total net acquisition of non</w:t>
            </w:r>
            <w:r>
              <w:noBreakHyphen/>
              <w:t>financial assets from transactions</w:t>
            </w:r>
          </w:p>
        </w:tc>
        <w:tc>
          <w:tcPr>
            <w:tcW w:w="867" w:type="dxa"/>
            <w:gridSpan w:val="2"/>
          </w:tcPr>
          <w:p w14:paraId="025B1150" w14:textId="77777777" w:rsidR="00964B88" w:rsidRDefault="00964B88">
            <w:pPr>
              <w:cnfStyle w:val="010000000000" w:firstRow="0" w:lastRow="1" w:firstColumn="0" w:lastColumn="0" w:oddVBand="0" w:evenVBand="0" w:oddHBand="0" w:evenHBand="0" w:firstRowFirstColumn="0" w:firstRowLastColumn="0" w:lastRowFirstColumn="0" w:lastRowLastColumn="0"/>
            </w:pPr>
            <w:r>
              <w:t>6 760</w:t>
            </w:r>
          </w:p>
        </w:tc>
        <w:tc>
          <w:tcPr>
            <w:tcW w:w="867" w:type="dxa"/>
          </w:tcPr>
          <w:p w14:paraId="7AB3D452" w14:textId="77777777" w:rsidR="00964B88" w:rsidRDefault="00964B88">
            <w:pPr>
              <w:cnfStyle w:val="010000000000" w:firstRow="0" w:lastRow="1" w:firstColumn="0" w:lastColumn="0" w:oddVBand="0" w:evenVBand="0" w:oddHBand="0" w:evenHBand="0" w:firstRowFirstColumn="0" w:firstRowLastColumn="0" w:lastRowFirstColumn="0" w:lastRowLastColumn="0"/>
            </w:pPr>
            <w:r>
              <w:t>5 923</w:t>
            </w:r>
          </w:p>
        </w:tc>
        <w:tc>
          <w:tcPr>
            <w:tcW w:w="868" w:type="dxa"/>
          </w:tcPr>
          <w:p w14:paraId="5FE538B6" w14:textId="77777777" w:rsidR="00964B88" w:rsidRDefault="00964B88">
            <w:pPr>
              <w:cnfStyle w:val="010000000000" w:firstRow="0" w:lastRow="1" w:firstColumn="0" w:lastColumn="0" w:oddVBand="0" w:evenVBand="0" w:oddHBand="0" w:evenHBand="0" w:firstRowFirstColumn="0" w:firstRowLastColumn="0" w:lastRowFirstColumn="0" w:lastRowLastColumn="0"/>
            </w:pPr>
            <w:r>
              <w:t>5 006</w:t>
            </w:r>
          </w:p>
        </w:tc>
        <w:tc>
          <w:tcPr>
            <w:tcW w:w="867" w:type="dxa"/>
          </w:tcPr>
          <w:p w14:paraId="77BD96AC" w14:textId="77777777" w:rsidR="00964B88" w:rsidRDefault="00964B88">
            <w:pPr>
              <w:cnfStyle w:val="010000000000" w:firstRow="0" w:lastRow="1" w:firstColumn="0" w:lastColumn="0" w:oddVBand="0" w:evenVBand="0" w:oddHBand="0" w:evenHBand="0" w:firstRowFirstColumn="0" w:firstRowLastColumn="0" w:lastRowFirstColumn="0" w:lastRowLastColumn="0"/>
            </w:pPr>
            <w:r>
              <w:t>4 086</w:t>
            </w:r>
          </w:p>
        </w:tc>
        <w:tc>
          <w:tcPr>
            <w:tcW w:w="868" w:type="dxa"/>
          </w:tcPr>
          <w:p w14:paraId="3F4A4EA7" w14:textId="77777777" w:rsidR="00964B88" w:rsidRDefault="00964B88">
            <w:pPr>
              <w:cnfStyle w:val="010000000000" w:firstRow="0" w:lastRow="1" w:firstColumn="0" w:lastColumn="0" w:oddVBand="0" w:evenVBand="0" w:oddHBand="0" w:evenHBand="0" w:firstRowFirstColumn="0" w:firstRowLastColumn="0" w:lastRowFirstColumn="0" w:lastRowLastColumn="0"/>
            </w:pPr>
            <w:r>
              <w:t>3 294</w:t>
            </w:r>
          </w:p>
        </w:tc>
      </w:tr>
    </w:tbl>
    <w:p w14:paraId="55BF6E85" w14:textId="77777777" w:rsidR="00964B88" w:rsidRDefault="00964B88" w:rsidP="00F53820">
      <w:pPr>
        <w:pStyle w:val="Note"/>
      </w:pPr>
      <w:r>
        <w:t>Note:</w:t>
      </w:r>
    </w:p>
    <w:p w14:paraId="2BFFBE02" w14:textId="77777777" w:rsidR="00964B88" w:rsidRDefault="00964B88" w:rsidP="00F53820">
      <w:pPr>
        <w:pStyle w:val="Note"/>
      </w:pPr>
      <w:r>
        <w:t>(a)</w:t>
      </w:r>
      <w:r>
        <w:tab/>
        <w:t>The other movements in non-financial assets include fixed asset transfers from the general government sector to the public non</w:t>
      </w:r>
      <w:r>
        <w:noBreakHyphen/>
        <w:t>financial corporations sector.</w:t>
      </w:r>
    </w:p>
    <w:p w14:paraId="0D291677" w14:textId="77777777" w:rsidR="00964B88" w:rsidRDefault="00964B88" w:rsidP="00F53820">
      <w:pPr>
        <w:keepLines w:val="0"/>
      </w:pPr>
      <w:r>
        <w:br w:type="page"/>
      </w:r>
    </w:p>
    <w:p w14:paraId="7C4F8E7F" w14:textId="77777777" w:rsidR="00964B88" w:rsidRDefault="00964B88" w:rsidP="00F53820">
      <w:pPr>
        <w:pStyle w:val="TableHeading"/>
      </w:pPr>
      <w:r>
        <w:lastRenderedPageBreak/>
        <w:t>Table 5.6</w:t>
      </w:r>
      <w:r w:rsidR="009C1504">
        <w:t>:</w:t>
      </w:r>
      <w:r>
        <w:tab/>
        <w:t xml:space="preserve">Non-financial public sector comprehensive operating statement </w:t>
      </w:r>
      <w:r>
        <w:br/>
        <w:t>for the financial year ended 30 June</w:t>
      </w:r>
      <w:r>
        <w:tab/>
        <w:t>($ million)</w:t>
      </w:r>
    </w:p>
    <w:tbl>
      <w:tblPr>
        <w:tblStyle w:val="DTFTable"/>
        <w:tblW w:w="7768" w:type="dxa"/>
        <w:tblLayout w:type="fixed"/>
        <w:tblLook w:val="06E0" w:firstRow="1" w:lastRow="1" w:firstColumn="1" w:lastColumn="0" w:noHBand="1" w:noVBand="1"/>
      </w:tblPr>
      <w:tblGrid>
        <w:gridCol w:w="3998"/>
        <w:gridCol w:w="142"/>
        <w:gridCol w:w="142"/>
        <w:gridCol w:w="470"/>
        <w:gridCol w:w="754"/>
        <w:gridCol w:w="754"/>
        <w:gridCol w:w="754"/>
        <w:gridCol w:w="754"/>
      </w:tblGrid>
      <w:tr w:rsidR="00964B88" w14:paraId="044B7B7B" w14:textId="77777777" w:rsidTr="00D134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14:paraId="131A91FB" w14:textId="77777777" w:rsidR="00964B88" w:rsidRDefault="00964B88">
            <w:pPr>
              <w:rPr>
                <w:sz w:val="16"/>
              </w:rPr>
            </w:pPr>
          </w:p>
        </w:tc>
        <w:tc>
          <w:tcPr>
            <w:tcW w:w="754" w:type="dxa"/>
            <w:gridSpan w:val="3"/>
          </w:tcPr>
          <w:p w14:paraId="7D5EF6C3"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2019</w:t>
            </w:r>
            <w:r>
              <w:rPr>
                <w:sz w:val="16"/>
              </w:rPr>
              <w:noBreakHyphen/>
              <w:t>20</w:t>
            </w:r>
            <w:r>
              <w:rPr>
                <w:sz w:val="16"/>
              </w:rPr>
              <w:br/>
              <w:t>budget</w:t>
            </w:r>
          </w:p>
        </w:tc>
        <w:tc>
          <w:tcPr>
            <w:tcW w:w="754" w:type="dxa"/>
          </w:tcPr>
          <w:p w14:paraId="3F2D99F7"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2019</w:t>
            </w:r>
            <w:r>
              <w:rPr>
                <w:sz w:val="16"/>
              </w:rPr>
              <w:noBreakHyphen/>
              <w:t>20</w:t>
            </w:r>
            <w:r>
              <w:rPr>
                <w:sz w:val="16"/>
              </w:rPr>
              <w:br/>
              <w:t>revised</w:t>
            </w:r>
          </w:p>
        </w:tc>
        <w:tc>
          <w:tcPr>
            <w:tcW w:w="754" w:type="dxa"/>
          </w:tcPr>
          <w:p w14:paraId="53786DC6"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2020</w:t>
            </w:r>
            <w:r>
              <w:rPr>
                <w:sz w:val="16"/>
              </w:rPr>
              <w:noBreakHyphen/>
              <w:t>21</w:t>
            </w:r>
            <w:r>
              <w:rPr>
                <w:sz w:val="16"/>
              </w:rPr>
              <w:br/>
              <w:t>estimate</w:t>
            </w:r>
          </w:p>
        </w:tc>
        <w:tc>
          <w:tcPr>
            <w:tcW w:w="754" w:type="dxa"/>
          </w:tcPr>
          <w:p w14:paraId="4E1824FD"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2021</w:t>
            </w:r>
            <w:r>
              <w:rPr>
                <w:sz w:val="16"/>
              </w:rPr>
              <w:noBreakHyphen/>
              <w:t>22</w:t>
            </w:r>
            <w:r>
              <w:rPr>
                <w:sz w:val="16"/>
              </w:rPr>
              <w:br/>
              <w:t>estimate</w:t>
            </w:r>
          </w:p>
        </w:tc>
        <w:tc>
          <w:tcPr>
            <w:tcW w:w="754" w:type="dxa"/>
          </w:tcPr>
          <w:p w14:paraId="0F4FD282"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2022</w:t>
            </w:r>
            <w:r>
              <w:rPr>
                <w:sz w:val="16"/>
              </w:rPr>
              <w:noBreakHyphen/>
              <w:t>23</w:t>
            </w:r>
            <w:r>
              <w:rPr>
                <w:sz w:val="16"/>
              </w:rPr>
              <w:br/>
              <w:t>estimate</w:t>
            </w:r>
          </w:p>
        </w:tc>
      </w:tr>
      <w:tr w:rsidR="00964B88" w14:paraId="08F0EE9C"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5ECCBE47" w14:textId="77777777" w:rsidR="00964B88" w:rsidRDefault="00964B88">
            <w:pPr>
              <w:rPr>
                <w:sz w:val="16"/>
              </w:rPr>
            </w:pPr>
            <w:r>
              <w:rPr>
                <w:b/>
                <w:sz w:val="16"/>
              </w:rPr>
              <w:t>Revenue from transactions</w:t>
            </w:r>
          </w:p>
        </w:tc>
        <w:tc>
          <w:tcPr>
            <w:tcW w:w="754" w:type="dxa"/>
            <w:gridSpan w:val="3"/>
          </w:tcPr>
          <w:p w14:paraId="6FAC842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856CE9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541666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9016F0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70E416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40B38787"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1DFE7B64" w14:textId="77777777" w:rsidR="00964B88" w:rsidRDefault="00964B88">
            <w:pPr>
              <w:rPr>
                <w:sz w:val="16"/>
              </w:rPr>
            </w:pPr>
            <w:r>
              <w:rPr>
                <w:sz w:val="16"/>
              </w:rPr>
              <w:t>Taxation revenue</w:t>
            </w:r>
          </w:p>
        </w:tc>
        <w:tc>
          <w:tcPr>
            <w:tcW w:w="754" w:type="dxa"/>
            <w:gridSpan w:val="3"/>
          </w:tcPr>
          <w:p w14:paraId="46D05EF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23 891</w:t>
            </w:r>
          </w:p>
        </w:tc>
        <w:tc>
          <w:tcPr>
            <w:tcW w:w="754" w:type="dxa"/>
          </w:tcPr>
          <w:p w14:paraId="42D7964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23 958</w:t>
            </w:r>
          </w:p>
        </w:tc>
        <w:tc>
          <w:tcPr>
            <w:tcW w:w="754" w:type="dxa"/>
          </w:tcPr>
          <w:p w14:paraId="63ABE66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25 149</w:t>
            </w:r>
          </w:p>
        </w:tc>
        <w:tc>
          <w:tcPr>
            <w:tcW w:w="754" w:type="dxa"/>
          </w:tcPr>
          <w:p w14:paraId="54B2A60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26 500</w:t>
            </w:r>
          </w:p>
        </w:tc>
        <w:tc>
          <w:tcPr>
            <w:tcW w:w="754" w:type="dxa"/>
          </w:tcPr>
          <w:p w14:paraId="6498459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28 059</w:t>
            </w:r>
          </w:p>
        </w:tc>
      </w:tr>
      <w:tr w:rsidR="00964B88" w14:paraId="18CB2BC3"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42632AAC" w14:textId="77777777" w:rsidR="00964B88" w:rsidRDefault="00964B88">
            <w:pPr>
              <w:rPr>
                <w:sz w:val="16"/>
              </w:rPr>
            </w:pPr>
            <w:r>
              <w:rPr>
                <w:sz w:val="16"/>
              </w:rPr>
              <w:t>Interest revenue</w:t>
            </w:r>
          </w:p>
        </w:tc>
        <w:tc>
          <w:tcPr>
            <w:tcW w:w="754" w:type="dxa"/>
            <w:gridSpan w:val="3"/>
          </w:tcPr>
          <w:p w14:paraId="7168E02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242</w:t>
            </w:r>
          </w:p>
        </w:tc>
        <w:tc>
          <w:tcPr>
            <w:tcW w:w="754" w:type="dxa"/>
          </w:tcPr>
          <w:p w14:paraId="5F6BFF9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239</w:t>
            </w:r>
          </w:p>
        </w:tc>
        <w:tc>
          <w:tcPr>
            <w:tcW w:w="754" w:type="dxa"/>
          </w:tcPr>
          <w:p w14:paraId="4D38884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258</w:t>
            </w:r>
          </w:p>
        </w:tc>
        <w:tc>
          <w:tcPr>
            <w:tcW w:w="754" w:type="dxa"/>
          </w:tcPr>
          <w:p w14:paraId="0CD1493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268</w:t>
            </w:r>
          </w:p>
        </w:tc>
        <w:tc>
          <w:tcPr>
            <w:tcW w:w="754" w:type="dxa"/>
          </w:tcPr>
          <w:p w14:paraId="53F27DA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267</w:t>
            </w:r>
          </w:p>
        </w:tc>
      </w:tr>
      <w:tr w:rsidR="00964B88" w14:paraId="49FD3F9A" w14:textId="77777777" w:rsidTr="00D13450">
        <w:tc>
          <w:tcPr>
            <w:cnfStyle w:val="001000000000" w:firstRow="0" w:lastRow="0" w:firstColumn="1" w:lastColumn="0" w:oddVBand="0" w:evenVBand="0" w:oddHBand="0" w:evenHBand="0" w:firstRowFirstColumn="0" w:firstRowLastColumn="0" w:lastRowFirstColumn="0" w:lastRowLastColumn="0"/>
            <w:tcW w:w="4282" w:type="dxa"/>
            <w:gridSpan w:val="3"/>
          </w:tcPr>
          <w:p w14:paraId="455AA53E" w14:textId="77777777" w:rsidR="00964B88" w:rsidRDefault="00964B88">
            <w:pPr>
              <w:rPr>
                <w:sz w:val="16"/>
              </w:rPr>
            </w:pPr>
            <w:r>
              <w:rPr>
                <w:sz w:val="16"/>
              </w:rPr>
              <w:t>Dividends, income tax equivalent and rate equivalent revenue</w:t>
            </w:r>
          </w:p>
        </w:tc>
        <w:tc>
          <w:tcPr>
            <w:tcW w:w="470" w:type="dxa"/>
          </w:tcPr>
          <w:p w14:paraId="4182075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270</w:t>
            </w:r>
          </w:p>
        </w:tc>
        <w:tc>
          <w:tcPr>
            <w:tcW w:w="754" w:type="dxa"/>
          </w:tcPr>
          <w:p w14:paraId="3460DAA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252</w:t>
            </w:r>
          </w:p>
        </w:tc>
        <w:tc>
          <w:tcPr>
            <w:tcW w:w="754" w:type="dxa"/>
          </w:tcPr>
          <w:p w14:paraId="02B0A25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178</w:t>
            </w:r>
          </w:p>
        </w:tc>
        <w:tc>
          <w:tcPr>
            <w:tcW w:w="754" w:type="dxa"/>
          </w:tcPr>
          <w:p w14:paraId="4D50B88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187</w:t>
            </w:r>
          </w:p>
        </w:tc>
        <w:tc>
          <w:tcPr>
            <w:tcW w:w="754" w:type="dxa"/>
          </w:tcPr>
          <w:p w14:paraId="2CC2D8A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182</w:t>
            </w:r>
          </w:p>
        </w:tc>
      </w:tr>
      <w:tr w:rsidR="00964B88" w14:paraId="3F8E2D5B"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137DC9BE" w14:textId="77777777" w:rsidR="00964B88" w:rsidRDefault="00964B88">
            <w:pPr>
              <w:rPr>
                <w:sz w:val="16"/>
              </w:rPr>
            </w:pPr>
            <w:r>
              <w:rPr>
                <w:sz w:val="16"/>
              </w:rPr>
              <w:t>Sales of goods and services</w:t>
            </w:r>
          </w:p>
        </w:tc>
        <w:tc>
          <w:tcPr>
            <w:tcW w:w="754" w:type="dxa"/>
            <w:gridSpan w:val="3"/>
          </w:tcPr>
          <w:p w14:paraId="5BB14CD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12 076</w:t>
            </w:r>
          </w:p>
        </w:tc>
        <w:tc>
          <w:tcPr>
            <w:tcW w:w="754" w:type="dxa"/>
          </w:tcPr>
          <w:p w14:paraId="3BDDFDF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12 089</w:t>
            </w:r>
          </w:p>
        </w:tc>
        <w:tc>
          <w:tcPr>
            <w:tcW w:w="754" w:type="dxa"/>
          </w:tcPr>
          <w:p w14:paraId="4E64E47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12 797</w:t>
            </w:r>
          </w:p>
        </w:tc>
        <w:tc>
          <w:tcPr>
            <w:tcW w:w="754" w:type="dxa"/>
          </w:tcPr>
          <w:p w14:paraId="0F9D8D1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12 941</w:t>
            </w:r>
          </w:p>
        </w:tc>
        <w:tc>
          <w:tcPr>
            <w:tcW w:w="754" w:type="dxa"/>
          </w:tcPr>
          <w:p w14:paraId="2A3B49E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13 484</w:t>
            </w:r>
          </w:p>
        </w:tc>
      </w:tr>
      <w:tr w:rsidR="00964B88" w14:paraId="0A2D0C40"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4C6ED61F" w14:textId="77777777" w:rsidR="00964B88" w:rsidRDefault="00964B88">
            <w:pPr>
              <w:rPr>
                <w:sz w:val="16"/>
              </w:rPr>
            </w:pPr>
            <w:r>
              <w:rPr>
                <w:sz w:val="16"/>
              </w:rPr>
              <w:t>Grant revenue</w:t>
            </w:r>
          </w:p>
        </w:tc>
        <w:tc>
          <w:tcPr>
            <w:tcW w:w="754" w:type="dxa"/>
            <w:gridSpan w:val="3"/>
          </w:tcPr>
          <w:p w14:paraId="531949D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34 095</w:t>
            </w:r>
          </w:p>
        </w:tc>
        <w:tc>
          <w:tcPr>
            <w:tcW w:w="754" w:type="dxa"/>
          </w:tcPr>
          <w:p w14:paraId="0C328A2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33 891</w:t>
            </w:r>
          </w:p>
        </w:tc>
        <w:tc>
          <w:tcPr>
            <w:tcW w:w="754" w:type="dxa"/>
          </w:tcPr>
          <w:p w14:paraId="09EA09B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35 924</w:t>
            </w:r>
          </w:p>
        </w:tc>
        <w:tc>
          <w:tcPr>
            <w:tcW w:w="754" w:type="dxa"/>
          </w:tcPr>
          <w:p w14:paraId="7282FF9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37 911</w:t>
            </w:r>
          </w:p>
        </w:tc>
        <w:tc>
          <w:tcPr>
            <w:tcW w:w="754" w:type="dxa"/>
          </w:tcPr>
          <w:p w14:paraId="2693ABA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40 344</w:t>
            </w:r>
          </w:p>
        </w:tc>
      </w:tr>
      <w:tr w:rsidR="00964B88" w14:paraId="07D03D93" w14:textId="77777777" w:rsidTr="00D13450">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7D3B99E9" w14:textId="77777777" w:rsidR="00964B88" w:rsidRDefault="00964B88">
            <w:pPr>
              <w:rPr>
                <w:sz w:val="16"/>
              </w:rPr>
            </w:pPr>
            <w:r>
              <w:rPr>
                <w:sz w:val="16"/>
              </w:rPr>
              <w:t>Other revenue</w:t>
            </w:r>
          </w:p>
        </w:tc>
        <w:tc>
          <w:tcPr>
            <w:tcW w:w="754" w:type="dxa"/>
            <w:gridSpan w:val="3"/>
            <w:tcBorders>
              <w:bottom w:val="single" w:sz="6" w:space="0" w:color="auto"/>
            </w:tcBorders>
          </w:tcPr>
          <w:p w14:paraId="728C755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3 539</w:t>
            </w:r>
          </w:p>
        </w:tc>
        <w:tc>
          <w:tcPr>
            <w:tcW w:w="754" w:type="dxa"/>
            <w:tcBorders>
              <w:bottom w:val="single" w:sz="6" w:space="0" w:color="auto"/>
            </w:tcBorders>
          </w:tcPr>
          <w:p w14:paraId="117F0BB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3 635</w:t>
            </w:r>
          </w:p>
        </w:tc>
        <w:tc>
          <w:tcPr>
            <w:tcW w:w="754" w:type="dxa"/>
            <w:tcBorders>
              <w:bottom w:val="single" w:sz="6" w:space="0" w:color="auto"/>
            </w:tcBorders>
          </w:tcPr>
          <w:p w14:paraId="51F01A8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3 781</w:t>
            </w:r>
          </w:p>
        </w:tc>
        <w:tc>
          <w:tcPr>
            <w:tcW w:w="754" w:type="dxa"/>
            <w:tcBorders>
              <w:bottom w:val="single" w:sz="6" w:space="0" w:color="auto"/>
            </w:tcBorders>
          </w:tcPr>
          <w:p w14:paraId="0335B03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3 867</w:t>
            </w:r>
          </w:p>
        </w:tc>
        <w:tc>
          <w:tcPr>
            <w:tcW w:w="754" w:type="dxa"/>
            <w:tcBorders>
              <w:bottom w:val="single" w:sz="6" w:space="0" w:color="auto"/>
            </w:tcBorders>
          </w:tcPr>
          <w:p w14:paraId="3DB5F04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3 986</w:t>
            </w:r>
          </w:p>
        </w:tc>
      </w:tr>
      <w:tr w:rsidR="00964B88" w14:paraId="70854EC5" w14:textId="77777777" w:rsidTr="00D13450">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5AD6F017" w14:textId="77777777" w:rsidR="00964B88" w:rsidRDefault="00964B88">
            <w:pPr>
              <w:rPr>
                <w:sz w:val="16"/>
              </w:rPr>
            </w:pPr>
            <w:r>
              <w:rPr>
                <w:b/>
                <w:sz w:val="16"/>
              </w:rPr>
              <w:t>Total revenue from transactions</w:t>
            </w:r>
          </w:p>
        </w:tc>
        <w:tc>
          <w:tcPr>
            <w:tcW w:w="754" w:type="dxa"/>
            <w:gridSpan w:val="3"/>
            <w:tcBorders>
              <w:top w:val="single" w:sz="6" w:space="0" w:color="auto"/>
            </w:tcBorders>
          </w:tcPr>
          <w:p w14:paraId="02C58B5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74 113</w:t>
            </w:r>
          </w:p>
        </w:tc>
        <w:tc>
          <w:tcPr>
            <w:tcW w:w="754" w:type="dxa"/>
            <w:tcBorders>
              <w:top w:val="single" w:sz="6" w:space="0" w:color="auto"/>
            </w:tcBorders>
          </w:tcPr>
          <w:p w14:paraId="6F7F01B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74 064</w:t>
            </w:r>
          </w:p>
        </w:tc>
        <w:tc>
          <w:tcPr>
            <w:tcW w:w="754" w:type="dxa"/>
            <w:tcBorders>
              <w:top w:val="single" w:sz="6" w:space="0" w:color="auto"/>
            </w:tcBorders>
          </w:tcPr>
          <w:p w14:paraId="7671880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78 087</w:t>
            </w:r>
          </w:p>
        </w:tc>
        <w:tc>
          <w:tcPr>
            <w:tcW w:w="754" w:type="dxa"/>
            <w:tcBorders>
              <w:top w:val="single" w:sz="6" w:space="0" w:color="auto"/>
            </w:tcBorders>
          </w:tcPr>
          <w:p w14:paraId="7C7D188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81 674</w:t>
            </w:r>
          </w:p>
        </w:tc>
        <w:tc>
          <w:tcPr>
            <w:tcW w:w="754" w:type="dxa"/>
            <w:tcBorders>
              <w:top w:val="single" w:sz="6" w:space="0" w:color="auto"/>
            </w:tcBorders>
          </w:tcPr>
          <w:p w14:paraId="66233A6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86 321</w:t>
            </w:r>
          </w:p>
        </w:tc>
      </w:tr>
      <w:tr w:rsidR="00964B88" w14:paraId="0CF657E9"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452BE057" w14:textId="77777777" w:rsidR="00964B88" w:rsidRDefault="00964B88">
            <w:pPr>
              <w:rPr>
                <w:sz w:val="16"/>
              </w:rPr>
            </w:pPr>
            <w:r>
              <w:rPr>
                <w:b/>
                <w:sz w:val="16"/>
              </w:rPr>
              <w:t>Expenses from transactions</w:t>
            </w:r>
          </w:p>
        </w:tc>
        <w:tc>
          <w:tcPr>
            <w:tcW w:w="754" w:type="dxa"/>
            <w:gridSpan w:val="3"/>
          </w:tcPr>
          <w:p w14:paraId="3F4A3E5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E46C6E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C488AD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6024F0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19F07A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6AA7BFB6"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619733E0" w14:textId="77777777" w:rsidR="00964B88" w:rsidRDefault="00964B88">
            <w:pPr>
              <w:rPr>
                <w:sz w:val="16"/>
              </w:rPr>
            </w:pPr>
            <w:r>
              <w:rPr>
                <w:sz w:val="16"/>
              </w:rPr>
              <w:t>Employee expenses</w:t>
            </w:r>
          </w:p>
        </w:tc>
        <w:tc>
          <w:tcPr>
            <w:tcW w:w="754" w:type="dxa"/>
            <w:gridSpan w:val="3"/>
          </w:tcPr>
          <w:p w14:paraId="00ADF4F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27 545</w:t>
            </w:r>
          </w:p>
        </w:tc>
        <w:tc>
          <w:tcPr>
            <w:tcW w:w="754" w:type="dxa"/>
          </w:tcPr>
          <w:p w14:paraId="2C9C54D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27 464</w:t>
            </w:r>
          </w:p>
        </w:tc>
        <w:tc>
          <w:tcPr>
            <w:tcW w:w="754" w:type="dxa"/>
          </w:tcPr>
          <w:p w14:paraId="0470A30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28 915</w:t>
            </w:r>
          </w:p>
        </w:tc>
        <w:tc>
          <w:tcPr>
            <w:tcW w:w="754" w:type="dxa"/>
          </w:tcPr>
          <w:p w14:paraId="702A91A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29 825</w:t>
            </w:r>
          </w:p>
        </w:tc>
        <w:tc>
          <w:tcPr>
            <w:tcW w:w="754" w:type="dxa"/>
          </w:tcPr>
          <w:p w14:paraId="2C238B6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31 205</w:t>
            </w:r>
          </w:p>
        </w:tc>
      </w:tr>
      <w:tr w:rsidR="00964B88" w14:paraId="2684F7AA"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4072AC64" w14:textId="77777777" w:rsidR="00964B88" w:rsidRDefault="00964B88">
            <w:pPr>
              <w:rPr>
                <w:sz w:val="16"/>
              </w:rPr>
            </w:pPr>
            <w:r>
              <w:rPr>
                <w:sz w:val="16"/>
              </w:rPr>
              <w:t>Net superannuation interest expense</w:t>
            </w:r>
          </w:p>
        </w:tc>
        <w:tc>
          <w:tcPr>
            <w:tcW w:w="754" w:type="dxa"/>
            <w:gridSpan w:val="3"/>
          </w:tcPr>
          <w:p w14:paraId="0A4C5B2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570</w:t>
            </w:r>
          </w:p>
        </w:tc>
        <w:tc>
          <w:tcPr>
            <w:tcW w:w="754" w:type="dxa"/>
          </w:tcPr>
          <w:p w14:paraId="2E51FDC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411</w:t>
            </w:r>
          </w:p>
        </w:tc>
        <w:tc>
          <w:tcPr>
            <w:tcW w:w="754" w:type="dxa"/>
          </w:tcPr>
          <w:p w14:paraId="1A81728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332</w:t>
            </w:r>
          </w:p>
        </w:tc>
        <w:tc>
          <w:tcPr>
            <w:tcW w:w="754" w:type="dxa"/>
          </w:tcPr>
          <w:p w14:paraId="731306C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316</w:t>
            </w:r>
          </w:p>
        </w:tc>
        <w:tc>
          <w:tcPr>
            <w:tcW w:w="754" w:type="dxa"/>
          </w:tcPr>
          <w:p w14:paraId="3BF7A51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301</w:t>
            </w:r>
          </w:p>
        </w:tc>
      </w:tr>
      <w:tr w:rsidR="00964B88" w14:paraId="2660402B"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561DF0D9" w14:textId="77777777" w:rsidR="00964B88" w:rsidRDefault="00964B88">
            <w:pPr>
              <w:rPr>
                <w:sz w:val="16"/>
              </w:rPr>
            </w:pPr>
            <w:r>
              <w:rPr>
                <w:sz w:val="16"/>
              </w:rPr>
              <w:t>Other superannuation</w:t>
            </w:r>
          </w:p>
        </w:tc>
        <w:tc>
          <w:tcPr>
            <w:tcW w:w="754" w:type="dxa"/>
            <w:gridSpan w:val="3"/>
          </w:tcPr>
          <w:p w14:paraId="55ADA89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3 095</w:t>
            </w:r>
          </w:p>
        </w:tc>
        <w:tc>
          <w:tcPr>
            <w:tcW w:w="754" w:type="dxa"/>
          </w:tcPr>
          <w:p w14:paraId="0229C16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3 102</w:t>
            </w:r>
          </w:p>
        </w:tc>
        <w:tc>
          <w:tcPr>
            <w:tcW w:w="754" w:type="dxa"/>
          </w:tcPr>
          <w:p w14:paraId="16EDAC1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3 187</w:t>
            </w:r>
          </w:p>
        </w:tc>
        <w:tc>
          <w:tcPr>
            <w:tcW w:w="754" w:type="dxa"/>
          </w:tcPr>
          <w:p w14:paraId="36EFCB1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3 292</w:t>
            </w:r>
          </w:p>
        </w:tc>
        <w:tc>
          <w:tcPr>
            <w:tcW w:w="754" w:type="dxa"/>
          </w:tcPr>
          <w:p w14:paraId="285029C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3 391</w:t>
            </w:r>
          </w:p>
        </w:tc>
      </w:tr>
      <w:tr w:rsidR="00964B88" w14:paraId="6F9A7FA3"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558A68EB" w14:textId="77777777" w:rsidR="00964B88" w:rsidRDefault="00964B88">
            <w:pPr>
              <w:rPr>
                <w:sz w:val="16"/>
              </w:rPr>
            </w:pPr>
            <w:r>
              <w:rPr>
                <w:sz w:val="16"/>
              </w:rPr>
              <w:t>Depreciation</w:t>
            </w:r>
          </w:p>
        </w:tc>
        <w:tc>
          <w:tcPr>
            <w:tcW w:w="754" w:type="dxa"/>
            <w:gridSpan w:val="3"/>
          </w:tcPr>
          <w:p w14:paraId="39E7DB2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6 217</w:t>
            </w:r>
          </w:p>
        </w:tc>
        <w:tc>
          <w:tcPr>
            <w:tcW w:w="754" w:type="dxa"/>
          </w:tcPr>
          <w:p w14:paraId="0ECF7AE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6 266</w:t>
            </w:r>
          </w:p>
        </w:tc>
        <w:tc>
          <w:tcPr>
            <w:tcW w:w="754" w:type="dxa"/>
          </w:tcPr>
          <w:p w14:paraId="48ABB76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6 797</w:t>
            </w:r>
          </w:p>
        </w:tc>
        <w:tc>
          <w:tcPr>
            <w:tcW w:w="754" w:type="dxa"/>
          </w:tcPr>
          <w:p w14:paraId="7EA8CEE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7 191</w:t>
            </w:r>
          </w:p>
        </w:tc>
        <w:tc>
          <w:tcPr>
            <w:tcW w:w="754" w:type="dxa"/>
          </w:tcPr>
          <w:p w14:paraId="2D173D6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7 656</w:t>
            </w:r>
          </w:p>
        </w:tc>
      </w:tr>
      <w:tr w:rsidR="00964B88" w14:paraId="4EB87288"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151F8269" w14:textId="77777777" w:rsidR="00964B88" w:rsidRDefault="00964B88">
            <w:pPr>
              <w:rPr>
                <w:sz w:val="16"/>
              </w:rPr>
            </w:pPr>
            <w:r>
              <w:rPr>
                <w:sz w:val="16"/>
              </w:rPr>
              <w:t>Interest expense</w:t>
            </w:r>
          </w:p>
        </w:tc>
        <w:tc>
          <w:tcPr>
            <w:tcW w:w="754" w:type="dxa"/>
            <w:gridSpan w:val="3"/>
          </w:tcPr>
          <w:p w14:paraId="74DAA2B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3 068</w:t>
            </w:r>
          </w:p>
        </w:tc>
        <w:tc>
          <w:tcPr>
            <w:tcW w:w="754" w:type="dxa"/>
          </w:tcPr>
          <w:p w14:paraId="02A1965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2 997</w:t>
            </w:r>
          </w:p>
        </w:tc>
        <w:tc>
          <w:tcPr>
            <w:tcW w:w="754" w:type="dxa"/>
          </w:tcPr>
          <w:p w14:paraId="0C110FE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3 136</w:t>
            </w:r>
          </w:p>
        </w:tc>
        <w:tc>
          <w:tcPr>
            <w:tcW w:w="754" w:type="dxa"/>
          </w:tcPr>
          <w:p w14:paraId="059CB0C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3 290</w:t>
            </w:r>
          </w:p>
        </w:tc>
        <w:tc>
          <w:tcPr>
            <w:tcW w:w="754" w:type="dxa"/>
          </w:tcPr>
          <w:p w14:paraId="6737475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3 434</w:t>
            </w:r>
          </w:p>
        </w:tc>
      </w:tr>
      <w:tr w:rsidR="00964B88" w14:paraId="640A7B62"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150E9883" w14:textId="77777777" w:rsidR="00964B88" w:rsidRDefault="00964B88">
            <w:pPr>
              <w:rPr>
                <w:sz w:val="16"/>
              </w:rPr>
            </w:pPr>
            <w:r>
              <w:rPr>
                <w:sz w:val="16"/>
              </w:rPr>
              <w:t>Grant expense</w:t>
            </w:r>
          </w:p>
        </w:tc>
        <w:tc>
          <w:tcPr>
            <w:tcW w:w="754" w:type="dxa"/>
            <w:gridSpan w:val="3"/>
          </w:tcPr>
          <w:p w14:paraId="6BFD898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9 161</w:t>
            </w:r>
          </w:p>
        </w:tc>
        <w:tc>
          <w:tcPr>
            <w:tcW w:w="754" w:type="dxa"/>
          </w:tcPr>
          <w:p w14:paraId="78927CE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9 144</w:t>
            </w:r>
          </w:p>
        </w:tc>
        <w:tc>
          <w:tcPr>
            <w:tcW w:w="754" w:type="dxa"/>
          </w:tcPr>
          <w:p w14:paraId="26CF6B7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11 032</w:t>
            </w:r>
          </w:p>
        </w:tc>
        <w:tc>
          <w:tcPr>
            <w:tcW w:w="754" w:type="dxa"/>
          </w:tcPr>
          <w:p w14:paraId="7E596B5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11 395</w:t>
            </w:r>
          </w:p>
        </w:tc>
        <w:tc>
          <w:tcPr>
            <w:tcW w:w="754" w:type="dxa"/>
          </w:tcPr>
          <w:p w14:paraId="47780FF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11 903</w:t>
            </w:r>
          </w:p>
        </w:tc>
      </w:tr>
      <w:tr w:rsidR="00964B88" w14:paraId="24034FE9"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012C3EF7" w14:textId="77777777" w:rsidR="00964B88" w:rsidRDefault="00964B88">
            <w:pPr>
              <w:rPr>
                <w:sz w:val="16"/>
              </w:rPr>
            </w:pPr>
            <w:r>
              <w:rPr>
                <w:sz w:val="16"/>
              </w:rPr>
              <w:t>Other operating expenses</w:t>
            </w:r>
          </w:p>
        </w:tc>
        <w:tc>
          <w:tcPr>
            <w:tcW w:w="754" w:type="dxa"/>
            <w:gridSpan w:val="3"/>
          </w:tcPr>
          <w:p w14:paraId="19782D7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24 196</w:t>
            </w:r>
          </w:p>
        </w:tc>
        <w:tc>
          <w:tcPr>
            <w:tcW w:w="754" w:type="dxa"/>
          </w:tcPr>
          <w:p w14:paraId="3275471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24 954</w:t>
            </w:r>
          </w:p>
        </w:tc>
        <w:tc>
          <w:tcPr>
            <w:tcW w:w="754" w:type="dxa"/>
          </w:tcPr>
          <w:p w14:paraId="5834EAF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24 251</w:t>
            </w:r>
          </w:p>
        </w:tc>
        <w:tc>
          <w:tcPr>
            <w:tcW w:w="754" w:type="dxa"/>
          </w:tcPr>
          <w:p w14:paraId="0126473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23 423</w:t>
            </w:r>
          </w:p>
        </w:tc>
        <w:tc>
          <w:tcPr>
            <w:tcW w:w="754" w:type="dxa"/>
          </w:tcPr>
          <w:p w14:paraId="34866CA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24 505</w:t>
            </w:r>
          </w:p>
        </w:tc>
      </w:tr>
      <w:tr w:rsidR="00964B88" w14:paraId="064A12EE" w14:textId="77777777" w:rsidTr="00D13450">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2E1D6BAF" w14:textId="77777777" w:rsidR="00964B88" w:rsidRDefault="00964B88">
            <w:pPr>
              <w:rPr>
                <w:sz w:val="16"/>
              </w:rPr>
            </w:pPr>
            <w:r>
              <w:rPr>
                <w:b/>
                <w:sz w:val="16"/>
              </w:rPr>
              <w:t>Total expenses from transactions</w:t>
            </w:r>
          </w:p>
        </w:tc>
        <w:tc>
          <w:tcPr>
            <w:tcW w:w="754" w:type="dxa"/>
            <w:gridSpan w:val="3"/>
            <w:tcBorders>
              <w:top w:val="single" w:sz="6" w:space="0" w:color="auto"/>
              <w:bottom w:val="single" w:sz="6" w:space="0" w:color="auto"/>
            </w:tcBorders>
          </w:tcPr>
          <w:p w14:paraId="39B8E61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73 853</w:t>
            </w:r>
          </w:p>
        </w:tc>
        <w:tc>
          <w:tcPr>
            <w:tcW w:w="754" w:type="dxa"/>
            <w:tcBorders>
              <w:top w:val="single" w:sz="6" w:space="0" w:color="auto"/>
              <w:bottom w:val="single" w:sz="6" w:space="0" w:color="auto"/>
            </w:tcBorders>
          </w:tcPr>
          <w:p w14:paraId="055FC37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74 338</w:t>
            </w:r>
          </w:p>
        </w:tc>
        <w:tc>
          <w:tcPr>
            <w:tcW w:w="754" w:type="dxa"/>
            <w:tcBorders>
              <w:top w:val="single" w:sz="6" w:space="0" w:color="auto"/>
              <w:bottom w:val="single" w:sz="6" w:space="0" w:color="auto"/>
            </w:tcBorders>
          </w:tcPr>
          <w:p w14:paraId="45DA190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77 649</w:t>
            </w:r>
          </w:p>
        </w:tc>
        <w:tc>
          <w:tcPr>
            <w:tcW w:w="754" w:type="dxa"/>
            <w:tcBorders>
              <w:top w:val="single" w:sz="6" w:space="0" w:color="auto"/>
              <w:bottom w:val="single" w:sz="6" w:space="0" w:color="auto"/>
            </w:tcBorders>
          </w:tcPr>
          <w:p w14:paraId="5AFFCE6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78 732</w:t>
            </w:r>
          </w:p>
        </w:tc>
        <w:tc>
          <w:tcPr>
            <w:tcW w:w="754" w:type="dxa"/>
            <w:tcBorders>
              <w:top w:val="single" w:sz="6" w:space="0" w:color="auto"/>
              <w:bottom w:val="single" w:sz="6" w:space="0" w:color="auto"/>
            </w:tcBorders>
          </w:tcPr>
          <w:p w14:paraId="229D441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82 394</w:t>
            </w:r>
          </w:p>
        </w:tc>
      </w:tr>
      <w:tr w:rsidR="00964B88" w14:paraId="0AA6E82D" w14:textId="77777777" w:rsidTr="00D13450">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12" w:space="0" w:color="auto"/>
            </w:tcBorders>
          </w:tcPr>
          <w:p w14:paraId="62C4EF81" w14:textId="77777777" w:rsidR="00964B88" w:rsidRDefault="00964B88">
            <w:pPr>
              <w:rPr>
                <w:sz w:val="16"/>
              </w:rPr>
            </w:pPr>
            <w:r>
              <w:rPr>
                <w:b/>
                <w:sz w:val="16"/>
              </w:rPr>
              <w:t>Net result from transactions – net operating balance</w:t>
            </w:r>
          </w:p>
        </w:tc>
        <w:tc>
          <w:tcPr>
            <w:tcW w:w="754" w:type="dxa"/>
            <w:gridSpan w:val="3"/>
            <w:tcBorders>
              <w:top w:val="single" w:sz="6" w:space="0" w:color="auto"/>
              <w:bottom w:val="single" w:sz="12" w:space="0" w:color="auto"/>
            </w:tcBorders>
          </w:tcPr>
          <w:p w14:paraId="382506C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260</w:t>
            </w:r>
          </w:p>
        </w:tc>
        <w:tc>
          <w:tcPr>
            <w:tcW w:w="754" w:type="dxa"/>
            <w:tcBorders>
              <w:top w:val="single" w:sz="6" w:space="0" w:color="auto"/>
              <w:bottom w:val="single" w:sz="12" w:space="0" w:color="auto"/>
            </w:tcBorders>
          </w:tcPr>
          <w:p w14:paraId="7F829F4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(274)</w:t>
            </w:r>
          </w:p>
        </w:tc>
        <w:tc>
          <w:tcPr>
            <w:tcW w:w="754" w:type="dxa"/>
            <w:tcBorders>
              <w:top w:val="single" w:sz="6" w:space="0" w:color="auto"/>
              <w:bottom w:val="single" w:sz="12" w:space="0" w:color="auto"/>
            </w:tcBorders>
          </w:tcPr>
          <w:p w14:paraId="5124E7C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437</w:t>
            </w:r>
          </w:p>
        </w:tc>
        <w:tc>
          <w:tcPr>
            <w:tcW w:w="754" w:type="dxa"/>
            <w:tcBorders>
              <w:top w:val="single" w:sz="6" w:space="0" w:color="auto"/>
              <w:bottom w:val="single" w:sz="12" w:space="0" w:color="auto"/>
            </w:tcBorders>
          </w:tcPr>
          <w:p w14:paraId="0FDC31F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2 942</w:t>
            </w:r>
          </w:p>
        </w:tc>
        <w:tc>
          <w:tcPr>
            <w:tcW w:w="754" w:type="dxa"/>
            <w:tcBorders>
              <w:top w:val="single" w:sz="6" w:space="0" w:color="auto"/>
              <w:bottom w:val="single" w:sz="12" w:space="0" w:color="auto"/>
            </w:tcBorders>
          </w:tcPr>
          <w:p w14:paraId="0D76339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3 927</w:t>
            </w:r>
          </w:p>
        </w:tc>
      </w:tr>
      <w:tr w:rsidR="00964B88" w14:paraId="376E14DC" w14:textId="77777777" w:rsidTr="00D13450">
        <w:tc>
          <w:tcPr>
            <w:cnfStyle w:val="001000000000" w:firstRow="0" w:lastRow="0" w:firstColumn="1" w:lastColumn="0" w:oddVBand="0" w:evenVBand="0" w:oddHBand="0" w:evenHBand="0" w:firstRowFirstColumn="0" w:firstRowLastColumn="0" w:lastRowFirstColumn="0" w:lastRowLastColumn="0"/>
            <w:tcW w:w="3998" w:type="dxa"/>
            <w:tcBorders>
              <w:top w:val="single" w:sz="0" w:space="0" w:color="auto"/>
            </w:tcBorders>
          </w:tcPr>
          <w:p w14:paraId="4025CD88" w14:textId="77777777" w:rsidR="00964B88" w:rsidRDefault="00964B88">
            <w:pPr>
              <w:rPr>
                <w:sz w:val="16"/>
              </w:rPr>
            </w:pPr>
            <w:r>
              <w:rPr>
                <w:b/>
                <w:sz w:val="16"/>
              </w:rPr>
              <w:t>Other economic flows included in net result</w:t>
            </w:r>
          </w:p>
        </w:tc>
        <w:tc>
          <w:tcPr>
            <w:tcW w:w="754" w:type="dxa"/>
            <w:gridSpan w:val="3"/>
            <w:tcBorders>
              <w:top w:val="single" w:sz="0" w:space="0" w:color="auto"/>
            </w:tcBorders>
          </w:tcPr>
          <w:p w14:paraId="054AA35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1B6803C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00661A0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68022B0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3638ADB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3882EA58"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152316AA" w14:textId="77777777" w:rsidR="00964B88" w:rsidRDefault="00964B88">
            <w:pPr>
              <w:rPr>
                <w:sz w:val="16"/>
              </w:rPr>
            </w:pPr>
            <w:r>
              <w:rPr>
                <w:sz w:val="16"/>
              </w:rPr>
              <w:t>Net gain/(loss) on disposal of non</w:t>
            </w:r>
            <w:r>
              <w:rPr>
                <w:sz w:val="16"/>
              </w:rPr>
              <w:noBreakHyphen/>
              <w:t>financial assets</w:t>
            </w:r>
          </w:p>
        </w:tc>
        <w:tc>
          <w:tcPr>
            <w:tcW w:w="754" w:type="dxa"/>
            <w:gridSpan w:val="3"/>
          </w:tcPr>
          <w:p w14:paraId="7E2929F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55</w:t>
            </w:r>
          </w:p>
        </w:tc>
        <w:tc>
          <w:tcPr>
            <w:tcW w:w="754" w:type="dxa"/>
          </w:tcPr>
          <w:p w14:paraId="0C3B90A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552</w:t>
            </w:r>
          </w:p>
        </w:tc>
        <w:tc>
          <w:tcPr>
            <w:tcW w:w="754" w:type="dxa"/>
          </w:tcPr>
          <w:p w14:paraId="6429C2E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28</w:t>
            </w:r>
          </w:p>
        </w:tc>
        <w:tc>
          <w:tcPr>
            <w:tcW w:w="754" w:type="dxa"/>
          </w:tcPr>
          <w:p w14:paraId="3127803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70</w:t>
            </w:r>
          </w:p>
        </w:tc>
        <w:tc>
          <w:tcPr>
            <w:tcW w:w="754" w:type="dxa"/>
          </w:tcPr>
          <w:p w14:paraId="536DDB4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84</w:t>
            </w:r>
          </w:p>
        </w:tc>
      </w:tr>
      <w:tr w:rsidR="00964B88" w14:paraId="7EFD445B"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116515DA" w14:textId="77777777" w:rsidR="00964B88" w:rsidRDefault="00964B88">
            <w:pPr>
              <w:rPr>
                <w:sz w:val="16"/>
              </w:rPr>
            </w:pPr>
            <w:r>
              <w:rPr>
                <w:sz w:val="16"/>
              </w:rPr>
              <w:t>Net gain/(loss) on financial assets or liabilities at fair value</w:t>
            </w:r>
          </w:p>
        </w:tc>
        <w:tc>
          <w:tcPr>
            <w:tcW w:w="754" w:type="dxa"/>
            <w:gridSpan w:val="3"/>
          </w:tcPr>
          <w:p w14:paraId="6E04048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25</w:t>
            </w:r>
          </w:p>
        </w:tc>
        <w:tc>
          <w:tcPr>
            <w:tcW w:w="754" w:type="dxa"/>
          </w:tcPr>
          <w:p w14:paraId="2B2F12C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19</w:t>
            </w:r>
          </w:p>
        </w:tc>
        <w:tc>
          <w:tcPr>
            <w:tcW w:w="754" w:type="dxa"/>
          </w:tcPr>
          <w:p w14:paraId="47EF29E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18</w:t>
            </w:r>
          </w:p>
        </w:tc>
        <w:tc>
          <w:tcPr>
            <w:tcW w:w="754" w:type="dxa"/>
          </w:tcPr>
          <w:p w14:paraId="3D26D70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15</w:t>
            </w:r>
          </w:p>
        </w:tc>
        <w:tc>
          <w:tcPr>
            <w:tcW w:w="754" w:type="dxa"/>
          </w:tcPr>
          <w:p w14:paraId="161356F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16</w:t>
            </w:r>
          </w:p>
        </w:tc>
      </w:tr>
      <w:tr w:rsidR="00964B88" w14:paraId="6A1155B3" w14:textId="77777777" w:rsidTr="00D13450">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55346173" w14:textId="77777777" w:rsidR="00964B88" w:rsidRDefault="00964B88">
            <w:pPr>
              <w:rPr>
                <w:sz w:val="16"/>
              </w:rPr>
            </w:pPr>
            <w:r>
              <w:rPr>
                <w:sz w:val="16"/>
              </w:rPr>
              <w:t>Other gains/(losses) from other economic flows</w:t>
            </w:r>
          </w:p>
        </w:tc>
        <w:tc>
          <w:tcPr>
            <w:tcW w:w="754" w:type="dxa"/>
            <w:gridSpan w:val="3"/>
            <w:tcBorders>
              <w:bottom w:val="single" w:sz="6" w:space="0" w:color="auto"/>
            </w:tcBorders>
          </w:tcPr>
          <w:p w14:paraId="558B657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(467)</w:t>
            </w:r>
          </w:p>
        </w:tc>
        <w:tc>
          <w:tcPr>
            <w:tcW w:w="754" w:type="dxa"/>
            <w:tcBorders>
              <w:bottom w:val="single" w:sz="6" w:space="0" w:color="auto"/>
            </w:tcBorders>
          </w:tcPr>
          <w:p w14:paraId="5FC1A87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(448)</w:t>
            </w:r>
          </w:p>
        </w:tc>
        <w:tc>
          <w:tcPr>
            <w:tcW w:w="754" w:type="dxa"/>
            <w:tcBorders>
              <w:bottom w:val="single" w:sz="6" w:space="0" w:color="auto"/>
            </w:tcBorders>
          </w:tcPr>
          <w:p w14:paraId="23694D6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(442)</w:t>
            </w:r>
          </w:p>
        </w:tc>
        <w:tc>
          <w:tcPr>
            <w:tcW w:w="754" w:type="dxa"/>
            <w:tcBorders>
              <w:bottom w:val="single" w:sz="6" w:space="0" w:color="auto"/>
            </w:tcBorders>
          </w:tcPr>
          <w:p w14:paraId="19CA3BC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(450)</w:t>
            </w:r>
          </w:p>
        </w:tc>
        <w:tc>
          <w:tcPr>
            <w:tcW w:w="754" w:type="dxa"/>
            <w:tcBorders>
              <w:bottom w:val="single" w:sz="6" w:space="0" w:color="auto"/>
            </w:tcBorders>
          </w:tcPr>
          <w:p w14:paraId="7E6454A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(475)</w:t>
            </w:r>
          </w:p>
        </w:tc>
      </w:tr>
      <w:tr w:rsidR="00964B88" w14:paraId="7B9169D8" w14:textId="77777777" w:rsidTr="00D13450">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3611A0C0" w14:textId="77777777" w:rsidR="00964B88" w:rsidRDefault="00964B88">
            <w:pPr>
              <w:rPr>
                <w:sz w:val="16"/>
              </w:rPr>
            </w:pPr>
            <w:r>
              <w:rPr>
                <w:b/>
                <w:sz w:val="16"/>
              </w:rPr>
              <w:t>Total other economic flows included in net result</w:t>
            </w:r>
          </w:p>
        </w:tc>
        <w:tc>
          <w:tcPr>
            <w:tcW w:w="754" w:type="dxa"/>
            <w:gridSpan w:val="3"/>
            <w:tcBorders>
              <w:top w:val="single" w:sz="6" w:space="0" w:color="auto"/>
              <w:bottom w:val="single" w:sz="6" w:space="0" w:color="auto"/>
            </w:tcBorders>
          </w:tcPr>
          <w:p w14:paraId="5D50AEB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(386)</w:t>
            </w:r>
          </w:p>
        </w:tc>
        <w:tc>
          <w:tcPr>
            <w:tcW w:w="754" w:type="dxa"/>
            <w:tcBorders>
              <w:top w:val="single" w:sz="6" w:space="0" w:color="auto"/>
              <w:bottom w:val="single" w:sz="6" w:space="0" w:color="auto"/>
            </w:tcBorders>
          </w:tcPr>
          <w:p w14:paraId="7B4C129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123</w:t>
            </w:r>
          </w:p>
        </w:tc>
        <w:tc>
          <w:tcPr>
            <w:tcW w:w="754" w:type="dxa"/>
            <w:tcBorders>
              <w:top w:val="single" w:sz="6" w:space="0" w:color="auto"/>
              <w:bottom w:val="single" w:sz="6" w:space="0" w:color="auto"/>
            </w:tcBorders>
          </w:tcPr>
          <w:p w14:paraId="3073640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(396)</w:t>
            </w:r>
          </w:p>
        </w:tc>
        <w:tc>
          <w:tcPr>
            <w:tcW w:w="754" w:type="dxa"/>
            <w:tcBorders>
              <w:top w:val="single" w:sz="6" w:space="0" w:color="auto"/>
              <w:bottom w:val="single" w:sz="6" w:space="0" w:color="auto"/>
            </w:tcBorders>
          </w:tcPr>
          <w:p w14:paraId="55D173E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(365)</w:t>
            </w:r>
          </w:p>
        </w:tc>
        <w:tc>
          <w:tcPr>
            <w:tcW w:w="754" w:type="dxa"/>
            <w:tcBorders>
              <w:top w:val="single" w:sz="6" w:space="0" w:color="auto"/>
              <w:bottom w:val="single" w:sz="6" w:space="0" w:color="auto"/>
            </w:tcBorders>
          </w:tcPr>
          <w:p w14:paraId="5F592FF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(376)</w:t>
            </w:r>
          </w:p>
        </w:tc>
      </w:tr>
      <w:tr w:rsidR="00964B88" w14:paraId="07A6140D" w14:textId="77777777" w:rsidTr="00D13450">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12" w:space="0" w:color="auto"/>
            </w:tcBorders>
          </w:tcPr>
          <w:p w14:paraId="14968B3E" w14:textId="77777777" w:rsidR="00964B88" w:rsidRDefault="00964B88">
            <w:pPr>
              <w:rPr>
                <w:sz w:val="16"/>
              </w:rPr>
            </w:pPr>
            <w:r>
              <w:rPr>
                <w:b/>
                <w:sz w:val="16"/>
              </w:rPr>
              <w:t>Net result</w:t>
            </w:r>
          </w:p>
        </w:tc>
        <w:tc>
          <w:tcPr>
            <w:tcW w:w="754" w:type="dxa"/>
            <w:gridSpan w:val="3"/>
            <w:tcBorders>
              <w:top w:val="single" w:sz="6" w:space="0" w:color="auto"/>
              <w:bottom w:val="single" w:sz="12" w:space="0" w:color="auto"/>
            </w:tcBorders>
          </w:tcPr>
          <w:p w14:paraId="6E68821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(126)</w:t>
            </w:r>
          </w:p>
        </w:tc>
        <w:tc>
          <w:tcPr>
            <w:tcW w:w="754" w:type="dxa"/>
            <w:tcBorders>
              <w:top w:val="single" w:sz="6" w:space="0" w:color="auto"/>
              <w:bottom w:val="single" w:sz="12" w:space="0" w:color="auto"/>
            </w:tcBorders>
          </w:tcPr>
          <w:p w14:paraId="3A53B1E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(151)</w:t>
            </w:r>
          </w:p>
        </w:tc>
        <w:tc>
          <w:tcPr>
            <w:tcW w:w="754" w:type="dxa"/>
            <w:tcBorders>
              <w:top w:val="single" w:sz="6" w:space="0" w:color="auto"/>
              <w:bottom w:val="single" w:sz="12" w:space="0" w:color="auto"/>
            </w:tcBorders>
          </w:tcPr>
          <w:p w14:paraId="37DBD29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41</w:t>
            </w:r>
          </w:p>
        </w:tc>
        <w:tc>
          <w:tcPr>
            <w:tcW w:w="754" w:type="dxa"/>
            <w:tcBorders>
              <w:top w:val="single" w:sz="6" w:space="0" w:color="auto"/>
              <w:bottom w:val="single" w:sz="12" w:space="0" w:color="auto"/>
            </w:tcBorders>
          </w:tcPr>
          <w:p w14:paraId="072ABA2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2 577</w:t>
            </w:r>
          </w:p>
        </w:tc>
        <w:tc>
          <w:tcPr>
            <w:tcW w:w="754" w:type="dxa"/>
            <w:tcBorders>
              <w:top w:val="single" w:sz="6" w:space="0" w:color="auto"/>
              <w:bottom w:val="single" w:sz="12" w:space="0" w:color="auto"/>
            </w:tcBorders>
          </w:tcPr>
          <w:p w14:paraId="0D33649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3 551</w:t>
            </w:r>
          </w:p>
        </w:tc>
      </w:tr>
      <w:tr w:rsidR="00964B88" w14:paraId="6DE0708E" w14:textId="77777777" w:rsidTr="00D13450">
        <w:tc>
          <w:tcPr>
            <w:cnfStyle w:val="001000000000" w:firstRow="0" w:lastRow="0" w:firstColumn="1" w:lastColumn="0" w:oddVBand="0" w:evenVBand="0" w:oddHBand="0" w:evenHBand="0" w:firstRowFirstColumn="0" w:firstRowLastColumn="0" w:lastRowFirstColumn="0" w:lastRowLastColumn="0"/>
            <w:tcW w:w="3998" w:type="dxa"/>
            <w:tcBorders>
              <w:top w:val="single" w:sz="0" w:space="0" w:color="auto"/>
            </w:tcBorders>
          </w:tcPr>
          <w:p w14:paraId="095BF67E" w14:textId="77777777" w:rsidR="00964B88" w:rsidRDefault="00964B88">
            <w:pPr>
              <w:rPr>
                <w:sz w:val="16"/>
              </w:rPr>
            </w:pPr>
            <w:r>
              <w:rPr>
                <w:b/>
                <w:sz w:val="16"/>
              </w:rPr>
              <w:t>Other economic flows – other comprehensive income</w:t>
            </w:r>
          </w:p>
        </w:tc>
        <w:tc>
          <w:tcPr>
            <w:tcW w:w="754" w:type="dxa"/>
            <w:gridSpan w:val="3"/>
            <w:tcBorders>
              <w:top w:val="single" w:sz="0" w:space="0" w:color="auto"/>
            </w:tcBorders>
          </w:tcPr>
          <w:p w14:paraId="280BE2F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6B0FEBF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5CDD07D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2682FFD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0A9E16E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4450FA62"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564AE7FA" w14:textId="77777777" w:rsidR="00964B88" w:rsidRDefault="00964B88">
            <w:pPr>
              <w:rPr>
                <w:sz w:val="16"/>
              </w:rPr>
            </w:pPr>
            <w:r>
              <w:rPr>
                <w:b/>
                <w:sz w:val="16"/>
              </w:rPr>
              <w:t>Items that will not be reclassified to net result</w:t>
            </w:r>
          </w:p>
        </w:tc>
        <w:tc>
          <w:tcPr>
            <w:tcW w:w="754" w:type="dxa"/>
            <w:gridSpan w:val="3"/>
          </w:tcPr>
          <w:p w14:paraId="12B24D5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D4DF58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2D1C7C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4E95DC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7BE8DC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21D27F51"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71A25033" w14:textId="77777777" w:rsidR="00964B88" w:rsidRDefault="00964B88">
            <w:pPr>
              <w:rPr>
                <w:sz w:val="16"/>
              </w:rPr>
            </w:pPr>
            <w:r>
              <w:rPr>
                <w:sz w:val="16"/>
              </w:rPr>
              <w:t>Changes in non</w:t>
            </w:r>
            <w:r>
              <w:rPr>
                <w:sz w:val="16"/>
              </w:rPr>
              <w:noBreakHyphen/>
              <w:t>financial assets revaluation surplus</w:t>
            </w:r>
          </w:p>
        </w:tc>
        <w:tc>
          <w:tcPr>
            <w:tcW w:w="754" w:type="dxa"/>
            <w:gridSpan w:val="3"/>
          </w:tcPr>
          <w:p w14:paraId="7AEBA31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4 671</w:t>
            </w:r>
          </w:p>
        </w:tc>
        <w:tc>
          <w:tcPr>
            <w:tcW w:w="754" w:type="dxa"/>
          </w:tcPr>
          <w:p w14:paraId="3CDDB9F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4 467</w:t>
            </w:r>
          </w:p>
        </w:tc>
        <w:tc>
          <w:tcPr>
            <w:tcW w:w="754" w:type="dxa"/>
          </w:tcPr>
          <w:p w14:paraId="21354E7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6 735</w:t>
            </w:r>
          </w:p>
        </w:tc>
        <w:tc>
          <w:tcPr>
            <w:tcW w:w="754" w:type="dxa"/>
          </w:tcPr>
          <w:p w14:paraId="15101B7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3 736</w:t>
            </w:r>
          </w:p>
        </w:tc>
        <w:tc>
          <w:tcPr>
            <w:tcW w:w="754" w:type="dxa"/>
          </w:tcPr>
          <w:p w14:paraId="25FACE8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4 804</w:t>
            </w:r>
          </w:p>
        </w:tc>
      </w:tr>
      <w:tr w:rsidR="00964B88" w14:paraId="62F4307B"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236B1195" w14:textId="77777777" w:rsidR="00964B88" w:rsidRDefault="00964B88">
            <w:pPr>
              <w:rPr>
                <w:sz w:val="16"/>
              </w:rPr>
            </w:pPr>
            <w:r>
              <w:rPr>
                <w:sz w:val="16"/>
              </w:rPr>
              <w:t>Remeasurement of superannuation defined benefit plans</w:t>
            </w:r>
          </w:p>
        </w:tc>
        <w:tc>
          <w:tcPr>
            <w:tcW w:w="754" w:type="dxa"/>
            <w:gridSpan w:val="3"/>
          </w:tcPr>
          <w:p w14:paraId="5D8E3BB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1 109</w:t>
            </w:r>
          </w:p>
        </w:tc>
        <w:tc>
          <w:tcPr>
            <w:tcW w:w="754" w:type="dxa"/>
          </w:tcPr>
          <w:p w14:paraId="349603B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56</w:t>
            </w:r>
          </w:p>
        </w:tc>
        <w:tc>
          <w:tcPr>
            <w:tcW w:w="754" w:type="dxa"/>
          </w:tcPr>
          <w:p w14:paraId="7A18952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1 424</w:t>
            </w:r>
          </w:p>
        </w:tc>
        <w:tc>
          <w:tcPr>
            <w:tcW w:w="754" w:type="dxa"/>
          </w:tcPr>
          <w:p w14:paraId="1C201DE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1 454</w:t>
            </w:r>
          </w:p>
        </w:tc>
        <w:tc>
          <w:tcPr>
            <w:tcW w:w="754" w:type="dxa"/>
          </w:tcPr>
          <w:p w14:paraId="17278A6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1 481</w:t>
            </w:r>
          </w:p>
        </w:tc>
      </w:tr>
      <w:tr w:rsidR="00964B88" w14:paraId="22EEA5DD"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4CF4D3F2" w14:textId="77777777" w:rsidR="00964B88" w:rsidRDefault="00964B88">
            <w:pPr>
              <w:rPr>
                <w:sz w:val="16"/>
              </w:rPr>
            </w:pPr>
            <w:r>
              <w:rPr>
                <w:sz w:val="16"/>
              </w:rPr>
              <w:t>Other movements in equity</w:t>
            </w:r>
          </w:p>
        </w:tc>
        <w:tc>
          <w:tcPr>
            <w:tcW w:w="754" w:type="dxa"/>
            <w:gridSpan w:val="3"/>
          </w:tcPr>
          <w:p w14:paraId="6773CF0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(89)</w:t>
            </w:r>
          </w:p>
        </w:tc>
        <w:tc>
          <w:tcPr>
            <w:tcW w:w="754" w:type="dxa"/>
          </w:tcPr>
          <w:p w14:paraId="60D9C01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(23)</w:t>
            </w:r>
          </w:p>
        </w:tc>
        <w:tc>
          <w:tcPr>
            <w:tcW w:w="754" w:type="dxa"/>
          </w:tcPr>
          <w:p w14:paraId="1CAA306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54" w:type="dxa"/>
          </w:tcPr>
          <w:p w14:paraId="4810C72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12</w:t>
            </w:r>
          </w:p>
        </w:tc>
        <w:tc>
          <w:tcPr>
            <w:tcW w:w="754" w:type="dxa"/>
          </w:tcPr>
          <w:p w14:paraId="46B4D8D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12</w:t>
            </w:r>
          </w:p>
        </w:tc>
      </w:tr>
      <w:tr w:rsidR="00964B88" w14:paraId="460A6C5F"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385DE441" w14:textId="77777777" w:rsidR="00964B88" w:rsidRDefault="00964B88">
            <w:pPr>
              <w:rPr>
                <w:sz w:val="16"/>
              </w:rPr>
            </w:pPr>
            <w:r>
              <w:rPr>
                <w:b/>
                <w:sz w:val="16"/>
              </w:rPr>
              <w:t>Items that may be reclassified subsequently to net result</w:t>
            </w:r>
          </w:p>
        </w:tc>
        <w:tc>
          <w:tcPr>
            <w:tcW w:w="754" w:type="dxa"/>
            <w:gridSpan w:val="3"/>
          </w:tcPr>
          <w:p w14:paraId="050A6AB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BAC541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D236C0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2F4D2E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354C2A9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726E382E"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18EC54FA" w14:textId="77777777" w:rsidR="00964B88" w:rsidRDefault="00964B88">
            <w:pPr>
              <w:rPr>
                <w:sz w:val="16"/>
              </w:rPr>
            </w:pPr>
            <w:r>
              <w:rPr>
                <w:sz w:val="16"/>
              </w:rPr>
              <w:t>Net gain/(loss) on financial assets at fair value</w:t>
            </w:r>
          </w:p>
        </w:tc>
        <w:tc>
          <w:tcPr>
            <w:tcW w:w="754" w:type="dxa"/>
            <w:gridSpan w:val="3"/>
          </w:tcPr>
          <w:p w14:paraId="3D84B3D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16</w:t>
            </w:r>
          </w:p>
        </w:tc>
        <w:tc>
          <w:tcPr>
            <w:tcW w:w="754" w:type="dxa"/>
          </w:tcPr>
          <w:p w14:paraId="26F421B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w:t>
            </w:r>
          </w:p>
        </w:tc>
        <w:tc>
          <w:tcPr>
            <w:tcW w:w="754" w:type="dxa"/>
          </w:tcPr>
          <w:p w14:paraId="7EBE1E7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w:t>
            </w:r>
          </w:p>
        </w:tc>
        <w:tc>
          <w:tcPr>
            <w:tcW w:w="754" w:type="dxa"/>
          </w:tcPr>
          <w:p w14:paraId="5EA3321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w:t>
            </w:r>
          </w:p>
        </w:tc>
        <w:tc>
          <w:tcPr>
            <w:tcW w:w="754" w:type="dxa"/>
          </w:tcPr>
          <w:p w14:paraId="35C5703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w:t>
            </w:r>
          </w:p>
        </w:tc>
      </w:tr>
      <w:tr w:rsidR="00964B88" w14:paraId="19FE06B7" w14:textId="77777777" w:rsidTr="00D13450">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096E2CE2" w14:textId="77777777" w:rsidR="00964B88" w:rsidRDefault="00964B88">
            <w:pPr>
              <w:rPr>
                <w:sz w:val="16"/>
              </w:rPr>
            </w:pPr>
            <w:r>
              <w:rPr>
                <w:sz w:val="16"/>
              </w:rPr>
              <w:t>Net gain/(loss) on equity investments in other sector entities at proportional share of the carrying amount of net assets</w:t>
            </w:r>
          </w:p>
        </w:tc>
        <w:tc>
          <w:tcPr>
            <w:tcW w:w="754" w:type="dxa"/>
            <w:gridSpan w:val="3"/>
            <w:tcBorders>
              <w:bottom w:val="single" w:sz="6" w:space="0" w:color="auto"/>
            </w:tcBorders>
          </w:tcPr>
          <w:p w14:paraId="62BC8A6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754" w:type="dxa"/>
            <w:tcBorders>
              <w:bottom w:val="single" w:sz="6" w:space="0" w:color="auto"/>
            </w:tcBorders>
          </w:tcPr>
          <w:p w14:paraId="76177DD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(349)</w:t>
            </w:r>
          </w:p>
        </w:tc>
        <w:tc>
          <w:tcPr>
            <w:tcW w:w="754" w:type="dxa"/>
            <w:tcBorders>
              <w:bottom w:val="single" w:sz="6" w:space="0" w:color="auto"/>
            </w:tcBorders>
          </w:tcPr>
          <w:p w14:paraId="7E449AA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194</w:t>
            </w:r>
          </w:p>
        </w:tc>
        <w:tc>
          <w:tcPr>
            <w:tcW w:w="754" w:type="dxa"/>
            <w:tcBorders>
              <w:bottom w:val="single" w:sz="6" w:space="0" w:color="auto"/>
            </w:tcBorders>
          </w:tcPr>
          <w:p w14:paraId="28EE770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30</w:t>
            </w:r>
          </w:p>
        </w:tc>
        <w:tc>
          <w:tcPr>
            <w:tcW w:w="754" w:type="dxa"/>
            <w:tcBorders>
              <w:bottom w:val="single" w:sz="6" w:space="0" w:color="auto"/>
            </w:tcBorders>
          </w:tcPr>
          <w:p w14:paraId="5F59FAF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29</w:t>
            </w:r>
          </w:p>
        </w:tc>
      </w:tr>
      <w:tr w:rsidR="00964B88" w14:paraId="702717D2" w14:textId="77777777" w:rsidTr="00D13450">
        <w:tc>
          <w:tcPr>
            <w:cnfStyle w:val="001000000000" w:firstRow="0" w:lastRow="0" w:firstColumn="1" w:lastColumn="0" w:oddVBand="0" w:evenVBand="0" w:oddHBand="0" w:evenHBand="0" w:firstRowFirstColumn="0" w:firstRowLastColumn="0" w:lastRowFirstColumn="0" w:lastRowLastColumn="0"/>
            <w:tcW w:w="4140" w:type="dxa"/>
            <w:gridSpan w:val="2"/>
            <w:tcBorders>
              <w:top w:val="single" w:sz="6" w:space="0" w:color="auto"/>
              <w:bottom w:val="single" w:sz="6" w:space="0" w:color="auto"/>
            </w:tcBorders>
          </w:tcPr>
          <w:p w14:paraId="41544F4E" w14:textId="77777777" w:rsidR="00964B88" w:rsidRDefault="00964B88">
            <w:pPr>
              <w:rPr>
                <w:sz w:val="16"/>
              </w:rPr>
            </w:pPr>
            <w:r>
              <w:rPr>
                <w:b/>
                <w:sz w:val="16"/>
              </w:rPr>
              <w:t>Total other economic flows –</w:t>
            </w:r>
            <w:r w:rsidR="00D13450">
              <w:rPr>
                <w:b/>
                <w:sz w:val="16"/>
              </w:rPr>
              <w:t xml:space="preserve"> </w:t>
            </w:r>
            <w:r>
              <w:rPr>
                <w:b/>
                <w:sz w:val="16"/>
              </w:rPr>
              <w:t>other comprehensive income</w:t>
            </w:r>
          </w:p>
        </w:tc>
        <w:tc>
          <w:tcPr>
            <w:tcW w:w="612" w:type="dxa"/>
            <w:gridSpan w:val="2"/>
            <w:tcBorders>
              <w:top w:val="single" w:sz="6" w:space="0" w:color="auto"/>
              <w:bottom w:val="single" w:sz="6" w:space="0" w:color="auto"/>
            </w:tcBorders>
          </w:tcPr>
          <w:p w14:paraId="5A733F5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5 655</w:t>
            </w:r>
          </w:p>
        </w:tc>
        <w:tc>
          <w:tcPr>
            <w:tcW w:w="754" w:type="dxa"/>
            <w:tcBorders>
              <w:top w:val="single" w:sz="6" w:space="0" w:color="auto"/>
              <w:bottom w:val="single" w:sz="6" w:space="0" w:color="auto"/>
            </w:tcBorders>
          </w:tcPr>
          <w:p w14:paraId="1252154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4 154</w:t>
            </w:r>
          </w:p>
        </w:tc>
        <w:tc>
          <w:tcPr>
            <w:tcW w:w="754" w:type="dxa"/>
            <w:tcBorders>
              <w:top w:val="single" w:sz="6" w:space="0" w:color="auto"/>
              <w:bottom w:val="single" w:sz="6" w:space="0" w:color="auto"/>
            </w:tcBorders>
          </w:tcPr>
          <w:p w14:paraId="7206CD0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8 357</w:t>
            </w:r>
          </w:p>
        </w:tc>
        <w:tc>
          <w:tcPr>
            <w:tcW w:w="754" w:type="dxa"/>
            <w:tcBorders>
              <w:top w:val="single" w:sz="6" w:space="0" w:color="auto"/>
              <w:bottom w:val="single" w:sz="6" w:space="0" w:color="auto"/>
            </w:tcBorders>
          </w:tcPr>
          <w:p w14:paraId="09F4AB5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5 234</w:t>
            </w:r>
          </w:p>
        </w:tc>
        <w:tc>
          <w:tcPr>
            <w:tcW w:w="754" w:type="dxa"/>
            <w:tcBorders>
              <w:top w:val="single" w:sz="6" w:space="0" w:color="auto"/>
              <w:bottom w:val="single" w:sz="6" w:space="0" w:color="auto"/>
            </w:tcBorders>
          </w:tcPr>
          <w:p w14:paraId="0A5EC13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6 328</w:t>
            </w:r>
          </w:p>
        </w:tc>
      </w:tr>
      <w:tr w:rsidR="00964B88" w14:paraId="01282A4D" w14:textId="77777777" w:rsidTr="00D13450">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12" w:space="0" w:color="auto"/>
            </w:tcBorders>
          </w:tcPr>
          <w:p w14:paraId="26C9C003" w14:textId="77777777" w:rsidR="00964B88" w:rsidRDefault="00964B88">
            <w:pPr>
              <w:rPr>
                <w:sz w:val="16"/>
              </w:rPr>
            </w:pPr>
            <w:r>
              <w:rPr>
                <w:b/>
                <w:sz w:val="16"/>
              </w:rPr>
              <w:t>Comprehensive result – total change in net worth</w:t>
            </w:r>
          </w:p>
        </w:tc>
        <w:tc>
          <w:tcPr>
            <w:tcW w:w="754" w:type="dxa"/>
            <w:gridSpan w:val="3"/>
            <w:tcBorders>
              <w:top w:val="single" w:sz="6" w:space="0" w:color="auto"/>
              <w:bottom w:val="single" w:sz="12" w:space="0" w:color="auto"/>
            </w:tcBorders>
          </w:tcPr>
          <w:p w14:paraId="24D7FC2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5 529</w:t>
            </w:r>
          </w:p>
        </w:tc>
        <w:tc>
          <w:tcPr>
            <w:tcW w:w="754" w:type="dxa"/>
            <w:tcBorders>
              <w:top w:val="single" w:sz="6" w:space="0" w:color="auto"/>
              <w:bottom w:val="single" w:sz="12" w:space="0" w:color="auto"/>
            </w:tcBorders>
          </w:tcPr>
          <w:p w14:paraId="0CF0F51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4 002</w:t>
            </w:r>
          </w:p>
        </w:tc>
        <w:tc>
          <w:tcPr>
            <w:tcW w:w="754" w:type="dxa"/>
            <w:tcBorders>
              <w:top w:val="single" w:sz="6" w:space="0" w:color="auto"/>
              <w:bottom w:val="single" w:sz="12" w:space="0" w:color="auto"/>
            </w:tcBorders>
          </w:tcPr>
          <w:p w14:paraId="12F7C23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8 398</w:t>
            </w:r>
          </w:p>
        </w:tc>
        <w:tc>
          <w:tcPr>
            <w:tcW w:w="754" w:type="dxa"/>
            <w:tcBorders>
              <w:top w:val="single" w:sz="6" w:space="0" w:color="auto"/>
              <w:bottom w:val="single" w:sz="12" w:space="0" w:color="auto"/>
            </w:tcBorders>
          </w:tcPr>
          <w:p w14:paraId="45E33ED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7 811</w:t>
            </w:r>
          </w:p>
        </w:tc>
        <w:tc>
          <w:tcPr>
            <w:tcW w:w="754" w:type="dxa"/>
            <w:tcBorders>
              <w:top w:val="single" w:sz="6" w:space="0" w:color="auto"/>
              <w:bottom w:val="single" w:sz="12" w:space="0" w:color="auto"/>
            </w:tcBorders>
          </w:tcPr>
          <w:p w14:paraId="39EE2C5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9 879</w:t>
            </w:r>
          </w:p>
        </w:tc>
      </w:tr>
      <w:tr w:rsidR="00964B88" w14:paraId="25635CF8" w14:textId="77777777" w:rsidTr="00D13450">
        <w:trPr>
          <w:trHeight w:hRule="exact" w:val="113"/>
        </w:trPr>
        <w:tc>
          <w:tcPr>
            <w:cnfStyle w:val="001000000000" w:firstRow="0" w:lastRow="0" w:firstColumn="1" w:lastColumn="0" w:oddVBand="0" w:evenVBand="0" w:oddHBand="0" w:evenHBand="0" w:firstRowFirstColumn="0" w:firstRowLastColumn="0" w:lastRowFirstColumn="0" w:lastRowLastColumn="0"/>
            <w:tcW w:w="3998" w:type="dxa"/>
            <w:tcBorders>
              <w:top w:val="single" w:sz="0" w:space="0" w:color="auto"/>
            </w:tcBorders>
          </w:tcPr>
          <w:p w14:paraId="7CEB88E3" w14:textId="77777777" w:rsidR="00964B88" w:rsidRDefault="00964B88">
            <w:pPr>
              <w:rPr>
                <w:sz w:val="16"/>
              </w:rPr>
            </w:pPr>
          </w:p>
        </w:tc>
        <w:tc>
          <w:tcPr>
            <w:tcW w:w="754" w:type="dxa"/>
            <w:gridSpan w:val="3"/>
            <w:tcBorders>
              <w:top w:val="single" w:sz="0" w:space="0" w:color="auto"/>
            </w:tcBorders>
          </w:tcPr>
          <w:p w14:paraId="72EF602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6448AEE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536BB68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6647341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0" w:space="0" w:color="auto"/>
            </w:tcBorders>
          </w:tcPr>
          <w:p w14:paraId="54A6FDC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32E73CE5"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6FF2521C" w14:textId="77777777" w:rsidR="00964B88" w:rsidRDefault="00964B88">
            <w:pPr>
              <w:rPr>
                <w:sz w:val="16"/>
              </w:rPr>
            </w:pPr>
            <w:r>
              <w:rPr>
                <w:b/>
                <w:sz w:val="16"/>
              </w:rPr>
              <w:t>KEY FISCAL AGGREGATES</w:t>
            </w:r>
          </w:p>
        </w:tc>
        <w:tc>
          <w:tcPr>
            <w:tcW w:w="754" w:type="dxa"/>
            <w:gridSpan w:val="3"/>
          </w:tcPr>
          <w:p w14:paraId="3E44E8F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4AA420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2B4729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F9C051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3F7CD43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508F6C89" w14:textId="77777777" w:rsidTr="00D13450">
        <w:tc>
          <w:tcPr>
            <w:cnfStyle w:val="001000000000" w:firstRow="0" w:lastRow="0" w:firstColumn="1" w:lastColumn="0" w:oddVBand="0" w:evenVBand="0" w:oddHBand="0" w:evenHBand="0" w:firstRowFirstColumn="0" w:firstRowLastColumn="0" w:lastRowFirstColumn="0" w:lastRowLastColumn="0"/>
            <w:tcW w:w="3998" w:type="dxa"/>
          </w:tcPr>
          <w:p w14:paraId="6C17E605" w14:textId="77777777" w:rsidR="00964B88" w:rsidRDefault="00964B88">
            <w:pPr>
              <w:rPr>
                <w:sz w:val="16"/>
              </w:rPr>
            </w:pPr>
            <w:r>
              <w:rPr>
                <w:b/>
                <w:sz w:val="16"/>
              </w:rPr>
              <w:t>Net operating balance</w:t>
            </w:r>
          </w:p>
        </w:tc>
        <w:tc>
          <w:tcPr>
            <w:tcW w:w="754" w:type="dxa"/>
            <w:gridSpan w:val="3"/>
          </w:tcPr>
          <w:p w14:paraId="6BE03CE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260</w:t>
            </w:r>
          </w:p>
        </w:tc>
        <w:tc>
          <w:tcPr>
            <w:tcW w:w="754" w:type="dxa"/>
          </w:tcPr>
          <w:p w14:paraId="148E850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(274)</w:t>
            </w:r>
          </w:p>
        </w:tc>
        <w:tc>
          <w:tcPr>
            <w:tcW w:w="754" w:type="dxa"/>
          </w:tcPr>
          <w:p w14:paraId="3A9310A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437</w:t>
            </w:r>
          </w:p>
        </w:tc>
        <w:tc>
          <w:tcPr>
            <w:tcW w:w="754" w:type="dxa"/>
          </w:tcPr>
          <w:p w14:paraId="36F3853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2 942</w:t>
            </w:r>
          </w:p>
        </w:tc>
        <w:tc>
          <w:tcPr>
            <w:tcW w:w="754" w:type="dxa"/>
          </w:tcPr>
          <w:p w14:paraId="374AEDB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3 927</w:t>
            </w:r>
          </w:p>
        </w:tc>
      </w:tr>
      <w:tr w:rsidR="00964B88" w14:paraId="2F0D2DB7" w14:textId="77777777" w:rsidTr="00D13450">
        <w:tc>
          <w:tcPr>
            <w:cnfStyle w:val="001000000000" w:firstRow="0" w:lastRow="0" w:firstColumn="1" w:lastColumn="0" w:oddVBand="0" w:evenVBand="0" w:oddHBand="0" w:evenHBand="0" w:firstRowFirstColumn="0" w:firstRowLastColumn="0" w:lastRowFirstColumn="0" w:lastRowLastColumn="0"/>
            <w:tcW w:w="4140" w:type="dxa"/>
            <w:gridSpan w:val="2"/>
            <w:tcBorders>
              <w:bottom w:val="single" w:sz="6" w:space="0" w:color="auto"/>
            </w:tcBorders>
          </w:tcPr>
          <w:p w14:paraId="2943ADCB" w14:textId="77777777" w:rsidR="00964B88" w:rsidRDefault="00964B88">
            <w:pPr>
              <w:rPr>
                <w:sz w:val="16"/>
              </w:rPr>
            </w:pPr>
            <w:r>
              <w:rPr>
                <w:sz w:val="16"/>
              </w:rPr>
              <w:t>Less: Net acquisition of non</w:t>
            </w:r>
            <w:r>
              <w:rPr>
                <w:sz w:val="16"/>
              </w:rPr>
              <w:noBreakHyphen/>
              <w:t>financial assets from transactions</w:t>
            </w:r>
          </w:p>
        </w:tc>
        <w:tc>
          <w:tcPr>
            <w:tcW w:w="612" w:type="dxa"/>
            <w:gridSpan w:val="2"/>
            <w:tcBorders>
              <w:bottom w:val="single" w:sz="6" w:space="0" w:color="auto"/>
            </w:tcBorders>
          </w:tcPr>
          <w:p w14:paraId="246F1F6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10 644</w:t>
            </w:r>
          </w:p>
        </w:tc>
        <w:tc>
          <w:tcPr>
            <w:tcW w:w="754" w:type="dxa"/>
            <w:tcBorders>
              <w:bottom w:val="single" w:sz="6" w:space="0" w:color="auto"/>
            </w:tcBorders>
          </w:tcPr>
          <w:p w14:paraId="5614D0B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12 457</w:t>
            </w:r>
          </w:p>
        </w:tc>
        <w:tc>
          <w:tcPr>
            <w:tcW w:w="754" w:type="dxa"/>
            <w:tcBorders>
              <w:bottom w:val="single" w:sz="6" w:space="0" w:color="auto"/>
            </w:tcBorders>
          </w:tcPr>
          <w:p w14:paraId="7798DB7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10 395</w:t>
            </w:r>
          </w:p>
        </w:tc>
        <w:tc>
          <w:tcPr>
            <w:tcW w:w="754" w:type="dxa"/>
            <w:tcBorders>
              <w:bottom w:val="single" w:sz="6" w:space="0" w:color="auto"/>
            </w:tcBorders>
          </w:tcPr>
          <w:p w14:paraId="3E2776C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7 729</w:t>
            </w:r>
          </w:p>
        </w:tc>
        <w:tc>
          <w:tcPr>
            <w:tcW w:w="754" w:type="dxa"/>
            <w:tcBorders>
              <w:bottom w:val="single" w:sz="6" w:space="0" w:color="auto"/>
            </w:tcBorders>
          </w:tcPr>
          <w:p w14:paraId="0B03E24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7 272</w:t>
            </w:r>
          </w:p>
        </w:tc>
      </w:tr>
      <w:tr w:rsidR="00964B88" w14:paraId="03F94C54" w14:textId="77777777" w:rsidTr="00D1345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8" w:type="dxa"/>
          </w:tcPr>
          <w:p w14:paraId="279F907C" w14:textId="77777777" w:rsidR="00964B88" w:rsidRDefault="00964B88">
            <w:pPr>
              <w:rPr>
                <w:sz w:val="16"/>
              </w:rPr>
            </w:pPr>
            <w:r>
              <w:rPr>
                <w:sz w:val="16"/>
              </w:rPr>
              <w:t>Net lending/(borrowing)</w:t>
            </w:r>
          </w:p>
        </w:tc>
        <w:tc>
          <w:tcPr>
            <w:tcW w:w="754" w:type="dxa"/>
            <w:gridSpan w:val="3"/>
          </w:tcPr>
          <w:p w14:paraId="2F76B812"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(10 384)</w:t>
            </w:r>
          </w:p>
        </w:tc>
        <w:tc>
          <w:tcPr>
            <w:tcW w:w="754" w:type="dxa"/>
          </w:tcPr>
          <w:p w14:paraId="788047E7"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(12 731)</w:t>
            </w:r>
          </w:p>
        </w:tc>
        <w:tc>
          <w:tcPr>
            <w:tcW w:w="754" w:type="dxa"/>
          </w:tcPr>
          <w:p w14:paraId="6C53600D"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(9 958)</w:t>
            </w:r>
          </w:p>
        </w:tc>
        <w:tc>
          <w:tcPr>
            <w:tcW w:w="754" w:type="dxa"/>
          </w:tcPr>
          <w:p w14:paraId="5598CBBB"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(4 787)</w:t>
            </w:r>
          </w:p>
        </w:tc>
        <w:tc>
          <w:tcPr>
            <w:tcW w:w="754" w:type="dxa"/>
          </w:tcPr>
          <w:p w14:paraId="61CCAC42"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(3 345)</w:t>
            </w:r>
          </w:p>
        </w:tc>
      </w:tr>
    </w:tbl>
    <w:p w14:paraId="0DF1D8A8" w14:textId="77777777" w:rsidR="00964B88" w:rsidRDefault="00964B88">
      <w:pPr>
        <w:keepLines w:val="0"/>
        <w:rPr>
          <w:rFonts w:asciiTheme="majorHAnsi" w:hAnsiTheme="majorHAnsi"/>
          <w:b/>
          <w:sz w:val="20"/>
          <w:szCs w:val="20"/>
        </w:rPr>
      </w:pPr>
      <w:r>
        <w:br w:type="page"/>
      </w:r>
    </w:p>
    <w:p w14:paraId="121169F8" w14:textId="77777777" w:rsidR="00964B88" w:rsidRDefault="00964B88" w:rsidP="00F53820">
      <w:pPr>
        <w:pStyle w:val="TableHeading"/>
      </w:pPr>
      <w:r>
        <w:lastRenderedPageBreak/>
        <w:t>Table 5.7</w:t>
      </w:r>
      <w:r w:rsidR="009C1504">
        <w:t>:</w:t>
      </w:r>
      <w:r>
        <w:tab/>
        <w:t>Non-financial public sector balance sheet as at 30 June</w:t>
      </w:r>
      <w:r>
        <w:tab/>
        <w:t xml:space="preserve">($ million) </w:t>
      </w:r>
    </w:p>
    <w:tbl>
      <w:tblPr>
        <w:tblStyle w:val="DTFTable"/>
        <w:tblW w:w="7768" w:type="dxa"/>
        <w:tblLayout w:type="fixed"/>
        <w:tblLook w:val="06A0" w:firstRow="1" w:lastRow="0" w:firstColumn="1" w:lastColumn="0" w:noHBand="1" w:noVBand="1"/>
      </w:tblPr>
      <w:tblGrid>
        <w:gridCol w:w="3857"/>
        <w:gridCol w:w="782"/>
        <w:gridCol w:w="782"/>
        <w:gridCol w:w="782"/>
        <w:gridCol w:w="782"/>
        <w:gridCol w:w="783"/>
      </w:tblGrid>
      <w:tr w:rsidR="00964B88" w14:paraId="13F0F128" w14:textId="77777777" w:rsidTr="000769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57" w:type="dxa"/>
          </w:tcPr>
          <w:p w14:paraId="411B06C4" w14:textId="77777777" w:rsidR="00964B88" w:rsidRDefault="00964B88"/>
        </w:tc>
        <w:tc>
          <w:tcPr>
            <w:tcW w:w="782" w:type="dxa"/>
          </w:tcPr>
          <w:p w14:paraId="44DF657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r>
              <w:rPr>
                <w:vertAlign w:val="superscript"/>
              </w:rPr>
              <w:t xml:space="preserve"> (a)</w:t>
            </w:r>
          </w:p>
        </w:tc>
        <w:tc>
          <w:tcPr>
            <w:tcW w:w="782" w:type="dxa"/>
          </w:tcPr>
          <w:p w14:paraId="4944856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782" w:type="dxa"/>
          </w:tcPr>
          <w:p w14:paraId="64BDE3CE"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782" w:type="dxa"/>
          </w:tcPr>
          <w:p w14:paraId="63D9428E"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783" w:type="dxa"/>
          </w:tcPr>
          <w:p w14:paraId="20DB30EE"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03059C08"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1D604514" w14:textId="77777777" w:rsidR="00964B88" w:rsidRDefault="00964B88">
            <w:r>
              <w:rPr>
                <w:b/>
              </w:rPr>
              <w:t>Assets</w:t>
            </w:r>
          </w:p>
        </w:tc>
        <w:tc>
          <w:tcPr>
            <w:tcW w:w="782" w:type="dxa"/>
          </w:tcPr>
          <w:p w14:paraId="1146D6E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65B0009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2C13671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7F65B23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Pr>
          <w:p w14:paraId="7B72ED4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4E307699"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093F8D4A" w14:textId="77777777" w:rsidR="00964B88" w:rsidRDefault="00964B88">
            <w:r>
              <w:rPr>
                <w:b/>
              </w:rPr>
              <w:t>Financial assets</w:t>
            </w:r>
          </w:p>
        </w:tc>
        <w:tc>
          <w:tcPr>
            <w:tcW w:w="782" w:type="dxa"/>
          </w:tcPr>
          <w:p w14:paraId="661C141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5E3ACC3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10BA760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5C4E24D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Pr>
          <w:p w14:paraId="3CE8E89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4B87A279"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3442A1D3" w14:textId="77777777" w:rsidR="00964B88" w:rsidRDefault="00964B88">
            <w:r>
              <w:t>Cash and deposits</w:t>
            </w:r>
          </w:p>
        </w:tc>
        <w:tc>
          <w:tcPr>
            <w:tcW w:w="782" w:type="dxa"/>
          </w:tcPr>
          <w:p w14:paraId="7B46F81C" w14:textId="77777777" w:rsidR="00964B88" w:rsidRDefault="00964B88">
            <w:pPr>
              <w:cnfStyle w:val="000000000000" w:firstRow="0" w:lastRow="0" w:firstColumn="0" w:lastColumn="0" w:oddVBand="0" w:evenVBand="0" w:oddHBand="0" w:evenHBand="0" w:firstRowFirstColumn="0" w:firstRowLastColumn="0" w:lastRowFirstColumn="0" w:lastRowLastColumn="0"/>
            </w:pPr>
            <w:r>
              <w:t>9 483</w:t>
            </w:r>
          </w:p>
        </w:tc>
        <w:tc>
          <w:tcPr>
            <w:tcW w:w="782" w:type="dxa"/>
          </w:tcPr>
          <w:p w14:paraId="6CA94FEB" w14:textId="77777777" w:rsidR="00964B88" w:rsidRDefault="00964B88">
            <w:pPr>
              <w:cnfStyle w:val="000000000000" w:firstRow="0" w:lastRow="0" w:firstColumn="0" w:lastColumn="0" w:oddVBand="0" w:evenVBand="0" w:oddHBand="0" w:evenHBand="0" w:firstRowFirstColumn="0" w:firstRowLastColumn="0" w:lastRowFirstColumn="0" w:lastRowLastColumn="0"/>
            </w:pPr>
            <w:r>
              <w:t>7 503</w:t>
            </w:r>
          </w:p>
        </w:tc>
        <w:tc>
          <w:tcPr>
            <w:tcW w:w="782" w:type="dxa"/>
          </w:tcPr>
          <w:p w14:paraId="366BCD0D" w14:textId="77777777" w:rsidR="00964B88" w:rsidRDefault="00964B88">
            <w:pPr>
              <w:cnfStyle w:val="000000000000" w:firstRow="0" w:lastRow="0" w:firstColumn="0" w:lastColumn="0" w:oddVBand="0" w:evenVBand="0" w:oddHBand="0" w:evenHBand="0" w:firstRowFirstColumn="0" w:firstRowLastColumn="0" w:lastRowFirstColumn="0" w:lastRowLastColumn="0"/>
            </w:pPr>
            <w:r>
              <w:t>7 201</w:t>
            </w:r>
          </w:p>
        </w:tc>
        <w:tc>
          <w:tcPr>
            <w:tcW w:w="782" w:type="dxa"/>
          </w:tcPr>
          <w:p w14:paraId="60A64E1A" w14:textId="77777777" w:rsidR="00964B88" w:rsidRDefault="00964B88">
            <w:pPr>
              <w:cnfStyle w:val="000000000000" w:firstRow="0" w:lastRow="0" w:firstColumn="0" w:lastColumn="0" w:oddVBand="0" w:evenVBand="0" w:oddHBand="0" w:evenHBand="0" w:firstRowFirstColumn="0" w:firstRowLastColumn="0" w:lastRowFirstColumn="0" w:lastRowLastColumn="0"/>
            </w:pPr>
            <w:r>
              <w:t>7 253</w:t>
            </w:r>
          </w:p>
        </w:tc>
        <w:tc>
          <w:tcPr>
            <w:tcW w:w="783" w:type="dxa"/>
          </w:tcPr>
          <w:p w14:paraId="670F283D" w14:textId="77777777" w:rsidR="00964B88" w:rsidRDefault="00964B88">
            <w:pPr>
              <w:cnfStyle w:val="000000000000" w:firstRow="0" w:lastRow="0" w:firstColumn="0" w:lastColumn="0" w:oddVBand="0" w:evenVBand="0" w:oddHBand="0" w:evenHBand="0" w:firstRowFirstColumn="0" w:firstRowLastColumn="0" w:lastRowFirstColumn="0" w:lastRowLastColumn="0"/>
            </w:pPr>
            <w:r>
              <w:t>7 510</w:t>
            </w:r>
          </w:p>
        </w:tc>
      </w:tr>
      <w:tr w:rsidR="00964B88" w14:paraId="49ACDA2F"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2D70CE88" w14:textId="77777777" w:rsidR="00964B88" w:rsidRDefault="00964B88">
            <w:r>
              <w:t>Advances paid</w:t>
            </w:r>
          </w:p>
        </w:tc>
        <w:tc>
          <w:tcPr>
            <w:tcW w:w="782" w:type="dxa"/>
          </w:tcPr>
          <w:p w14:paraId="5BAFF153" w14:textId="77777777" w:rsidR="00964B88" w:rsidRDefault="00964B88">
            <w:pPr>
              <w:cnfStyle w:val="000000000000" w:firstRow="0" w:lastRow="0" w:firstColumn="0" w:lastColumn="0" w:oddVBand="0" w:evenVBand="0" w:oddHBand="0" w:evenHBand="0" w:firstRowFirstColumn="0" w:firstRowLastColumn="0" w:lastRowFirstColumn="0" w:lastRowLastColumn="0"/>
            </w:pPr>
            <w:r>
              <w:t>341</w:t>
            </w:r>
          </w:p>
        </w:tc>
        <w:tc>
          <w:tcPr>
            <w:tcW w:w="782" w:type="dxa"/>
          </w:tcPr>
          <w:p w14:paraId="07C9E6A8" w14:textId="77777777" w:rsidR="00964B88" w:rsidRDefault="00964B88">
            <w:pPr>
              <w:cnfStyle w:val="000000000000" w:firstRow="0" w:lastRow="0" w:firstColumn="0" w:lastColumn="0" w:oddVBand="0" w:evenVBand="0" w:oddHBand="0" w:evenHBand="0" w:firstRowFirstColumn="0" w:firstRowLastColumn="0" w:lastRowFirstColumn="0" w:lastRowLastColumn="0"/>
            </w:pPr>
            <w:r>
              <w:t>499</w:t>
            </w:r>
          </w:p>
        </w:tc>
        <w:tc>
          <w:tcPr>
            <w:tcW w:w="782" w:type="dxa"/>
          </w:tcPr>
          <w:p w14:paraId="67A264EA" w14:textId="77777777" w:rsidR="00964B88" w:rsidRDefault="00964B88">
            <w:pPr>
              <w:cnfStyle w:val="000000000000" w:firstRow="0" w:lastRow="0" w:firstColumn="0" w:lastColumn="0" w:oddVBand="0" w:evenVBand="0" w:oddHBand="0" w:evenHBand="0" w:firstRowFirstColumn="0" w:firstRowLastColumn="0" w:lastRowFirstColumn="0" w:lastRowLastColumn="0"/>
            </w:pPr>
            <w:r>
              <w:t>518</w:t>
            </w:r>
          </w:p>
        </w:tc>
        <w:tc>
          <w:tcPr>
            <w:tcW w:w="782" w:type="dxa"/>
          </w:tcPr>
          <w:p w14:paraId="5C065373" w14:textId="77777777" w:rsidR="00964B88" w:rsidRDefault="00964B88">
            <w:pPr>
              <w:cnfStyle w:val="000000000000" w:firstRow="0" w:lastRow="0" w:firstColumn="0" w:lastColumn="0" w:oddVBand="0" w:evenVBand="0" w:oddHBand="0" w:evenHBand="0" w:firstRowFirstColumn="0" w:firstRowLastColumn="0" w:lastRowFirstColumn="0" w:lastRowLastColumn="0"/>
            </w:pPr>
            <w:r>
              <w:t>570</w:t>
            </w:r>
          </w:p>
        </w:tc>
        <w:tc>
          <w:tcPr>
            <w:tcW w:w="783" w:type="dxa"/>
          </w:tcPr>
          <w:p w14:paraId="79BC58F0" w14:textId="77777777" w:rsidR="00964B88" w:rsidRDefault="00964B88">
            <w:pPr>
              <w:cnfStyle w:val="000000000000" w:firstRow="0" w:lastRow="0" w:firstColumn="0" w:lastColumn="0" w:oddVBand="0" w:evenVBand="0" w:oddHBand="0" w:evenHBand="0" w:firstRowFirstColumn="0" w:firstRowLastColumn="0" w:lastRowFirstColumn="0" w:lastRowLastColumn="0"/>
            </w:pPr>
            <w:r>
              <w:t>493</w:t>
            </w:r>
          </w:p>
        </w:tc>
      </w:tr>
      <w:tr w:rsidR="00964B88" w14:paraId="3D1C7FCE"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073B259A" w14:textId="77777777" w:rsidR="00964B88" w:rsidRDefault="00964B88">
            <w:r>
              <w:t>Receivables</w:t>
            </w:r>
          </w:p>
        </w:tc>
        <w:tc>
          <w:tcPr>
            <w:tcW w:w="782" w:type="dxa"/>
          </w:tcPr>
          <w:p w14:paraId="031E4756" w14:textId="77777777" w:rsidR="00964B88" w:rsidRDefault="00964B88">
            <w:pPr>
              <w:cnfStyle w:val="000000000000" w:firstRow="0" w:lastRow="0" w:firstColumn="0" w:lastColumn="0" w:oddVBand="0" w:evenVBand="0" w:oddHBand="0" w:evenHBand="0" w:firstRowFirstColumn="0" w:firstRowLastColumn="0" w:lastRowFirstColumn="0" w:lastRowLastColumn="0"/>
            </w:pPr>
            <w:r>
              <w:t>8 208</w:t>
            </w:r>
          </w:p>
        </w:tc>
        <w:tc>
          <w:tcPr>
            <w:tcW w:w="782" w:type="dxa"/>
          </w:tcPr>
          <w:p w14:paraId="3BA35F2C" w14:textId="77777777" w:rsidR="00964B88" w:rsidRDefault="00964B88">
            <w:pPr>
              <w:cnfStyle w:val="000000000000" w:firstRow="0" w:lastRow="0" w:firstColumn="0" w:lastColumn="0" w:oddVBand="0" w:evenVBand="0" w:oddHBand="0" w:evenHBand="0" w:firstRowFirstColumn="0" w:firstRowLastColumn="0" w:lastRowFirstColumn="0" w:lastRowLastColumn="0"/>
            </w:pPr>
            <w:r>
              <w:t>8 275</w:t>
            </w:r>
          </w:p>
        </w:tc>
        <w:tc>
          <w:tcPr>
            <w:tcW w:w="782" w:type="dxa"/>
          </w:tcPr>
          <w:p w14:paraId="0586E5EB" w14:textId="77777777" w:rsidR="00964B88" w:rsidRDefault="00964B88">
            <w:pPr>
              <w:cnfStyle w:val="000000000000" w:firstRow="0" w:lastRow="0" w:firstColumn="0" w:lastColumn="0" w:oddVBand="0" w:evenVBand="0" w:oddHBand="0" w:evenHBand="0" w:firstRowFirstColumn="0" w:firstRowLastColumn="0" w:lastRowFirstColumn="0" w:lastRowLastColumn="0"/>
            </w:pPr>
            <w:r>
              <w:t>8 598</w:t>
            </w:r>
          </w:p>
        </w:tc>
        <w:tc>
          <w:tcPr>
            <w:tcW w:w="782" w:type="dxa"/>
          </w:tcPr>
          <w:p w14:paraId="232F2511" w14:textId="77777777" w:rsidR="00964B88" w:rsidRDefault="00964B88">
            <w:pPr>
              <w:cnfStyle w:val="000000000000" w:firstRow="0" w:lastRow="0" w:firstColumn="0" w:lastColumn="0" w:oddVBand="0" w:evenVBand="0" w:oddHBand="0" w:evenHBand="0" w:firstRowFirstColumn="0" w:firstRowLastColumn="0" w:lastRowFirstColumn="0" w:lastRowLastColumn="0"/>
            </w:pPr>
            <w:r>
              <w:t>9 020</w:t>
            </w:r>
          </w:p>
        </w:tc>
        <w:tc>
          <w:tcPr>
            <w:tcW w:w="783" w:type="dxa"/>
          </w:tcPr>
          <w:p w14:paraId="62ADB598" w14:textId="77777777" w:rsidR="00964B88" w:rsidRDefault="00964B88">
            <w:pPr>
              <w:cnfStyle w:val="000000000000" w:firstRow="0" w:lastRow="0" w:firstColumn="0" w:lastColumn="0" w:oddVBand="0" w:evenVBand="0" w:oddHBand="0" w:evenHBand="0" w:firstRowFirstColumn="0" w:firstRowLastColumn="0" w:lastRowFirstColumn="0" w:lastRowLastColumn="0"/>
            </w:pPr>
            <w:r>
              <w:t>9 739</w:t>
            </w:r>
          </w:p>
        </w:tc>
      </w:tr>
      <w:tr w:rsidR="00964B88" w14:paraId="7556041B"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095FD7C8" w14:textId="77777777" w:rsidR="00964B88" w:rsidRDefault="00964B88">
            <w:r>
              <w:t>Investments, loans and placements</w:t>
            </w:r>
          </w:p>
        </w:tc>
        <w:tc>
          <w:tcPr>
            <w:tcW w:w="782" w:type="dxa"/>
          </w:tcPr>
          <w:p w14:paraId="3CE5D43F" w14:textId="77777777" w:rsidR="00964B88" w:rsidRDefault="00964B88">
            <w:pPr>
              <w:cnfStyle w:val="000000000000" w:firstRow="0" w:lastRow="0" w:firstColumn="0" w:lastColumn="0" w:oddVBand="0" w:evenVBand="0" w:oddHBand="0" w:evenHBand="0" w:firstRowFirstColumn="0" w:firstRowLastColumn="0" w:lastRowFirstColumn="0" w:lastRowLastColumn="0"/>
            </w:pPr>
            <w:r>
              <w:t>3 391</w:t>
            </w:r>
          </w:p>
        </w:tc>
        <w:tc>
          <w:tcPr>
            <w:tcW w:w="782" w:type="dxa"/>
          </w:tcPr>
          <w:p w14:paraId="580C3E64" w14:textId="77777777" w:rsidR="00964B88" w:rsidRDefault="00964B88">
            <w:pPr>
              <w:cnfStyle w:val="000000000000" w:firstRow="0" w:lastRow="0" w:firstColumn="0" w:lastColumn="0" w:oddVBand="0" w:evenVBand="0" w:oddHBand="0" w:evenHBand="0" w:firstRowFirstColumn="0" w:firstRowLastColumn="0" w:lastRowFirstColumn="0" w:lastRowLastColumn="0"/>
            </w:pPr>
            <w:r>
              <w:t>3 587</w:t>
            </w:r>
          </w:p>
        </w:tc>
        <w:tc>
          <w:tcPr>
            <w:tcW w:w="782" w:type="dxa"/>
          </w:tcPr>
          <w:p w14:paraId="68C2636F" w14:textId="77777777" w:rsidR="00964B88" w:rsidRDefault="00964B88">
            <w:pPr>
              <w:cnfStyle w:val="000000000000" w:firstRow="0" w:lastRow="0" w:firstColumn="0" w:lastColumn="0" w:oddVBand="0" w:evenVBand="0" w:oddHBand="0" w:evenHBand="0" w:firstRowFirstColumn="0" w:firstRowLastColumn="0" w:lastRowFirstColumn="0" w:lastRowLastColumn="0"/>
            </w:pPr>
            <w:r>
              <w:t>3 687</w:t>
            </w:r>
          </w:p>
        </w:tc>
        <w:tc>
          <w:tcPr>
            <w:tcW w:w="782" w:type="dxa"/>
          </w:tcPr>
          <w:p w14:paraId="046D82C1" w14:textId="77777777" w:rsidR="00964B88" w:rsidRDefault="00964B88">
            <w:pPr>
              <w:cnfStyle w:val="000000000000" w:firstRow="0" w:lastRow="0" w:firstColumn="0" w:lastColumn="0" w:oddVBand="0" w:evenVBand="0" w:oddHBand="0" w:evenHBand="0" w:firstRowFirstColumn="0" w:firstRowLastColumn="0" w:lastRowFirstColumn="0" w:lastRowLastColumn="0"/>
            </w:pPr>
            <w:r>
              <w:t>3 713</w:t>
            </w:r>
          </w:p>
        </w:tc>
        <w:tc>
          <w:tcPr>
            <w:tcW w:w="783" w:type="dxa"/>
          </w:tcPr>
          <w:p w14:paraId="783DC907" w14:textId="77777777" w:rsidR="00964B88" w:rsidRDefault="00964B88">
            <w:pPr>
              <w:cnfStyle w:val="000000000000" w:firstRow="0" w:lastRow="0" w:firstColumn="0" w:lastColumn="0" w:oddVBand="0" w:evenVBand="0" w:oddHBand="0" w:evenHBand="0" w:firstRowFirstColumn="0" w:firstRowLastColumn="0" w:lastRowFirstColumn="0" w:lastRowLastColumn="0"/>
            </w:pPr>
            <w:r>
              <w:t>3 803</w:t>
            </w:r>
          </w:p>
        </w:tc>
      </w:tr>
      <w:tr w:rsidR="00964B88" w14:paraId="6CF07D7F"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7FE875AB" w14:textId="77777777" w:rsidR="00964B88" w:rsidRDefault="00964B88">
            <w:r>
              <w:t>Investments accounted for using equity method</w:t>
            </w:r>
          </w:p>
        </w:tc>
        <w:tc>
          <w:tcPr>
            <w:tcW w:w="782" w:type="dxa"/>
          </w:tcPr>
          <w:p w14:paraId="13F716B0"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782" w:type="dxa"/>
          </w:tcPr>
          <w:p w14:paraId="092E1144"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782" w:type="dxa"/>
          </w:tcPr>
          <w:p w14:paraId="47592170"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782" w:type="dxa"/>
          </w:tcPr>
          <w:p w14:paraId="4164A752"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783" w:type="dxa"/>
          </w:tcPr>
          <w:p w14:paraId="4D73C244"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r>
      <w:tr w:rsidR="00964B88" w14:paraId="6996DCED"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bottom w:val="single" w:sz="6" w:space="0" w:color="auto"/>
            </w:tcBorders>
          </w:tcPr>
          <w:p w14:paraId="610B6653" w14:textId="77777777" w:rsidR="00964B88" w:rsidRDefault="00964B88">
            <w:r>
              <w:t>Investments in other sector entities</w:t>
            </w:r>
          </w:p>
        </w:tc>
        <w:tc>
          <w:tcPr>
            <w:tcW w:w="782" w:type="dxa"/>
            <w:tcBorders>
              <w:bottom w:val="single" w:sz="6" w:space="0" w:color="auto"/>
            </w:tcBorders>
          </w:tcPr>
          <w:p w14:paraId="0D615B4B" w14:textId="77777777" w:rsidR="00964B88" w:rsidRDefault="00964B88">
            <w:pPr>
              <w:cnfStyle w:val="000000000000" w:firstRow="0" w:lastRow="0" w:firstColumn="0" w:lastColumn="0" w:oddVBand="0" w:evenVBand="0" w:oddHBand="0" w:evenHBand="0" w:firstRowFirstColumn="0" w:firstRowLastColumn="0" w:lastRowFirstColumn="0" w:lastRowLastColumn="0"/>
            </w:pPr>
            <w:r>
              <w:t>1 437</w:t>
            </w:r>
          </w:p>
        </w:tc>
        <w:tc>
          <w:tcPr>
            <w:tcW w:w="782" w:type="dxa"/>
            <w:tcBorders>
              <w:bottom w:val="single" w:sz="6" w:space="0" w:color="auto"/>
            </w:tcBorders>
          </w:tcPr>
          <w:p w14:paraId="6AF7F741" w14:textId="77777777" w:rsidR="00964B88" w:rsidRDefault="00964B88">
            <w:pPr>
              <w:cnfStyle w:val="000000000000" w:firstRow="0" w:lastRow="0" w:firstColumn="0" w:lastColumn="0" w:oddVBand="0" w:evenVBand="0" w:oddHBand="0" w:evenHBand="0" w:firstRowFirstColumn="0" w:firstRowLastColumn="0" w:lastRowFirstColumn="0" w:lastRowLastColumn="0"/>
            </w:pPr>
            <w:r>
              <w:t>1 140</w:t>
            </w:r>
          </w:p>
        </w:tc>
        <w:tc>
          <w:tcPr>
            <w:tcW w:w="782" w:type="dxa"/>
            <w:tcBorders>
              <w:bottom w:val="single" w:sz="6" w:space="0" w:color="auto"/>
            </w:tcBorders>
          </w:tcPr>
          <w:p w14:paraId="45D55C7E" w14:textId="77777777" w:rsidR="00964B88" w:rsidRDefault="00964B88">
            <w:pPr>
              <w:cnfStyle w:val="000000000000" w:firstRow="0" w:lastRow="0" w:firstColumn="0" w:lastColumn="0" w:oddVBand="0" w:evenVBand="0" w:oddHBand="0" w:evenHBand="0" w:firstRowFirstColumn="0" w:firstRowLastColumn="0" w:lastRowFirstColumn="0" w:lastRowLastColumn="0"/>
            </w:pPr>
            <w:r>
              <w:t>314</w:t>
            </w:r>
          </w:p>
        </w:tc>
        <w:tc>
          <w:tcPr>
            <w:tcW w:w="782" w:type="dxa"/>
            <w:tcBorders>
              <w:bottom w:val="single" w:sz="6" w:space="0" w:color="auto"/>
            </w:tcBorders>
          </w:tcPr>
          <w:p w14:paraId="254A2C8F" w14:textId="77777777" w:rsidR="00964B88" w:rsidRDefault="00964B88">
            <w:pPr>
              <w:cnfStyle w:val="000000000000" w:firstRow="0" w:lastRow="0" w:firstColumn="0" w:lastColumn="0" w:oddVBand="0" w:evenVBand="0" w:oddHBand="0" w:evenHBand="0" w:firstRowFirstColumn="0" w:firstRowLastColumn="0" w:lastRowFirstColumn="0" w:lastRowLastColumn="0"/>
            </w:pPr>
            <w:r>
              <w:t>344</w:t>
            </w:r>
          </w:p>
        </w:tc>
        <w:tc>
          <w:tcPr>
            <w:tcW w:w="783" w:type="dxa"/>
            <w:tcBorders>
              <w:bottom w:val="single" w:sz="6" w:space="0" w:color="auto"/>
            </w:tcBorders>
          </w:tcPr>
          <w:p w14:paraId="299C3B2C" w14:textId="77777777" w:rsidR="00964B88" w:rsidRDefault="00964B88">
            <w:pPr>
              <w:cnfStyle w:val="000000000000" w:firstRow="0" w:lastRow="0" w:firstColumn="0" w:lastColumn="0" w:oddVBand="0" w:evenVBand="0" w:oddHBand="0" w:evenHBand="0" w:firstRowFirstColumn="0" w:firstRowLastColumn="0" w:lastRowFirstColumn="0" w:lastRowLastColumn="0"/>
            </w:pPr>
            <w:r>
              <w:t>373</w:t>
            </w:r>
          </w:p>
        </w:tc>
      </w:tr>
      <w:tr w:rsidR="00964B88" w14:paraId="08085B75"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bottom w:val="single" w:sz="6" w:space="0" w:color="auto"/>
            </w:tcBorders>
          </w:tcPr>
          <w:p w14:paraId="5BA6570C" w14:textId="77777777" w:rsidR="00964B88" w:rsidRDefault="00964B88">
            <w:r>
              <w:rPr>
                <w:b/>
              </w:rPr>
              <w:t>Total financial assets</w:t>
            </w:r>
          </w:p>
        </w:tc>
        <w:tc>
          <w:tcPr>
            <w:tcW w:w="782" w:type="dxa"/>
            <w:tcBorders>
              <w:top w:val="single" w:sz="6" w:space="0" w:color="auto"/>
              <w:bottom w:val="single" w:sz="6" w:space="0" w:color="auto"/>
            </w:tcBorders>
          </w:tcPr>
          <w:p w14:paraId="1766573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22 905</w:t>
            </w:r>
          </w:p>
        </w:tc>
        <w:tc>
          <w:tcPr>
            <w:tcW w:w="782" w:type="dxa"/>
            <w:tcBorders>
              <w:top w:val="single" w:sz="6" w:space="0" w:color="auto"/>
              <w:bottom w:val="single" w:sz="6" w:space="0" w:color="auto"/>
            </w:tcBorders>
          </w:tcPr>
          <w:p w14:paraId="4C2D2D2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21 049</w:t>
            </w:r>
          </w:p>
        </w:tc>
        <w:tc>
          <w:tcPr>
            <w:tcW w:w="782" w:type="dxa"/>
            <w:tcBorders>
              <w:top w:val="single" w:sz="6" w:space="0" w:color="auto"/>
              <w:bottom w:val="single" w:sz="6" w:space="0" w:color="auto"/>
            </w:tcBorders>
          </w:tcPr>
          <w:p w14:paraId="7C2B00C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20 364</w:t>
            </w:r>
          </w:p>
        </w:tc>
        <w:tc>
          <w:tcPr>
            <w:tcW w:w="782" w:type="dxa"/>
            <w:tcBorders>
              <w:top w:val="single" w:sz="6" w:space="0" w:color="auto"/>
              <w:bottom w:val="single" w:sz="6" w:space="0" w:color="auto"/>
            </w:tcBorders>
          </w:tcPr>
          <w:p w14:paraId="18C9753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20 946</w:t>
            </w:r>
          </w:p>
        </w:tc>
        <w:tc>
          <w:tcPr>
            <w:tcW w:w="783" w:type="dxa"/>
            <w:tcBorders>
              <w:top w:val="single" w:sz="6" w:space="0" w:color="auto"/>
              <w:bottom w:val="single" w:sz="6" w:space="0" w:color="auto"/>
            </w:tcBorders>
          </w:tcPr>
          <w:p w14:paraId="03A264F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21 964</w:t>
            </w:r>
          </w:p>
        </w:tc>
      </w:tr>
      <w:tr w:rsidR="00964B88" w14:paraId="1C22E466"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tcBorders>
          </w:tcPr>
          <w:p w14:paraId="43A9576B" w14:textId="77777777" w:rsidR="00964B88" w:rsidRDefault="00964B88">
            <w:r>
              <w:rPr>
                <w:b/>
              </w:rPr>
              <w:t>Non</w:t>
            </w:r>
            <w:r>
              <w:rPr>
                <w:b/>
              </w:rPr>
              <w:noBreakHyphen/>
              <w:t>financial assets</w:t>
            </w:r>
          </w:p>
        </w:tc>
        <w:tc>
          <w:tcPr>
            <w:tcW w:w="782" w:type="dxa"/>
            <w:tcBorders>
              <w:top w:val="single" w:sz="6" w:space="0" w:color="auto"/>
            </w:tcBorders>
          </w:tcPr>
          <w:p w14:paraId="528B7B6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6" w:space="0" w:color="auto"/>
            </w:tcBorders>
          </w:tcPr>
          <w:p w14:paraId="4C0964C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6" w:space="0" w:color="auto"/>
            </w:tcBorders>
          </w:tcPr>
          <w:p w14:paraId="1F6CCC2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6" w:space="0" w:color="auto"/>
            </w:tcBorders>
          </w:tcPr>
          <w:p w14:paraId="2BE129D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Borders>
              <w:top w:val="single" w:sz="6" w:space="0" w:color="auto"/>
            </w:tcBorders>
          </w:tcPr>
          <w:p w14:paraId="781015D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B9EFCD8"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01A0EA4F" w14:textId="77777777" w:rsidR="00964B88" w:rsidRDefault="00964B88">
            <w:r>
              <w:t>Inventories</w:t>
            </w:r>
          </w:p>
        </w:tc>
        <w:tc>
          <w:tcPr>
            <w:tcW w:w="782" w:type="dxa"/>
          </w:tcPr>
          <w:p w14:paraId="15499698" w14:textId="77777777" w:rsidR="00964B88" w:rsidRDefault="00964B88">
            <w:pPr>
              <w:cnfStyle w:val="000000000000" w:firstRow="0" w:lastRow="0" w:firstColumn="0" w:lastColumn="0" w:oddVBand="0" w:evenVBand="0" w:oddHBand="0" w:evenHBand="0" w:firstRowFirstColumn="0" w:firstRowLastColumn="0" w:lastRowFirstColumn="0" w:lastRowLastColumn="0"/>
            </w:pPr>
            <w:r>
              <w:t>1 175</w:t>
            </w:r>
          </w:p>
        </w:tc>
        <w:tc>
          <w:tcPr>
            <w:tcW w:w="782" w:type="dxa"/>
          </w:tcPr>
          <w:p w14:paraId="4322FA0B" w14:textId="77777777" w:rsidR="00964B88" w:rsidRDefault="00964B88">
            <w:pPr>
              <w:cnfStyle w:val="000000000000" w:firstRow="0" w:lastRow="0" w:firstColumn="0" w:lastColumn="0" w:oddVBand="0" w:evenVBand="0" w:oddHBand="0" w:evenHBand="0" w:firstRowFirstColumn="0" w:firstRowLastColumn="0" w:lastRowFirstColumn="0" w:lastRowLastColumn="0"/>
            </w:pPr>
            <w:r>
              <w:t>1 483</w:t>
            </w:r>
          </w:p>
        </w:tc>
        <w:tc>
          <w:tcPr>
            <w:tcW w:w="782" w:type="dxa"/>
          </w:tcPr>
          <w:p w14:paraId="2FDF5F83" w14:textId="77777777" w:rsidR="00964B88" w:rsidRDefault="00964B88">
            <w:pPr>
              <w:cnfStyle w:val="000000000000" w:firstRow="0" w:lastRow="0" w:firstColumn="0" w:lastColumn="0" w:oddVBand="0" w:evenVBand="0" w:oddHBand="0" w:evenHBand="0" w:firstRowFirstColumn="0" w:firstRowLastColumn="0" w:lastRowFirstColumn="0" w:lastRowLastColumn="0"/>
            </w:pPr>
            <w:r>
              <w:t>1 376</w:t>
            </w:r>
          </w:p>
        </w:tc>
        <w:tc>
          <w:tcPr>
            <w:tcW w:w="782" w:type="dxa"/>
          </w:tcPr>
          <w:p w14:paraId="275FE8C7" w14:textId="77777777" w:rsidR="00964B88" w:rsidRDefault="00964B88">
            <w:pPr>
              <w:cnfStyle w:val="000000000000" w:firstRow="0" w:lastRow="0" w:firstColumn="0" w:lastColumn="0" w:oddVBand="0" w:evenVBand="0" w:oddHBand="0" w:evenHBand="0" w:firstRowFirstColumn="0" w:firstRowLastColumn="0" w:lastRowFirstColumn="0" w:lastRowLastColumn="0"/>
            </w:pPr>
            <w:r>
              <w:t>1 642</w:t>
            </w:r>
          </w:p>
        </w:tc>
        <w:tc>
          <w:tcPr>
            <w:tcW w:w="783" w:type="dxa"/>
          </w:tcPr>
          <w:p w14:paraId="2571D903" w14:textId="77777777" w:rsidR="00964B88" w:rsidRDefault="00964B88">
            <w:pPr>
              <w:cnfStyle w:val="000000000000" w:firstRow="0" w:lastRow="0" w:firstColumn="0" w:lastColumn="0" w:oddVBand="0" w:evenVBand="0" w:oddHBand="0" w:evenHBand="0" w:firstRowFirstColumn="0" w:firstRowLastColumn="0" w:lastRowFirstColumn="0" w:lastRowLastColumn="0"/>
            </w:pPr>
            <w:r>
              <w:t>1 349</w:t>
            </w:r>
          </w:p>
        </w:tc>
      </w:tr>
      <w:tr w:rsidR="00964B88" w14:paraId="2B270AFF"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3D569926" w14:textId="77777777" w:rsidR="00964B88" w:rsidRDefault="00964B88">
            <w:r>
              <w:t>Non</w:t>
            </w:r>
            <w:r>
              <w:noBreakHyphen/>
              <w:t>financial assets held for sale</w:t>
            </w:r>
          </w:p>
        </w:tc>
        <w:tc>
          <w:tcPr>
            <w:tcW w:w="782" w:type="dxa"/>
          </w:tcPr>
          <w:p w14:paraId="3E3E26DD" w14:textId="77777777" w:rsidR="00964B88" w:rsidRDefault="00964B88">
            <w:pPr>
              <w:cnfStyle w:val="000000000000" w:firstRow="0" w:lastRow="0" w:firstColumn="0" w:lastColumn="0" w:oddVBand="0" w:evenVBand="0" w:oddHBand="0" w:evenHBand="0" w:firstRowFirstColumn="0" w:firstRowLastColumn="0" w:lastRowFirstColumn="0" w:lastRowLastColumn="0"/>
            </w:pPr>
            <w:r>
              <w:t>296</w:t>
            </w:r>
          </w:p>
        </w:tc>
        <w:tc>
          <w:tcPr>
            <w:tcW w:w="782" w:type="dxa"/>
          </w:tcPr>
          <w:p w14:paraId="7165C0E0" w14:textId="77777777" w:rsidR="00964B88" w:rsidRDefault="00964B88">
            <w:pPr>
              <w:cnfStyle w:val="000000000000" w:firstRow="0" w:lastRow="0" w:firstColumn="0" w:lastColumn="0" w:oddVBand="0" w:evenVBand="0" w:oddHBand="0" w:evenHBand="0" w:firstRowFirstColumn="0" w:firstRowLastColumn="0" w:lastRowFirstColumn="0" w:lastRowLastColumn="0"/>
            </w:pPr>
            <w:r>
              <w:t>267</w:t>
            </w:r>
          </w:p>
        </w:tc>
        <w:tc>
          <w:tcPr>
            <w:tcW w:w="782" w:type="dxa"/>
          </w:tcPr>
          <w:p w14:paraId="67A55459" w14:textId="77777777" w:rsidR="00964B88" w:rsidRDefault="00964B88">
            <w:pPr>
              <w:cnfStyle w:val="000000000000" w:firstRow="0" w:lastRow="0" w:firstColumn="0" w:lastColumn="0" w:oddVBand="0" w:evenVBand="0" w:oddHBand="0" w:evenHBand="0" w:firstRowFirstColumn="0" w:firstRowLastColumn="0" w:lastRowFirstColumn="0" w:lastRowLastColumn="0"/>
            </w:pPr>
            <w:r>
              <w:t>261</w:t>
            </w:r>
          </w:p>
        </w:tc>
        <w:tc>
          <w:tcPr>
            <w:tcW w:w="782" w:type="dxa"/>
          </w:tcPr>
          <w:p w14:paraId="4CA1C7A7" w14:textId="77777777" w:rsidR="00964B88" w:rsidRDefault="00964B88">
            <w:pPr>
              <w:cnfStyle w:val="000000000000" w:firstRow="0" w:lastRow="0" w:firstColumn="0" w:lastColumn="0" w:oddVBand="0" w:evenVBand="0" w:oddHBand="0" w:evenHBand="0" w:firstRowFirstColumn="0" w:firstRowLastColumn="0" w:lastRowFirstColumn="0" w:lastRowLastColumn="0"/>
            </w:pPr>
            <w:r>
              <w:t>272</w:t>
            </w:r>
          </w:p>
        </w:tc>
        <w:tc>
          <w:tcPr>
            <w:tcW w:w="783" w:type="dxa"/>
          </w:tcPr>
          <w:p w14:paraId="75752C07" w14:textId="77777777" w:rsidR="00964B88" w:rsidRDefault="00964B88">
            <w:pPr>
              <w:cnfStyle w:val="000000000000" w:firstRow="0" w:lastRow="0" w:firstColumn="0" w:lastColumn="0" w:oddVBand="0" w:evenVBand="0" w:oddHBand="0" w:evenHBand="0" w:firstRowFirstColumn="0" w:firstRowLastColumn="0" w:lastRowFirstColumn="0" w:lastRowLastColumn="0"/>
            </w:pPr>
            <w:r>
              <w:t>274</w:t>
            </w:r>
          </w:p>
        </w:tc>
      </w:tr>
      <w:tr w:rsidR="00964B88" w14:paraId="2D41D9EC"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13DD9542" w14:textId="77777777" w:rsidR="00964B88" w:rsidRDefault="00964B88">
            <w:r>
              <w:t>Land, buildings, infrastructure, plant and equipment</w:t>
            </w:r>
          </w:p>
        </w:tc>
        <w:tc>
          <w:tcPr>
            <w:tcW w:w="782" w:type="dxa"/>
          </w:tcPr>
          <w:p w14:paraId="36B3B66E" w14:textId="77777777" w:rsidR="00964B88" w:rsidRDefault="00964B88">
            <w:pPr>
              <w:cnfStyle w:val="000000000000" w:firstRow="0" w:lastRow="0" w:firstColumn="0" w:lastColumn="0" w:oddVBand="0" w:evenVBand="0" w:oddHBand="0" w:evenHBand="0" w:firstRowFirstColumn="0" w:firstRowLastColumn="0" w:lastRowFirstColumn="0" w:lastRowLastColumn="0"/>
            </w:pPr>
            <w:r>
              <w:t>302 099</w:t>
            </w:r>
          </w:p>
        </w:tc>
        <w:tc>
          <w:tcPr>
            <w:tcW w:w="782" w:type="dxa"/>
          </w:tcPr>
          <w:p w14:paraId="276A6F4E" w14:textId="77777777" w:rsidR="00964B88" w:rsidRDefault="00964B88">
            <w:pPr>
              <w:cnfStyle w:val="000000000000" w:firstRow="0" w:lastRow="0" w:firstColumn="0" w:lastColumn="0" w:oddVBand="0" w:evenVBand="0" w:oddHBand="0" w:evenHBand="0" w:firstRowFirstColumn="0" w:firstRowLastColumn="0" w:lastRowFirstColumn="0" w:lastRowLastColumn="0"/>
            </w:pPr>
            <w:r>
              <w:t>304 253</w:t>
            </w:r>
          </w:p>
        </w:tc>
        <w:tc>
          <w:tcPr>
            <w:tcW w:w="782" w:type="dxa"/>
          </w:tcPr>
          <w:p w14:paraId="393CD8E8" w14:textId="77777777" w:rsidR="00964B88" w:rsidRDefault="00964B88">
            <w:pPr>
              <w:cnfStyle w:val="000000000000" w:firstRow="0" w:lastRow="0" w:firstColumn="0" w:lastColumn="0" w:oddVBand="0" w:evenVBand="0" w:oddHBand="0" w:evenHBand="0" w:firstRowFirstColumn="0" w:firstRowLastColumn="0" w:lastRowFirstColumn="0" w:lastRowLastColumn="0"/>
            </w:pPr>
            <w:r>
              <w:t>322 329</w:t>
            </w:r>
          </w:p>
        </w:tc>
        <w:tc>
          <w:tcPr>
            <w:tcW w:w="782" w:type="dxa"/>
          </w:tcPr>
          <w:p w14:paraId="6E5A0063" w14:textId="77777777" w:rsidR="00964B88" w:rsidRDefault="00964B88">
            <w:pPr>
              <w:cnfStyle w:val="000000000000" w:firstRow="0" w:lastRow="0" w:firstColumn="0" w:lastColumn="0" w:oddVBand="0" w:evenVBand="0" w:oddHBand="0" w:evenHBand="0" w:firstRowFirstColumn="0" w:firstRowLastColumn="0" w:lastRowFirstColumn="0" w:lastRowLastColumn="0"/>
            </w:pPr>
            <w:r>
              <w:t>334 039</w:t>
            </w:r>
          </w:p>
        </w:tc>
        <w:tc>
          <w:tcPr>
            <w:tcW w:w="783" w:type="dxa"/>
          </w:tcPr>
          <w:p w14:paraId="0DCDDA71" w14:textId="77777777" w:rsidR="00964B88" w:rsidRDefault="00964B88">
            <w:pPr>
              <w:cnfStyle w:val="000000000000" w:firstRow="0" w:lastRow="0" w:firstColumn="0" w:lastColumn="0" w:oddVBand="0" w:evenVBand="0" w:oddHBand="0" w:evenHBand="0" w:firstRowFirstColumn="0" w:firstRowLastColumn="0" w:lastRowFirstColumn="0" w:lastRowLastColumn="0"/>
            </w:pPr>
            <w:r>
              <w:t>345 906</w:t>
            </w:r>
          </w:p>
        </w:tc>
      </w:tr>
      <w:tr w:rsidR="00964B88" w14:paraId="5FD4E7F1"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bottom w:val="single" w:sz="6" w:space="0" w:color="auto"/>
            </w:tcBorders>
          </w:tcPr>
          <w:p w14:paraId="52520767" w14:textId="77777777" w:rsidR="00964B88" w:rsidRDefault="00964B88">
            <w:r>
              <w:t>Other non</w:t>
            </w:r>
            <w:r>
              <w:noBreakHyphen/>
              <w:t>financial assets</w:t>
            </w:r>
          </w:p>
        </w:tc>
        <w:tc>
          <w:tcPr>
            <w:tcW w:w="782" w:type="dxa"/>
            <w:tcBorders>
              <w:bottom w:val="single" w:sz="6" w:space="0" w:color="auto"/>
            </w:tcBorders>
          </w:tcPr>
          <w:p w14:paraId="2FF2DE00" w14:textId="77777777" w:rsidR="00964B88" w:rsidRDefault="00964B88">
            <w:pPr>
              <w:cnfStyle w:val="000000000000" w:firstRow="0" w:lastRow="0" w:firstColumn="0" w:lastColumn="0" w:oddVBand="0" w:evenVBand="0" w:oddHBand="0" w:evenHBand="0" w:firstRowFirstColumn="0" w:firstRowLastColumn="0" w:lastRowFirstColumn="0" w:lastRowLastColumn="0"/>
            </w:pPr>
            <w:r>
              <w:t>3 024</w:t>
            </w:r>
          </w:p>
        </w:tc>
        <w:tc>
          <w:tcPr>
            <w:tcW w:w="782" w:type="dxa"/>
            <w:tcBorders>
              <w:bottom w:val="single" w:sz="6" w:space="0" w:color="auto"/>
            </w:tcBorders>
          </w:tcPr>
          <w:p w14:paraId="133B68D7" w14:textId="77777777" w:rsidR="00964B88" w:rsidRDefault="00964B88">
            <w:pPr>
              <w:cnfStyle w:val="000000000000" w:firstRow="0" w:lastRow="0" w:firstColumn="0" w:lastColumn="0" w:oddVBand="0" w:evenVBand="0" w:oddHBand="0" w:evenHBand="0" w:firstRowFirstColumn="0" w:firstRowLastColumn="0" w:lastRowFirstColumn="0" w:lastRowLastColumn="0"/>
            </w:pPr>
            <w:r>
              <w:t>3 116</w:t>
            </w:r>
          </w:p>
        </w:tc>
        <w:tc>
          <w:tcPr>
            <w:tcW w:w="782" w:type="dxa"/>
            <w:tcBorders>
              <w:bottom w:val="single" w:sz="6" w:space="0" w:color="auto"/>
            </w:tcBorders>
          </w:tcPr>
          <w:p w14:paraId="6931B47A" w14:textId="77777777" w:rsidR="00964B88" w:rsidRDefault="00964B88">
            <w:pPr>
              <w:cnfStyle w:val="000000000000" w:firstRow="0" w:lastRow="0" w:firstColumn="0" w:lastColumn="0" w:oddVBand="0" w:evenVBand="0" w:oddHBand="0" w:evenHBand="0" w:firstRowFirstColumn="0" w:firstRowLastColumn="0" w:lastRowFirstColumn="0" w:lastRowLastColumn="0"/>
            </w:pPr>
            <w:r>
              <w:t>2 979</w:t>
            </w:r>
          </w:p>
        </w:tc>
        <w:tc>
          <w:tcPr>
            <w:tcW w:w="782" w:type="dxa"/>
            <w:tcBorders>
              <w:bottom w:val="single" w:sz="6" w:space="0" w:color="auto"/>
            </w:tcBorders>
          </w:tcPr>
          <w:p w14:paraId="32E5AB40" w14:textId="77777777" w:rsidR="00964B88" w:rsidRDefault="00964B88">
            <w:pPr>
              <w:cnfStyle w:val="000000000000" w:firstRow="0" w:lastRow="0" w:firstColumn="0" w:lastColumn="0" w:oddVBand="0" w:evenVBand="0" w:oddHBand="0" w:evenHBand="0" w:firstRowFirstColumn="0" w:firstRowLastColumn="0" w:lastRowFirstColumn="0" w:lastRowLastColumn="0"/>
            </w:pPr>
            <w:r>
              <w:t>2 838</w:t>
            </w:r>
          </w:p>
        </w:tc>
        <w:tc>
          <w:tcPr>
            <w:tcW w:w="783" w:type="dxa"/>
            <w:tcBorders>
              <w:bottom w:val="single" w:sz="6" w:space="0" w:color="auto"/>
            </w:tcBorders>
          </w:tcPr>
          <w:p w14:paraId="2FE7848D" w14:textId="77777777" w:rsidR="00964B88" w:rsidRDefault="00964B88">
            <w:pPr>
              <w:cnfStyle w:val="000000000000" w:firstRow="0" w:lastRow="0" w:firstColumn="0" w:lastColumn="0" w:oddVBand="0" w:evenVBand="0" w:oddHBand="0" w:evenHBand="0" w:firstRowFirstColumn="0" w:firstRowLastColumn="0" w:lastRowFirstColumn="0" w:lastRowLastColumn="0"/>
            </w:pPr>
            <w:r>
              <w:t>2 671</w:t>
            </w:r>
          </w:p>
        </w:tc>
      </w:tr>
      <w:tr w:rsidR="00964B88" w14:paraId="295F6DE5"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bottom w:val="single" w:sz="6" w:space="0" w:color="auto"/>
            </w:tcBorders>
          </w:tcPr>
          <w:p w14:paraId="05D2F6C6" w14:textId="77777777" w:rsidR="00964B88" w:rsidRDefault="00964B88">
            <w:r>
              <w:rPr>
                <w:b/>
              </w:rPr>
              <w:t>Total non</w:t>
            </w:r>
            <w:r>
              <w:rPr>
                <w:b/>
              </w:rPr>
              <w:noBreakHyphen/>
              <w:t>financial assets</w:t>
            </w:r>
          </w:p>
        </w:tc>
        <w:tc>
          <w:tcPr>
            <w:tcW w:w="782" w:type="dxa"/>
            <w:tcBorders>
              <w:top w:val="single" w:sz="6" w:space="0" w:color="auto"/>
              <w:bottom w:val="single" w:sz="6" w:space="0" w:color="auto"/>
            </w:tcBorders>
          </w:tcPr>
          <w:p w14:paraId="0951C4D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306 594</w:t>
            </w:r>
          </w:p>
        </w:tc>
        <w:tc>
          <w:tcPr>
            <w:tcW w:w="782" w:type="dxa"/>
            <w:tcBorders>
              <w:top w:val="single" w:sz="6" w:space="0" w:color="auto"/>
              <w:bottom w:val="single" w:sz="6" w:space="0" w:color="auto"/>
            </w:tcBorders>
          </w:tcPr>
          <w:p w14:paraId="20F8A3A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309 120</w:t>
            </w:r>
          </w:p>
        </w:tc>
        <w:tc>
          <w:tcPr>
            <w:tcW w:w="782" w:type="dxa"/>
            <w:tcBorders>
              <w:top w:val="single" w:sz="6" w:space="0" w:color="auto"/>
              <w:bottom w:val="single" w:sz="6" w:space="0" w:color="auto"/>
            </w:tcBorders>
          </w:tcPr>
          <w:p w14:paraId="7DAAFEB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326 946</w:t>
            </w:r>
          </w:p>
        </w:tc>
        <w:tc>
          <w:tcPr>
            <w:tcW w:w="782" w:type="dxa"/>
            <w:tcBorders>
              <w:top w:val="single" w:sz="6" w:space="0" w:color="auto"/>
              <w:bottom w:val="single" w:sz="6" w:space="0" w:color="auto"/>
            </w:tcBorders>
          </w:tcPr>
          <w:p w14:paraId="23FA32B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338 792</w:t>
            </w:r>
          </w:p>
        </w:tc>
        <w:tc>
          <w:tcPr>
            <w:tcW w:w="783" w:type="dxa"/>
            <w:tcBorders>
              <w:top w:val="single" w:sz="6" w:space="0" w:color="auto"/>
              <w:bottom w:val="single" w:sz="6" w:space="0" w:color="auto"/>
            </w:tcBorders>
          </w:tcPr>
          <w:p w14:paraId="5078123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350 200</w:t>
            </w:r>
          </w:p>
        </w:tc>
      </w:tr>
      <w:tr w:rsidR="00964B88" w14:paraId="1B4925ED"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tcBorders>
          </w:tcPr>
          <w:p w14:paraId="4D07C095" w14:textId="77777777" w:rsidR="00964B88" w:rsidRDefault="00964B88">
            <w:r>
              <w:rPr>
                <w:b/>
              </w:rPr>
              <w:t>Total assets</w:t>
            </w:r>
          </w:p>
        </w:tc>
        <w:tc>
          <w:tcPr>
            <w:tcW w:w="782" w:type="dxa"/>
            <w:tcBorders>
              <w:top w:val="single" w:sz="6" w:space="0" w:color="auto"/>
            </w:tcBorders>
          </w:tcPr>
          <w:p w14:paraId="3D73FE8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329 499</w:t>
            </w:r>
          </w:p>
        </w:tc>
        <w:tc>
          <w:tcPr>
            <w:tcW w:w="782" w:type="dxa"/>
            <w:tcBorders>
              <w:top w:val="single" w:sz="6" w:space="0" w:color="auto"/>
            </w:tcBorders>
          </w:tcPr>
          <w:p w14:paraId="25F8583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330 169</w:t>
            </w:r>
          </w:p>
        </w:tc>
        <w:tc>
          <w:tcPr>
            <w:tcW w:w="782" w:type="dxa"/>
            <w:tcBorders>
              <w:top w:val="single" w:sz="6" w:space="0" w:color="auto"/>
            </w:tcBorders>
          </w:tcPr>
          <w:p w14:paraId="435BE66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347 309</w:t>
            </w:r>
          </w:p>
        </w:tc>
        <w:tc>
          <w:tcPr>
            <w:tcW w:w="782" w:type="dxa"/>
            <w:tcBorders>
              <w:top w:val="single" w:sz="6" w:space="0" w:color="auto"/>
            </w:tcBorders>
          </w:tcPr>
          <w:p w14:paraId="37A3DE4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359 737</w:t>
            </w:r>
          </w:p>
        </w:tc>
        <w:tc>
          <w:tcPr>
            <w:tcW w:w="783" w:type="dxa"/>
            <w:tcBorders>
              <w:top w:val="single" w:sz="6" w:space="0" w:color="auto"/>
            </w:tcBorders>
          </w:tcPr>
          <w:p w14:paraId="24924AB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372 163</w:t>
            </w:r>
          </w:p>
        </w:tc>
      </w:tr>
      <w:tr w:rsidR="00964B88" w14:paraId="136C2C99"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6040A799" w14:textId="77777777" w:rsidR="00964B88" w:rsidRDefault="00964B88">
            <w:r>
              <w:rPr>
                <w:b/>
              </w:rPr>
              <w:t>Liabilities</w:t>
            </w:r>
          </w:p>
        </w:tc>
        <w:tc>
          <w:tcPr>
            <w:tcW w:w="782" w:type="dxa"/>
          </w:tcPr>
          <w:p w14:paraId="2B6A82C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30270EB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656C4BD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06A623E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Pr>
          <w:p w14:paraId="2EBC935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046811F"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37F79677" w14:textId="77777777" w:rsidR="00964B88" w:rsidRDefault="00964B88">
            <w:r>
              <w:t>Deposits held and advances received</w:t>
            </w:r>
          </w:p>
        </w:tc>
        <w:tc>
          <w:tcPr>
            <w:tcW w:w="782" w:type="dxa"/>
          </w:tcPr>
          <w:p w14:paraId="30542581" w14:textId="77777777" w:rsidR="00964B88" w:rsidRDefault="00964B88">
            <w:pPr>
              <w:cnfStyle w:val="000000000000" w:firstRow="0" w:lastRow="0" w:firstColumn="0" w:lastColumn="0" w:oddVBand="0" w:evenVBand="0" w:oddHBand="0" w:evenHBand="0" w:firstRowFirstColumn="0" w:firstRowLastColumn="0" w:lastRowFirstColumn="0" w:lastRowLastColumn="0"/>
            </w:pPr>
            <w:r>
              <w:t>1 420</w:t>
            </w:r>
          </w:p>
        </w:tc>
        <w:tc>
          <w:tcPr>
            <w:tcW w:w="782" w:type="dxa"/>
          </w:tcPr>
          <w:p w14:paraId="272F8A46" w14:textId="77777777" w:rsidR="00964B88" w:rsidRDefault="00964B88">
            <w:pPr>
              <w:cnfStyle w:val="000000000000" w:firstRow="0" w:lastRow="0" w:firstColumn="0" w:lastColumn="0" w:oddVBand="0" w:evenVBand="0" w:oddHBand="0" w:evenHBand="0" w:firstRowFirstColumn="0" w:firstRowLastColumn="0" w:lastRowFirstColumn="0" w:lastRowLastColumn="0"/>
            </w:pPr>
            <w:r>
              <w:t>1 421</w:t>
            </w:r>
          </w:p>
        </w:tc>
        <w:tc>
          <w:tcPr>
            <w:tcW w:w="782" w:type="dxa"/>
          </w:tcPr>
          <w:p w14:paraId="65D8730C" w14:textId="77777777" w:rsidR="00964B88" w:rsidRDefault="00964B88">
            <w:pPr>
              <w:cnfStyle w:val="000000000000" w:firstRow="0" w:lastRow="0" w:firstColumn="0" w:lastColumn="0" w:oddVBand="0" w:evenVBand="0" w:oddHBand="0" w:evenHBand="0" w:firstRowFirstColumn="0" w:firstRowLastColumn="0" w:lastRowFirstColumn="0" w:lastRowLastColumn="0"/>
            </w:pPr>
            <w:r>
              <w:t>1 420</w:t>
            </w:r>
          </w:p>
        </w:tc>
        <w:tc>
          <w:tcPr>
            <w:tcW w:w="782" w:type="dxa"/>
          </w:tcPr>
          <w:p w14:paraId="3BC28879" w14:textId="77777777" w:rsidR="00964B88" w:rsidRDefault="00964B88">
            <w:pPr>
              <w:cnfStyle w:val="000000000000" w:firstRow="0" w:lastRow="0" w:firstColumn="0" w:lastColumn="0" w:oddVBand="0" w:evenVBand="0" w:oddHBand="0" w:evenHBand="0" w:firstRowFirstColumn="0" w:firstRowLastColumn="0" w:lastRowFirstColumn="0" w:lastRowLastColumn="0"/>
            </w:pPr>
            <w:r>
              <w:t>1 301</w:t>
            </w:r>
          </w:p>
        </w:tc>
        <w:tc>
          <w:tcPr>
            <w:tcW w:w="783" w:type="dxa"/>
          </w:tcPr>
          <w:p w14:paraId="30FA6020" w14:textId="77777777" w:rsidR="00964B88" w:rsidRDefault="00964B88">
            <w:pPr>
              <w:cnfStyle w:val="000000000000" w:firstRow="0" w:lastRow="0" w:firstColumn="0" w:lastColumn="0" w:oddVBand="0" w:evenVBand="0" w:oddHBand="0" w:evenHBand="0" w:firstRowFirstColumn="0" w:firstRowLastColumn="0" w:lastRowFirstColumn="0" w:lastRowLastColumn="0"/>
            </w:pPr>
            <w:r>
              <w:t>1 294</w:t>
            </w:r>
          </w:p>
        </w:tc>
      </w:tr>
      <w:tr w:rsidR="00964B88" w14:paraId="427C82FF"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7BD43F66" w14:textId="77777777" w:rsidR="00964B88" w:rsidRDefault="00964B88">
            <w:r>
              <w:t>Payables</w:t>
            </w:r>
          </w:p>
        </w:tc>
        <w:tc>
          <w:tcPr>
            <w:tcW w:w="782" w:type="dxa"/>
          </w:tcPr>
          <w:p w14:paraId="189134A7" w14:textId="77777777" w:rsidR="00964B88" w:rsidRDefault="00964B88">
            <w:pPr>
              <w:cnfStyle w:val="000000000000" w:firstRow="0" w:lastRow="0" w:firstColumn="0" w:lastColumn="0" w:oddVBand="0" w:evenVBand="0" w:oddHBand="0" w:evenHBand="0" w:firstRowFirstColumn="0" w:firstRowLastColumn="0" w:lastRowFirstColumn="0" w:lastRowLastColumn="0"/>
            </w:pPr>
            <w:r>
              <w:t>26 074</w:t>
            </w:r>
          </w:p>
        </w:tc>
        <w:tc>
          <w:tcPr>
            <w:tcW w:w="782" w:type="dxa"/>
          </w:tcPr>
          <w:p w14:paraId="159DA33E" w14:textId="77777777" w:rsidR="00964B88" w:rsidRDefault="00964B88">
            <w:pPr>
              <w:cnfStyle w:val="000000000000" w:firstRow="0" w:lastRow="0" w:firstColumn="0" w:lastColumn="0" w:oddVBand="0" w:evenVBand="0" w:oddHBand="0" w:evenHBand="0" w:firstRowFirstColumn="0" w:firstRowLastColumn="0" w:lastRowFirstColumn="0" w:lastRowLastColumn="0"/>
            </w:pPr>
            <w:r>
              <w:t>25 582</w:t>
            </w:r>
          </w:p>
        </w:tc>
        <w:tc>
          <w:tcPr>
            <w:tcW w:w="782" w:type="dxa"/>
          </w:tcPr>
          <w:p w14:paraId="5B8C3A51" w14:textId="77777777" w:rsidR="00964B88" w:rsidRDefault="00964B88">
            <w:pPr>
              <w:cnfStyle w:val="000000000000" w:firstRow="0" w:lastRow="0" w:firstColumn="0" w:lastColumn="0" w:oddVBand="0" w:evenVBand="0" w:oddHBand="0" w:evenHBand="0" w:firstRowFirstColumn="0" w:firstRowLastColumn="0" w:lastRowFirstColumn="0" w:lastRowLastColumn="0"/>
            </w:pPr>
            <w:r>
              <w:t>25 928</w:t>
            </w:r>
          </w:p>
        </w:tc>
        <w:tc>
          <w:tcPr>
            <w:tcW w:w="782" w:type="dxa"/>
          </w:tcPr>
          <w:p w14:paraId="2DA6297E" w14:textId="77777777" w:rsidR="00964B88" w:rsidRDefault="00964B88">
            <w:pPr>
              <w:cnfStyle w:val="000000000000" w:firstRow="0" w:lastRow="0" w:firstColumn="0" w:lastColumn="0" w:oddVBand="0" w:evenVBand="0" w:oddHBand="0" w:evenHBand="0" w:firstRowFirstColumn="0" w:firstRowLastColumn="0" w:lastRowFirstColumn="0" w:lastRowLastColumn="0"/>
            </w:pPr>
            <w:r>
              <w:t>26 000</w:t>
            </w:r>
          </w:p>
        </w:tc>
        <w:tc>
          <w:tcPr>
            <w:tcW w:w="783" w:type="dxa"/>
          </w:tcPr>
          <w:p w14:paraId="5A92881C" w14:textId="77777777" w:rsidR="00964B88" w:rsidRDefault="00964B88">
            <w:pPr>
              <w:cnfStyle w:val="000000000000" w:firstRow="0" w:lastRow="0" w:firstColumn="0" w:lastColumn="0" w:oddVBand="0" w:evenVBand="0" w:oddHBand="0" w:evenHBand="0" w:firstRowFirstColumn="0" w:firstRowLastColumn="0" w:lastRowFirstColumn="0" w:lastRowLastColumn="0"/>
            </w:pPr>
            <w:r>
              <w:t>25 118</w:t>
            </w:r>
          </w:p>
        </w:tc>
      </w:tr>
      <w:tr w:rsidR="00964B88" w14:paraId="56B77716"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3DBA4EE6" w14:textId="77777777" w:rsidR="00964B88" w:rsidRDefault="00964B88">
            <w:r>
              <w:t>Borrowings</w:t>
            </w:r>
          </w:p>
        </w:tc>
        <w:tc>
          <w:tcPr>
            <w:tcW w:w="782" w:type="dxa"/>
          </w:tcPr>
          <w:p w14:paraId="2F71945D" w14:textId="77777777" w:rsidR="00964B88" w:rsidRDefault="00964B88">
            <w:pPr>
              <w:cnfStyle w:val="000000000000" w:firstRow="0" w:lastRow="0" w:firstColumn="0" w:lastColumn="0" w:oddVBand="0" w:evenVBand="0" w:oddHBand="0" w:evenHBand="0" w:firstRowFirstColumn="0" w:firstRowLastColumn="0" w:lastRowFirstColumn="0" w:lastRowLastColumn="0"/>
            </w:pPr>
            <w:r>
              <w:t>65 463</w:t>
            </w:r>
          </w:p>
        </w:tc>
        <w:tc>
          <w:tcPr>
            <w:tcW w:w="782" w:type="dxa"/>
          </w:tcPr>
          <w:p w14:paraId="33558037" w14:textId="77777777" w:rsidR="00964B88" w:rsidRDefault="00964B88">
            <w:pPr>
              <w:cnfStyle w:val="000000000000" w:firstRow="0" w:lastRow="0" w:firstColumn="0" w:lastColumn="0" w:oddVBand="0" w:evenVBand="0" w:oddHBand="0" w:evenHBand="0" w:firstRowFirstColumn="0" w:firstRowLastColumn="0" w:lastRowFirstColumn="0" w:lastRowLastColumn="0"/>
            </w:pPr>
            <w:r>
              <w:t>67 282</w:t>
            </w:r>
          </w:p>
        </w:tc>
        <w:tc>
          <w:tcPr>
            <w:tcW w:w="782" w:type="dxa"/>
          </w:tcPr>
          <w:p w14:paraId="72247BF2" w14:textId="77777777" w:rsidR="00964B88" w:rsidRDefault="00964B88">
            <w:pPr>
              <w:cnfStyle w:val="000000000000" w:firstRow="0" w:lastRow="0" w:firstColumn="0" w:lastColumn="0" w:oddVBand="0" w:evenVBand="0" w:oddHBand="0" w:evenHBand="0" w:firstRowFirstColumn="0" w:firstRowLastColumn="0" w:lastRowFirstColumn="0" w:lastRowLastColumn="0"/>
            </w:pPr>
            <w:r>
              <w:t>76 960</w:t>
            </w:r>
          </w:p>
        </w:tc>
        <w:tc>
          <w:tcPr>
            <w:tcW w:w="782" w:type="dxa"/>
          </w:tcPr>
          <w:p w14:paraId="7CB3D511" w14:textId="77777777" w:rsidR="00964B88" w:rsidRDefault="00964B88">
            <w:pPr>
              <w:cnfStyle w:val="000000000000" w:firstRow="0" w:lastRow="0" w:firstColumn="0" w:lastColumn="0" w:oddVBand="0" w:evenVBand="0" w:oddHBand="0" w:evenHBand="0" w:firstRowFirstColumn="0" w:firstRowLastColumn="0" w:lastRowFirstColumn="0" w:lastRowLastColumn="0"/>
            </w:pPr>
            <w:r>
              <w:t>82 820</w:t>
            </w:r>
          </w:p>
        </w:tc>
        <w:tc>
          <w:tcPr>
            <w:tcW w:w="783" w:type="dxa"/>
          </w:tcPr>
          <w:p w14:paraId="1A01EB95" w14:textId="77777777" w:rsidR="00964B88" w:rsidRDefault="00964B88">
            <w:pPr>
              <w:cnfStyle w:val="000000000000" w:firstRow="0" w:lastRow="0" w:firstColumn="0" w:lastColumn="0" w:oddVBand="0" w:evenVBand="0" w:oddHBand="0" w:evenHBand="0" w:firstRowFirstColumn="0" w:firstRowLastColumn="0" w:lastRowFirstColumn="0" w:lastRowLastColumn="0"/>
            </w:pPr>
            <w:r>
              <w:t>87 435</w:t>
            </w:r>
          </w:p>
        </w:tc>
      </w:tr>
      <w:tr w:rsidR="00964B88" w14:paraId="1FE47219"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57607D87" w14:textId="77777777" w:rsidR="00964B88" w:rsidRDefault="00964B88">
            <w:r>
              <w:t>Employee benefits</w:t>
            </w:r>
          </w:p>
        </w:tc>
        <w:tc>
          <w:tcPr>
            <w:tcW w:w="782" w:type="dxa"/>
          </w:tcPr>
          <w:p w14:paraId="2BBC8B85" w14:textId="77777777" w:rsidR="00964B88" w:rsidRDefault="00964B88">
            <w:pPr>
              <w:cnfStyle w:val="000000000000" w:firstRow="0" w:lastRow="0" w:firstColumn="0" w:lastColumn="0" w:oddVBand="0" w:evenVBand="0" w:oddHBand="0" w:evenHBand="0" w:firstRowFirstColumn="0" w:firstRowLastColumn="0" w:lastRowFirstColumn="0" w:lastRowLastColumn="0"/>
            </w:pPr>
            <w:r>
              <w:t>8 815</w:t>
            </w:r>
          </w:p>
        </w:tc>
        <w:tc>
          <w:tcPr>
            <w:tcW w:w="782" w:type="dxa"/>
          </w:tcPr>
          <w:p w14:paraId="7B41413C" w14:textId="77777777" w:rsidR="00964B88" w:rsidRDefault="00964B88">
            <w:pPr>
              <w:cnfStyle w:val="000000000000" w:firstRow="0" w:lastRow="0" w:firstColumn="0" w:lastColumn="0" w:oddVBand="0" w:evenVBand="0" w:oddHBand="0" w:evenHBand="0" w:firstRowFirstColumn="0" w:firstRowLastColumn="0" w:lastRowFirstColumn="0" w:lastRowLastColumn="0"/>
            </w:pPr>
            <w:r>
              <w:t>8 794</w:t>
            </w:r>
          </w:p>
        </w:tc>
        <w:tc>
          <w:tcPr>
            <w:tcW w:w="782" w:type="dxa"/>
          </w:tcPr>
          <w:p w14:paraId="1170856C" w14:textId="77777777" w:rsidR="00964B88" w:rsidRDefault="00964B88">
            <w:pPr>
              <w:cnfStyle w:val="000000000000" w:firstRow="0" w:lastRow="0" w:firstColumn="0" w:lastColumn="0" w:oddVBand="0" w:evenVBand="0" w:oddHBand="0" w:evenHBand="0" w:firstRowFirstColumn="0" w:firstRowLastColumn="0" w:lastRowFirstColumn="0" w:lastRowLastColumn="0"/>
            </w:pPr>
            <w:r>
              <w:t>9 088</w:t>
            </w:r>
          </w:p>
        </w:tc>
        <w:tc>
          <w:tcPr>
            <w:tcW w:w="782" w:type="dxa"/>
          </w:tcPr>
          <w:p w14:paraId="24BB45FF" w14:textId="77777777" w:rsidR="00964B88" w:rsidRDefault="00964B88">
            <w:pPr>
              <w:cnfStyle w:val="000000000000" w:firstRow="0" w:lastRow="0" w:firstColumn="0" w:lastColumn="0" w:oddVBand="0" w:evenVBand="0" w:oddHBand="0" w:evenHBand="0" w:firstRowFirstColumn="0" w:firstRowLastColumn="0" w:lastRowFirstColumn="0" w:lastRowLastColumn="0"/>
            </w:pPr>
            <w:r>
              <w:t>9 385</w:t>
            </w:r>
          </w:p>
        </w:tc>
        <w:tc>
          <w:tcPr>
            <w:tcW w:w="783" w:type="dxa"/>
          </w:tcPr>
          <w:p w14:paraId="3F78FF3C" w14:textId="77777777" w:rsidR="00964B88" w:rsidRDefault="00964B88">
            <w:pPr>
              <w:cnfStyle w:val="000000000000" w:firstRow="0" w:lastRow="0" w:firstColumn="0" w:lastColumn="0" w:oddVBand="0" w:evenVBand="0" w:oddHBand="0" w:evenHBand="0" w:firstRowFirstColumn="0" w:firstRowLastColumn="0" w:lastRowFirstColumn="0" w:lastRowLastColumn="0"/>
            </w:pPr>
            <w:r>
              <w:t>9 688</w:t>
            </w:r>
          </w:p>
        </w:tc>
      </w:tr>
      <w:tr w:rsidR="00964B88" w14:paraId="790B888A"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19F9DFA2" w14:textId="77777777" w:rsidR="00964B88" w:rsidRDefault="00964B88">
            <w:r>
              <w:t>Superannuation</w:t>
            </w:r>
          </w:p>
        </w:tc>
        <w:tc>
          <w:tcPr>
            <w:tcW w:w="782" w:type="dxa"/>
          </w:tcPr>
          <w:p w14:paraId="22050652" w14:textId="77777777" w:rsidR="00964B88" w:rsidRDefault="00964B88">
            <w:pPr>
              <w:cnfStyle w:val="000000000000" w:firstRow="0" w:lastRow="0" w:firstColumn="0" w:lastColumn="0" w:oddVBand="0" w:evenVBand="0" w:oddHBand="0" w:evenHBand="0" w:firstRowFirstColumn="0" w:firstRowLastColumn="0" w:lastRowFirstColumn="0" w:lastRowLastColumn="0"/>
            </w:pPr>
            <w:r>
              <w:t>27 602</w:t>
            </w:r>
          </w:p>
        </w:tc>
        <w:tc>
          <w:tcPr>
            <w:tcW w:w="782" w:type="dxa"/>
          </w:tcPr>
          <w:p w14:paraId="35D041AB" w14:textId="77777777" w:rsidR="00964B88" w:rsidRDefault="00964B88">
            <w:pPr>
              <w:cnfStyle w:val="000000000000" w:firstRow="0" w:lastRow="0" w:firstColumn="0" w:lastColumn="0" w:oddVBand="0" w:evenVBand="0" w:oddHBand="0" w:evenHBand="0" w:firstRowFirstColumn="0" w:firstRowLastColumn="0" w:lastRowFirstColumn="0" w:lastRowLastColumn="0"/>
            </w:pPr>
            <w:r>
              <w:t>28 487</w:t>
            </w:r>
          </w:p>
        </w:tc>
        <w:tc>
          <w:tcPr>
            <w:tcW w:w="782" w:type="dxa"/>
          </w:tcPr>
          <w:p w14:paraId="11741AB6" w14:textId="77777777" w:rsidR="00964B88" w:rsidRDefault="00964B88">
            <w:pPr>
              <w:cnfStyle w:val="000000000000" w:firstRow="0" w:lastRow="0" w:firstColumn="0" w:lastColumn="0" w:oddVBand="0" w:evenVBand="0" w:oddHBand="0" w:evenHBand="0" w:firstRowFirstColumn="0" w:firstRowLastColumn="0" w:lastRowFirstColumn="0" w:lastRowLastColumn="0"/>
            </w:pPr>
            <w:r>
              <w:t>26 895</w:t>
            </w:r>
          </w:p>
        </w:tc>
        <w:tc>
          <w:tcPr>
            <w:tcW w:w="782" w:type="dxa"/>
          </w:tcPr>
          <w:p w14:paraId="2E316693" w14:textId="77777777" w:rsidR="00964B88" w:rsidRDefault="00964B88">
            <w:pPr>
              <w:cnfStyle w:val="000000000000" w:firstRow="0" w:lastRow="0" w:firstColumn="0" w:lastColumn="0" w:oddVBand="0" w:evenVBand="0" w:oddHBand="0" w:evenHBand="0" w:firstRowFirstColumn="0" w:firstRowLastColumn="0" w:lastRowFirstColumn="0" w:lastRowLastColumn="0"/>
            </w:pPr>
            <w:r>
              <w:t>25 381</w:t>
            </w:r>
          </w:p>
        </w:tc>
        <w:tc>
          <w:tcPr>
            <w:tcW w:w="783" w:type="dxa"/>
          </w:tcPr>
          <w:p w14:paraId="3838E08E" w14:textId="77777777" w:rsidR="00964B88" w:rsidRDefault="00964B88">
            <w:pPr>
              <w:cnfStyle w:val="000000000000" w:firstRow="0" w:lastRow="0" w:firstColumn="0" w:lastColumn="0" w:oddVBand="0" w:evenVBand="0" w:oddHBand="0" w:evenHBand="0" w:firstRowFirstColumn="0" w:firstRowLastColumn="0" w:lastRowFirstColumn="0" w:lastRowLastColumn="0"/>
            </w:pPr>
            <w:r>
              <w:t>23 867</w:t>
            </w:r>
          </w:p>
        </w:tc>
      </w:tr>
      <w:tr w:rsidR="00964B88" w14:paraId="2389DCF3"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bottom w:val="single" w:sz="6" w:space="0" w:color="auto"/>
            </w:tcBorders>
          </w:tcPr>
          <w:p w14:paraId="4A8217FC" w14:textId="77777777" w:rsidR="00964B88" w:rsidRDefault="00964B88">
            <w:r>
              <w:t>Other provisions</w:t>
            </w:r>
          </w:p>
        </w:tc>
        <w:tc>
          <w:tcPr>
            <w:tcW w:w="782" w:type="dxa"/>
            <w:tcBorders>
              <w:bottom w:val="single" w:sz="6" w:space="0" w:color="auto"/>
            </w:tcBorders>
          </w:tcPr>
          <w:p w14:paraId="7BDEF024" w14:textId="77777777" w:rsidR="00964B88" w:rsidRDefault="00964B88">
            <w:pPr>
              <w:cnfStyle w:val="000000000000" w:firstRow="0" w:lastRow="0" w:firstColumn="0" w:lastColumn="0" w:oddVBand="0" w:evenVBand="0" w:oddHBand="0" w:evenHBand="0" w:firstRowFirstColumn="0" w:firstRowLastColumn="0" w:lastRowFirstColumn="0" w:lastRowLastColumn="0"/>
            </w:pPr>
            <w:r>
              <w:t>1 111</w:t>
            </w:r>
          </w:p>
        </w:tc>
        <w:tc>
          <w:tcPr>
            <w:tcW w:w="782" w:type="dxa"/>
            <w:tcBorders>
              <w:bottom w:val="single" w:sz="6" w:space="0" w:color="auto"/>
            </w:tcBorders>
          </w:tcPr>
          <w:p w14:paraId="32AF8DDD" w14:textId="77777777" w:rsidR="00964B88" w:rsidRDefault="00964B88">
            <w:pPr>
              <w:cnfStyle w:val="000000000000" w:firstRow="0" w:lastRow="0" w:firstColumn="0" w:lastColumn="0" w:oddVBand="0" w:evenVBand="0" w:oddHBand="0" w:evenHBand="0" w:firstRowFirstColumn="0" w:firstRowLastColumn="0" w:lastRowFirstColumn="0" w:lastRowLastColumn="0"/>
            </w:pPr>
            <w:r>
              <w:t>1 114</w:t>
            </w:r>
          </w:p>
        </w:tc>
        <w:tc>
          <w:tcPr>
            <w:tcW w:w="782" w:type="dxa"/>
            <w:tcBorders>
              <w:bottom w:val="single" w:sz="6" w:space="0" w:color="auto"/>
            </w:tcBorders>
          </w:tcPr>
          <w:p w14:paraId="13E229A2" w14:textId="77777777" w:rsidR="00964B88" w:rsidRDefault="00964B88">
            <w:pPr>
              <w:cnfStyle w:val="000000000000" w:firstRow="0" w:lastRow="0" w:firstColumn="0" w:lastColumn="0" w:oddVBand="0" w:evenVBand="0" w:oddHBand="0" w:evenHBand="0" w:firstRowFirstColumn="0" w:firstRowLastColumn="0" w:lastRowFirstColumn="0" w:lastRowLastColumn="0"/>
            </w:pPr>
            <w:r>
              <w:t>1 133</w:t>
            </w:r>
          </w:p>
        </w:tc>
        <w:tc>
          <w:tcPr>
            <w:tcW w:w="782" w:type="dxa"/>
            <w:tcBorders>
              <w:bottom w:val="single" w:sz="6" w:space="0" w:color="auto"/>
            </w:tcBorders>
          </w:tcPr>
          <w:p w14:paraId="6663F73A" w14:textId="77777777" w:rsidR="00964B88" w:rsidRDefault="00964B88">
            <w:pPr>
              <w:cnfStyle w:val="000000000000" w:firstRow="0" w:lastRow="0" w:firstColumn="0" w:lastColumn="0" w:oddVBand="0" w:evenVBand="0" w:oddHBand="0" w:evenHBand="0" w:firstRowFirstColumn="0" w:firstRowLastColumn="0" w:lastRowFirstColumn="0" w:lastRowLastColumn="0"/>
            </w:pPr>
            <w:r>
              <w:t>1 153</w:t>
            </w:r>
          </w:p>
        </w:tc>
        <w:tc>
          <w:tcPr>
            <w:tcW w:w="783" w:type="dxa"/>
            <w:tcBorders>
              <w:bottom w:val="single" w:sz="6" w:space="0" w:color="auto"/>
            </w:tcBorders>
          </w:tcPr>
          <w:p w14:paraId="241061EF" w14:textId="77777777" w:rsidR="00964B88" w:rsidRDefault="00964B88">
            <w:pPr>
              <w:cnfStyle w:val="000000000000" w:firstRow="0" w:lastRow="0" w:firstColumn="0" w:lastColumn="0" w:oddVBand="0" w:evenVBand="0" w:oddHBand="0" w:evenHBand="0" w:firstRowFirstColumn="0" w:firstRowLastColumn="0" w:lastRowFirstColumn="0" w:lastRowLastColumn="0"/>
            </w:pPr>
            <w:r>
              <w:t>1 185</w:t>
            </w:r>
          </w:p>
        </w:tc>
      </w:tr>
      <w:tr w:rsidR="00964B88" w14:paraId="013DBB17"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bottom w:val="single" w:sz="6" w:space="0" w:color="auto"/>
            </w:tcBorders>
          </w:tcPr>
          <w:p w14:paraId="7AEE28EC" w14:textId="77777777" w:rsidR="00964B88" w:rsidRDefault="00964B88">
            <w:r>
              <w:rPr>
                <w:b/>
              </w:rPr>
              <w:t>Total liabilities</w:t>
            </w:r>
          </w:p>
        </w:tc>
        <w:tc>
          <w:tcPr>
            <w:tcW w:w="782" w:type="dxa"/>
            <w:tcBorders>
              <w:top w:val="single" w:sz="6" w:space="0" w:color="auto"/>
              <w:bottom w:val="single" w:sz="6" w:space="0" w:color="auto"/>
            </w:tcBorders>
          </w:tcPr>
          <w:p w14:paraId="1DA4CCF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130 484</w:t>
            </w:r>
          </w:p>
        </w:tc>
        <w:tc>
          <w:tcPr>
            <w:tcW w:w="782" w:type="dxa"/>
            <w:tcBorders>
              <w:top w:val="single" w:sz="6" w:space="0" w:color="auto"/>
              <w:bottom w:val="single" w:sz="6" w:space="0" w:color="auto"/>
            </w:tcBorders>
          </w:tcPr>
          <w:p w14:paraId="5658C51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132 681</w:t>
            </w:r>
          </w:p>
        </w:tc>
        <w:tc>
          <w:tcPr>
            <w:tcW w:w="782" w:type="dxa"/>
            <w:tcBorders>
              <w:top w:val="single" w:sz="6" w:space="0" w:color="auto"/>
              <w:bottom w:val="single" w:sz="6" w:space="0" w:color="auto"/>
            </w:tcBorders>
          </w:tcPr>
          <w:p w14:paraId="268D487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141 423</w:t>
            </w:r>
          </w:p>
        </w:tc>
        <w:tc>
          <w:tcPr>
            <w:tcW w:w="782" w:type="dxa"/>
            <w:tcBorders>
              <w:top w:val="single" w:sz="6" w:space="0" w:color="auto"/>
              <w:bottom w:val="single" w:sz="6" w:space="0" w:color="auto"/>
            </w:tcBorders>
          </w:tcPr>
          <w:p w14:paraId="1521B98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146 040</w:t>
            </w:r>
          </w:p>
        </w:tc>
        <w:tc>
          <w:tcPr>
            <w:tcW w:w="783" w:type="dxa"/>
            <w:tcBorders>
              <w:top w:val="single" w:sz="6" w:space="0" w:color="auto"/>
              <w:bottom w:val="single" w:sz="6" w:space="0" w:color="auto"/>
            </w:tcBorders>
          </w:tcPr>
          <w:p w14:paraId="49D8122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148 587</w:t>
            </w:r>
          </w:p>
        </w:tc>
      </w:tr>
      <w:tr w:rsidR="00964B88" w14:paraId="6A750C9B"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bottom w:val="single" w:sz="12" w:space="0" w:color="auto"/>
            </w:tcBorders>
          </w:tcPr>
          <w:p w14:paraId="383F0F10" w14:textId="77777777" w:rsidR="00964B88" w:rsidRDefault="00964B88">
            <w:r>
              <w:rPr>
                <w:b/>
              </w:rPr>
              <w:t>Net assets</w:t>
            </w:r>
          </w:p>
        </w:tc>
        <w:tc>
          <w:tcPr>
            <w:tcW w:w="782" w:type="dxa"/>
            <w:tcBorders>
              <w:top w:val="single" w:sz="6" w:space="0" w:color="auto"/>
              <w:bottom w:val="single" w:sz="12" w:space="0" w:color="auto"/>
            </w:tcBorders>
          </w:tcPr>
          <w:p w14:paraId="6631AB0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199 015</w:t>
            </w:r>
          </w:p>
        </w:tc>
        <w:tc>
          <w:tcPr>
            <w:tcW w:w="782" w:type="dxa"/>
            <w:tcBorders>
              <w:top w:val="single" w:sz="6" w:space="0" w:color="auto"/>
              <w:bottom w:val="single" w:sz="12" w:space="0" w:color="auto"/>
            </w:tcBorders>
          </w:tcPr>
          <w:p w14:paraId="1A7A5AF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197 488</w:t>
            </w:r>
          </w:p>
        </w:tc>
        <w:tc>
          <w:tcPr>
            <w:tcW w:w="782" w:type="dxa"/>
            <w:tcBorders>
              <w:top w:val="single" w:sz="6" w:space="0" w:color="auto"/>
              <w:bottom w:val="single" w:sz="12" w:space="0" w:color="auto"/>
            </w:tcBorders>
          </w:tcPr>
          <w:p w14:paraId="6301B85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205 886</w:t>
            </w:r>
          </w:p>
        </w:tc>
        <w:tc>
          <w:tcPr>
            <w:tcW w:w="782" w:type="dxa"/>
            <w:tcBorders>
              <w:top w:val="single" w:sz="6" w:space="0" w:color="auto"/>
              <w:bottom w:val="single" w:sz="12" w:space="0" w:color="auto"/>
            </w:tcBorders>
          </w:tcPr>
          <w:p w14:paraId="540A857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213 697</w:t>
            </w:r>
          </w:p>
        </w:tc>
        <w:tc>
          <w:tcPr>
            <w:tcW w:w="783" w:type="dxa"/>
            <w:tcBorders>
              <w:top w:val="single" w:sz="6" w:space="0" w:color="auto"/>
              <w:bottom w:val="single" w:sz="12" w:space="0" w:color="auto"/>
            </w:tcBorders>
          </w:tcPr>
          <w:p w14:paraId="32AE796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223 577</w:t>
            </w:r>
          </w:p>
        </w:tc>
      </w:tr>
      <w:tr w:rsidR="00964B88" w14:paraId="2651ED0C"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top w:val="single" w:sz="0" w:space="0" w:color="auto"/>
            </w:tcBorders>
          </w:tcPr>
          <w:p w14:paraId="2771977D" w14:textId="77777777" w:rsidR="00964B88" w:rsidRDefault="00964B88">
            <w:r>
              <w:t>Accumulated surplus/(deficit)</w:t>
            </w:r>
          </w:p>
        </w:tc>
        <w:tc>
          <w:tcPr>
            <w:tcW w:w="782" w:type="dxa"/>
            <w:tcBorders>
              <w:top w:val="single" w:sz="0" w:space="0" w:color="auto"/>
            </w:tcBorders>
          </w:tcPr>
          <w:p w14:paraId="4BCD4F94" w14:textId="77777777" w:rsidR="00964B88" w:rsidRDefault="00964B88">
            <w:pPr>
              <w:cnfStyle w:val="000000000000" w:firstRow="0" w:lastRow="0" w:firstColumn="0" w:lastColumn="0" w:oddVBand="0" w:evenVBand="0" w:oddHBand="0" w:evenHBand="0" w:firstRowFirstColumn="0" w:firstRowLastColumn="0" w:lastRowFirstColumn="0" w:lastRowLastColumn="0"/>
            </w:pPr>
            <w:r>
              <w:t>81 198</w:t>
            </w:r>
          </w:p>
        </w:tc>
        <w:tc>
          <w:tcPr>
            <w:tcW w:w="782" w:type="dxa"/>
            <w:tcBorders>
              <w:top w:val="single" w:sz="0" w:space="0" w:color="auto"/>
            </w:tcBorders>
          </w:tcPr>
          <w:p w14:paraId="1E72D14F" w14:textId="77777777" w:rsidR="00964B88" w:rsidRDefault="00964B88">
            <w:pPr>
              <w:cnfStyle w:val="000000000000" w:firstRow="0" w:lastRow="0" w:firstColumn="0" w:lastColumn="0" w:oddVBand="0" w:evenVBand="0" w:oddHBand="0" w:evenHBand="0" w:firstRowFirstColumn="0" w:firstRowLastColumn="0" w:lastRowFirstColumn="0" w:lastRowLastColumn="0"/>
            </w:pPr>
            <w:r>
              <w:t>103 848</w:t>
            </w:r>
          </w:p>
        </w:tc>
        <w:tc>
          <w:tcPr>
            <w:tcW w:w="782" w:type="dxa"/>
            <w:tcBorders>
              <w:top w:val="single" w:sz="0" w:space="0" w:color="auto"/>
            </w:tcBorders>
          </w:tcPr>
          <w:p w14:paraId="35D496CC" w14:textId="77777777" w:rsidR="00964B88" w:rsidRDefault="00964B88">
            <w:pPr>
              <w:cnfStyle w:val="000000000000" w:firstRow="0" w:lastRow="0" w:firstColumn="0" w:lastColumn="0" w:oddVBand="0" w:evenVBand="0" w:oddHBand="0" w:evenHBand="0" w:firstRowFirstColumn="0" w:firstRowLastColumn="0" w:lastRowFirstColumn="0" w:lastRowLastColumn="0"/>
            </w:pPr>
            <w:r>
              <w:t>105 282</w:t>
            </w:r>
          </w:p>
        </w:tc>
        <w:tc>
          <w:tcPr>
            <w:tcW w:w="782" w:type="dxa"/>
            <w:tcBorders>
              <w:top w:val="single" w:sz="0" w:space="0" w:color="auto"/>
            </w:tcBorders>
          </w:tcPr>
          <w:p w14:paraId="37A9D472" w14:textId="77777777" w:rsidR="00964B88" w:rsidRDefault="00964B88">
            <w:pPr>
              <w:cnfStyle w:val="000000000000" w:firstRow="0" w:lastRow="0" w:firstColumn="0" w:lastColumn="0" w:oddVBand="0" w:evenVBand="0" w:oddHBand="0" w:evenHBand="0" w:firstRowFirstColumn="0" w:firstRowLastColumn="0" w:lastRowFirstColumn="0" w:lastRowLastColumn="0"/>
            </w:pPr>
            <w:r>
              <w:t>109 287</w:t>
            </w:r>
          </w:p>
        </w:tc>
        <w:tc>
          <w:tcPr>
            <w:tcW w:w="783" w:type="dxa"/>
            <w:tcBorders>
              <w:top w:val="single" w:sz="0" w:space="0" w:color="auto"/>
            </w:tcBorders>
          </w:tcPr>
          <w:p w14:paraId="0947E612" w14:textId="77777777" w:rsidR="00964B88" w:rsidRDefault="00964B88">
            <w:pPr>
              <w:cnfStyle w:val="000000000000" w:firstRow="0" w:lastRow="0" w:firstColumn="0" w:lastColumn="0" w:oddVBand="0" w:evenVBand="0" w:oddHBand="0" w:evenHBand="0" w:firstRowFirstColumn="0" w:firstRowLastColumn="0" w:lastRowFirstColumn="0" w:lastRowLastColumn="0"/>
            </w:pPr>
            <w:r>
              <w:t>114 292</w:t>
            </w:r>
          </w:p>
        </w:tc>
      </w:tr>
      <w:tr w:rsidR="00964B88" w14:paraId="1259E529"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bottom w:val="single" w:sz="6" w:space="0" w:color="auto"/>
            </w:tcBorders>
          </w:tcPr>
          <w:p w14:paraId="2FFFBB27" w14:textId="77777777" w:rsidR="00964B88" w:rsidRDefault="00964B88">
            <w:r>
              <w:t>Reserves</w:t>
            </w:r>
          </w:p>
        </w:tc>
        <w:tc>
          <w:tcPr>
            <w:tcW w:w="782" w:type="dxa"/>
            <w:tcBorders>
              <w:bottom w:val="single" w:sz="6" w:space="0" w:color="auto"/>
            </w:tcBorders>
          </w:tcPr>
          <w:p w14:paraId="00BBA030" w14:textId="77777777" w:rsidR="00964B88" w:rsidRDefault="00964B88">
            <w:pPr>
              <w:cnfStyle w:val="000000000000" w:firstRow="0" w:lastRow="0" w:firstColumn="0" w:lastColumn="0" w:oddVBand="0" w:evenVBand="0" w:oddHBand="0" w:evenHBand="0" w:firstRowFirstColumn="0" w:firstRowLastColumn="0" w:lastRowFirstColumn="0" w:lastRowLastColumn="0"/>
            </w:pPr>
            <w:r>
              <w:t>117 817</w:t>
            </w:r>
          </w:p>
        </w:tc>
        <w:tc>
          <w:tcPr>
            <w:tcW w:w="782" w:type="dxa"/>
            <w:tcBorders>
              <w:bottom w:val="single" w:sz="6" w:space="0" w:color="auto"/>
            </w:tcBorders>
          </w:tcPr>
          <w:p w14:paraId="38FCFCD2" w14:textId="77777777" w:rsidR="00964B88" w:rsidRDefault="00964B88">
            <w:pPr>
              <w:cnfStyle w:val="000000000000" w:firstRow="0" w:lastRow="0" w:firstColumn="0" w:lastColumn="0" w:oddVBand="0" w:evenVBand="0" w:oddHBand="0" w:evenHBand="0" w:firstRowFirstColumn="0" w:firstRowLastColumn="0" w:lastRowFirstColumn="0" w:lastRowLastColumn="0"/>
            </w:pPr>
            <w:r>
              <w:t>93 640</w:t>
            </w:r>
          </w:p>
        </w:tc>
        <w:tc>
          <w:tcPr>
            <w:tcW w:w="782" w:type="dxa"/>
            <w:tcBorders>
              <w:bottom w:val="single" w:sz="6" w:space="0" w:color="auto"/>
            </w:tcBorders>
          </w:tcPr>
          <w:p w14:paraId="5C7BE4A6" w14:textId="77777777" w:rsidR="00964B88" w:rsidRDefault="00964B88">
            <w:pPr>
              <w:cnfStyle w:val="000000000000" w:firstRow="0" w:lastRow="0" w:firstColumn="0" w:lastColumn="0" w:oddVBand="0" w:evenVBand="0" w:oddHBand="0" w:evenHBand="0" w:firstRowFirstColumn="0" w:firstRowLastColumn="0" w:lastRowFirstColumn="0" w:lastRowLastColumn="0"/>
            </w:pPr>
            <w:r>
              <w:t>100 604</w:t>
            </w:r>
          </w:p>
        </w:tc>
        <w:tc>
          <w:tcPr>
            <w:tcW w:w="782" w:type="dxa"/>
            <w:tcBorders>
              <w:bottom w:val="single" w:sz="6" w:space="0" w:color="auto"/>
            </w:tcBorders>
          </w:tcPr>
          <w:p w14:paraId="17FF89E0" w14:textId="77777777" w:rsidR="00964B88" w:rsidRDefault="00964B88">
            <w:pPr>
              <w:cnfStyle w:val="000000000000" w:firstRow="0" w:lastRow="0" w:firstColumn="0" w:lastColumn="0" w:oddVBand="0" w:evenVBand="0" w:oddHBand="0" w:evenHBand="0" w:firstRowFirstColumn="0" w:firstRowLastColumn="0" w:lastRowFirstColumn="0" w:lastRowLastColumn="0"/>
            </w:pPr>
            <w:r>
              <w:t>104 410</w:t>
            </w:r>
          </w:p>
        </w:tc>
        <w:tc>
          <w:tcPr>
            <w:tcW w:w="783" w:type="dxa"/>
            <w:tcBorders>
              <w:bottom w:val="single" w:sz="6" w:space="0" w:color="auto"/>
            </w:tcBorders>
          </w:tcPr>
          <w:p w14:paraId="41591A7C" w14:textId="77777777" w:rsidR="00964B88" w:rsidRDefault="00964B88">
            <w:pPr>
              <w:cnfStyle w:val="000000000000" w:firstRow="0" w:lastRow="0" w:firstColumn="0" w:lastColumn="0" w:oddVBand="0" w:evenVBand="0" w:oddHBand="0" w:evenHBand="0" w:firstRowFirstColumn="0" w:firstRowLastColumn="0" w:lastRowFirstColumn="0" w:lastRowLastColumn="0"/>
            </w:pPr>
            <w:r>
              <w:t>109 285</w:t>
            </w:r>
          </w:p>
        </w:tc>
      </w:tr>
      <w:tr w:rsidR="00964B88" w14:paraId="1AB32DCC" w14:textId="77777777" w:rsidTr="0007698C">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bottom w:val="single" w:sz="12" w:space="0" w:color="auto"/>
            </w:tcBorders>
          </w:tcPr>
          <w:p w14:paraId="1DB90EC4" w14:textId="77777777" w:rsidR="00964B88" w:rsidRDefault="00964B88">
            <w:r>
              <w:rPr>
                <w:b/>
              </w:rPr>
              <w:t>Net worth</w:t>
            </w:r>
          </w:p>
        </w:tc>
        <w:tc>
          <w:tcPr>
            <w:tcW w:w="782" w:type="dxa"/>
            <w:tcBorders>
              <w:top w:val="single" w:sz="6" w:space="0" w:color="auto"/>
              <w:bottom w:val="single" w:sz="12" w:space="0" w:color="auto"/>
            </w:tcBorders>
          </w:tcPr>
          <w:p w14:paraId="5F7849D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199 015</w:t>
            </w:r>
          </w:p>
        </w:tc>
        <w:tc>
          <w:tcPr>
            <w:tcW w:w="782" w:type="dxa"/>
            <w:tcBorders>
              <w:top w:val="single" w:sz="6" w:space="0" w:color="auto"/>
              <w:bottom w:val="single" w:sz="12" w:space="0" w:color="auto"/>
            </w:tcBorders>
          </w:tcPr>
          <w:p w14:paraId="24B6D39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197 488</w:t>
            </w:r>
          </w:p>
        </w:tc>
        <w:tc>
          <w:tcPr>
            <w:tcW w:w="782" w:type="dxa"/>
            <w:tcBorders>
              <w:top w:val="single" w:sz="6" w:space="0" w:color="auto"/>
              <w:bottom w:val="single" w:sz="12" w:space="0" w:color="auto"/>
            </w:tcBorders>
          </w:tcPr>
          <w:p w14:paraId="14E0310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205 886</w:t>
            </w:r>
          </w:p>
        </w:tc>
        <w:tc>
          <w:tcPr>
            <w:tcW w:w="782" w:type="dxa"/>
            <w:tcBorders>
              <w:top w:val="single" w:sz="6" w:space="0" w:color="auto"/>
              <w:bottom w:val="single" w:sz="12" w:space="0" w:color="auto"/>
            </w:tcBorders>
          </w:tcPr>
          <w:p w14:paraId="77C6C0D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213 697</w:t>
            </w:r>
          </w:p>
        </w:tc>
        <w:tc>
          <w:tcPr>
            <w:tcW w:w="783" w:type="dxa"/>
            <w:tcBorders>
              <w:top w:val="single" w:sz="6" w:space="0" w:color="auto"/>
              <w:bottom w:val="single" w:sz="12" w:space="0" w:color="auto"/>
            </w:tcBorders>
          </w:tcPr>
          <w:p w14:paraId="1EE0373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223 577</w:t>
            </w:r>
          </w:p>
        </w:tc>
      </w:tr>
      <w:tr w:rsidR="00964B88" w14:paraId="667AB2F3" w14:textId="77777777" w:rsidTr="0007698C">
        <w:trPr>
          <w:trHeight w:hRule="exact" w:val="113"/>
        </w:trPr>
        <w:tc>
          <w:tcPr>
            <w:cnfStyle w:val="001000000000" w:firstRow="0" w:lastRow="0" w:firstColumn="1" w:lastColumn="0" w:oddVBand="0" w:evenVBand="0" w:oddHBand="0" w:evenHBand="0" w:firstRowFirstColumn="0" w:firstRowLastColumn="0" w:lastRowFirstColumn="0" w:lastRowLastColumn="0"/>
            <w:tcW w:w="3857" w:type="dxa"/>
            <w:tcBorders>
              <w:top w:val="single" w:sz="0" w:space="0" w:color="auto"/>
            </w:tcBorders>
          </w:tcPr>
          <w:p w14:paraId="66F0A567" w14:textId="77777777" w:rsidR="00964B88" w:rsidRDefault="00964B88"/>
        </w:tc>
        <w:tc>
          <w:tcPr>
            <w:tcW w:w="782" w:type="dxa"/>
            <w:tcBorders>
              <w:top w:val="single" w:sz="0" w:space="0" w:color="auto"/>
            </w:tcBorders>
          </w:tcPr>
          <w:p w14:paraId="3906466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0" w:space="0" w:color="auto"/>
            </w:tcBorders>
          </w:tcPr>
          <w:p w14:paraId="40C772B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0" w:space="0" w:color="auto"/>
            </w:tcBorders>
          </w:tcPr>
          <w:p w14:paraId="3E8806F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0" w:space="0" w:color="auto"/>
            </w:tcBorders>
          </w:tcPr>
          <w:p w14:paraId="0380AFB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Borders>
              <w:top w:val="single" w:sz="0" w:space="0" w:color="auto"/>
            </w:tcBorders>
          </w:tcPr>
          <w:p w14:paraId="7AE2B65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7F73B096"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0C2FF1B7" w14:textId="77777777" w:rsidR="00964B88" w:rsidRDefault="00964B88">
            <w:r>
              <w:rPr>
                <w:b/>
              </w:rPr>
              <w:t>FISCAL AGGREGATES</w:t>
            </w:r>
          </w:p>
        </w:tc>
        <w:tc>
          <w:tcPr>
            <w:tcW w:w="782" w:type="dxa"/>
          </w:tcPr>
          <w:p w14:paraId="2658C05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35D8832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4E2D5BE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3D2C28E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Pr>
          <w:p w14:paraId="6229FA4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034C632"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144A642E" w14:textId="77777777" w:rsidR="00964B88" w:rsidRDefault="00964B88">
            <w:r>
              <w:t>Net financial worth</w:t>
            </w:r>
          </w:p>
        </w:tc>
        <w:tc>
          <w:tcPr>
            <w:tcW w:w="782" w:type="dxa"/>
          </w:tcPr>
          <w:p w14:paraId="04F1EB97" w14:textId="77777777" w:rsidR="00964B88" w:rsidRDefault="00964B88">
            <w:pPr>
              <w:cnfStyle w:val="000000000000" w:firstRow="0" w:lastRow="0" w:firstColumn="0" w:lastColumn="0" w:oddVBand="0" w:evenVBand="0" w:oddHBand="0" w:evenHBand="0" w:firstRowFirstColumn="0" w:firstRowLastColumn="0" w:lastRowFirstColumn="0" w:lastRowLastColumn="0"/>
            </w:pPr>
            <w:r>
              <w:t>(107 579)</w:t>
            </w:r>
          </w:p>
        </w:tc>
        <w:tc>
          <w:tcPr>
            <w:tcW w:w="782" w:type="dxa"/>
          </w:tcPr>
          <w:p w14:paraId="4FE7C025" w14:textId="77777777" w:rsidR="00964B88" w:rsidRDefault="00964B88">
            <w:pPr>
              <w:cnfStyle w:val="000000000000" w:firstRow="0" w:lastRow="0" w:firstColumn="0" w:lastColumn="0" w:oddVBand="0" w:evenVBand="0" w:oddHBand="0" w:evenHBand="0" w:firstRowFirstColumn="0" w:firstRowLastColumn="0" w:lastRowFirstColumn="0" w:lastRowLastColumn="0"/>
            </w:pPr>
            <w:r>
              <w:t>(111 631)</w:t>
            </w:r>
          </w:p>
        </w:tc>
        <w:tc>
          <w:tcPr>
            <w:tcW w:w="782" w:type="dxa"/>
          </w:tcPr>
          <w:p w14:paraId="08C31F71" w14:textId="77777777" w:rsidR="00964B88" w:rsidRDefault="00964B88">
            <w:pPr>
              <w:cnfStyle w:val="000000000000" w:firstRow="0" w:lastRow="0" w:firstColumn="0" w:lastColumn="0" w:oddVBand="0" w:evenVBand="0" w:oddHBand="0" w:evenHBand="0" w:firstRowFirstColumn="0" w:firstRowLastColumn="0" w:lastRowFirstColumn="0" w:lastRowLastColumn="0"/>
            </w:pPr>
            <w:r>
              <w:t>(121 059)</w:t>
            </w:r>
          </w:p>
        </w:tc>
        <w:tc>
          <w:tcPr>
            <w:tcW w:w="782" w:type="dxa"/>
          </w:tcPr>
          <w:p w14:paraId="4099D6EA" w14:textId="77777777" w:rsidR="00964B88" w:rsidRDefault="00964B88">
            <w:pPr>
              <w:cnfStyle w:val="000000000000" w:firstRow="0" w:lastRow="0" w:firstColumn="0" w:lastColumn="0" w:oddVBand="0" w:evenVBand="0" w:oddHBand="0" w:evenHBand="0" w:firstRowFirstColumn="0" w:firstRowLastColumn="0" w:lastRowFirstColumn="0" w:lastRowLastColumn="0"/>
            </w:pPr>
            <w:r>
              <w:t>(125 094)</w:t>
            </w:r>
          </w:p>
        </w:tc>
        <w:tc>
          <w:tcPr>
            <w:tcW w:w="783" w:type="dxa"/>
          </w:tcPr>
          <w:p w14:paraId="68D6B6EE" w14:textId="77777777" w:rsidR="00964B88" w:rsidRDefault="00964B88">
            <w:pPr>
              <w:cnfStyle w:val="000000000000" w:firstRow="0" w:lastRow="0" w:firstColumn="0" w:lastColumn="0" w:oddVBand="0" w:evenVBand="0" w:oddHBand="0" w:evenHBand="0" w:firstRowFirstColumn="0" w:firstRowLastColumn="0" w:lastRowFirstColumn="0" w:lastRowLastColumn="0"/>
            </w:pPr>
            <w:r>
              <w:t>(126 623)</w:t>
            </w:r>
          </w:p>
        </w:tc>
      </w:tr>
      <w:tr w:rsidR="00964B88" w14:paraId="5A2BCEE3"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53A417B2" w14:textId="77777777" w:rsidR="00964B88" w:rsidRDefault="00964B88">
            <w:r>
              <w:t>Net financial liabilities</w:t>
            </w:r>
          </w:p>
        </w:tc>
        <w:tc>
          <w:tcPr>
            <w:tcW w:w="782" w:type="dxa"/>
          </w:tcPr>
          <w:p w14:paraId="592DF5F5" w14:textId="77777777" w:rsidR="00964B88" w:rsidRDefault="00964B88">
            <w:pPr>
              <w:cnfStyle w:val="000000000000" w:firstRow="0" w:lastRow="0" w:firstColumn="0" w:lastColumn="0" w:oddVBand="0" w:evenVBand="0" w:oddHBand="0" w:evenHBand="0" w:firstRowFirstColumn="0" w:firstRowLastColumn="0" w:lastRowFirstColumn="0" w:lastRowLastColumn="0"/>
            </w:pPr>
            <w:r>
              <w:t>109 016</w:t>
            </w:r>
          </w:p>
        </w:tc>
        <w:tc>
          <w:tcPr>
            <w:tcW w:w="782" w:type="dxa"/>
          </w:tcPr>
          <w:p w14:paraId="5341A03A" w14:textId="77777777" w:rsidR="00964B88" w:rsidRDefault="00964B88">
            <w:pPr>
              <w:cnfStyle w:val="000000000000" w:firstRow="0" w:lastRow="0" w:firstColumn="0" w:lastColumn="0" w:oddVBand="0" w:evenVBand="0" w:oddHBand="0" w:evenHBand="0" w:firstRowFirstColumn="0" w:firstRowLastColumn="0" w:lastRowFirstColumn="0" w:lastRowLastColumn="0"/>
            </w:pPr>
            <w:r>
              <w:t>112 771</w:t>
            </w:r>
          </w:p>
        </w:tc>
        <w:tc>
          <w:tcPr>
            <w:tcW w:w="782" w:type="dxa"/>
          </w:tcPr>
          <w:p w14:paraId="17ACC450" w14:textId="77777777" w:rsidR="00964B88" w:rsidRDefault="00964B88">
            <w:pPr>
              <w:cnfStyle w:val="000000000000" w:firstRow="0" w:lastRow="0" w:firstColumn="0" w:lastColumn="0" w:oddVBand="0" w:evenVBand="0" w:oddHBand="0" w:evenHBand="0" w:firstRowFirstColumn="0" w:firstRowLastColumn="0" w:lastRowFirstColumn="0" w:lastRowLastColumn="0"/>
            </w:pPr>
            <w:r>
              <w:t>121 374</w:t>
            </w:r>
          </w:p>
        </w:tc>
        <w:tc>
          <w:tcPr>
            <w:tcW w:w="782" w:type="dxa"/>
          </w:tcPr>
          <w:p w14:paraId="59F3F279" w14:textId="77777777" w:rsidR="00964B88" w:rsidRDefault="00964B88">
            <w:pPr>
              <w:cnfStyle w:val="000000000000" w:firstRow="0" w:lastRow="0" w:firstColumn="0" w:lastColumn="0" w:oddVBand="0" w:evenVBand="0" w:oddHBand="0" w:evenHBand="0" w:firstRowFirstColumn="0" w:firstRowLastColumn="0" w:lastRowFirstColumn="0" w:lastRowLastColumn="0"/>
            </w:pPr>
            <w:r>
              <w:t>125 438</w:t>
            </w:r>
          </w:p>
        </w:tc>
        <w:tc>
          <w:tcPr>
            <w:tcW w:w="783" w:type="dxa"/>
          </w:tcPr>
          <w:p w14:paraId="7EA9FBBF" w14:textId="77777777" w:rsidR="00964B88" w:rsidRDefault="00964B88">
            <w:pPr>
              <w:cnfStyle w:val="000000000000" w:firstRow="0" w:lastRow="0" w:firstColumn="0" w:lastColumn="0" w:oddVBand="0" w:evenVBand="0" w:oddHBand="0" w:evenHBand="0" w:firstRowFirstColumn="0" w:firstRowLastColumn="0" w:lastRowFirstColumn="0" w:lastRowLastColumn="0"/>
            </w:pPr>
            <w:r>
              <w:t>126 996</w:t>
            </w:r>
          </w:p>
        </w:tc>
      </w:tr>
      <w:tr w:rsidR="00964B88" w14:paraId="661C2CCA" w14:textId="77777777" w:rsidTr="0007698C">
        <w:tc>
          <w:tcPr>
            <w:cnfStyle w:val="001000000000" w:firstRow="0" w:lastRow="0" w:firstColumn="1" w:lastColumn="0" w:oddVBand="0" w:evenVBand="0" w:oddHBand="0" w:evenHBand="0" w:firstRowFirstColumn="0" w:firstRowLastColumn="0" w:lastRowFirstColumn="0" w:lastRowLastColumn="0"/>
            <w:tcW w:w="3857" w:type="dxa"/>
          </w:tcPr>
          <w:p w14:paraId="5DACC815" w14:textId="77777777" w:rsidR="00964B88" w:rsidRDefault="00964B88">
            <w:r>
              <w:t>Net debt</w:t>
            </w:r>
          </w:p>
        </w:tc>
        <w:tc>
          <w:tcPr>
            <w:tcW w:w="782" w:type="dxa"/>
          </w:tcPr>
          <w:p w14:paraId="4884C3DE" w14:textId="77777777" w:rsidR="00964B88" w:rsidRDefault="00964B88">
            <w:pPr>
              <w:cnfStyle w:val="000000000000" w:firstRow="0" w:lastRow="0" w:firstColumn="0" w:lastColumn="0" w:oddVBand="0" w:evenVBand="0" w:oddHBand="0" w:evenHBand="0" w:firstRowFirstColumn="0" w:firstRowLastColumn="0" w:lastRowFirstColumn="0" w:lastRowLastColumn="0"/>
            </w:pPr>
            <w:r>
              <w:t>53 668</w:t>
            </w:r>
          </w:p>
        </w:tc>
        <w:tc>
          <w:tcPr>
            <w:tcW w:w="782" w:type="dxa"/>
          </w:tcPr>
          <w:p w14:paraId="285AE741" w14:textId="77777777" w:rsidR="00964B88" w:rsidRDefault="00964B88">
            <w:pPr>
              <w:cnfStyle w:val="000000000000" w:firstRow="0" w:lastRow="0" w:firstColumn="0" w:lastColumn="0" w:oddVBand="0" w:evenVBand="0" w:oddHBand="0" w:evenHBand="0" w:firstRowFirstColumn="0" w:firstRowLastColumn="0" w:lastRowFirstColumn="0" w:lastRowLastColumn="0"/>
            </w:pPr>
            <w:r>
              <w:t>57 115</w:t>
            </w:r>
          </w:p>
        </w:tc>
        <w:tc>
          <w:tcPr>
            <w:tcW w:w="782" w:type="dxa"/>
          </w:tcPr>
          <w:p w14:paraId="426666A7" w14:textId="77777777" w:rsidR="00964B88" w:rsidRDefault="00964B88">
            <w:pPr>
              <w:cnfStyle w:val="000000000000" w:firstRow="0" w:lastRow="0" w:firstColumn="0" w:lastColumn="0" w:oddVBand="0" w:evenVBand="0" w:oddHBand="0" w:evenHBand="0" w:firstRowFirstColumn="0" w:firstRowLastColumn="0" w:lastRowFirstColumn="0" w:lastRowLastColumn="0"/>
            </w:pPr>
            <w:r>
              <w:t>66 973</w:t>
            </w:r>
          </w:p>
        </w:tc>
        <w:tc>
          <w:tcPr>
            <w:tcW w:w="782" w:type="dxa"/>
          </w:tcPr>
          <w:p w14:paraId="6D7CFDCA" w14:textId="77777777" w:rsidR="00964B88" w:rsidRDefault="00964B88">
            <w:pPr>
              <w:cnfStyle w:val="000000000000" w:firstRow="0" w:lastRow="0" w:firstColumn="0" w:lastColumn="0" w:oddVBand="0" w:evenVBand="0" w:oddHBand="0" w:evenHBand="0" w:firstRowFirstColumn="0" w:firstRowLastColumn="0" w:lastRowFirstColumn="0" w:lastRowLastColumn="0"/>
            </w:pPr>
            <w:r>
              <w:t>72 585</w:t>
            </w:r>
          </w:p>
        </w:tc>
        <w:tc>
          <w:tcPr>
            <w:tcW w:w="783" w:type="dxa"/>
          </w:tcPr>
          <w:p w14:paraId="6F212883" w14:textId="77777777" w:rsidR="00964B88" w:rsidRDefault="00964B88">
            <w:pPr>
              <w:cnfStyle w:val="000000000000" w:firstRow="0" w:lastRow="0" w:firstColumn="0" w:lastColumn="0" w:oddVBand="0" w:evenVBand="0" w:oddHBand="0" w:evenHBand="0" w:firstRowFirstColumn="0" w:firstRowLastColumn="0" w:lastRowFirstColumn="0" w:lastRowLastColumn="0"/>
            </w:pPr>
            <w:r>
              <w:t>76 924</w:t>
            </w:r>
          </w:p>
        </w:tc>
      </w:tr>
    </w:tbl>
    <w:p w14:paraId="61EF1D51" w14:textId="77777777" w:rsidR="00964B88" w:rsidRPr="005F55F3" w:rsidRDefault="00964B88" w:rsidP="00F53820">
      <w:pPr>
        <w:pStyle w:val="Note"/>
      </w:pPr>
      <w:r>
        <w:t>Note:</w:t>
      </w:r>
    </w:p>
    <w:p w14:paraId="2D44A7C2" w14:textId="77777777" w:rsidR="00964B88" w:rsidRPr="00926603" w:rsidRDefault="00964B88" w:rsidP="00F53820">
      <w:pPr>
        <w:pStyle w:val="Note"/>
      </w:pPr>
      <w:r w:rsidRPr="00926603">
        <w:t>(a)</w:t>
      </w:r>
      <w:r w:rsidRPr="00926603">
        <w:tab/>
        <w:t>Balances represent actual</w:t>
      </w:r>
      <w:r>
        <w:t xml:space="preserve"> opening balances at 1 July 2019 plus 2019-20</w:t>
      </w:r>
      <w:r w:rsidRPr="00926603">
        <w:t xml:space="preserve"> budgeted movements.</w:t>
      </w:r>
    </w:p>
    <w:p w14:paraId="3DE49691" w14:textId="77777777" w:rsidR="00964B88" w:rsidRDefault="00964B88" w:rsidP="00F53820"/>
    <w:p w14:paraId="05711165" w14:textId="77777777" w:rsidR="00964B88" w:rsidRDefault="00964B88" w:rsidP="00F53820">
      <w:pPr>
        <w:pStyle w:val="Heading10"/>
      </w:pPr>
      <w:r>
        <w:br w:type="page"/>
      </w:r>
    </w:p>
    <w:p w14:paraId="5DB50590" w14:textId="77777777" w:rsidR="00964B88" w:rsidRDefault="00964B88" w:rsidP="00F53820">
      <w:pPr>
        <w:pStyle w:val="TableHeading"/>
      </w:pPr>
      <w:r>
        <w:lastRenderedPageBreak/>
        <w:t>Table 5.8</w:t>
      </w:r>
      <w:r w:rsidR="009C1504">
        <w:t>:</w:t>
      </w:r>
      <w:r>
        <w:tab/>
        <w:t xml:space="preserve">Non-financial public sector cash flow statement </w:t>
      </w:r>
      <w:r w:rsidR="00506B7C">
        <w:br/>
      </w:r>
      <w:r>
        <w:t>for the financial year ended 30 June</w:t>
      </w:r>
      <w:r>
        <w:tab/>
        <w:t>($ million)</w:t>
      </w:r>
    </w:p>
    <w:tbl>
      <w:tblPr>
        <w:tblStyle w:val="DTFTable"/>
        <w:tblW w:w="7768" w:type="dxa"/>
        <w:tblLayout w:type="fixed"/>
        <w:tblLook w:val="06E0" w:firstRow="1" w:lastRow="1" w:firstColumn="1" w:lastColumn="0" w:noHBand="1" w:noVBand="1"/>
      </w:tblPr>
      <w:tblGrid>
        <w:gridCol w:w="3998"/>
        <w:gridCol w:w="105"/>
        <w:gridCol w:w="37"/>
        <w:gridCol w:w="612"/>
        <w:gridCol w:w="754"/>
        <w:gridCol w:w="754"/>
        <w:gridCol w:w="754"/>
        <w:gridCol w:w="754"/>
      </w:tblGrid>
      <w:tr w:rsidR="00964B88" w14:paraId="40395279" w14:textId="77777777" w:rsidTr="000769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14:paraId="04A35629" w14:textId="77777777" w:rsidR="00964B88" w:rsidRDefault="00964B88">
            <w:pPr>
              <w:rPr>
                <w:sz w:val="16"/>
              </w:rPr>
            </w:pPr>
          </w:p>
        </w:tc>
        <w:tc>
          <w:tcPr>
            <w:tcW w:w="754" w:type="dxa"/>
            <w:gridSpan w:val="3"/>
          </w:tcPr>
          <w:p w14:paraId="092D0524"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2019</w:t>
            </w:r>
            <w:r>
              <w:rPr>
                <w:sz w:val="16"/>
              </w:rPr>
              <w:noBreakHyphen/>
              <w:t>20</w:t>
            </w:r>
            <w:r>
              <w:rPr>
                <w:sz w:val="16"/>
              </w:rPr>
              <w:br/>
              <w:t>budget</w:t>
            </w:r>
          </w:p>
        </w:tc>
        <w:tc>
          <w:tcPr>
            <w:tcW w:w="754" w:type="dxa"/>
          </w:tcPr>
          <w:p w14:paraId="1F2AE9EE"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2019</w:t>
            </w:r>
            <w:r>
              <w:rPr>
                <w:sz w:val="16"/>
              </w:rPr>
              <w:noBreakHyphen/>
              <w:t>20</w:t>
            </w:r>
            <w:r>
              <w:rPr>
                <w:sz w:val="16"/>
              </w:rPr>
              <w:br/>
              <w:t>revised</w:t>
            </w:r>
          </w:p>
        </w:tc>
        <w:tc>
          <w:tcPr>
            <w:tcW w:w="754" w:type="dxa"/>
          </w:tcPr>
          <w:p w14:paraId="4C5D1D9C"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2020</w:t>
            </w:r>
            <w:r>
              <w:rPr>
                <w:sz w:val="16"/>
              </w:rPr>
              <w:noBreakHyphen/>
              <w:t>21</w:t>
            </w:r>
            <w:r>
              <w:rPr>
                <w:sz w:val="16"/>
              </w:rPr>
              <w:br/>
              <w:t>estimate</w:t>
            </w:r>
          </w:p>
        </w:tc>
        <w:tc>
          <w:tcPr>
            <w:tcW w:w="754" w:type="dxa"/>
          </w:tcPr>
          <w:p w14:paraId="2B45D4D2"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2021</w:t>
            </w:r>
            <w:r>
              <w:rPr>
                <w:sz w:val="16"/>
              </w:rPr>
              <w:noBreakHyphen/>
              <w:t>22</w:t>
            </w:r>
            <w:r>
              <w:rPr>
                <w:sz w:val="16"/>
              </w:rPr>
              <w:br/>
              <w:t>estimate</w:t>
            </w:r>
          </w:p>
        </w:tc>
        <w:tc>
          <w:tcPr>
            <w:tcW w:w="754" w:type="dxa"/>
          </w:tcPr>
          <w:p w14:paraId="31024C63"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2022</w:t>
            </w:r>
            <w:r>
              <w:rPr>
                <w:sz w:val="16"/>
              </w:rPr>
              <w:noBreakHyphen/>
              <w:t>23</w:t>
            </w:r>
            <w:r>
              <w:rPr>
                <w:sz w:val="16"/>
              </w:rPr>
              <w:br/>
              <w:t>estimate</w:t>
            </w:r>
          </w:p>
        </w:tc>
      </w:tr>
      <w:tr w:rsidR="00964B88" w14:paraId="5B091466"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21DC3FF" w14:textId="77777777" w:rsidR="00964B88" w:rsidRDefault="00964B88">
            <w:pPr>
              <w:rPr>
                <w:sz w:val="16"/>
              </w:rPr>
            </w:pPr>
            <w:r>
              <w:rPr>
                <w:b/>
                <w:sz w:val="16"/>
              </w:rPr>
              <w:t>Cash flows from operating activities</w:t>
            </w:r>
          </w:p>
        </w:tc>
        <w:tc>
          <w:tcPr>
            <w:tcW w:w="754" w:type="dxa"/>
            <w:gridSpan w:val="3"/>
          </w:tcPr>
          <w:p w14:paraId="7AF4F7E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2D688D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B4BB38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233610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81EA76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115173D6"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0660822C" w14:textId="77777777" w:rsidR="00964B88" w:rsidRDefault="00964B88">
            <w:pPr>
              <w:rPr>
                <w:sz w:val="16"/>
              </w:rPr>
            </w:pPr>
            <w:r>
              <w:rPr>
                <w:b/>
                <w:sz w:val="16"/>
              </w:rPr>
              <w:t>Receipts</w:t>
            </w:r>
          </w:p>
        </w:tc>
        <w:tc>
          <w:tcPr>
            <w:tcW w:w="754" w:type="dxa"/>
            <w:gridSpan w:val="3"/>
          </w:tcPr>
          <w:p w14:paraId="3F6E81C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D75F7E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1B32FE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240ACF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63884F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6FFCF430"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CD5A17F" w14:textId="77777777" w:rsidR="00964B88" w:rsidRDefault="00964B88">
            <w:pPr>
              <w:rPr>
                <w:sz w:val="16"/>
              </w:rPr>
            </w:pPr>
            <w:r>
              <w:rPr>
                <w:sz w:val="16"/>
              </w:rPr>
              <w:t>Taxes received</w:t>
            </w:r>
          </w:p>
        </w:tc>
        <w:tc>
          <w:tcPr>
            <w:tcW w:w="754" w:type="dxa"/>
            <w:gridSpan w:val="3"/>
          </w:tcPr>
          <w:p w14:paraId="2AA16D4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23 661</w:t>
            </w:r>
          </w:p>
        </w:tc>
        <w:tc>
          <w:tcPr>
            <w:tcW w:w="754" w:type="dxa"/>
          </w:tcPr>
          <w:p w14:paraId="0DEA75F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23 759</w:t>
            </w:r>
          </w:p>
        </w:tc>
        <w:tc>
          <w:tcPr>
            <w:tcW w:w="754" w:type="dxa"/>
          </w:tcPr>
          <w:p w14:paraId="76BB720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24 789</w:t>
            </w:r>
          </w:p>
        </w:tc>
        <w:tc>
          <w:tcPr>
            <w:tcW w:w="754" w:type="dxa"/>
          </w:tcPr>
          <w:p w14:paraId="101210F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26 106</w:t>
            </w:r>
          </w:p>
        </w:tc>
        <w:tc>
          <w:tcPr>
            <w:tcW w:w="754" w:type="dxa"/>
          </w:tcPr>
          <w:p w14:paraId="2022BEC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27 681</w:t>
            </w:r>
          </w:p>
        </w:tc>
      </w:tr>
      <w:tr w:rsidR="00964B88" w14:paraId="452E7CCC"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5630BBDD" w14:textId="77777777" w:rsidR="00964B88" w:rsidRDefault="00964B88">
            <w:pPr>
              <w:rPr>
                <w:sz w:val="16"/>
              </w:rPr>
            </w:pPr>
            <w:r>
              <w:rPr>
                <w:sz w:val="16"/>
              </w:rPr>
              <w:t>Grants</w:t>
            </w:r>
          </w:p>
        </w:tc>
        <w:tc>
          <w:tcPr>
            <w:tcW w:w="754" w:type="dxa"/>
            <w:gridSpan w:val="3"/>
          </w:tcPr>
          <w:p w14:paraId="26A3F2D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34 121</w:t>
            </w:r>
          </w:p>
        </w:tc>
        <w:tc>
          <w:tcPr>
            <w:tcW w:w="754" w:type="dxa"/>
          </w:tcPr>
          <w:p w14:paraId="7AA6F41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33 901</w:t>
            </w:r>
          </w:p>
        </w:tc>
        <w:tc>
          <w:tcPr>
            <w:tcW w:w="754" w:type="dxa"/>
          </w:tcPr>
          <w:p w14:paraId="71F02BF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35 933</w:t>
            </w:r>
          </w:p>
        </w:tc>
        <w:tc>
          <w:tcPr>
            <w:tcW w:w="754" w:type="dxa"/>
          </w:tcPr>
          <w:p w14:paraId="25D29EE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37 906</w:t>
            </w:r>
          </w:p>
        </w:tc>
        <w:tc>
          <w:tcPr>
            <w:tcW w:w="754" w:type="dxa"/>
          </w:tcPr>
          <w:p w14:paraId="1C27FD5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40 343</w:t>
            </w:r>
          </w:p>
        </w:tc>
      </w:tr>
      <w:tr w:rsidR="00964B88" w14:paraId="44C71780"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23766C90" w14:textId="77777777" w:rsidR="00964B88" w:rsidRDefault="00964B88">
            <w:pPr>
              <w:rPr>
                <w:sz w:val="16"/>
              </w:rPr>
            </w:pPr>
            <w:r>
              <w:rPr>
                <w:sz w:val="16"/>
              </w:rPr>
              <w:t>Sales of goods and services</w:t>
            </w:r>
            <w:r>
              <w:rPr>
                <w:sz w:val="16"/>
                <w:vertAlign w:val="superscript"/>
              </w:rPr>
              <w:t xml:space="preserve"> (a)</w:t>
            </w:r>
          </w:p>
        </w:tc>
        <w:tc>
          <w:tcPr>
            <w:tcW w:w="754" w:type="dxa"/>
            <w:gridSpan w:val="3"/>
          </w:tcPr>
          <w:p w14:paraId="112F8A9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13 372</w:t>
            </w:r>
          </w:p>
        </w:tc>
        <w:tc>
          <w:tcPr>
            <w:tcW w:w="754" w:type="dxa"/>
          </w:tcPr>
          <w:p w14:paraId="67E5424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13 201</w:t>
            </w:r>
          </w:p>
        </w:tc>
        <w:tc>
          <w:tcPr>
            <w:tcW w:w="754" w:type="dxa"/>
          </w:tcPr>
          <w:p w14:paraId="612CCC8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14 102</w:t>
            </w:r>
          </w:p>
        </w:tc>
        <w:tc>
          <w:tcPr>
            <w:tcW w:w="754" w:type="dxa"/>
          </w:tcPr>
          <w:p w14:paraId="0EAF210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14 266</w:t>
            </w:r>
          </w:p>
        </w:tc>
        <w:tc>
          <w:tcPr>
            <w:tcW w:w="754" w:type="dxa"/>
          </w:tcPr>
          <w:p w14:paraId="6F91BB3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14 904</w:t>
            </w:r>
          </w:p>
        </w:tc>
      </w:tr>
      <w:tr w:rsidR="00964B88" w14:paraId="3CF4CE65"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24DD551B" w14:textId="77777777" w:rsidR="00964B88" w:rsidRDefault="00964B88">
            <w:pPr>
              <w:rPr>
                <w:sz w:val="16"/>
              </w:rPr>
            </w:pPr>
            <w:r>
              <w:rPr>
                <w:sz w:val="16"/>
              </w:rPr>
              <w:t>Interest received</w:t>
            </w:r>
          </w:p>
        </w:tc>
        <w:tc>
          <w:tcPr>
            <w:tcW w:w="754" w:type="dxa"/>
            <w:gridSpan w:val="3"/>
          </w:tcPr>
          <w:p w14:paraId="5A16AAD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242</w:t>
            </w:r>
          </w:p>
        </w:tc>
        <w:tc>
          <w:tcPr>
            <w:tcW w:w="754" w:type="dxa"/>
          </w:tcPr>
          <w:p w14:paraId="32A52FF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238</w:t>
            </w:r>
          </w:p>
        </w:tc>
        <w:tc>
          <w:tcPr>
            <w:tcW w:w="754" w:type="dxa"/>
          </w:tcPr>
          <w:p w14:paraId="062D9DC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247</w:t>
            </w:r>
          </w:p>
        </w:tc>
        <w:tc>
          <w:tcPr>
            <w:tcW w:w="754" w:type="dxa"/>
          </w:tcPr>
          <w:p w14:paraId="1F0A919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256</w:t>
            </w:r>
          </w:p>
        </w:tc>
        <w:tc>
          <w:tcPr>
            <w:tcW w:w="754" w:type="dxa"/>
          </w:tcPr>
          <w:p w14:paraId="7381285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255</w:t>
            </w:r>
          </w:p>
        </w:tc>
      </w:tr>
      <w:tr w:rsidR="00964B88" w14:paraId="7BF71D15" w14:textId="77777777" w:rsidTr="0007698C">
        <w:tc>
          <w:tcPr>
            <w:cnfStyle w:val="001000000000" w:firstRow="0" w:lastRow="0" w:firstColumn="1" w:lastColumn="0" w:oddVBand="0" w:evenVBand="0" w:oddHBand="0" w:evenHBand="0" w:firstRowFirstColumn="0" w:firstRowLastColumn="0" w:lastRowFirstColumn="0" w:lastRowLastColumn="0"/>
            <w:tcW w:w="4140" w:type="dxa"/>
            <w:gridSpan w:val="3"/>
          </w:tcPr>
          <w:p w14:paraId="169ED53B" w14:textId="77777777" w:rsidR="00964B88" w:rsidRDefault="00964B88">
            <w:pPr>
              <w:rPr>
                <w:sz w:val="16"/>
              </w:rPr>
            </w:pPr>
            <w:r>
              <w:rPr>
                <w:sz w:val="16"/>
              </w:rPr>
              <w:t>Dividends, income tax equivalent and rate equivalent receipts</w:t>
            </w:r>
          </w:p>
        </w:tc>
        <w:tc>
          <w:tcPr>
            <w:tcW w:w="612" w:type="dxa"/>
          </w:tcPr>
          <w:p w14:paraId="6666F86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269</w:t>
            </w:r>
          </w:p>
        </w:tc>
        <w:tc>
          <w:tcPr>
            <w:tcW w:w="754" w:type="dxa"/>
          </w:tcPr>
          <w:p w14:paraId="175525B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251</w:t>
            </w:r>
          </w:p>
        </w:tc>
        <w:tc>
          <w:tcPr>
            <w:tcW w:w="754" w:type="dxa"/>
          </w:tcPr>
          <w:p w14:paraId="3894DF8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177</w:t>
            </w:r>
          </w:p>
        </w:tc>
        <w:tc>
          <w:tcPr>
            <w:tcW w:w="754" w:type="dxa"/>
          </w:tcPr>
          <w:p w14:paraId="4251310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187</w:t>
            </w:r>
          </w:p>
        </w:tc>
        <w:tc>
          <w:tcPr>
            <w:tcW w:w="754" w:type="dxa"/>
          </w:tcPr>
          <w:p w14:paraId="3FD2258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181</w:t>
            </w:r>
          </w:p>
        </w:tc>
      </w:tr>
      <w:tr w:rsidR="00964B88" w14:paraId="6D0B05C4"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5223BBCB" w14:textId="77777777" w:rsidR="00964B88" w:rsidRDefault="00964B88">
            <w:pPr>
              <w:rPr>
                <w:sz w:val="16"/>
              </w:rPr>
            </w:pPr>
            <w:r>
              <w:rPr>
                <w:sz w:val="16"/>
              </w:rPr>
              <w:t>Other receipts</w:t>
            </w:r>
          </w:p>
        </w:tc>
        <w:tc>
          <w:tcPr>
            <w:tcW w:w="754" w:type="dxa"/>
            <w:gridSpan w:val="3"/>
            <w:tcBorders>
              <w:bottom w:val="single" w:sz="6" w:space="0" w:color="auto"/>
            </w:tcBorders>
          </w:tcPr>
          <w:p w14:paraId="3FE83CA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2 506</w:t>
            </w:r>
          </w:p>
        </w:tc>
        <w:tc>
          <w:tcPr>
            <w:tcW w:w="754" w:type="dxa"/>
            <w:tcBorders>
              <w:bottom w:val="single" w:sz="6" w:space="0" w:color="auto"/>
            </w:tcBorders>
          </w:tcPr>
          <w:p w14:paraId="4B6CA23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2 504</w:t>
            </w:r>
          </w:p>
        </w:tc>
        <w:tc>
          <w:tcPr>
            <w:tcW w:w="754" w:type="dxa"/>
            <w:tcBorders>
              <w:bottom w:val="single" w:sz="6" w:space="0" w:color="auto"/>
            </w:tcBorders>
          </w:tcPr>
          <w:p w14:paraId="219740D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2 676</w:t>
            </w:r>
          </w:p>
        </w:tc>
        <w:tc>
          <w:tcPr>
            <w:tcW w:w="754" w:type="dxa"/>
            <w:tcBorders>
              <w:bottom w:val="single" w:sz="6" w:space="0" w:color="auto"/>
            </w:tcBorders>
          </w:tcPr>
          <w:p w14:paraId="429F486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2 715</w:t>
            </w:r>
          </w:p>
        </w:tc>
        <w:tc>
          <w:tcPr>
            <w:tcW w:w="754" w:type="dxa"/>
            <w:tcBorders>
              <w:bottom w:val="single" w:sz="6" w:space="0" w:color="auto"/>
            </w:tcBorders>
          </w:tcPr>
          <w:p w14:paraId="73AA730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2 584</w:t>
            </w:r>
          </w:p>
        </w:tc>
      </w:tr>
      <w:tr w:rsidR="00964B88" w14:paraId="1FFC5AAE"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5AE91BB9" w14:textId="77777777" w:rsidR="00964B88" w:rsidRDefault="00964B88">
            <w:pPr>
              <w:rPr>
                <w:sz w:val="16"/>
              </w:rPr>
            </w:pPr>
            <w:r>
              <w:rPr>
                <w:b/>
                <w:sz w:val="16"/>
              </w:rPr>
              <w:t>Total receipts</w:t>
            </w:r>
          </w:p>
        </w:tc>
        <w:tc>
          <w:tcPr>
            <w:tcW w:w="754" w:type="dxa"/>
            <w:gridSpan w:val="3"/>
            <w:tcBorders>
              <w:top w:val="single" w:sz="6" w:space="0" w:color="auto"/>
            </w:tcBorders>
          </w:tcPr>
          <w:p w14:paraId="3BD97B3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74 171</w:t>
            </w:r>
          </w:p>
        </w:tc>
        <w:tc>
          <w:tcPr>
            <w:tcW w:w="754" w:type="dxa"/>
            <w:tcBorders>
              <w:top w:val="single" w:sz="6" w:space="0" w:color="auto"/>
            </w:tcBorders>
          </w:tcPr>
          <w:p w14:paraId="21590C9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73 854</w:t>
            </w:r>
          </w:p>
        </w:tc>
        <w:tc>
          <w:tcPr>
            <w:tcW w:w="754" w:type="dxa"/>
            <w:tcBorders>
              <w:top w:val="single" w:sz="6" w:space="0" w:color="auto"/>
            </w:tcBorders>
          </w:tcPr>
          <w:p w14:paraId="70445F8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77 924</w:t>
            </w:r>
          </w:p>
        </w:tc>
        <w:tc>
          <w:tcPr>
            <w:tcW w:w="754" w:type="dxa"/>
            <w:tcBorders>
              <w:top w:val="single" w:sz="6" w:space="0" w:color="auto"/>
            </w:tcBorders>
          </w:tcPr>
          <w:p w14:paraId="0A12C9F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81 436</w:t>
            </w:r>
          </w:p>
        </w:tc>
        <w:tc>
          <w:tcPr>
            <w:tcW w:w="754" w:type="dxa"/>
            <w:tcBorders>
              <w:top w:val="single" w:sz="6" w:space="0" w:color="auto"/>
            </w:tcBorders>
          </w:tcPr>
          <w:p w14:paraId="0DDADA7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85 948</w:t>
            </w:r>
          </w:p>
        </w:tc>
      </w:tr>
      <w:tr w:rsidR="00964B88" w14:paraId="012D0C1D"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2F2F8F51" w14:textId="77777777" w:rsidR="00964B88" w:rsidRDefault="00964B88">
            <w:pPr>
              <w:rPr>
                <w:sz w:val="16"/>
              </w:rPr>
            </w:pPr>
            <w:r>
              <w:rPr>
                <w:b/>
                <w:sz w:val="16"/>
              </w:rPr>
              <w:t>Payments</w:t>
            </w:r>
          </w:p>
        </w:tc>
        <w:tc>
          <w:tcPr>
            <w:tcW w:w="754" w:type="dxa"/>
            <w:gridSpan w:val="3"/>
          </w:tcPr>
          <w:p w14:paraId="4E99E28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0952A0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57AB44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F62B7D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932E94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6D2C868A"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38365F8B" w14:textId="77777777" w:rsidR="00964B88" w:rsidRDefault="00964B88">
            <w:pPr>
              <w:rPr>
                <w:sz w:val="16"/>
              </w:rPr>
            </w:pPr>
            <w:r>
              <w:rPr>
                <w:sz w:val="16"/>
              </w:rPr>
              <w:t>Payments for employees</w:t>
            </w:r>
          </w:p>
        </w:tc>
        <w:tc>
          <w:tcPr>
            <w:tcW w:w="754" w:type="dxa"/>
            <w:gridSpan w:val="3"/>
          </w:tcPr>
          <w:p w14:paraId="18FC3B6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(27 234)</w:t>
            </w:r>
          </w:p>
        </w:tc>
        <w:tc>
          <w:tcPr>
            <w:tcW w:w="754" w:type="dxa"/>
          </w:tcPr>
          <w:p w14:paraId="1F7EBC0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(27 173)</w:t>
            </w:r>
          </w:p>
        </w:tc>
        <w:tc>
          <w:tcPr>
            <w:tcW w:w="754" w:type="dxa"/>
          </w:tcPr>
          <w:p w14:paraId="5C0100F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(28 628)</w:t>
            </w:r>
          </w:p>
        </w:tc>
        <w:tc>
          <w:tcPr>
            <w:tcW w:w="754" w:type="dxa"/>
          </w:tcPr>
          <w:p w14:paraId="2D8EA6B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(29 534)</w:t>
            </w:r>
          </w:p>
        </w:tc>
        <w:tc>
          <w:tcPr>
            <w:tcW w:w="754" w:type="dxa"/>
          </w:tcPr>
          <w:p w14:paraId="549EDA6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(30 910)</w:t>
            </w:r>
          </w:p>
        </w:tc>
      </w:tr>
      <w:tr w:rsidR="00964B88" w14:paraId="6CB888F6"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60324B06" w14:textId="77777777" w:rsidR="00964B88" w:rsidRDefault="00964B88">
            <w:pPr>
              <w:rPr>
                <w:sz w:val="16"/>
              </w:rPr>
            </w:pPr>
            <w:r>
              <w:rPr>
                <w:sz w:val="16"/>
              </w:rPr>
              <w:t>Superannuation</w:t>
            </w:r>
          </w:p>
        </w:tc>
        <w:tc>
          <w:tcPr>
            <w:tcW w:w="754" w:type="dxa"/>
            <w:gridSpan w:val="3"/>
          </w:tcPr>
          <w:p w14:paraId="04751EC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(3 637)</w:t>
            </w:r>
          </w:p>
        </w:tc>
        <w:tc>
          <w:tcPr>
            <w:tcW w:w="754" w:type="dxa"/>
          </w:tcPr>
          <w:p w14:paraId="1C2AFDA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(3 653)</w:t>
            </w:r>
          </w:p>
        </w:tc>
        <w:tc>
          <w:tcPr>
            <w:tcW w:w="754" w:type="dxa"/>
          </w:tcPr>
          <w:p w14:paraId="3851DA7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(3 687)</w:t>
            </w:r>
          </w:p>
        </w:tc>
        <w:tc>
          <w:tcPr>
            <w:tcW w:w="754" w:type="dxa"/>
          </w:tcPr>
          <w:p w14:paraId="3735F4A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(3 668)</w:t>
            </w:r>
          </w:p>
        </w:tc>
        <w:tc>
          <w:tcPr>
            <w:tcW w:w="754" w:type="dxa"/>
          </w:tcPr>
          <w:p w14:paraId="2BF8393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(3 725)</w:t>
            </w:r>
          </w:p>
        </w:tc>
      </w:tr>
      <w:tr w:rsidR="00964B88" w14:paraId="194D5507"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E6B4138" w14:textId="77777777" w:rsidR="00964B88" w:rsidRDefault="00964B88">
            <w:pPr>
              <w:rPr>
                <w:sz w:val="16"/>
              </w:rPr>
            </w:pPr>
            <w:r>
              <w:rPr>
                <w:sz w:val="16"/>
              </w:rPr>
              <w:t>Interest paid</w:t>
            </w:r>
          </w:p>
        </w:tc>
        <w:tc>
          <w:tcPr>
            <w:tcW w:w="754" w:type="dxa"/>
            <w:gridSpan w:val="3"/>
          </w:tcPr>
          <w:p w14:paraId="73B20B4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(2 536)</w:t>
            </w:r>
          </w:p>
        </w:tc>
        <w:tc>
          <w:tcPr>
            <w:tcW w:w="754" w:type="dxa"/>
          </w:tcPr>
          <w:p w14:paraId="1067D8C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(2 702)</w:t>
            </w:r>
          </w:p>
        </w:tc>
        <w:tc>
          <w:tcPr>
            <w:tcW w:w="754" w:type="dxa"/>
          </w:tcPr>
          <w:p w14:paraId="7AF4C58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(2 793)</w:t>
            </w:r>
          </w:p>
        </w:tc>
        <w:tc>
          <w:tcPr>
            <w:tcW w:w="754" w:type="dxa"/>
          </w:tcPr>
          <w:p w14:paraId="1B4AA77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(2 882)</w:t>
            </w:r>
          </w:p>
        </w:tc>
        <w:tc>
          <w:tcPr>
            <w:tcW w:w="754" w:type="dxa"/>
          </w:tcPr>
          <w:p w14:paraId="1A06FE0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(2 888)</w:t>
            </w:r>
          </w:p>
        </w:tc>
      </w:tr>
      <w:tr w:rsidR="00964B88" w14:paraId="214D4A03"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46C39D46" w14:textId="77777777" w:rsidR="00964B88" w:rsidRDefault="00964B88">
            <w:pPr>
              <w:rPr>
                <w:sz w:val="16"/>
              </w:rPr>
            </w:pPr>
            <w:r>
              <w:rPr>
                <w:sz w:val="16"/>
              </w:rPr>
              <w:t>Grants and subsidies</w:t>
            </w:r>
          </w:p>
        </w:tc>
        <w:tc>
          <w:tcPr>
            <w:tcW w:w="754" w:type="dxa"/>
            <w:gridSpan w:val="3"/>
          </w:tcPr>
          <w:p w14:paraId="597554F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(9 122)</w:t>
            </w:r>
          </w:p>
        </w:tc>
        <w:tc>
          <w:tcPr>
            <w:tcW w:w="754" w:type="dxa"/>
          </w:tcPr>
          <w:p w14:paraId="0548FC4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(9 104)</w:t>
            </w:r>
          </w:p>
        </w:tc>
        <w:tc>
          <w:tcPr>
            <w:tcW w:w="754" w:type="dxa"/>
          </w:tcPr>
          <w:p w14:paraId="5C029E8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(10 998)</w:t>
            </w:r>
          </w:p>
        </w:tc>
        <w:tc>
          <w:tcPr>
            <w:tcW w:w="754" w:type="dxa"/>
          </w:tcPr>
          <w:p w14:paraId="6B89B65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(11 359)</w:t>
            </w:r>
          </w:p>
        </w:tc>
        <w:tc>
          <w:tcPr>
            <w:tcW w:w="754" w:type="dxa"/>
          </w:tcPr>
          <w:p w14:paraId="1D24A15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(11 865)</w:t>
            </w:r>
          </w:p>
        </w:tc>
      </w:tr>
      <w:tr w:rsidR="00964B88" w14:paraId="30972E82"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2D1D27AA" w14:textId="77777777" w:rsidR="00964B88" w:rsidRDefault="00964B88">
            <w:pPr>
              <w:rPr>
                <w:sz w:val="16"/>
              </w:rPr>
            </w:pPr>
            <w:r>
              <w:rPr>
                <w:sz w:val="16"/>
              </w:rPr>
              <w:t>Goods and services</w:t>
            </w:r>
            <w:r>
              <w:rPr>
                <w:sz w:val="16"/>
                <w:vertAlign w:val="superscript"/>
              </w:rPr>
              <w:t xml:space="preserve"> (a)</w:t>
            </w:r>
          </w:p>
        </w:tc>
        <w:tc>
          <w:tcPr>
            <w:tcW w:w="754" w:type="dxa"/>
            <w:gridSpan w:val="3"/>
          </w:tcPr>
          <w:p w14:paraId="52875EA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(24 867)</w:t>
            </w:r>
          </w:p>
        </w:tc>
        <w:tc>
          <w:tcPr>
            <w:tcW w:w="754" w:type="dxa"/>
          </w:tcPr>
          <w:p w14:paraId="2E47FC5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(26 073)</w:t>
            </w:r>
          </w:p>
        </w:tc>
        <w:tc>
          <w:tcPr>
            <w:tcW w:w="754" w:type="dxa"/>
          </w:tcPr>
          <w:p w14:paraId="1AA8B29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(25 015)</w:t>
            </w:r>
          </w:p>
        </w:tc>
        <w:tc>
          <w:tcPr>
            <w:tcW w:w="754" w:type="dxa"/>
          </w:tcPr>
          <w:p w14:paraId="54D7C63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(24 246)</w:t>
            </w:r>
          </w:p>
        </w:tc>
        <w:tc>
          <w:tcPr>
            <w:tcW w:w="754" w:type="dxa"/>
          </w:tcPr>
          <w:p w14:paraId="74DBD56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(25 493)</w:t>
            </w:r>
          </w:p>
        </w:tc>
      </w:tr>
      <w:tr w:rsidR="00964B88" w14:paraId="0AE9BC1A"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32DFF364" w14:textId="77777777" w:rsidR="00964B88" w:rsidRDefault="00964B88">
            <w:pPr>
              <w:rPr>
                <w:sz w:val="16"/>
              </w:rPr>
            </w:pPr>
            <w:r>
              <w:rPr>
                <w:sz w:val="16"/>
              </w:rPr>
              <w:t>Other payments</w:t>
            </w:r>
          </w:p>
        </w:tc>
        <w:tc>
          <w:tcPr>
            <w:tcW w:w="754" w:type="dxa"/>
            <w:gridSpan w:val="3"/>
            <w:tcBorders>
              <w:bottom w:val="single" w:sz="6" w:space="0" w:color="auto"/>
            </w:tcBorders>
          </w:tcPr>
          <w:p w14:paraId="548905B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(807)</w:t>
            </w:r>
          </w:p>
        </w:tc>
        <w:tc>
          <w:tcPr>
            <w:tcW w:w="754" w:type="dxa"/>
            <w:tcBorders>
              <w:bottom w:val="single" w:sz="6" w:space="0" w:color="auto"/>
            </w:tcBorders>
          </w:tcPr>
          <w:p w14:paraId="27AD14C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(866)</w:t>
            </w:r>
          </w:p>
        </w:tc>
        <w:tc>
          <w:tcPr>
            <w:tcW w:w="754" w:type="dxa"/>
            <w:tcBorders>
              <w:bottom w:val="single" w:sz="6" w:space="0" w:color="auto"/>
            </w:tcBorders>
          </w:tcPr>
          <w:p w14:paraId="3602BAD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(820)</w:t>
            </w:r>
          </w:p>
        </w:tc>
        <w:tc>
          <w:tcPr>
            <w:tcW w:w="754" w:type="dxa"/>
            <w:tcBorders>
              <w:bottom w:val="single" w:sz="6" w:space="0" w:color="auto"/>
            </w:tcBorders>
          </w:tcPr>
          <w:p w14:paraId="21C755F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(766)</w:t>
            </w:r>
          </w:p>
        </w:tc>
        <w:tc>
          <w:tcPr>
            <w:tcW w:w="754" w:type="dxa"/>
            <w:tcBorders>
              <w:bottom w:val="single" w:sz="6" w:space="0" w:color="auto"/>
            </w:tcBorders>
          </w:tcPr>
          <w:p w14:paraId="773A194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(784)</w:t>
            </w:r>
          </w:p>
        </w:tc>
      </w:tr>
      <w:tr w:rsidR="00964B88" w14:paraId="4B709B92"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43E1E12D" w14:textId="77777777" w:rsidR="00964B88" w:rsidRDefault="00964B88">
            <w:pPr>
              <w:rPr>
                <w:sz w:val="16"/>
              </w:rPr>
            </w:pPr>
            <w:r>
              <w:rPr>
                <w:b/>
                <w:sz w:val="16"/>
              </w:rPr>
              <w:t>Total payments</w:t>
            </w:r>
          </w:p>
        </w:tc>
        <w:tc>
          <w:tcPr>
            <w:tcW w:w="754" w:type="dxa"/>
            <w:gridSpan w:val="3"/>
            <w:tcBorders>
              <w:top w:val="single" w:sz="6" w:space="0" w:color="auto"/>
              <w:bottom w:val="single" w:sz="6" w:space="0" w:color="auto"/>
            </w:tcBorders>
          </w:tcPr>
          <w:p w14:paraId="4B8849D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(68 202)</w:t>
            </w:r>
          </w:p>
        </w:tc>
        <w:tc>
          <w:tcPr>
            <w:tcW w:w="754" w:type="dxa"/>
            <w:tcBorders>
              <w:top w:val="single" w:sz="6" w:space="0" w:color="auto"/>
              <w:bottom w:val="single" w:sz="6" w:space="0" w:color="auto"/>
            </w:tcBorders>
          </w:tcPr>
          <w:p w14:paraId="4686D7A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(69 570)</w:t>
            </w:r>
          </w:p>
        </w:tc>
        <w:tc>
          <w:tcPr>
            <w:tcW w:w="754" w:type="dxa"/>
            <w:tcBorders>
              <w:top w:val="single" w:sz="6" w:space="0" w:color="auto"/>
              <w:bottom w:val="single" w:sz="6" w:space="0" w:color="auto"/>
            </w:tcBorders>
          </w:tcPr>
          <w:p w14:paraId="3E0B6A1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(71 941)</w:t>
            </w:r>
          </w:p>
        </w:tc>
        <w:tc>
          <w:tcPr>
            <w:tcW w:w="754" w:type="dxa"/>
            <w:tcBorders>
              <w:top w:val="single" w:sz="6" w:space="0" w:color="auto"/>
              <w:bottom w:val="single" w:sz="6" w:space="0" w:color="auto"/>
            </w:tcBorders>
          </w:tcPr>
          <w:p w14:paraId="56F116E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(72 457)</w:t>
            </w:r>
          </w:p>
        </w:tc>
        <w:tc>
          <w:tcPr>
            <w:tcW w:w="754" w:type="dxa"/>
            <w:tcBorders>
              <w:top w:val="single" w:sz="6" w:space="0" w:color="auto"/>
              <w:bottom w:val="single" w:sz="6" w:space="0" w:color="auto"/>
            </w:tcBorders>
          </w:tcPr>
          <w:p w14:paraId="7A09222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(75 666)</w:t>
            </w:r>
          </w:p>
        </w:tc>
      </w:tr>
      <w:tr w:rsidR="00964B88" w14:paraId="353CC064"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3A0D02B0" w14:textId="77777777" w:rsidR="00964B88" w:rsidRDefault="00964B88">
            <w:pPr>
              <w:rPr>
                <w:sz w:val="16"/>
              </w:rPr>
            </w:pPr>
            <w:r>
              <w:rPr>
                <w:b/>
                <w:sz w:val="16"/>
              </w:rPr>
              <w:t>Net cash flows from operating activities</w:t>
            </w:r>
          </w:p>
        </w:tc>
        <w:tc>
          <w:tcPr>
            <w:tcW w:w="754" w:type="dxa"/>
            <w:gridSpan w:val="3"/>
            <w:tcBorders>
              <w:top w:val="single" w:sz="6" w:space="0" w:color="auto"/>
            </w:tcBorders>
          </w:tcPr>
          <w:p w14:paraId="202CDAD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5 968</w:t>
            </w:r>
          </w:p>
        </w:tc>
        <w:tc>
          <w:tcPr>
            <w:tcW w:w="754" w:type="dxa"/>
            <w:tcBorders>
              <w:top w:val="single" w:sz="6" w:space="0" w:color="auto"/>
            </w:tcBorders>
          </w:tcPr>
          <w:p w14:paraId="73D3B60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4 284</w:t>
            </w:r>
          </w:p>
        </w:tc>
        <w:tc>
          <w:tcPr>
            <w:tcW w:w="754" w:type="dxa"/>
            <w:tcBorders>
              <w:top w:val="single" w:sz="6" w:space="0" w:color="auto"/>
            </w:tcBorders>
          </w:tcPr>
          <w:p w14:paraId="1BFB218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5 983</w:t>
            </w:r>
          </w:p>
        </w:tc>
        <w:tc>
          <w:tcPr>
            <w:tcW w:w="754" w:type="dxa"/>
            <w:tcBorders>
              <w:top w:val="single" w:sz="6" w:space="0" w:color="auto"/>
            </w:tcBorders>
          </w:tcPr>
          <w:p w14:paraId="0C4222F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8 979</w:t>
            </w:r>
          </w:p>
        </w:tc>
        <w:tc>
          <w:tcPr>
            <w:tcW w:w="754" w:type="dxa"/>
            <w:tcBorders>
              <w:top w:val="single" w:sz="6" w:space="0" w:color="auto"/>
            </w:tcBorders>
          </w:tcPr>
          <w:p w14:paraId="60443F4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10 282</w:t>
            </w:r>
          </w:p>
        </w:tc>
      </w:tr>
      <w:tr w:rsidR="00964B88" w14:paraId="5EE483FE"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6AD933E" w14:textId="77777777" w:rsidR="00964B88" w:rsidRDefault="00964B88">
            <w:pPr>
              <w:rPr>
                <w:sz w:val="16"/>
              </w:rPr>
            </w:pPr>
            <w:r>
              <w:rPr>
                <w:b/>
                <w:sz w:val="16"/>
              </w:rPr>
              <w:t>Cash flows from investing activities</w:t>
            </w:r>
          </w:p>
        </w:tc>
        <w:tc>
          <w:tcPr>
            <w:tcW w:w="754" w:type="dxa"/>
            <w:gridSpan w:val="3"/>
          </w:tcPr>
          <w:p w14:paraId="7BF6A65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05811F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DB66A7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A1FAF2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C90178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7E513D85"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FA88634" w14:textId="77777777" w:rsidR="00964B88" w:rsidRDefault="00964B88">
            <w:pPr>
              <w:rPr>
                <w:sz w:val="16"/>
              </w:rPr>
            </w:pPr>
            <w:r>
              <w:rPr>
                <w:b/>
                <w:sz w:val="16"/>
              </w:rPr>
              <w:t>Cash flows from investments in non</w:t>
            </w:r>
            <w:r>
              <w:rPr>
                <w:b/>
                <w:sz w:val="16"/>
              </w:rPr>
              <w:noBreakHyphen/>
              <w:t>financial assets</w:t>
            </w:r>
          </w:p>
        </w:tc>
        <w:tc>
          <w:tcPr>
            <w:tcW w:w="754" w:type="dxa"/>
            <w:gridSpan w:val="3"/>
          </w:tcPr>
          <w:p w14:paraId="7F317E6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8CB765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08876C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E414B1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9EB98C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090E9B6C"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0DB203BE" w14:textId="77777777" w:rsidR="00964B88" w:rsidRDefault="00964B88">
            <w:pPr>
              <w:rPr>
                <w:sz w:val="16"/>
              </w:rPr>
            </w:pPr>
            <w:r>
              <w:rPr>
                <w:sz w:val="16"/>
              </w:rPr>
              <w:t>Purchases of non</w:t>
            </w:r>
            <w:r>
              <w:rPr>
                <w:sz w:val="16"/>
              </w:rPr>
              <w:noBreakHyphen/>
              <w:t>financial assets</w:t>
            </w:r>
          </w:p>
        </w:tc>
        <w:tc>
          <w:tcPr>
            <w:tcW w:w="754" w:type="dxa"/>
            <w:gridSpan w:val="3"/>
          </w:tcPr>
          <w:p w14:paraId="01463D3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(16 172)</w:t>
            </w:r>
          </w:p>
        </w:tc>
        <w:tc>
          <w:tcPr>
            <w:tcW w:w="754" w:type="dxa"/>
          </w:tcPr>
          <w:p w14:paraId="7EA6E20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(16 599)</w:t>
            </w:r>
          </w:p>
        </w:tc>
        <w:tc>
          <w:tcPr>
            <w:tcW w:w="754" w:type="dxa"/>
          </w:tcPr>
          <w:p w14:paraId="633A4D8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(14 444)</w:t>
            </w:r>
          </w:p>
        </w:tc>
        <w:tc>
          <w:tcPr>
            <w:tcW w:w="754" w:type="dxa"/>
          </w:tcPr>
          <w:p w14:paraId="4EBE47A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(11 575)</w:t>
            </w:r>
          </w:p>
        </w:tc>
        <w:tc>
          <w:tcPr>
            <w:tcW w:w="754" w:type="dxa"/>
          </w:tcPr>
          <w:p w14:paraId="74D0CB2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(12 662)</w:t>
            </w:r>
          </w:p>
        </w:tc>
      </w:tr>
      <w:tr w:rsidR="00964B88" w14:paraId="4FBC2333"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106D2247" w14:textId="77777777" w:rsidR="00964B88" w:rsidRDefault="00964B88">
            <w:pPr>
              <w:rPr>
                <w:sz w:val="16"/>
              </w:rPr>
            </w:pPr>
            <w:r>
              <w:rPr>
                <w:sz w:val="16"/>
              </w:rPr>
              <w:t>Sales of non</w:t>
            </w:r>
            <w:r>
              <w:rPr>
                <w:sz w:val="16"/>
              </w:rPr>
              <w:noBreakHyphen/>
              <w:t>financial assets</w:t>
            </w:r>
          </w:p>
        </w:tc>
        <w:tc>
          <w:tcPr>
            <w:tcW w:w="754" w:type="dxa"/>
            <w:gridSpan w:val="3"/>
            <w:tcBorders>
              <w:bottom w:val="single" w:sz="6" w:space="0" w:color="auto"/>
            </w:tcBorders>
          </w:tcPr>
          <w:p w14:paraId="45C8BF6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1 120</w:t>
            </w:r>
          </w:p>
        </w:tc>
        <w:tc>
          <w:tcPr>
            <w:tcW w:w="754" w:type="dxa"/>
            <w:tcBorders>
              <w:bottom w:val="single" w:sz="6" w:space="0" w:color="auto"/>
            </w:tcBorders>
          </w:tcPr>
          <w:p w14:paraId="4164BD4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1 117</w:t>
            </w:r>
          </w:p>
        </w:tc>
        <w:tc>
          <w:tcPr>
            <w:tcW w:w="754" w:type="dxa"/>
            <w:tcBorders>
              <w:bottom w:val="single" w:sz="6" w:space="0" w:color="auto"/>
            </w:tcBorders>
          </w:tcPr>
          <w:p w14:paraId="50BEDA6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483</w:t>
            </w:r>
          </w:p>
        </w:tc>
        <w:tc>
          <w:tcPr>
            <w:tcW w:w="754" w:type="dxa"/>
            <w:tcBorders>
              <w:bottom w:val="single" w:sz="6" w:space="0" w:color="auto"/>
            </w:tcBorders>
          </w:tcPr>
          <w:p w14:paraId="44CCD04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905</w:t>
            </w:r>
          </w:p>
        </w:tc>
        <w:tc>
          <w:tcPr>
            <w:tcW w:w="754" w:type="dxa"/>
            <w:tcBorders>
              <w:bottom w:val="single" w:sz="6" w:space="0" w:color="auto"/>
            </w:tcBorders>
          </w:tcPr>
          <w:p w14:paraId="005ECBC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729</w:t>
            </w:r>
          </w:p>
        </w:tc>
      </w:tr>
      <w:tr w:rsidR="00964B88" w14:paraId="64FF046B"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7F9F452D" w14:textId="77777777" w:rsidR="00964B88" w:rsidRDefault="00964B88">
            <w:pPr>
              <w:rPr>
                <w:sz w:val="16"/>
              </w:rPr>
            </w:pPr>
            <w:r>
              <w:rPr>
                <w:b/>
                <w:sz w:val="16"/>
              </w:rPr>
              <w:t>Net cash flows from investments in non</w:t>
            </w:r>
            <w:r>
              <w:rPr>
                <w:b/>
                <w:sz w:val="16"/>
              </w:rPr>
              <w:noBreakHyphen/>
              <w:t>financial assets</w:t>
            </w:r>
          </w:p>
        </w:tc>
        <w:tc>
          <w:tcPr>
            <w:tcW w:w="754" w:type="dxa"/>
            <w:gridSpan w:val="3"/>
            <w:tcBorders>
              <w:top w:val="single" w:sz="6" w:space="0" w:color="auto"/>
            </w:tcBorders>
          </w:tcPr>
          <w:p w14:paraId="1C2DBBE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(15 052)</w:t>
            </w:r>
          </w:p>
        </w:tc>
        <w:tc>
          <w:tcPr>
            <w:tcW w:w="754" w:type="dxa"/>
            <w:tcBorders>
              <w:top w:val="single" w:sz="6" w:space="0" w:color="auto"/>
            </w:tcBorders>
          </w:tcPr>
          <w:p w14:paraId="218F07D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(15 482)</w:t>
            </w:r>
          </w:p>
        </w:tc>
        <w:tc>
          <w:tcPr>
            <w:tcW w:w="754" w:type="dxa"/>
            <w:tcBorders>
              <w:top w:val="single" w:sz="6" w:space="0" w:color="auto"/>
            </w:tcBorders>
          </w:tcPr>
          <w:p w14:paraId="072D1C1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(13 961)</w:t>
            </w:r>
          </w:p>
        </w:tc>
        <w:tc>
          <w:tcPr>
            <w:tcW w:w="754" w:type="dxa"/>
            <w:tcBorders>
              <w:top w:val="single" w:sz="6" w:space="0" w:color="auto"/>
            </w:tcBorders>
          </w:tcPr>
          <w:p w14:paraId="689BC61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(10 670)</w:t>
            </w:r>
          </w:p>
        </w:tc>
        <w:tc>
          <w:tcPr>
            <w:tcW w:w="754" w:type="dxa"/>
            <w:tcBorders>
              <w:top w:val="single" w:sz="6" w:space="0" w:color="auto"/>
            </w:tcBorders>
          </w:tcPr>
          <w:p w14:paraId="3B0C615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(11 933)</w:t>
            </w:r>
          </w:p>
        </w:tc>
      </w:tr>
      <w:tr w:rsidR="00964B88" w14:paraId="2FFA7A85"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26597775" w14:textId="77777777" w:rsidR="00964B88" w:rsidRDefault="00964B88">
            <w:pPr>
              <w:rPr>
                <w:sz w:val="16"/>
              </w:rPr>
            </w:pPr>
            <w:r>
              <w:rPr>
                <w:sz w:val="16"/>
              </w:rPr>
              <w:t>Net cash flows from investments in financial assets for policy purposes</w:t>
            </w:r>
          </w:p>
        </w:tc>
        <w:tc>
          <w:tcPr>
            <w:tcW w:w="754" w:type="dxa"/>
            <w:gridSpan w:val="3"/>
            <w:tcBorders>
              <w:bottom w:val="single" w:sz="6" w:space="0" w:color="auto"/>
            </w:tcBorders>
          </w:tcPr>
          <w:p w14:paraId="51487D4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1 250</w:t>
            </w:r>
          </w:p>
        </w:tc>
        <w:tc>
          <w:tcPr>
            <w:tcW w:w="754" w:type="dxa"/>
            <w:tcBorders>
              <w:bottom w:val="single" w:sz="6" w:space="0" w:color="auto"/>
            </w:tcBorders>
          </w:tcPr>
          <w:p w14:paraId="64FAC1F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1 103</w:t>
            </w:r>
          </w:p>
        </w:tc>
        <w:tc>
          <w:tcPr>
            <w:tcW w:w="754" w:type="dxa"/>
            <w:tcBorders>
              <w:bottom w:val="single" w:sz="6" w:space="0" w:color="auto"/>
            </w:tcBorders>
          </w:tcPr>
          <w:p w14:paraId="02F105C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1 001</w:t>
            </w:r>
          </w:p>
        </w:tc>
        <w:tc>
          <w:tcPr>
            <w:tcW w:w="754" w:type="dxa"/>
            <w:tcBorders>
              <w:bottom w:val="single" w:sz="6" w:space="0" w:color="auto"/>
            </w:tcBorders>
          </w:tcPr>
          <w:p w14:paraId="7376F78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(40)</w:t>
            </w:r>
          </w:p>
        </w:tc>
        <w:tc>
          <w:tcPr>
            <w:tcW w:w="754" w:type="dxa"/>
            <w:tcBorders>
              <w:bottom w:val="single" w:sz="6" w:space="0" w:color="auto"/>
            </w:tcBorders>
          </w:tcPr>
          <w:p w14:paraId="3603199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89</w:t>
            </w:r>
          </w:p>
        </w:tc>
      </w:tr>
      <w:tr w:rsidR="00964B88" w14:paraId="18407A6C"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373B1C08" w14:textId="77777777" w:rsidR="00964B88" w:rsidRDefault="00964B88">
            <w:pPr>
              <w:rPr>
                <w:sz w:val="16"/>
              </w:rPr>
            </w:pPr>
            <w:r>
              <w:rPr>
                <w:b/>
                <w:sz w:val="16"/>
              </w:rPr>
              <w:t>Subtotal</w:t>
            </w:r>
          </w:p>
        </w:tc>
        <w:tc>
          <w:tcPr>
            <w:tcW w:w="754" w:type="dxa"/>
            <w:gridSpan w:val="3"/>
            <w:tcBorders>
              <w:top w:val="single" w:sz="6" w:space="0" w:color="auto"/>
            </w:tcBorders>
          </w:tcPr>
          <w:p w14:paraId="71AF1EF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(13 802)</w:t>
            </w:r>
          </w:p>
        </w:tc>
        <w:tc>
          <w:tcPr>
            <w:tcW w:w="754" w:type="dxa"/>
            <w:tcBorders>
              <w:top w:val="single" w:sz="6" w:space="0" w:color="auto"/>
            </w:tcBorders>
          </w:tcPr>
          <w:p w14:paraId="6643F58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(14 379)</w:t>
            </w:r>
          </w:p>
        </w:tc>
        <w:tc>
          <w:tcPr>
            <w:tcW w:w="754" w:type="dxa"/>
            <w:tcBorders>
              <w:top w:val="single" w:sz="6" w:space="0" w:color="auto"/>
            </w:tcBorders>
          </w:tcPr>
          <w:p w14:paraId="582FD39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(12 960)</w:t>
            </w:r>
          </w:p>
        </w:tc>
        <w:tc>
          <w:tcPr>
            <w:tcW w:w="754" w:type="dxa"/>
            <w:tcBorders>
              <w:top w:val="single" w:sz="6" w:space="0" w:color="auto"/>
            </w:tcBorders>
          </w:tcPr>
          <w:p w14:paraId="3DD5895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(10 710)</w:t>
            </w:r>
          </w:p>
        </w:tc>
        <w:tc>
          <w:tcPr>
            <w:tcW w:w="754" w:type="dxa"/>
            <w:tcBorders>
              <w:top w:val="single" w:sz="6" w:space="0" w:color="auto"/>
            </w:tcBorders>
          </w:tcPr>
          <w:p w14:paraId="4401E87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(11 844)</w:t>
            </w:r>
          </w:p>
        </w:tc>
      </w:tr>
      <w:tr w:rsidR="00964B88" w14:paraId="0B06CCD3"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7CA53C80" w14:textId="77777777" w:rsidR="00964B88" w:rsidRDefault="00964B88">
            <w:pPr>
              <w:rPr>
                <w:sz w:val="16"/>
              </w:rPr>
            </w:pPr>
            <w:r>
              <w:rPr>
                <w:sz w:val="16"/>
              </w:rPr>
              <w:t>Net cash flows from investment in financial assets for liquidity management purposes</w:t>
            </w:r>
          </w:p>
        </w:tc>
        <w:tc>
          <w:tcPr>
            <w:tcW w:w="754" w:type="dxa"/>
            <w:gridSpan w:val="3"/>
            <w:tcBorders>
              <w:bottom w:val="single" w:sz="6" w:space="0" w:color="auto"/>
            </w:tcBorders>
          </w:tcPr>
          <w:p w14:paraId="6A0EEE5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(53)</w:t>
            </w:r>
          </w:p>
        </w:tc>
        <w:tc>
          <w:tcPr>
            <w:tcW w:w="754" w:type="dxa"/>
            <w:tcBorders>
              <w:bottom w:val="single" w:sz="6" w:space="0" w:color="auto"/>
            </w:tcBorders>
          </w:tcPr>
          <w:p w14:paraId="59DA528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(217)</w:t>
            </w:r>
          </w:p>
        </w:tc>
        <w:tc>
          <w:tcPr>
            <w:tcW w:w="754" w:type="dxa"/>
            <w:tcBorders>
              <w:bottom w:val="single" w:sz="6" w:space="0" w:color="auto"/>
            </w:tcBorders>
          </w:tcPr>
          <w:p w14:paraId="279DC7F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(74)</w:t>
            </w:r>
          </w:p>
        </w:tc>
        <w:tc>
          <w:tcPr>
            <w:tcW w:w="754" w:type="dxa"/>
            <w:tcBorders>
              <w:bottom w:val="single" w:sz="6" w:space="0" w:color="auto"/>
            </w:tcBorders>
          </w:tcPr>
          <w:p w14:paraId="6B0DE37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w:t>
            </w:r>
          </w:p>
        </w:tc>
        <w:tc>
          <w:tcPr>
            <w:tcW w:w="754" w:type="dxa"/>
            <w:tcBorders>
              <w:bottom w:val="single" w:sz="6" w:space="0" w:color="auto"/>
            </w:tcBorders>
          </w:tcPr>
          <w:p w14:paraId="0EDB382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(58)</w:t>
            </w:r>
          </w:p>
        </w:tc>
      </w:tr>
      <w:tr w:rsidR="00964B88" w14:paraId="48B9DDA3"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1EEC7027" w14:textId="77777777" w:rsidR="00964B88" w:rsidRDefault="00964B88">
            <w:pPr>
              <w:rPr>
                <w:sz w:val="16"/>
              </w:rPr>
            </w:pPr>
            <w:r>
              <w:rPr>
                <w:b/>
                <w:sz w:val="16"/>
              </w:rPr>
              <w:t>Net cash flows from investing activities</w:t>
            </w:r>
          </w:p>
        </w:tc>
        <w:tc>
          <w:tcPr>
            <w:tcW w:w="754" w:type="dxa"/>
            <w:gridSpan w:val="3"/>
            <w:tcBorders>
              <w:top w:val="single" w:sz="6" w:space="0" w:color="auto"/>
            </w:tcBorders>
          </w:tcPr>
          <w:p w14:paraId="6F97562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(13 855)</w:t>
            </w:r>
          </w:p>
        </w:tc>
        <w:tc>
          <w:tcPr>
            <w:tcW w:w="754" w:type="dxa"/>
            <w:tcBorders>
              <w:top w:val="single" w:sz="6" w:space="0" w:color="auto"/>
            </w:tcBorders>
          </w:tcPr>
          <w:p w14:paraId="1BD18CD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(14 597)</w:t>
            </w:r>
          </w:p>
        </w:tc>
        <w:tc>
          <w:tcPr>
            <w:tcW w:w="754" w:type="dxa"/>
            <w:tcBorders>
              <w:top w:val="single" w:sz="6" w:space="0" w:color="auto"/>
            </w:tcBorders>
          </w:tcPr>
          <w:p w14:paraId="51149FB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(13 034)</w:t>
            </w:r>
          </w:p>
        </w:tc>
        <w:tc>
          <w:tcPr>
            <w:tcW w:w="754" w:type="dxa"/>
            <w:tcBorders>
              <w:top w:val="single" w:sz="6" w:space="0" w:color="auto"/>
            </w:tcBorders>
          </w:tcPr>
          <w:p w14:paraId="1F40359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(10 715)</w:t>
            </w:r>
          </w:p>
        </w:tc>
        <w:tc>
          <w:tcPr>
            <w:tcW w:w="754" w:type="dxa"/>
            <w:tcBorders>
              <w:top w:val="single" w:sz="6" w:space="0" w:color="auto"/>
            </w:tcBorders>
          </w:tcPr>
          <w:p w14:paraId="7D55340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(11 902)</w:t>
            </w:r>
          </w:p>
        </w:tc>
      </w:tr>
      <w:tr w:rsidR="00964B88" w14:paraId="645E9EAE"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1D78A20A" w14:textId="77777777" w:rsidR="00964B88" w:rsidRDefault="00964B88">
            <w:pPr>
              <w:rPr>
                <w:sz w:val="16"/>
              </w:rPr>
            </w:pPr>
            <w:r>
              <w:rPr>
                <w:b/>
                <w:sz w:val="16"/>
              </w:rPr>
              <w:t>Cash flows from financing activities</w:t>
            </w:r>
          </w:p>
        </w:tc>
        <w:tc>
          <w:tcPr>
            <w:tcW w:w="754" w:type="dxa"/>
            <w:gridSpan w:val="3"/>
          </w:tcPr>
          <w:p w14:paraId="37ED1BB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E4D43A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5282C8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14174B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726538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75C3AC59"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1CFA6E1A" w14:textId="77777777" w:rsidR="00964B88" w:rsidRDefault="00964B88">
            <w:pPr>
              <w:rPr>
                <w:sz w:val="16"/>
              </w:rPr>
            </w:pPr>
            <w:r>
              <w:rPr>
                <w:sz w:val="16"/>
              </w:rPr>
              <w:t>Advances received (net)</w:t>
            </w:r>
          </w:p>
        </w:tc>
        <w:tc>
          <w:tcPr>
            <w:tcW w:w="754" w:type="dxa"/>
            <w:gridSpan w:val="3"/>
          </w:tcPr>
          <w:p w14:paraId="4E5E9CB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54" w:type="dxa"/>
          </w:tcPr>
          <w:p w14:paraId="1EAEAD9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w:t>
            </w:r>
          </w:p>
        </w:tc>
        <w:tc>
          <w:tcPr>
            <w:tcW w:w="754" w:type="dxa"/>
          </w:tcPr>
          <w:p w14:paraId="2E471C0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w:t>
            </w:r>
          </w:p>
        </w:tc>
        <w:tc>
          <w:tcPr>
            <w:tcW w:w="754" w:type="dxa"/>
          </w:tcPr>
          <w:p w14:paraId="790C0B8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(112)</w:t>
            </w:r>
          </w:p>
        </w:tc>
        <w:tc>
          <w:tcPr>
            <w:tcW w:w="754" w:type="dxa"/>
          </w:tcPr>
          <w:p w14:paraId="5E22BD4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w:t>
            </w:r>
          </w:p>
        </w:tc>
      </w:tr>
      <w:tr w:rsidR="00964B88" w14:paraId="6172515F"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6EB7B995" w14:textId="77777777" w:rsidR="00964B88" w:rsidRDefault="00964B88">
            <w:pPr>
              <w:rPr>
                <w:sz w:val="16"/>
              </w:rPr>
            </w:pPr>
            <w:r>
              <w:rPr>
                <w:sz w:val="16"/>
              </w:rPr>
              <w:t>Net borrowings</w:t>
            </w:r>
          </w:p>
        </w:tc>
        <w:tc>
          <w:tcPr>
            <w:tcW w:w="754" w:type="dxa"/>
            <w:gridSpan w:val="3"/>
          </w:tcPr>
          <w:p w14:paraId="19576EA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5 996</w:t>
            </w:r>
          </w:p>
        </w:tc>
        <w:tc>
          <w:tcPr>
            <w:tcW w:w="754" w:type="dxa"/>
          </w:tcPr>
          <w:p w14:paraId="4A3D01A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6 441</w:t>
            </w:r>
          </w:p>
        </w:tc>
        <w:tc>
          <w:tcPr>
            <w:tcW w:w="754" w:type="dxa"/>
          </w:tcPr>
          <w:p w14:paraId="2175C06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6 751</w:t>
            </w:r>
          </w:p>
        </w:tc>
        <w:tc>
          <w:tcPr>
            <w:tcW w:w="754" w:type="dxa"/>
          </w:tcPr>
          <w:p w14:paraId="3D6333F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1 906</w:t>
            </w:r>
          </w:p>
        </w:tc>
        <w:tc>
          <w:tcPr>
            <w:tcW w:w="754" w:type="dxa"/>
          </w:tcPr>
          <w:p w14:paraId="21CD70E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1 884</w:t>
            </w:r>
          </w:p>
        </w:tc>
      </w:tr>
      <w:tr w:rsidR="00964B88" w14:paraId="5C552841"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9A88D76" w14:textId="77777777" w:rsidR="00964B88" w:rsidRDefault="00964B88">
            <w:pPr>
              <w:rPr>
                <w:sz w:val="16"/>
              </w:rPr>
            </w:pPr>
            <w:r>
              <w:rPr>
                <w:sz w:val="16"/>
              </w:rPr>
              <w:t>Deposits received (net)</w:t>
            </w:r>
          </w:p>
        </w:tc>
        <w:tc>
          <w:tcPr>
            <w:tcW w:w="754" w:type="dxa"/>
            <w:gridSpan w:val="3"/>
          </w:tcPr>
          <w:p w14:paraId="5247F3E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54" w:type="dxa"/>
          </w:tcPr>
          <w:p w14:paraId="2D64F7D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w:t>
            </w:r>
          </w:p>
        </w:tc>
        <w:tc>
          <w:tcPr>
            <w:tcW w:w="754" w:type="dxa"/>
          </w:tcPr>
          <w:p w14:paraId="1585479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w:t>
            </w:r>
          </w:p>
        </w:tc>
        <w:tc>
          <w:tcPr>
            <w:tcW w:w="754" w:type="dxa"/>
          </w:tcPr>
          <w:p w14:paraId="3518BDE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w:t>
            </w:r>
          </w:p>
        </w:tc>
        <w:tc>
          <w:tcPr>
            <w:tcW w:w="754" w:type="dxa"/>
          </w:tcPr>
          <w:p w14:paraId="11393FE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w:t>
            </w:r>
          </w:p>
        </w:tc>
      </w:tr>
      <w:tr w:rsidR="00964B88" w14:paraId="17AD3727"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49F62D50" w14:textId="77777777" w:rsidR="00964B88" w:rsidRDefault="00964B88">
            <w:pPr>
              <w:rPr>
                <w:sz w:val="16"/>
              </w:rPr>
            </w:pPr>
            <w:r>
              <w:rPr>
                <w:b/>
                <w:sz w:val="16"/>
              </w:rPr>
              <w:t>Net cash flows from financing activities</w:t>
            </w:r>
          </w:p>
        </w:tc>
        <w:tc>
          <w:tcPr>
            <w:tcW w:w="754" w:type="dxa"/>
            <w:gridSpan w:val="3"/>
            <w:tcBorders>
              <w:top w:val="single" w:sz="6" w:space="0" w:color="auto"/>
              <w:bottom w:val="single" w:sz="6" w:space="0" w:color="auto"/>
            </w:tcBorders>
          </w:tcPr>
          <w:p w14:paraId="04353EE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5 996</w:t>
            </w:r>
          </w:p>
        </w:tc>
        <w:tc>
          <w:tcPr>
            <w:tcW w:w="754" w:type="dxa"/>
            <w:tcBorders>
              <w:top w:val="single" w:sz="6" w:space="0" w:color="auto"/>
              <w:bottom w:val="single" w:sz="6" w:space="0" w:color="auto"/>
            </w:tcBorders>
          </w:tcPr>
          <w:p w14:paraId="09BA68B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6 442</w:t>
            </w:r>
          </w:p>
        </w:tc>
        <w:tc>
          <w:tcPr>
            <w:tcW w:w="754" w:type="dxa"/>
            <w:tcBorders>
              <w:top w:val="single" w:sz="6" w:space="0" w:color="auto"/>
              <w:bottom w:val="single" w:sz="6" w:space="0" w:color="auto"/>
            </w:tcBorders>
          </w:tcPr>
          <w:p w14:paraId="4F506E6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6 750</w:t>
            </w:r>
          </w:p>
        </w:tc>
        <w:tc>
          <w:tcPr>
            <w:tcW w:w="754" w:type="dxa"/>
            <w:tcBorders>
              <w:top w:val="single" w:sz="6" w:space="0" w:color="auto"/>
              <w:bottom w:val="single" w:sz="6" w:space="0" w:color="auto"/>
            </w:tcBorders>
          </w:tcPr>
          <w:p w14:paraId="5BA74BA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1 788</w:t>
            </w:r>
          </w:p>
        </w:tc>
        <w:tc>
          <w:tcPr>
            <w:tcW w:w="754" w:type="dxa"/>
            <w:tcBorders>
              <w:top w:val="single" w:sz="6" w:space="0" w:color="auto"/>
              <w:bottom w:val="single" w:sz="6" w:space="0" w:color="auto"/>
            </w:tcBorders>
          </w:tcPr>
          <w:p w14:paraId="3C0E9D1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1 877</w:t>
            </w:r>
          </w:p>
        </w:tc>
      </w:tr>
      <w:tr w:rsidR="00964B88" w14:paraId="4FE4BA58"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6B2984B1" w14:textId="77777777" w:rsidR="00964B88" w:rsidRDefault="00964B88">
            <w:pPr>
              <w:rPr>
                <w:sz w:val="16"/>
              </w:rPr>
            </w:pPr>
            <w:r>
              <w:rPr>
                <w:b/>
                <w:sz w:val="16"/>
              </w:rPr>
              <w:t>Net increase/(decrease) in cash and cash equivalents</w:t>
            </w:r>
          </w:p>
        </w:tc>
        <w:tc>
          <w:tcPr>
            <w:tcW w:w="754" w:type="dxa"/>
            <w:gridSpan w:val="3"/>
            <w:tcBorders>
              <w:top w:val="single" w:sz="6" w:space="0" w:color="auto"/>
            </w:tcBorders>
          </w:tcPr>
          <w:p w14:paraId="32D47CF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(1 890)</w:t>
            </w:r>
          </w:p>
        </w:tc>
        <w:tc>
          <w:tcPr>
            <w:tcW w:w="754" w:type="dxa"/>
            <w:tcBorders>
              <w:top w:val="single" w:sz="6" w:space="0" w:color="auto"/>
            </w:tcBorders>
          </w:tcPr>
          <w:p w14:paraId="1CCB544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(3 870)</w:t>
            </w:r>
          </w:p>
        </w:tc>
        <w:tc>
          <w:tcPr>
            <w:tcW w:w="754" w:type="dxa"/>
            <w:tcBorders>
              <w:top w:val="single" w:sz="6" w:space="0" w:color="auto"/>
            </w:tcBorders>
          </w:tcPr>
          <w:p w14:paraId="3F6C9F8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(302)</w:t>
            </w:r>
          </w:p>
        </w:tc>
        <w:tc>
          <w:tcPr>
            <w:tcW w:w="754" w:type="dxa"/>
            <w:tcBorders>
              <w:top w:val="single" w:sz="6" w:space="0" w:color="auto"/>
            </w:tcBorders>
          </w:tcPr>
          <w:p w14:paraId="4531BED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52</w:t>
            </w:r>
          </w:p>
        </w:tc>
        <w:tc>
          <w:tcPr>
            <w:tcW w:w="754" w:type="dxa"/>
            <w:tcBorders>
              <w:top w:val="single" w:sz="6" w:space="0" w:color="auto"/>
            </w:tcBorders>
          </w:tcPr>
          <w:p w14:paraId="2071FC3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257</w:t>
            </w:r>
          </w:p>
        </w:tc>
      </w:tr>
      <w:tr w:rsidR="00964B88" w14:paraId="2D879F3E" w14:textId="77777777" w:rsidTr="0007698C">
        <w:tc>
          <w:tcPr>
            <w:cnfStyle w:val="001000000000" w:firstRow="0" w:lastRow="0" w:firstColumn="1" w:lastColumn="0" w:oddVBand="0" w:evenVBand="0" w:oddHBand="0" w:evenHBand="0" w:firstRowFirstColumn="0" w:firstRowLastColumn="0" w:lastRowFirstColumn="0" w:lastRowLastColumn="0"/>
            <w:tcW w:w="4103" w:type="dxa"/>
            <w:gridSpan w:val="2"/>
            <w:tcBorders>
              <w:bottom w:val="single" w:sz="6" w:space="0" w:color="auto"/>
            </w:tcBorders>
          </w:tcPr>
          <w:p w14:paraId="14CD93F1" w14:textId="77777777" w:rsidR="00964B88" w:rsidRDefault="00964B88">
            <w:pPr>
              <w:rPr>
                <w:sz w:val="16"/>
              </w:rPr>
            </w:pPr>
            <w:r>
              <w:rPr>
                <w:sz w:val="16"/>
              </w:rPr>
              <w:t>Cash and cash equivalents at beginning of reporting period</w:t>
            </w:r>
            <w:r>
              <w:rPr>
                <w:sz w:val="16"/>
                <w:vertAlign w:val="superscript"/>
              </w:rPr>
              <w:t xml:space="preserve"> (b)</w:t>
            </w:r>
          </w:p>
        </w:tc>
        <w:tc>
          <w:tcPr>
            <w:tcW w:w="649" w:type="dxa"/>
            <w:gridSpan w:val="2"/>
            <w:tcBorders>
              <w:bottom w:val="single" w:sz="6" w:space="0" w:color="auto"/>
            </w:tcBorders>
          </w:tcPr>
          <w:p w14:paraId="2DB1537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11 373</w:t>
            </w:r>
          </w:p>
        </w:tc>
        <w:tc>
          <w:tcPr>
            <w:tcW w:w="754" w:type="dxa"/>
            <w:tcBorders>
              <w:bottom w:val="single" w:sz="6" w:space="0" w:color="auto"/>
            </w:tcBorders>
          </w:tcPr>
          <w:p w14:paraId="06DB46E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11 373</w:t>
            </w:r>
          </w:p>
        </w:tc>
        <w:tc>
          <w:tcPr>
            <w:tcW w:w="754" w:type="dxa"/>
            <w:tcBorders>
              <w:bottom w:val="single" w:sz="6" w:space="0" w:color="auto"/>
            </w:tcBorders>
          </w:tcPr>
          <w:p w14:paraId="253B195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7 503</w:t>
            </w:r>
          </w:p>
        </w:tc>
        <w:tc>
          <w:tcPr>
            <w:tcW w:w="754" w:type="dxa"/>
            <w:tcBorders>
              <w:bottom w:val="single" w:sz="6" w:space="0" w:color="auto"/>
            </w:tcBorders>
          </w:tcPr>
          <w:p w14:paraId="674875F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7 201</w:t>
            </w:r>
          </w:p>
        </w:tc>
        <w:tc>
          <w:tcPr>
            <w:tcW w:w="754" w:type="dxa"/>
            <w:tcBorders>
              <w:bottom w:val="single" w:sz="6" w:space="0" w:color="auto"/>
            </w:tcBorders>
          </w:tcPr>
          <w:p w14:paraId="61E1C67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7 253</w:t>
            </w:r>
          </w:p>
        </w:tc>
      </w:tr>
      <w:tr w:rsidR="00964B88" w14:paraId="5B521486"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46F4E976" w14:textId="77777777" w:rsidR="00964B88" w:rsidRDefault="00964B88">
            <w:pPr>
              <w:rPr>
                <w:sz w:val="16"/>
              </w:rPr>
            </w:pPr>
            <w:r>
              <w:rPr>
                <w:b/>
                <w:sz w:val="16"/>
              </w:rPr>
              <w:t>Cash and cash equivalents at end of reporting period</w:t>
            </w:r>
            <w:r>
              <w:rPr>
                <w:b/>
                <w:sz w:val="16"/>
                <w:vertAlign w:val="superscript"/>
              </w:rPr>
              <w:t xml:space="preserve"> (b)</w:t>
            </w:r>
          </w:p>
        </w:tc>
        <w:tc>
          <w:tcPr>
            <w:tcW w:w="754" w:type="dxa"/>
            <w:gridSpan w:val="3"/>
            <w:tcBorders>
              <w:top w:val="single" w:sz="6" w:space="0" w:color="auto"/>
              <w:bottom w:val="single" w:sz="6" w:space="0" w:color="auto"/>
            </w:tcBorders>
          </w:tcPr>
          <w:p w14:paraId="3CAD28D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9 483</w:t>
            </w:r>
          </w:p>
        </w:tc>
        <w:tc>
          <w:tcPr>
            <w:tcW w:w="754" w:type="dxa"/>
            <w:tcBorders>
              <w:top w:val="single" w:sz="6" w:space="0" w:color="auto"/>
              <w:bottom w:val="single" w:sz="6" w:space="0" w:color="auto"/>
            </w:tcBorders>
          </w:tcPr>
          <w:p w14:paraId="5A0472D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7 503</w:t>
            </w:r>
          </w:p>
        </w:tc>
        <w:tc>
          <w:tcPr>
            <w:tcW w:w="754" w:type="dxa"/>
            <w:tcBorders>
              <w:top w:val="single" w:sz="6" w:space="0" w:color="auto"/>
              <w:bottom w:val="single" w:sz="6" w:space="0" w:color="auto"/>
            </w:tcBorders>
          </w:tcPr>
          <w:p w14:paraId="77B62E1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7 201</w:t>
            </w:r>
          </w:p>
        </w:tc>
        <w:tc>
          <w:tcPr>
            <w:tcW w:w="754" w:type="dxa"/>
            <w:tcBorders>
              <w:top w:val="single" w:sz="6" w:space="0" w:color="auto"/>
              <w:bottom w:val="single" w:sz="6" w:space="0" w:color="auto"/>
            </w:tcBorders>
          </w:tcPr>
          <w:p w14:paraId="23132AF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7 253</w:t>
            </w:r>
          </w:p>
        </w:tc>
        <w:tc>
          <w:tcPr>
            <w:tcW w:w="754" w:type="dxa"/>
            <w:tcBorders>
              <w:top w:val="single" w:sz="6" w:space="0" w:color="auto"/>
              <w:bottom w:val="single" w:sz="6" w:space="0" w:color="auto"/>
            </w:tcBorders>
          </w:tcPr>
          <w:p w14:paraId="3163C38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7 510</w:t>
            </w:r>
          </w:p>
        </w:tc>
      </w:tr>
      <w:tr w:rsidR="00964B88" w14:paraId="42C97F83" w14:textId="77777777" w:rsidTr="0007698C">
        <w:trPr>
          <w:trHeight w:hRule="exact" w:val="113"/>
        </w:trPr>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76EA2EC5" w14:textId="77777777" w:rsidR="00964B88" w:rsidRDefault="00964B88">
            <w:pPr>
              <w:rPr>
                <w:sz w:val="16"/>
              </w:rPr>
            </w:pPr>
          </w:p>
        </w:tc>
        <w:tc>
          <w:tcPr>
            <w:tcW w:w="754" w:type="dxa"/>
            <w:gridSpan w:val="3"/>
            <w:tcBorders>
              <w:top w:val="single" w:sz="6" w:space="0" w:color="auto"/>
            </w:tcBorders>
          </w:tcPr>
          <w:p w14:paraId="1111307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5B7CB9C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5AEF760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2F90FFD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68B354C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72907BE5"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472D9729" w14:textId="77777777" w:rsidR="00964B88" w:rsidRDefault="00964B88">
            <w:pPr>
              <w:rPr>
                <w:sz w:val="16"/>
              </w:rPr>
            </w:pPr>
            <w:r>
              <w:rPr>
                <w:b/>
                <w:sz w:val="16"/>
              </w:rPr>
              <w:t>FISCAL AGGREGATES</w:t>
            </w:r>
          </w:p>
        </w:tc>
        <w:tc>
          <w:tcPr>
            <w:tcW w:w="754" w:type="dxa"/>
            <w:gridSpan w:val="3"/>
          </w:tcPr>
          <w:p w14:paraId="3B0CE02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80107D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A96E01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691F4DC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0F7EEC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4421B535"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2BEDE92B" w14:textId="77777777" w:rsidR="00964B88" w:rsidRDefault="00964B88">
            <w:pPr>
              <w:rPr>
                <w:sz w:val="16"/>
              </w:rPr>
            </w:pPr>
            <w:r>
              <w:rPr>
                <w:sz w:val="16"/>
              </w:rPr>
              <w:t>Net cash flows from operating activities</w:t>
            </w:r>
          </w:p>
        </w:tc>
        <w:tc>
          <w:tcPr>
            <w:tcW w:w="754" w:type="dxa"/>
            <w:gridSpan w:val="3"/>
          </w:tcPr>
          <w:p w14:paraId="6116DC8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5 968</w:t>
            </w:r>
          </w:p>
        </w:tc>
        <w:tc>
          <w:tcPr>
            <w:tcW w:w="754" w:type="dxa"/>
          </w:tcPr>
          <w:p w14:paraId="451712F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4 284</w:t>
            </w:r>
          </w:p>
        </w:tc>
        <w:tc>
          <w:tcPr>
            <w:tcW w:w="754" w:type="dxa"/>
          </w:tcPr>
          <w:p w14:paraId="213E709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5 983</w:t>
            </w:r>
          </w:p>
        </w:tc>
        <w:tc>
          <w:tcPr>
            <w:tcW w:w="754" w:type="dxa"/>
          </w:tcPr>
          <w:p w14:paraId="7372C7F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8 979</w:t>
            </w:r>
          </w:p>
        </w:tc>
        <w:tc>
          <w:tcPr>
            <w:tcW w:w="754" w:type="dxa"/>
          </w:tcPr>
          <w:p w14:paraId="156E50E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10 282</w:t>
            </w:r>
          </w:p>
        </w:tc>
      </w:tr>
      <w:tr w:rsidR="00964B88" w14:paraId="167BFE92"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5C319A8D" w14:textId="77777777" w:rsidR="00964B88" w:rsidRDefault="00964B88">
            <w:pPr>
              <w:rPr>
                <w:sz w:val="16"/>
              </w:rPr>
            </w:pPr>
            <w:r>
              <w:rPr>
                <w:sz w:val="16"/>
              </w:rPr>
              <w:t>Net cash flows from investments in non</w:t>
            </w:r>
            <w:r>
              <w:rPr>
                <w:sz w:val="16"/>
              </w:rPr>
              <w:noBreakHyphen/>
              <w:t>financial assets</w:t>
            </w:r>
          </w:p>
        </w:tc>
        <w:tc>
          <w:tcPr>
            <w:tcW w:w="754" w:type="dxa"/>
            <w:gridSpan w:val="3"/>
            <w:tcBorders>
              <w:bottom w:val="single" w:sz="6" w:space="0" w:color="auto"/>
            </w:tcBorders>
          </w:tcPr>
          <w:p w14:paraId="76030D6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(15 052)</w:t>
            </w:r>
          </w:p>
        </w:tc>
        <w:tc>
          <w:tcPr>
            <w:tcW w:w="754" w:type="dxa"/>
            <w:tcBorders>
              <w:bottom w:val="single" w:sz="6" w:space="0" w:color="auto"/>
            </w:tcBorders>
          </w:tcPr>
          <w:p w14:paraId="6E27189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(15 482)</w:t>
            </w:r>
          </w:p>
        </w:tc>
        <w:tc>
          <w:tcPr>
            <w:tcW w:w="754" w:type="dxa"/>
            <w:tcBorders>
              <w:bottom w:val="single" w:sz="6" w:space="0" w:color="auto"/>
            </w:tcBorders>
          </w:tcPr>
          <w:p w14:paraId="6CE82F5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(13 961)</w:t>
            </w:r>
          </w:p>
        </w:tc>
        <w:tc>
          <w:tcPr>
            <w:tcW w:w="754" w:type="dxa"/>
            <w:tcBorders>
              <w:bottom w:val="single" w:sz="6" w:space="0" w:color="auto"/>
            </w:tcBorders>
          </w:tcPr>
          <w:p w14:paraId="226D745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(10 670)</w:t>
            </w:r>
          </w:p>
        </w:tc>
        <w:tc>
          <w:tcPr>
            <w:tcW w:w="754" w:type="dxa"/>
            <w:tcBorders>
              <w:bottom w:val="single" w:sz="6" w:space="0" w:color="auto"/>
            </w:tcBorders>
          </w:tcPr>
          <w:p w14:paraId="5C146BE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(11 933)</w:t>
            </w:r>
          </w:p>
        </w:tc>
      </w:tr>
      <w:tr w:rsidR="00964B88" w14:paraId="68D9FEB2" w14:textId="77777777" w:rsidTr="000769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8" w:type="dxa"/>
          </w:tcPr>
          <w:p w14:paraId="2DE1DA5E" w14:textId="77777777" w:rsidR="00964B88" w:rsidRDefault="00964B88">
            <w:pPr>
              <w:rPr>
                <w:sz w:val="16"/>
              </w:rPr>
            </w:pPr>
            <w:r>
              <w:rPr>
                <w:sz w:val="16"/>
              </w:rPr>
              <w:t>Cash surplus/(deficit)</w:t>
            </w:r>
          </w:p>
        </w:tc>
        <w:tc>
          <w:tcPr>
            <w:tcW w:w="754" w:type="dxa"/>
            <w:gridSpan w:val="3"/>
          </w:tcPr>
          <w:p w14:paraId="4C830BE2"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(9 084)</w:t>
            </w:r>
          </w:p>
        </w:tc>
        <w:tc>
          <w:tcPr>
            <w:tcW w:w="754" w:type="dxa"/>
          </w:tcPr>
          <w:p w14:paraId="5A6BBEBB"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(11 198)</w:t>
            </w:r>
          </w:p>
        </w:tc>
        <w:tc>
          <w:tcPr>
            <w:tcW w:w="754" w:type="dxa"/>
          </w:tcPr>
          <w:p w14:paraId="7280FFC5"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(7 978)</w:t>
            </w:r>
          </w:p>
        </w:tc>
        <w:tc>
          <w:tcPr>
            <w:tcW w:w="754" w:type="dxa"/>
          </w:tcPr>
          <w:p w14:paraId="59E121B9"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(1 691)</w:t>
            </w:r>
          </w:p>
        </w:tc>
        <w:tc>
          <w:tcPr>
            <w:tcW w:w="754" w:type="dxa"/>
          </w:tcPr>
          <w:p w14:paraId="2CD7AB79"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(1 650)</w:t>
            </w:r>
          </w:p>
        </w:tc>
      </w:tr>
    </w:tbl>
    <w:p w14:paraId="0E0CE648" w14:textId="77777777" w:rsidR="00964B88" w:rsidRPr="005F55F3" w:rsidRDefault="00964B88" w:rsidP="00F53820">
      <w:pPr>
        <w:pStyle w:val="Note"/>
      </w:pPr>
      <w:r>
        <w:t>Notes:</w:t>
      </w:r>
    </w:p>
    <w:p w14:paraId="1FEB160D" w14:textId="77777777" w:rsidR="00964B88" w:rsidRDefault="00964B88" w:rsidP="00F53820">
      <w:pPr>
        <w:pStyle w:val="Note"/>
      </w:pPr>
      <w:r>
        <w:t>(a)</w:t>
      </w:r>
      <w:r>
        <w:tab/>
        <w:t>Inclusive of goods and services tax.</w:t>
      </w:r>
    </w:p>
    <w:p w14:paraId="18B9A58D" w14:textId="77777777" w:rsidR="00964B88" w:rsidRDefault="00964B88" w:rsidP="00F53820">
      <w:pPr>
        <w:pStyle w:val="Note"/>
      </w:pPr>
      <w:r>
        <w:t>(b)</w:t>
      </w:r>
      <w:r>
        <w:tab/>
      </w:r>
      <w:r>
        <w:rPr>
          <w:i w:val="0"/>
        </w:rPr>
        <w:t>2019-20</w:t>
      </w:r>
      <w:r w:rsidRPr="0027459D">
        <w:rPr>
          <w:i w:val="0"/>
        </w:rPr>
        <w:t xml:space="preserve"> Budget</w:t>
      </w:r>
      <w:r>
        <w:t xml:space="preserve"> figures have been restated to represent actual opening balances at 1 July 2019.</w:t>
      </w:r>
    </w:p>
    <w:p w14:paraId="2510C7E0" w14:textId="77777777" w:rsidR="00964B88" w:rsidRDefault="00964B88" w:rsidP="00F53820">
      <w:pPr>
        <w:pStyle w:val="TableHeading"/>
      </w:pPr>
      <w:r>
        <w:lastRenderedPageBreak/>
        <w:t>Table 5.9</w:t>
      </w:r>
      <w:r w:rsidR="009C1504">
        <w:t>:</w:t>
      </w:r>
      <w:r>
        <w:tab/>
        <w:t xml:space="preserve">Non-financial public sector statement of changes in equity </w:t>
      </w:r>
      <w:r w:rsidR="00506B7C">
        <w:br/>
      </w:r>
      <w:r>
        <w:t>for the financial year ended 30 June</w:t>
      </w:r>
      <w:r>
        <w:tab/>
        <w:t>($ million)</w:t>
      </w:r>
    </w:p>
    <w:tbl>
      <w:tblPr>
        <w:tblStyle w:val="DTFTable"/>
        <w:tblW w:w="7768" w:type="dxa"/>
        <w:tblLayout w:type="fixed"/>
        <w:tblLook w:val="06E0" w:firstRow="1" w:lastRow="1" w:firstColumn="1" w:lastColumn="0" w:noHBand="1" w:noVBand="1"/>
      </w:tblPr>
      <w:tblGrid>
        <w:gridCol w:w="4565"/>
        <w:gridCol w:w="1418"/>
        <w:gridCol w:w="1785"/>
      </w:tblGrid>
      <w:tr w:rsidR="00964B88" w14:paraId="3AA92089"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65" w:type="dxa"/>
          </w:tcPr>
          <w:p w14:paraId="0FD091F4" w14:textId="77777777" w:rsidR="00964B88" w:rsidRDefault="00964B88"/>
        </w:tc>
        <w:tc>
          <w:tcPr>
            <w:tcW w:w="1418" w:type="dxa"/>
          </w:tcPr>
          <w:p w14:paraId="4F7BEC3F" w14:textId="77777777" w:rsidR="00964B88" w:rsidRDefault="00964B88">
            <w:pPr>
              <w:cnfStyle w:val="100000000000" w:firstRow="1" w:lastRow="0" w:firstColumn="0" w:lastColumn="0" w:oddVBand="0" w:evenVBand="0" w:oddHBand="0" w:evenHBand="0" w:firstRowFirstColumn="0" w:firstRowLastColumn="0" w:lastRowFirstColumn="0" w:lastRowLastColumn="0"/>
            </w:pPr>
            <w:r>
              <w:t>Accumulated surplus/(deficit)</w:t>
            </w:r>
          </w:p>
        </w:tc>
        <w:tc>
          <w:tcPr>
            <w:tcW w:w="1785" w:type="dxa"/>
          </w:tcPr>
          <w:p w14:paraId="602305FA" w14:textId="77777777" w:rsidR="00964B88" w:rsidRDefault="00964B88">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r>
      <w:tr w:rsidR="00964B88" w14:paraId="0F272A24" w14:textId="77777777">
        <w:tc>
          <w:tcPr>
            <w:cnfStyle w:val="001000000000" w:firstRow="0" w:lastRow="0" w:firstColumn="1" w:lastColumn="0" w:oddVBand="0" w:evenVBand="0" w:oddHBand="0" w:evenHBand="0" w:firstRowFirstColumn="0" w:firstRowLastColumn="0" w:lastRowFirstColumn="0" w:lastRowLastColumn="0"/>
            <w:tcW w:w="4565" w:type="dxa"/>
          </w:tcPr>
          <w:p w14:paraId="05520403" w14:textId="77777777" w:rsidR="00964B88" w:rsidRDefault="00964B88">
            <w:r>
              <w:rPr>
                <w:b/>
              </w:rPr>
              <w:t>2019</w:t>
            </w:r>
            <w:r>
              <w:rPr>
                <w:b/>
              </w:rPr>
              <w:noBreakHyphen/>
              <w:t>20 budget</w:t>
            </w:r>
            <w:r>
              <w:rPr>
                <w:b/>
                <w:vertAlign w:val="superscript"/>
              </w:rPr>
              <w:t xml:space="preserve"> (a)</w:t>
            </w:r>
          </w:p>
        </w:tc>
        <w:tc>
          <w:tcPr>
            <w:tcW w:w="1418" w:type="dxa"/>
          </w:tcPr>
          <w:p w14:paraId="36708B3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785" w:type="dxa"/>
          </w:tcPr>
          <w:p w14:paraId="169938D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4424D07C" w14:textId="77777777">
        <w:tc>
          <w:tcPr>
            <w:cnfStyle w:val="001000000000" w:firstRow="0" w:lastRow="0" w:firstColumn="1" w:lastColumn="0" w:oddVBand="0" w:evenVBand="0" w:oddHBand="0" w:evenHBand="0" w:firstRowFirstColumn="0" w:firstRowLastColumn="0" w:lastRowFirstColumn="0" w:lastRowLastColumn="0"/>
            <w:tcW w:w="4565" w:type="dxa"/>
          </w:tcPr>
          <w:p w14:paraId="6C884EDD" w14:textId="77777777" w:rsidR="00964B88" w:rsidRDefault="00964B88">
            <w:r>
              <w:t>Balance at 1 July 2019</w:t>
            </w:r>
          </w:p>
        </w:tc>
        <w:tc>
          <w:tcPr>
            <w:tcW w:w="1418" w:type="dxa"/>
          </w:tcPr>
          <w:p w14:paraId="44465F6F" w14:textId="77777777" w:rsidR="00964B88" w:rsidRDefault="00964B88">
            <w:pPr>
              <w:cnfStyle w:val="000000000000" w:firstRow="0" w:lastRow="0" w:firstColumn="0" w:lastColumn="0" w:oddVBand="0" w:evenVBand="0" w:oddHBand="0" w:evenHBand="0" w:firstRowFirstColumn="0" w:firstRowLastColumn="0" w:lastRowFirstColumn="0" w:lastRowLastColumn="0"/>
            </w:pPr>
            <w:r>
              <w:t>80 321</w:t>
            </w:r>
          </w:p>
        </w:tc>
        <w:tc>
          <w:tcPr>
            <w:tcW w:w="1785" w:type="dxa"/>
          </w:tcPr>
          <w:p w14:paraId="5AC7F592" w14:textId="77777777" w:rsidR="00964B88" w:rsidRDefault="00964B88">
            <w:pPr>
              <w:cnfStyle w:val="000000000000" w:firstRow="0" w:lastRow="0" w:firstColumn="0" w:lastColumn="0" w:oddVBand="0" w:evenVBand="0" w:oddHBand="0" w:evenHBand="0" w:firstRowFirstColumn="0" w:firstRowLastColumn="0" w:lastRowFirstColumn="0" w:lastRowLastColumn="0"/>
            </w:pPr>
            <w:r>
              <w:t>108 507</w:t>
            </w:r>
          </w:p>
        </w:tc>
      </w:tr>
      <w:tr w:rsidR="00964B88" w14:paraId="2D5092F0" w14:textId="77777777">
        <w:tc>
          <w:tcPr>
            <w:cnfStyle w:val="001000000000" w:firstRow="0" w:lastRow="0" w:firstColumn="1" w:lastColumn="0" w:oddVBand="0" w:evenVBand="0" w:oddHBand="0" w:evenHBand="0" w:firstRowFirstColumn="0" w:firstRowLastColumn="0" w:lastRowFirstColumn="0" w:lastRowLastColumn="0"/>
            <w:tcW w:w="4565" w:type="dxa"/>
          </w:tcPr>
          <w:p w14:paraId="535EF4D8" w14:textId="77777777" w:rsidR="00964B88" w:rsidRDefault="00964B88">
            <w:r>
              <w:t>Net result for the year</w:t>
            </w:r>
          </w:p>
        </w:tc>
        <w:tc>
          <w:tcPr>
            <w:tcW w:w="1418" w:type="dxa"/>
          </w:tcPr>
          <w:p w14:paraId="7CE3ED77" w14:textId="77777777" w:rsidR="00964B88" w:rsidRDefault="00964B88">
            <w:pPr>
              <w:cnfStyle w:val="000000000000" w:firstRow="0" w:lastRow="0" w:firstColumn="0" w:lastColumn="0" w:oddVBand="0" w:evenVBand="0" w:oddHBand="0" w:evenHBand="0" w:firstRowFirstColumn="0" w:firstRowLastColumn="0" w:lastRowFirstColumn="0" w:lastRowLastColumn="0"/>
            </w:pPr>
            <w:r>
              <w:t>(126)</w:t>
            </w:r>
          </w:p>
        </w:tc>
        <w:tc>
          <w:tcPr>
            <w:tcW w:w="1785" w:type="dxa"/>
          </w:tcPr>
          <w:p w14:paraId="4F19D6C1"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0A4F76B4" w14:textId="77777777">
        <w:tc>
          <w:tcPr>
            <w:cnfStyle w:val="001000000000" w:firstRow="0" w:lastRow="0" w:firstColumn="1" w:lastColumn="0" w:oddVBand="0" w:evenVBand="0" w:oddHBand="0" w:evenHBand="0" w:firstRowFirstColumn="0" w:firstRowLastColumn="0" w:lastRowFirstColumn="0" w:lastRowLastColumn="0"/>
            <w:tcW w:w="4565" w:type="dxa"/>
          </w:tcPr>
          <w:p w14:paraId="0721DF73" w14:textId="77777777" w:rsidR="00964B88" w:rsidRDefault="00964B88">
            <w:r>
              <w:t>Other comprehensive income for the year</w:t>
            </w:r>
          </w:p>
        </w:tc>
        <w:tc>
          <w:tcPr>
            <w:tcW w:w="1418" w:type="dxa"/>
          </w:tcPr>
          <w:p w14:paraId="39860596" w14:textId="77777777" w:rsidR="00964B88" w:rsidRDefault="00964B88">
            <w:pPr>
              <w:cnfStyle w:val="000000000000" w:firstRow="0" w:lastRow="0" w:firstColumn="0" w:lastColumn="0" w:oddVBand="0" w:evenVBand="0" w:oddHBand="0" w:evenHBand="0" w:firstRowFirstColumn="0" w:firstRowLastColumn="0" w:lastRowFirstColumn="0" w:lastRowLastColumn="0"/>
            </w:pPr>
            <w:r>
              <w:t>1 003</w:t>
            </w:r>
          </w:p>
        </w:tc>
        <w:tc>
          <w:tcPr>
            <w:tcW w:w="1785" w:type="dxa"/>
          </w:tcPr>
          <w:p w14:paraId="659117EB" w14:textId="77777777" w:rsidR="00964B88" w:rsidRDefault="00964B88">
            <w:pPr>
              <w:cnfStyle w:val="000000000000" w:firstRow="0" w:lastRow="0" w:firstColumn="0" w:lastColumn="0" w:oddVBand="0" w:evenVBand="0" w:oddHBand="0" w:evenHBand="0" w:firstRowFirstColumn="0" w:firstRowLastColumn="0" w:lastRowFirstColumn="0" w:lastRowLastColumn="0"/>
            </w:pPr>
            <w:r>
              <w:t>4 671</w:t>
            </w:r>
          </w:p>
        </w:tc>
      </w:tr>
      <w:tr w:rsidR="00964B88" w14:paraId="516B2871" w14:textId="77777777">
        <w:tc>
          <w:tcPr>
            <w:cnfStyle w:val="001000000000" w:firstRow="0" w:lastRow="0" w:firstColumn="1" w:lastColumn="0" w:oddVBand="0" w:evenVBand="0" w:oddHBand="0" w:evenHBand="0" w:firstRowFirstColumn="0" w:firstRowLastColumn="0" w:lastRowFirstColumn="0" w:lastRowLastColumn="0"/>
            <w:tcW w:w="4565" w:type="dxa"/>
          </w:tcPr>
          <w:p w14:paraId="2589932F" w14:textId="77777777" w:rsidR="00964B88" w:rsidRDefault="00964B88">
            <w:r>
              <w:t>Transfer to/(from) accumulated surplus</w:t>
            </w:r>
          </w:p>
        </w:tc>
        <w:tc>
          <w:tcPr>
            <w:tcW w:w="1418" w:type="dxa"/>
          </w:tcPr>
          <w:p w14:paraId="29E049F7"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785" w:type="dxa"/>
          </w:tcPr>
          <w:p w14:paraId="1C82650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68DF0E14"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bottom w:val="single" w:sz="6" w:space="0" w:color="auto"/>
            </w:tcBorders>
          </w:tcPr>
          <w:p w14:paraId="16FB61E7" w14:textId="77777777" w:rsidR="00964B88" w:rsidRDefault="00964B88">
            <w:r>
              <w:rPr>
                <w:b/>
              </w:rPr>
              <w:t>Total equity as at 30 June 2020</w:t>
            </w:r>
          </w:p>
        </w:tc>
        <w:tc>
          <w:tcPr>
            <w:tcW w:w="1418" w:type="dxa"/>
            <w:tcBorders>
              <w:top w:val="single" w:sz="6" w:space="0" w:color="auto"/>
              <w:bottom w:val="single" w:sz="6" w:space="0" w:color="auto"/>
            </w:tcBorders>
          </w:tcPr>
          <w:p w14:paraId="44E78F2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81 198</w:t>
            </w:r>
          </w:p>
        </w:tc>
        <w:tc>
          <w:tcPr>
            <w:tcW w:w="1785" w:type="dxa"/>
            <w:tcBorders>
              <w:top w:val="single" w:sz="6" w:space="0" w:color="auto"/>
              <w:bottom w:val="single" w:sz="6" w:space="0" w:color="auto"/>
            </w:tcBorders>
          </w:tcPr>
          <w:p w14:paraId="026B491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113 178</w:t>
            </w:r>
          </w:p>
        </w:tc>
      </w:tr>
      <w:tr w:rsidR="00964B88" w14:paraId="0DDB7E17"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tcBorders>
          </w:tcPr>
          <w:p w14:paraId="502C0D9A" w14:textId="77777777" w:rsidR="00964B88" w:rsidRDefault="00964B88">
            <w:r>
              <w:rPr>
                <w:b/>
              </w:rPr>
              <w:t>2019</w:t>
            </w:r>
            <w:r>
              <w:rPr>
                <w:b/>
              </w:rPr>
              <w:noBreakHyphen/>
              <w:t>20 revised</w:t>
            </w:r>
          </w:p>
        </w:tc>
        <w:tc>
          <w:tcPr>
            <w:tcW w:w="1418" w:type="dxa"/>
            <w:tcBorders>
              <w:top w:val="single" w:sz="6" w:space="0" w:color="auto"/>
            </w:tcBorders>
          </w:tcPr>
          <w:p w14:paraId="4512B2D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785" w:type="dxa"/>
            <w:tcBorders>
              <w:top w:val="single" w:sz="6" w:space="0" w:color="auto"/>
            </w:tcBorders>
          </w:tcPr>
          <w:p w14:paraId="796409D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533B1B26" w14:textId="77777777">
        <w:tc>
          <w:tcPr>
            <w:cnfStyle w:val="001000000000" w:firstRow="0" w:lastRow="0" w:firstColumn="1" w:lastColumn="0" w:oddVBand="0" w:evenVBand="0" w:oddHBand="0" w:evenHBand="0" w:firstRowFirstColumn="0" w:firstRowLastColumn="0" w:lastRowFirstColumn="0" w:lastRowLastColumn="0"/>
            <w:tcW w:w="4565" w:type="dxa"/>
          </w:tcPr>
          <w:p w14:paraId="3880F652" w14:textId="77777777" w:rsidR="00964B88" w:rsidRDefault="00964B88">
            <w:r>
              <w:t>Balance at 1 July 2019</w:t>
            </w:r>
          </w:p>
        </w:tc>
        <w:tc>
          <w:tcPr>
            <w:tcW w:w="1418" w:type="dxa"/>
          </w:tcPr>
          <w:p w14:paraId="467689F2" w14:textId="77777777" w:rsidR="00964B88" w:rsidRDefault="00964B88">
            <w:pPr>
              <w:cnfStyle w:val="000000000000" w:firstRow="0" w:lastRow="0" w:firstColumn="0" w:lastColumn="0" w:oddVBand="0" w:evenVBand="0" w:oddHBand="0" w:evenHBand="0" w:firstRowFirstColumn="0" w:firstRowLastColumn="0" w:lastRowFirstColumn="0" w:lastRowLastColumn="0"/>
            </w:pPr>
            <w:r>
              <w:t>80 321</w:t>
            </w:r>
          </w:p>
        </w:tc>
        <w:tc>
          <w:tcPr>
            <w:tcW w:w="1785" w:type="dxa"/>
          </w:tcPr>
          <w:p w14:paraId="4C96E0CE" w14:textId="77777777" w:rsidR="00964B88" w:rsidRDefault="00964B88">
            <w:pPr>
              <w:cnfStyle w:val="000000000000" w:firstRow="0" w:lastRow="0" w:firstColumn="0" w:lastColumn="0" w:oddVBand="0" w:evenVBand="0" w:oddHBand="0" w:evenHBand="0" w:firstRowFirstColumn="0" w:firstRowLastColumn="0" w:lastRowFirstColumn="0" w:lastRowLastColumn="0"/>
            </w:pPr>
            <w:r>
              <w:t>108 507</w:t>
            </w:r>
          </w:p>
        </w:tc>
      </w:tr>
      <w:tr w:rsidR="00964B88" w14:paraId="595CD21D" w14:textId="77777777">
        <w:tc>
          <w:tcPr>
            <w:cnfStyle w:val="001000000000" w:firstRow="0" w:lastRow="0" w:firstColumn="1" w:lastColumn="0" w:oddVBand="0" w:evenVBand="0" w:oddHBand="0" w:evenHBand="0" w:firstRowFirstColumn="0" w:firstRowLastColumn="0" w:lastRowFirstColumn="0" w:lastRowLastColumn="0"/>
            <w:tcW w:w="4565" w:type="dxa"/>
          </w:tcPr>
          <w:p w14:paraId="1D8D5241" w14:textId="77777777" w:rsidR="00964B88" w:rsidRDefault="00964B88">
            <w:r>
              <w:t>Net result for the year</w:t>
            </w:r>
          </w:p>
        </w:tc>
        <w:tc>
          <w:tcPr>
            <w:tcW w:w="1418" w:type="dxa"/>
          </w:tcPr>
          <w:p w14:paraId="51994C19" w14:textId="77777777" w:rsidR="00964B88" w:rsidRDefault="00964B88">
            <w:pPr>
              <w:cnfStyle w:val="000000000000" w:firstRow="0" w:lastRow="0" w:firstColumn="0" w:lastColumn="0" w:oddVBand="0" w:evenVBand="0" w:oddHBand="0" w:evenHBand="0" w:firstRowFirstColumn="0" w:firstRowLastColumn="0" w:lastRowFirstColumn="0" w:lastRowLastColumn="0"/>
            </w:pPr>
            <w:r>
              <w:t>(151)</w:t>
            </w:r>
          </w:p>
        </w:tc>
        <w:tc>
          <w:tcPr>
            <w:tcW w:w="1785" w:type="dxa"/>
          </w:tcPr>
          <w:p w14:paraId="010935A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363B29D3" w14:textId="77777777">
        <w:tc>
          <w:tcPr>
            <w:cnfStyle w:val="001000000000" w:firstRow="0" w:lastRow="0" w:firstColumn="1" w:lastColumn="0" w:oddVBand="0" w:evenVBand="0" w:oddHBand="0" w:evenHBand="0" w:firstRowFirstColumn="0" w:firstRowLastColumn="0" w:lastRowFirstColumn="0" w:lastRowLastColumn="0"/>
            <w:tcW w:w="4565" w:type="dxa"/>
          </w:tcPr>
          <w:p w14:paraId="58F57914" w14:textId="77777777" w:rsidR="00964B88" w:rsidRDefault="00964B88">
            <w:r>
              <w:t>Other comprehensive income for the year</w:t>
            </w:r>
          </w:p>
        </w:tc>
        <w:tc>
          <w:tcPr>
            <w:tcW w:w="1418" w:type="dxa"/>
          </w:tcPr>
          <w:p w14:paraId="5C32D1B3" w14:textId="77777777" w:rsidR="00964B88" w:rsidRDefault="00964B88">
            <w:pPr>
              <w:cnfStyle w:val="000000000000" w:firstRow="0" w:lastRow="0" w:firstColumn="0" w:lastColumn="0" w:oddVBand="0" w:evenVBand="0" w:oddHBand="0" w:evenHBand="0" w:firstRowFirstColumn="0" w:firstRowLastColumn="0" w:lastRowFirstColumn="0" w:lastRowLastColumn="0"/>
            </w:pPr>
            <w:r>
              <w:t>3</w:t>
            </w:r>
          </w:p>
        </w:tc>
        <w:tc>
          <w:tcPr>
            <w:tcW w:w="1785" w:type="dxa"/>
          </w:tcPr>
          <w:p w14:paraId="24A3AD46" w14:textId="77777777" w:rsidR="00964B88" w:rsidRDefault="00964B88">
            <w:pPr>
              <w:cnfStyle w:val="000000000000" w:firstRow="0" w:lastRow="0" w:firstColumn="0" w:lastColumn="0" w:oddVBand="0" w:evenVBand="0" w:oddHBand="0" w:evenHBand="0" w:firstRowFirstColumn="0" w:firstRowLastColumn="0" w:lastRowFirstColumn="0" w:lastRowLastColumn="0"/>
            </w:pPr>
            <w:r>
              <w:t>4 467</w:t>
            </w:r>
          </w:p>
        </w:tc>
      </w:tr>
      <w:tr w:rsidR="00964B88" w14:paraId="202A2073" w14:textId="77777777">
        <w:tc>
          <w:tcPr>
            <w:cnfStyle w:val="001000000000" w:firstRow="0" w:lastRow="0" w:firstColumn="1" w:lastColumn="0" w:oddVBand="0" w:evenVBand="0" w:oddHBand="0" w:evenHBand="0" w:firstRowFirstColumn="0" w:firstRowLastColumn="0" w:lastRowFirstColumn="0" w:lastRowLastColumn="0"/>
            <w:tcW w:w="4565" w:type="dxa"/>
          </w:tcPr>
          <w:p w14:paraId="16C063DD" w14:textId="77777777" w:rsidR="00964B88" w:rsidRDefault="00964B88">
            <w:r>
              <w:t>Transfer to/(from) accumulated surplus</w:t>
            </w:r>
          </w:p>
        </w:tc>
        <w:tc>
          <w:tcPr>
            <w:tcW w:w="1418" w:type="dxa"/>
          </w:tcPr>
          <w:p w14:paraId="6DC3D173" w14:textId="77777777" w:rsidR="00964B88" w:rsidRDefault="00964B88">
            <w:pPr>
              <w:cnfStyle w:val="000000000000" w:firstRow="0" w:lastRow="0" w:firstColumn="0" w:lastColumn="0" w:oddVBand="0" w:evenVBand="0" w:oddHBand="0" w:evenHBand="0" w:firstRowFirstColumn="0" w:firstRowLastColumn="0" w:lastRowFirstColumn="0" w:lastRowLastColumn="0"/>
            </w:pPr>
            <w:r>
              <w:t>23 675</w:t>
            </w:r>
          </w:p>
        </w:tc>
        <w:tc>
          <w:tcPr>
            <w:tcW w:w="1785" w:type="dxa"/>
          </w:tcPr>
          <w:p w14:paraId="0C472383" w14:textId="77777777" w:rsidR="00964B88" w:rsidRDefault="00964B88">
            <w:pPr>
              <w:cnfStyle w:val="000000000000" w:firstRow="0" w:lastRow="0" w:firstColumn="0" w:lastColumn="0" w:oddVBand="0" w:evenVBand="0" w:oddHBand="0" w:evenHBand="0" w:firstRowFirstColumn="0" w:firstRowLastColumn="0" w:lastRowFirstColumn="0" w:lastRowLastColumn="0"/>
            </w:pPr>
            <w:r>
              <w:t>(23 675)</w:t>
            </w:r>
          </w:p>
        </w:tc>
      </w:tr>
      <w:tr w:rsidR="00964B88" w14:paraId="7B07D3F1"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bottom w:val="single" w:sz="6" w:space="0" w:color="auto"/>
            </w:tcBorders>
          </w:tcPr>
          <w:p w14:paraId="0B2B96AD" w14:textId="77777777" w:rsidR="00964B88" w:rsidRDefault="00964B88">
            <w:r>
              <w:rPr>
                <w:b/>
              </w:rPr>
              <w:t>Total equity as at 30 June 2020</w:t>
            </w:r>
          </w:p>
        </w:tc>
        <w:tc>
          <w:tcPr>
            <w:tcW w:w="1418" w:type="dxa"/>
            <w:tcBorders>
              <w:top w:val="single" w:sz="6" w:space="0" w:color="auto"/>
              <w:bottom w:val="single" w:sz="6" w:space="0" w:color="auto"/>
            </w:tcBorders>
          </w:tcPr>
          <w:p w14:paraId="2240157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103 848</w:t>
            </w:r>
          </w:p>
        </w:tc>
        <w:tc>
          <w:tcPr>
            <w:tcW w:w="1785" w:type="dxa"/>
            <w:tcBorders>
              <w:top w:val="single" w:sz="6" w:space="0" w:color="auto"/>
              <w:bottom w:val="single" w:sz="6" w:space="0" w:color="auto"/>
            </w:tcBorders>
          </w:tcPr>
          <w:p w14:paraId="0F84F71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89 299</w:t>
            </w:r>
          </w:p>
        </w:tc>
      </w:tr>
      <w:tr w:rsidR="00964B88" w14:paraId="22D78FC7"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tcBorders>
          </w:tcPr>
          <w:p w14:paraId="765AB34B" w14:textId="77777777" w:rsidR="00964B88" w:rsidRDefault="00964B88">
            <w:r>
              <w:rPr>
                <w:b/>
              </w:rPr>
              <w:t>2020</w:t>
            </w:r>
            <w:r>
              <w:rPr>
                <w:b/>
              </w:rPr>
              <w:noBreakHyphen/>
              <w:t>21 estimate</w:t>
            </w:r>
          </w:p>
        </w:tc>
        <w:tc>
          <w:tcPr>
            <w:tcW w:w="1418" w:type="dxa"/>
            <w:tcBorders>
              <w:top w:val="single" w:sz="6" w:space="0" w:color="auto"/>
            </w:tcBorders>
          </w:tcPr>
          <w:p w14:paraId="109D301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785" w:type="dxa"/>
            <w:tcBorders>
              <w:top w:val="single" w:sz="6" w:space="0" w:color="auto"/>
            </w:tcBorders>
          </w:tcPr>
          <w:p w14:paraId="7949E4B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4F7DE0DA" w14:textId="77777777">
        <w:tc>
          <w:tcPr>
            <w:cnfStyle w:val="001000000000" w:firstRow="0" w:lastRow="0" w:firstColumn="1" w:lastColumn="0" w:oddVBand="0" w:evenVBand="0" w:oddHBand="0" w:evenHBand="0" w:firstRowFirstColumn="0" w:firstRowLastColumn="0" w:lastRowFirstColumn="0" w:lastRowLastColumn="0"/>
            <w:tcW w:w="4565" w:type="dxa"/>
          </w:tcPr>
          <w:p w14:paraId="42B39CBC" w14:textId="77777777" w:rsidR="00964B88" w:rsidRDefault="00964B88">
            <w:r>
              <w:t>Balance at 1 July 2020</w:t>
            </w:r>
          </w:p>
        </w:tc>
        <w:tc>
          <w:tcPr>
            <w:tcW w:w="1418" w:type="dxa"/>
          </w:tcPr>
          <w:p w14:paraId="7F90B129" w14:textId="77777777" w:rsidR="00964B88" w:rsidRDefault="00964B88">
            <w:pPr>
              <w:cnfStyle w:val="000000000000" w:firstRow="0" w:lastRow="0" w:firstColumn="0" w:lastColumn="0" w:oddVBand="0" w:evenVBand="0" w:oddHBand="0" w:evenHBand="0" w:firstRowFirstColumn="0" w:firstRowLastColumn="0" w:lastRowFirstColumn="0" w:lastRowLastColumn="0"/>
            </w:pPr>
            <w:r>
              <w:t>103 848</w:t>
            </w:r>
          </w:p>
        </w:tc>
        <w:tc>
          <w:tcPr>
            <w:tcW w:w="1785" w:type="dxa"/>
          </w:tcPr>
          <w:p w14:paraId="6CE95C11" w14:textId="77777777" w:rsidR="00964B88" w:rsidRDefault="00964B88">
            <w:pPr>
              <w:cnfStyle w:val="000000000000" w:firstRow="0" w:lastRow="0" w:firstColumn="0" w:lastColumn="0" w:oddVBand="0" w:evenVBand="0" w:oddHBand="0" w:evenHBand="0" w:firstRowFirstColumn="0" w:firstRowLastColumn="0" w:lastRowFirstColumn="0" w:lastRowLastColumn="0"/>
            </w:pPr>
            <w:r>
              <w:t>89 299</w:t>
            </w:r>
          </w:p>
        </w:tc>
      </w:tr>
      <w:tr w:rsidR="00964B88" w14:paraId="6BBF433A" w14:textId="77777777">
        <w:tc>
          <w:tcPr>
            <w:cnfStyle w:val="001000000000" w:firstRow="0" w:lastRow="0" w:firstColumn="1" w:lastColumn="0" w:oddVBand="0" w:evenVBand="0" w:oddHBand="0" w:evenHBand="0" w:firstRowFirstColumn="0" w:firstRowLastColumn="0" w:lastRowFirstColumn="0" w:lastRowLastColumn="0"/>
            <w:tcW w:w="4565" w:type="dxa"/>
          </w:tcPr>
          <w:p w14:paraId="2B27DB98" w14:textId="77777777" w:rsidR="00964B88" w:rsidRDefault="00964B88">
            <w:r>
              <w:t>Net result for the year</w:t>
            </w:r>
          </w:p>
        </w:tc>
        <w:tc>
          <w:tcPr>
            <w:tcW w:w="1418" w:type="dxa"/>
          </w:tcPr>
          <w:p w14:paraId="33202C3D" w14:textId="77777777" w:rsidR="00964B88" w:rsidRDefault="00964B88">
            <w:pPr>
              <w:cnfStyle w:val="000000000000" w:firstRow="0" w:lastRow="0" w:firstColumn="0" w:lastColumn="0" w:oddVBand="0" w:evenVBand="0" w:oddHBand="0" w:evenHBand="0" w:firstRowFirstColumn="0" w:firstRowLastColumn="0" w:lastRowFirstColumn="0" w:lastRowLastColumn="0"/>
            </w:pPr>
            <w:r>
              <w:t>41</w:t>
            </w:r>
          </w:p>
        </w:tc>
        <w:tc>
          <w:tcPr>
            <w:tcW w:w="1785" w:type="dxa"/>
          </w:tcPr>
          <w:p w14:paraId="744DE7B7"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2C8BAC48" w14:textId="77777777">
        <w:tc>
          <w:tcPr>
            <w:cnfStyle w:val="001000000000" w:firstRow="0" w:lastRow="0" w:firstColumn="1" w:lastColumn="0" w:oddVBand="0" w:evenVBand="0" w:oddHBand="0" w:evenHBand="0" w:firstRowFirstColumn="0" w:firstRowLastColumn="0" w:lastRowFirstColumn="0" w:lastRowLastColumn="0"/>
            <w:tcW w:w="4565" w:type="dxa"/>
          </w:tcPr>
          <w:p w14:paraId="2382E9B4" w14:textId="77777777" w:rsidR="00964B88" w:rsidRDefault="00964B88">
            <w:r>
              <w:t>Other comprehensive income for the year</w:t>
            </w:r>
          </w:p>
        </w:tc>
        <w:tc>
          <w:tcPr>
            <w:tcW w:w="1418" w:type="dxa"/>
          </w:tcPr>
          <w:p w14:paraId="704C6BF0" w14:textId="77777777" w:rsidR="00964B88" w:rsidRDefault="00964B88">
            <w:pPr>
              <w:cnfStyle w:val="000000000000" w:firstRow="0" w:lastRow="0" w:firstColumn="0" w:lastColumn="0" w:oddVBand="0" w:evenVBand="0" w:oddHBand="0" w:evenHBand="0" w:firstRowFirstColumn="0" w:firstRowLastColumn="0" w:lastRowFirstColumn="0" w:lastRowLastColumn="0"/>
            </w:pPr>
            <w:r>
              <w:t>1 392</w:t>
            </w:r>
          </w:p>
        </w:tc>
        <w:tc>
          <w:tcPr>
            <w:tcW w:w="1785" w:type="dxa"/>
          </w:tcPr>
          <w:p w14:paraId="3ED5D651" w14:textId="77777777" w:rsidR="00964B88" w:rsidRDefault="00964B88">
            <w:pPr>
              <w:cnfStyle w:val="000000000000" w:firstRow="0" w:lastRow="0" w:firstColumn="0" w:lastColumn="0" w:oddVBand="0" w:evenVBand="0" w:oddHBand="0" w:evenHBand="0" w:firstRowFirstColumn="0" w:firstRowLastColumn="0" w:lastRowFirstColumn="0" w:lastRowLastColumn="0"/>
            </w:pPr>
            <w:r>
              <w:t>6 735</w:t>
            </w:r>
          </w:p>
        </w:tc>
      </w:tr>
      <w:tr w:rsidR="00964B88" w14:paraId="73984B69" w14:textId="77777777">
        <w:tc>
          <w:tcPr>
            <w:cnfStyle w:val="001000000000" w:firstRow="0" w:lastRow="0" w:firstColumn="1" w:lastColumn="0" w:oddVBand="0" w:evenVBand="0" w:oddHBand="0" w:evenHBand="0" w:firstRowFirstColumn="0" w:firstRowLastColumn="0" w:lastRowFirstColumn="0" w:lastRowLastColumn="0"/>
            <w:tcW w:w="4565" w:type="dxa"/>
          </w:tcPr>
          <w:p w14:paraId="055D0B3E" w14:textId="77777777" w:rsidR="00964B88" w:rsidRDefault="00964B88">
            <w:r>
              <w:t>Transfer to/(from) accumulated surplus</w:t>
            </w:r>
          </w:p>
        </w:tc>
        <w:tc>
          <w:tcPr>
            <w:tcW w:w="1418" w:type="dxa"/>
          </w:tcPr>
          <w:p w14:paraId="5D850F21"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785" w:type="dxa"/>
          </w:tcPr>
          <w:p w14:paraId="54A25B6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028A3669"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bottom w:val="single" w:sz="6" w:space="0" w:color="auto"/>
            </w:tcBorders>
          </w:tcPr>
          <w:p w14:paraId="3491FDAC" w14:textId="77777777" w:rsidR="00964B88" w:rsidRDefault="00964B88">
            <w:r>
              <w:rPr>
                <w:b/>
              </w:rPr>
              <w:t>Total equity as at 30 June 2021</w:t>
            </w:r>
          </w:p>
        </w:tc>
        <w:tc>
          <w:tcPr>
            <w:tcW w:w="1418" w:type="dxa"/>
            <w:tcBorders>
              <w:top w:val="single" w:sz="6" w:space="0" w:color="auto"/>
              <w:bottom w:val="single" w:sz="6" w:space="0" w:color="auto"/>
            </w:tcBorders>
          </w:tcPr>
          <w:p w14:paraId="5FBD732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105 282</w:t>
            </w:r>
          </w:p>
        </w:tc>
        <w:tc>
          <w:tcPr>
            <w:tcW w:w="1785" w:type="dxa"/>
            <w:tcBorders>
              <w:top w:val="single" w:sz="6" w:space="0" w:color="auto"/>
              <w:bottom w:val="single" w:sz="6" w:space="0" w:color="auto"/>
            </w:tcBorders>
          </w:tcPr>
          <w:p w14:paraId="01F72D1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96 034</w:t>
            </w:r>
          </w:p>
        </w:tc>
      </w:tr>
      <w:tr w:rsidR="00964B88" w14:paraId="68967791"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tcBorders>
          </w:tcPr>
          <w:p w14:paraId="0B560635" w14:textId="77777777" w:rsidR="00964B88" w:rsidRDefault="00964B88">
            <w:r>
              <w:rPr>
                <w:b/>
              </w:rPr>
              <w:t>2021</w:t>
            </w:r>
            <w:r>
              <w:rPr>
                <w:b/>
              </w:rPr>
              <w:noBreakHyphen/>
              <w:t>22 estimate</w:t>
            </w:r>
          </w:p>
        </w:tc>
        <w:tc>
          <w:tcPr>
            <w:tcW w:w="1418" w:type="dxa"/>
            <w:tcBorders>
              <w:top w:val="single" w:sz="6" w:space="0" w:color="auto"/>
            </w:tcBorders>
          </w:tcPr>
          <w:p w14:paraId="7E38E23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785" w:type="dxa"/>
            <w:tcBorders>
              <w:top w:val="single" w:sz="6" w:space="0" w:color="auto"/>
            </w:tcBorders>
          </w:tcPr>
          <w:p w14:paraId="674BF8D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7F75D6C" w14:textId="77777777">
        <w:tc>
          <w:tcPr>
            <w:cnfStyle w:val="001000000000" w:firstRow="0" w:lastRow="0" w:firstColumn="1" w:lastColumn="0" w:oddVBand="0" w:evenVBand="0" w:oddHBand="0" w:evenHBand="0" w:firstRowFirstColumn="0" w:firstRowLastColumn="0" w:lastRowFirstColumn="0" w:lastRowLastColumn="0"/>
            <w:tcW w:w="4565" w:type="dxa"/>
          </w:tcPr>
          <w:p w14:paraId="6F75F49A" w14:textId="77777777" w:rsidR="00964B88" w:rsidRDefault="00964B88">
            <w:r>
              <w:t>Balance at 1 July 2021</w:t>
            </w:r>
          </w:p>
        </w:tc>
        <w:tc>
          <w:tcPr>
            <w:tcW w:w="1418" w:type="dxa"/>
          </w:tcPr>
          <w:p w14:paraId="1B35AC9C" w14:textId="77777777" w:rsidR="00964B88" w:rsidRDefault="00964B88">
            <w:pPr>
              <w:cnfStyle w:val="000000000000" w:firstRow="0" w:lastRow="0" w:firstColumn="0" w:lastColumn="0" w:oddVBand="0" w:evenVBand="0" w:oddHBand="0" w:evenHBand="0" w:firstRowFirstColumn="0" w:firstRowLastColumn="0" w:lastRowFirstColumn="0" w:lastRowLastColumn="0"/>
            </w:pPr>
            <w:r>
              <w:t>105 282</w:t>
            </w:r>
          </w:p>
        </w:tc>
        <w:tc>
          <w:tcPr>
            <w:tcW w:w="1785" w:type="dxa"/>
          </w:tcPr>
          <w:p w14:paraId="752BAF77" w14:textId="77777777" w:rsidR="00964B88" w:rsidRDefault="00964B88">
            <w:pPr>
              <w:cnfStyle w:val="000000000000" w:firstRow="0" w:lastRow="0" w:firstColumn="0" w:lastColumn="0" w:oddVBand="0" w:evenVBand="0" w:oddHBand="0" w:evenHBand="0" w:firstRowFirstColumn="0" w:firstRowLastColumn="0" w:lastRowFirstColumn="0" w:lastRowLastColumn="0"/>
            </w:pPr>
            <w:r>
              <w:t>96 034</w:t>
            </w:r>
          </w:p>
        </w:tc>
      </w:tr>
      <w:tr w:rsidR="00964B88" w14:paraId="2B598F14" w14:textId="77777777">
        <w:tc>
          <w:tcPr>
            <w:cnfStyle w:val="001000000000" w:firstRow="0" w:lastRow="0" w:firstColumn="1" w:lastColumn="0" w:oddVBand="0" w:evenVBand="0" w:oddHBand="0" w:evenHBand="0" w:firstRowFirstColumn="0" w:firstRowLastColumn="0" w:lastRowFirstColumn="0" w:lastRowLastColumn="0"/>
            <w:tcW w:w="4565" w:type="dxa"/>
          </w:tcPr>
          <w:p w14:paraId="57C7AF01" w14:textId="77777777" w:rsidR="00964B88" w:rsidRDefault="00964B88">
            <w:r>
              <w:t>Net result for the year</w:t>
            </w:r>
          </w:p>
        </w:tc>
        <w:tc>
          <w:tcPr>
            <w:tcW w:w="1418" w:type="dxa"/>
          </w:tcPr>
          <w:p w14:paraId="2291B11A" w14:textId="77777777" w:rsidR="00964B88" w:rsidRDefault="00964B88">
            <w:pPr>
              <w:cnfStyle w:val="000000000000" w:firstRow="0" w:lastRow="0" w:firstColumn="0" w:lastColumn="0" w:oddVBand="0" w:evenVBand="0" w:oddHBand="0" w:evenHBand="0" w:firstRowFirstColumn="0" w:firstRowLastColumn="0" w:lastRowFirstColumn="0" w:lastRowLastColumn="0"/>
            </w:pPr>
            <w:r>
              <w:t>2 577</w:t>
            </w:r>
          </w:p>
        </w:tc>
        <w:tc>
          <w:tcPr>
            <w:tcW w:w="1785" w:type="dxa"/>
          </w:tcPr>
          <w:p w14:paraId="4A43EFF6"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130025F5" w14:textId="77777777">
        <w:tc>
          <w:tcPr>
            <w:cnfStyle w:val="001000000000" w:firstRow="0" w:lastRow="0" w:firstColumn="1" w:lastColumn="0" w:oddVBand="0" w:evenVBand="0" w:oddHBand="0" w:evenHBand="0" w:firstRowFirstColumn="0" w:firstRowLastColumn="0" w:lastRowFirstColumn="0" w:lastRowLastColumn="0"/>
            <w:tcW w:w="4565" w:type="dxa"/>
          </w:tcPr>
          <w:p w14:paraId="25D2BC86" w14:textId="77777777" w:rsidR="00964B88" w:rsidRDefault="00964B88">
            <w:r>
              <w:t>Other comprehensive income for the year</w:t>
            </w:r>
          </w:p>
        </w:tc>
        <w:tc>
          <w:tcPr>
            <w:tcW w:w="1418" w:type="dxa"/>
          </w:tcPr>
          <w:p w14:paraId="20971462" w14:textId="77777777" w:rsidR="00964B88" w:rsidRDefault="00964B88">
            <w:pPr>
              <w:cnfStyle w:val="000000000000" w:firstRow="0" w:lastRow="0" w:firstColumn="0" w:lastColumn="0" w:oddVBand="0" w:evenVBand="0" w:oddHBand="0" w:evenHBand="0" w:firstRowFirstColumn="0" w:firstRowLastColumn="0" w:lastRowFirstColumn="0" w:lastRowLastColumn="0"/>
            </w:pPr>
            <w:r>
              <w:t>1 428</w:t>
            </w:r>
          </w:p>
        </w:tc>
        <w:tc>
          <w:tcPr>
            <w:tcW w:w="1785" w:type="dxa"/>
          </w:tcPr>
          <w:p w14:paraId="5EF5B3D0" w14:textId="77777777" w:rsidR="00964B88" w:rsidRDefault="00964B88">
            <w:pPr>
              <w:cnfStyle w:val="000000000000" w:firstRow="0" w:lastRow="0" w:firstColumn="0" w:lastColumn="0" w:oddVBand="0" w:evenVBand="0" w:oddHBand="0" w:evenHBand="0" w:firstRowFirstColumn="0" w:firstRowLastColumn="0" w:lastRowFirstColumn="0" w:lastRowLastColumn="0"/>
            </w:pPr>
            <w:r>
              <w:t>3 736</w:t>
            </w:r>
          </w:p>
        </w:tc>
      </w:tr>
      <w:tr w:rsidR="00964B88" w14:paraId="64FAC0B0" w14:textId="77777777">
        <w:tc>
          <w:tcPr>
            <w:cnfStyle w:val="001000000000" w:firstRow="0" w:lastRow="0" w:firstColumn="1" w:lastColumn="0" w:oddVBand="0" w:evenVBand="0" w:oddHBand="0" w:evenHBand="0" w:firstRowFirstColumn="0" w:firstRowLastColumn="0" w:lastRowFirstColumn="0" w:lastRowLastColumn="0"/>
            <w:tcW w:w="4565" w:type="dxa"/>
          </w:tcPr>
          <w:p w14:paraId="07BCD0FE" w14:textId="77777777" w:rsidR="00964B88" w:rsidRDefault="00964B88">
            <w:r>
              <w:t>Transfer to/(from) accumulated surplus</w:t>
            </w:r>
          </w:p>
        </w:tc>
        <w:tc>
          <w:tcPr>
            <w:tcW w:w="1418" w:type="dxa"/>
          </w:tcPr>
          <w:p w14:paraId="71AA6175"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785" w:type="dxa"/>
          </w:tcPr>
          <w:p w14:paraId="3069C6C2"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2EB780B6"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bottom w:val="single" w:sz="6" w:space="0" w:color="auto"/>
            </w:tcBorders>
          </w:tcPr>
          <w:p w14:paraId="02BF1355" w14:textId="77777777" w:rsidR="00964B88" w:rsidRDefault="00964B88">
            <w:r>
              <w:rPr>
                <w:b/>
              </w:rPr>
              <w:t>Total equity as at 30 June 2022</w:t>
            </w:r>
          </w:p>
        </w:tc>
        <w:tc>
          <w:tcPr>
            <w:tcW w:w="1418" w:type="dxa"/>
            <w:tcBorders>
              <w:top w:val="single" w:sz="6" w:space="0" w:color="auto"/>
              <w:bottom w:val="single" w:sz="6" w:space="0" w:color="auto"/>
            </w:tcBorders>
          </w:tcPr>
          <w:p w14:paraId="77554CD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109 287</w:t>
            </w:r>
          </w:p>
        </w:tc>
        <w:tc>
          <w:tcPr>
            <w:tcW w:w="1785" w:type="dxa"/>
            <w:tcBorders>
              <w:top w:val="single" w:sz="6" w:space="0" w:color="auto"/>
              <w:bottom w:val="single" w:sz="6" w:space="0" w:color="auto"/>
            </w:tcBorders>
          </w:tcPr>
          <w:p w14:paraId="1E72A1D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99 770</w:t>
            </w:r>
          </w:p>
        </w:tc>
      </w:tr>
      <w:tr w:rsidR="00964B88" w14:paraId="3A938829" w14:textId="77777777" w:rsidTr="00F53820">
        <w:tc>
          <w:tcPr>
            <w:cnfStyle w:val="001000000000" w:firstRow="0" w:lastRow="0" w:firstColumn="1" w:lastColumn="0" w:oddVBand="0" w:evenVBand="0" w:oddHBand="0" w:evenHBand="0" w:firstRowFirstColumn="0" w:firstRowLastColumn="0" w:lastRowFirstColumn="0" w:lastRowLastColumn="0"/>
            <w:tcW w:w="4565" w:type="dxa"/>
            <w:tcBorders>
              <w:top w:val="single" w:sz="6" w:space="0" w:color="auto"/>
            </w:tcBorders>
          </w:tcPr>
          <w:p w14:paraId="50D18428" w14:textId="77777777" w:rsidR="00964B88" w:rsidRDefault="00964B88">
            <w:r>
              <w:rPr>
                <w:b/>
              </w:rPr>
              <w:t>2022</w:t>
            </w:r>
            <w:r>
              <w:rPr>
                <w:b/>
              </w:rPr>
              <w:noBreakHyphen/>
              <w:t>23 estimate</w:t>
            </w:r>
          </w:p>
        </w:tc>
        <w:tc>
          <w:tcPr>
            <w:tcW w:w="1418" w:type="dxa"/>
            <w:tcBorders>
              <w:top w:val="single" w:sz="6" w:space="0" w:color="auto"/>
            </w:tcBorders>
          </w:tcPr>
          <w:p w14:paraId="10C7DBA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785" w:type="dxa"/>
            <w:tcBorders>
              <w:top w:val="single" w:sz="6" w:space="0" w:color="auto"/>
            </w:tcBorders>
          </w:tcPr>
          <w:p w14:paraId="5E428FC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B474D09" w14:textId="77777777">
        <w:tc>
          <w:tcPr>
            <w:cnfStyle w:val="001000000000" w:firstRow="0" w:lastRow="0" w:firstColumn="1" w:lastColumn="0" w:oddVBand="0" w:evenVBand="0" w:oddHBand="0" w:evenHBand="0" w:firstRowFirstColumn="0" w:firstRowLastColumn="0" w:lastRowFirstColumn="0" w:lastRowLastColumn="0"/>
            <w:tcW w:w="4565" w:type="dxa"/>
          </w:tcPr>
          <w:p w14:paraId="48DB5AD2" w14:textId="77777777" w:rsidR="00964B88" w:rsidRDefault="00964B88">
            <w:r>
              <w:t>Balance at 1 July 2022</w:t>
            </w:r>
          </w:p>
        </w:tc>
        <w:tc>
          <w:tcPr>
            <w:tcW w:w="1418" w:type="dxa"/>
          </w:tcPr>
          <w:p w14:paraId="22380089" w14:textId="77777777" w:rsidR="00964B88" w:rsidRDefault="00964B88">
            <w:pPr>
              <w:cnfStyle w:val="000000000000" w:firstRow="0" w:lastRow="0" w:firstColumn="0" w:lastColumn="0" w:oddVBand="0" w:evenVBand="0" w:oddHBand="0" w:evenHBand="0" w:firstRowFirstColumn="0" w:firstRowLastColumn="0" w:lastRowFirstColumn="0" w:lastRowLastColumn="0"/>
            </w:pPr>
            <w:r>
              <w:t>109 287</w:t>
            </w:r>
          </w:p>
        </w:tc>
        <w:tc>
          <w:tcPr>
            <w:tcW w:w="1785" w:type="dxa"/>
          </w:tcPr>
          <w:p w14:paraId="59793DDE" w14:textId="77777777" w:rsidR="00964B88" w:rsidRDefault="00964B88">
            <w:pPr>
              <w:cnfStyle w:val="000000000000" w:firstRow="0" w:lastRow="0" w:firstColumn="0" w:lastColumn="0" w:oddVBand="0" w:evenVBand="0" w:oddHBand="0" w:evenHBand="0" w:firstRowFirstColumn="0" w:firstRowLastColumn="0" w:lastRowFirstColumn="0" w:lastRowLastColumn="0"/>
            </w:pPr>
            <w:r>
              <w:t>99 770</w:t>
            </w:r>
          </w:p>
        </w:tc>
      </w:tr>
      <w:tr w:rsidR="00964B88" w14:paraId="63E7380D" w14:textId="77777777">
        <w:tc>
          <w:tcPr>
            <w:cnfStyle w:val="001000000000" w:firstRow="0" w:lastRow="0" w:firstColumn="1" w:lastColumn="0" w:oddVBand="0" w:evenVBand="0" w:oddHBand="0" w:evenHBand="0" w:firstRowFirstColumn="0" w:firstRowLastColumn="0" w:lastRowFirstColumn="0" w:lastRowLastColumn="0"/>
            <w:tcW w:w="4565" w:type="dxa"/>
          </w:tcPr>
          <w:p w14:paraId="19630E84" w14:textId="77777777" w:rsidR="00964B88" w:rsidRDefault="00964B88">
            <w:r>
              <w:t>Net result for the year</w:t>
            </w:r>
          </w:p>
        </w:tc>
        <w:tc>
          <w:tcPr>
            <w:tcW w:w="1418" w:type="dxa"/>
          </w:tcPr>
          <w:p w14:paraId="083092EE" w14:textId="77777777" w:rsidR="00964B88" w:rsidRDefault="00964B88">
            <w:pPr>
              <w:cnfStyle w:val="000000000000" w:firstRow="0" w:lastRow="0" w:firstColumn="0" w:lastColumn="0" w:oddVBand="0" w:evenVBand="0" w:oddHBand="0" w:evenHBand="0" w:firstRowFirstColumn="0" w:firstRowLastColumn="0" w:lastRowFirstColumn="0" w:lastRowLastColumn="0"/>
            </w:pPr>
            <w:r>
              <w:t>3 551</w:t>
            </w:r>
          </w:p>
        </w:tc>
        <w:tc>
          <w:tcPr>
            <w:tcW w:w="1785" w:type="dxa"/>
          </w:tcPr>
          <w:p w14:paraId="4A81780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427F9F14" w14:textId="77777777">
        <w:tc>
          <w:tcPr>
            <w:cnfStyle w:val="001000000000" w:firstRow="0" w:lastRow="0" w:firstColumn="1" w:lastColumn="0" w:oddVBand="0" w:evenVBand="0" w:oddHBand="0" w:evenHBand="0" w:firstRowFirstColumn="0" w:firstRowLastColumn="0" w:lastRowFirstColumn="0" w:lastRowLastColumn="0"/>
            <w:tcW w:w="4565" w:type="dxa"/>
          </w:tcPr>
          <w:p w14:paraId="385E46CE" w14:textId="77777777" w:rsidR="00964B88" w:rsidRDefault="00964B88">
            <w:r>
              <w:t>Other comprehensive income for the year</w:t>
            </w:r>
          </w:p>
        </w:tc>
        <w:tc>
          <w:tcPr>
            <w:tcW w:w="1418" w:type="dxa"/>
          </w:tcPr>
          <w:p w14:paraId="13CF1EE3" w14:textId="77777777" w:rsidR="00964B88" w:rsidRDefault="00964B88">
            <w:pPr>
              <w:cnfStyle w:val="000000000000" w:firstRow="0" w:lastRow="0" w:firstColumn="0" w:lastColumn="0" w:oddVBand="0" w:evenVBand="0" w:oddHBand="0" w:evenHBand="0" w:firstRowFirstColumn="0" w:firstRowLastColumn="0" w:lastRowFirstColumn="0" w:lastRowLastColumn="0"/>
            </w:pPr>
            <w:r>
              <w:t>1 453</w:t>
            </w:r>
          </w:p>
        </w:tc>
        <w:tc>
          <w:tcPr>
            <w:tcW w:w="1785" w:type="dxa"/>
          </w:tcPr>
          <w:p w14:paraId="0BE099F9" w14:textId="77777777" w:rsidR="00964B88" w:rsidRDefault="00964B88">
            <w:pPr>
              <w:cnfStyle w:val="000000000000" w:firstRow="0" w:lastRow="0" w:firstColumn="0" w:lastColumn="0" w:oddVBand="0" w:evenVBand="0" w:oddHBand="0" w:evenHBand="0" w:firstRowFirstColumn="0" w:firstRowLastColumn="0" w:lastRowFirstColumn="0" w:lastRowLastColumn="0"/>
            </w:pPr>
            <w:r>
              <w:t>4 804</w:t>
            </w:r>
          </w:p>
        </w:tc>
      </w:tr>
      <w:tr w:rsidR="00964B88" w14:paraId="5DED4F13" w14:textId="77777777">
        <w:tc>
          <w:tcPr>
            <w:cnfStyle w:val="001000000000" w:firstRow="0" w:lastRow="0" w:firstColumn="1" w:lastColumn="0" w:oddVBand="0" w:evenVBand="0" w:oddHBand="0" w:evenHBand="0" w:firstRowFirstColumn="0" w:firstRowLastColumn="0" w:lastRowFirstColumn="0" w:lastRowLastColumn="0"/>
            <w:tcW w:w="4565" w:type="dxa"/>
          </w:tcPr>
          <w:p w14:paraId="35068FE4" w14:textId="77777777" w:rsidR="00964B88" w:rsidRDefault="00964B88">
            <w:r>
              <w:t>Transfer to/(from) accumulated surplus</w:t>
            </w:r>
          </w:p>
        </w:tc>
        <w:tc>
          <w:tcPr>
            <w:tcW w:w="1418" w:type="dxa"/>
          </w:tcPr>
          <w:p w14:paraId="57CAFE8F"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785" w:type="dxa"/>
          </w:tcPr>
          <w:p w14:paraId="2194A0E6"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532F1606"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5" w:type="dxa"/>
          </w:tcPr>
          <w:p w14:paraId="73FF7C97" w14:textId="77777777" w:rsidR="00964B88" w:rsidRDefault="00964B88">
            <w:r>
              <w:t>Total equity as at 30 June 2023</w:t>
            </w:r>
          </w:p>
        </w:tc>
        <w:tc>
          <w:tcPr>
            <w:tcW w:w="1418" w:type="dxa"/>
          </w:tcPr>
          <w:p w14:paraId="2B5BB441" w14:textId="77777777" w:rsidR="00964B88" w:rsidRDefault="00964B88">
            <w:pPr>
              <w:cnfStyle w:val="010000000000" w:firstRow="0" w:lastRow="1" w:firstColumn="0" w:lastColumn="0" w:oddVBand="0" w:evenVBand="0" w:oddHBand="0" w:evenHBand="0" w:firstRowFirstColumn="0" w:firstRowLastColumn="0" w:lastRowFirstColumn="0" w:lastRowLastColumn="0"/>
            </w:pPr>
            <w:r>
              <w:t>114 292</w:t>
            </w:r>
          </w:p>
        </w:tc>
        <w:tc>
          <w:tcPr>
            <w:tcW w:w="1785" w:type="dxa"/>
          </w:tcPr>
          <w:p w14:paraId="781EDDC7" w14:textId="77777777" w:rsidR="00964B88" w:rsidRDefault="00964B88">
            <w:pPr>
              <w:cnfStyle w:val="010000000000" w:firstRow="0" w:lastRow="1" w:firstColumn="0" w:lastColumn="0" w:oddVBand="0" w:evenVBand="0" w:oddHBand="0" w:evenHBand="0" w:firstRowFirstColumn="0" w:firstRowLastColumn="0" w:lastRowFirstColumn="0" w:lastRowLastColumn="0"/>
            </w:pPr>
            <w:r>
              <w:t>104 574</w:t>
            </w:r>
          </w:p>
        </w:tc>
      </w:tr>
    </w:tbl>
    <w:p w14:paraId="506CD266" w14:textId="77777777" w:rsidR="00964B88" w:rsidRPr="006E4D7E" w:rsidRDefault="00964B88" w:rsidP="00F53820">
      <w:pPr>
        <w:pStyle w:val="Note"/>
      </w:pPr>
      <w:r w:rsidRPr="006E4D7E">
        <w:t>Note:</w:t>
      </w:r>
    </w:p>
    <w:p w14:paraId="79D0744F" w14:textId="77777777" w:rsidR="00964B88" w:rsidRPr="00926603" w:rsidRDefault="00964B88" w:rsidP="00F53820">
      <w:pPr>
        <w:pStyle w:val="Note"/>
      </w:pPr>
      <w:r w:rsidRPr="00926603">
        <w:t>(a)</w:t>
      </w:r>
      <w:r w:rsidRPr="00926603">
        <w:tab/>
        <w:t>Balances represent actual</w:t>
      </w:r>
      <w:r>
        <w:t xml:space="preserve"> opening balances at 1 July 2019 plus 2019-20</w:t>
      </w:r>
      <w:r w:rsidRPr="00926603">
        <w:t xml:space="preserve"> budgeted movements.</w:t>
      </w:r>
    </w:p>
    <w:p w14:paraId="4D0AF20F" w14:textId="77777777" w:rsidR="00964B88" w:rsidRDefault="00964B88" w:rsidP="00F53820">
      <w:pPr>
        <w:pStyle w:val="Source"/>
      </w:pPr>
    </w:p>
    <w:p w14:paraId="37F510ED" w14:textId="77777777" w:rsidR="00964B88" w:rsidRDefault="00964B88" w:rsidP="00F53820">
      <w:pPr>
        <w:pStyle w:val="Heading10"/>
      </w:pPr>
      <w:r>
        <w:br w:type="page"/>
      </w:r>
    </w:p>
    <w:p w14:paraId="4F972804" w14:textId="77777777" w:rsidR="00964B88" w:rsidRDefault="00964B88" w:rsidP="00F53820">
      <w:pPr>
        <w:pStyle w:val="TableHeading"/>
      </w:pPr>
      <w:r w:rsidRPr="00545BFD">
        <w:lastRenderedPageBreak/>
        <w:br/>
      </w:r>
    </w:p>
    <w:tbl>
      <w:tblPr>
        <w:tblStyle w:val="DTFTable"/>
        <w:tblW w:w="7768" w:type="dxa"/>
        <w:tblLayout w:type="fixed"/>
        <w:tblLook w:val="0660" w:firstRow="1" w:lastRow="1" w:firstColumn="0" w:lastColumn="0" w:noHBand="1" w:noVBand="1"/>
      </w:tblPr>
      <w:tblGrid>
        <w:gridCol w:w="2590"/>
        <w:gridCol w:w="2589"/>
        <w:gridCol w:w="2589"/>
      </w:tblGrid>
      <w:tr w:rsidR="00964B88" w14:paraId="189FA93B" w14:textId="77777777" w:rsidTr="00F53820">
        <w:trPr>
          <w:cnfStyle w:val="100000000000" w:firstRow="1" w:lastRow="0" w:firstColumn="0" w:lastColumn="0" w:oddVBand="0" w:evenVBand="0" w:oddHBand="0" w:evenHBand="0" w:firstRowFirstColumn="0" w:firstRowLastColumn="0" w:lastRowFirstColumn="0" w:lastRowLastColumn="0"/>
          <w:tblHeader/>
        </w:trPr>
        <w:tc>
          <w:tcPr>
            <w:tcW w:w="2590" w:type="dxa"/>
          </w:tcPr>
          <w:p w14:paraId="74E70C13" w14:textId="77777777" w:rsidR="00964B88" w:rsidRDefault="00964B88">
            <w:r>
              <w:t>Investment in other sector</w:t>
            </w:r>
            <w:r>
              <w:br/>
              <w:t>entities revaluation surplus</w:t>
            </w:r>
          </w:p>
        </w:tc>
        <w:tc>
          <w:tcPr>
            <w:tcW w:w="2589" w:type="dxa"/>
          </w:tcPr>
          <w:p w14:paraId="5EC720F3" w14:textId="77777777" w:rsidR="00964B88" w:rsidRDefault="00964B88">
            <w:r>
              <w:t>Other</w:t>
            </w:r>
            <w:r>
              <w:br/>
              <w:t>reserves</w:t>
            </w:r>
          </w:p>
        </w:tc>
        <w:tc>
          <w:tcPr>
            <w:tcW w:w="2589" w:type="dxa"/>
          </w:tcPr>
          <w:p w14:paraId="1847E16C" w14:textId="77777777" w:rsidR="00964B88" w:rsidRDefault="00964B88">
            <w:r>
              <w:t>Total</w:t>
            </w:r>
          </w:p>
        </w:tc>
      </w:tr>
      <w:tr w:rsidR="00964B88" w14:paraId="1F72C439" w14:textId="77777777">
        <w:tc>
          <w:tcPr>
            <w:tcW w:w="2590" w:type="dxa"/>
          </w:tcPr>
          <w:p w14:paraId="402BEA5D" w14:textId="77777777" w:rsidR="00964B88" w:rsidRDefault="00964B88"/>
        </w:tc>
        <w:tc>
          <w:tcPr>
            <w:tcW w:w="2589" w:type="dxa"/>
          </w:tcPr>
          <w:p w14:paraId="6FCAD8E2" w14:textId="77777777" w:rsidR="00964B88" w:rsidRDefault="00964B88"/>
        </w:tc>
        <w:tc>
          <w:tcPr>
            <w:tcW w:w="2589" w:type="dxa"/>
          </w:tcPr>
          <w:p w14:paraId="53EF53E8" w14:textId="77777777" w:rsidR="00964B88" w:rsidRDefault="00964B88"/>
        </w:tc>
      </w:tr>
      <w:tr w:rsidR="00964B88" w14:paraId="462C9D94" w14:textId="77777777">
        <w:tc>
          <w:tcPr>
            <w:tcW w:w="2590" w:type="dxa"/>
          </w:tcPr>
          <w:p w14:paraId="10DE897D" w14:textId="77777777" w:rsidR="00964B88" w:rsidRDefault="00964B88">
            <w:r>
              <w:t>3 051</w:t>
            </w:r>
          </w:p>
        </w:tc>
        <w:tc>
          <w:tcPr>
            <w:tcW w:w="2589" w:type="dxa"/>
          </w:tcPr>
          <w:p w14:paraId="444D3E87" w14:textId="77777777" w:rsidR="00964B88" w:rsidRDefault="00964B88">
            <w:r>
              <w:t>1 606</w:t>
            </w:r>
          </w:p>
        </w:tc>
        <w:tc>
          <w:tcPr>
            <w:tcW w:w="2589" w:type="dxa"/>
          </w:tcPr>
          <w:p w14:paraId="62648AC5" w14:textId="77777777" w:rsidR="00964B88" w:rsidRDefault="00964B88">
            <w:r>
              <w:t>193 486</w:t>
            </w:r>
          </w:p>
        </w:tc>
      </w:tr>
      <w:tr w:rsidR="00964B88" w14:paraId="2FF71F59" w14:textId="77777777">
        <w:tc>
          <w:tcPr>
            <w:tcW w:w="2590" w:type="dxa"/>
          </w:tcPr>
          <w:p w14:paraId="38A613D4" w14:textId="77777777" w:rsidR="00964B88" w:rsidRDefault="00964B88">
            <w:r>
              <w:t>..</w:t>
            </w:r>
          </w:p>
        </w:tc>
        <w:tc>
          <w:tcPr>
            <w:tcW w:w="2589" w:type="dxa"/>
          </w:tcPr>
          <w:p w14:paraId="5653766B" w14:textId="77777777" w:rsidR="00964B88" w:rsidRDefault="00964B88">
            <w:r>
              <w:t>..</w:t>
            </w:r>
          </w:p>
        </w:tc>
        <w:tc>
          <w:tcPr>
            <w:tcW w:w="2589" w:type="dxa"/>
          </w:tcPr>
          <w:p w14:paraId="5AF2CEDF" w14:textId="77777777" w:rsidR="00964B88" w:rsidRDefault="00964B88">
            <w:r>
              <w:t>(126)</w:t>
            </w:r>
          </w:p>
        </w:tc>
      </w:tr>
      <w:tr w:rsidR="00964B88" w14:paraId="7AD16AD0" w14:textId="77777777">
        <w:tc>
          <w:tcPr>
            <w:tcW w:w="2590" w:type="dxa"/>
          </w:tcPr>
          <w:p w14:paraId="367A671C" w14:textId="77777777" w:rsidR="00964B88" w:rsidRDefault="00964B88">
            <w:r>
              <w:t>(52)</w:t>
            </w:r>
          </w:p>
        </w:tc>
        <w:tc>
          <w:tcPr>
            <w:tcW w:w="2589" w:type="dxa"/>
          </w:tcPr>
          <w:p w14:paraId="10D2657B" w14:textId="77777777" w:rsidR="00964B88" w:rsidRDefault="00964B88">
            <w:r>
              <w:t>34</w:t>
            </w:r>
          </w:p>
        </w:tc>
        <w:tc>
          <w:tcPr>
            <w:tcW w:w="2589" w:type="dxa"/>
          </w:tcPr>
          <w:p w14:paraId="728BDE05" w14:textId="77777777" w:rsidR="00964B88" w:rsidRDefault="00964B88">
            <w:r>
              <w:t>5 655</w:t>
            </w:r>
          </w:p>
        </w:tc>
      </w:tr>
      <w:tr w:rsidR="00964B88" w14:paraId="7A3D2D7C" w14:textId="77777777">
        <w:tc>
          <w:tcPr>
            <w:tcW w:w="2590" w:type="dxa"/>
          </w:tcPr>
          <w:p w14:paraId="4EFB9749" w14:textId="77777777" w:rsidR="00964B88" w:rsidRDefault="00964B88">
            <w:r>
              <w:t>..</w:t>
            </w:r>
          </w:p>
        </w:tc>
        <w:tc>
          <w:tcPr>
            <w:tcW w:w="2589" w:type="dxa"/>
          </w:tcPr>
          <w:p w14:paraId="24E7B0C0" w14:textId="77777777" w:rsidR="00964B88" w:rsidRDefault="00964B88">
            <w:r>
              <w:t>..</w:t>
            </w:r>
          </w:p>
        </w:tc>
        <w:tc>
          <w:tcPr>
            <w:tcW w:w="2589" w:type="dxa"/>
          </w:tcPr>
          <w:p w14:paraId="6774786F" w14:textId="77777777" w:rsidR="00964B88" w:rsidRDefault="00964B88">
            <w:r>
              <w:t>..</w:t>
            </w:r>
          </w:p>
        </w:tc>
      </w:tr>
      <w:tr w:rsidR="00964B88" w14:paraId="49EB05B5" w14:textId="77777777" w:rsidTr="00F53820">
        <w:tc>
          <w:tcPr>
            <w:tcW w:w="2590" w:type="dxa"/>
            <w:tcBorders>
              <w:top w:val="single" w:sz="6" w:space="0" w:color="auto"/>
              <w:bottom w:val="single" w:sz="6" w:space="0" w:color="auto"/>
            </w:tcBorders>
          </w:tcPr>
          <w:p w14:paraId="1806F538" w14:textId="77777777" w:rsidR="00964B88" w:rsidRDefault="00964B88">
            <w:r>
              <w:rPr>
                <w:b/>
              </w:rPr>
              <w:t>2 999</w:t>
            </w:r>
          </w:p>
        </w:tc>
        <w:tc>
          <w:tcPr>
            <w:tcW w:w="2589" w:type="dxa"/>
            <w:tcBorders>
              <w:top w:val="single" w:sz="6" w:space="0" w:color="auto"/>
              <w:bottom w:val="single" w:sz="6" w:space="0" w:color="auto"/>
            </w:tcBorders>
          </w:tcPr>
          <w:p w14:paraId="5DFA32E5" w14:textId="77777777" w:rsidR="00964B88" w:rsidRDefault="00964B88">
            <w:r>
              <w:rPr>
                <w:b/>
              </w:rPr>
              <w:t>1 640</w:t>
            </w:r>
          </w:p>
        </w:tc>
        <w:tc>
          <w:tcPr>
            <w:tcW w:w="2589" w:type="dxa"/>
            <w:tcBorders>
              <w:top w:val="single" w:sz="6" w:space="0" w:color="auto"/>
              <w:bottom w:val="single" w:sz="6" w:space="0" w:color="auto"/>
            </w:tcBorders>
          </w:tcPr>
          <w:p w14:paraId="627F54F4" w14:textId="77777777" w:rsidR="00964B88" w:rsidRDefault="00964B88">
            <w:r>
              <w:rPr>
                <w:b/>
              </w:rPr>
              <w:t>199 015</w:t>
            </w:r>
          </w:p>
        </w:tc>
      </w:tr>
      <w:tr w:rsidR="00964B88" w14:paraId="1AB94A82" w14:textId="77777777" w:rsidTr="00F53820">
        <w:tc>
          <w:tcPr>
            <w:tcW w:w="2590" w:type="dxa"/>
            <w:tcBorders>
              <w:top w:val="single" w:sz="6" w:space="0" w:color="auto"/>
            </w:tcBorders>
          </w:tcPr>
          <w:p w14:paraId="5846CE43" w14:textId="77777777" w:rsidR="00964B88" w:rsidRDefault="00964B88"/>
        </w:tc>
        <w:tc>
          <w:tcPr>
            <w:tcW w:w="2589" w:type="dxa"/>
            <w:tcBorders>
              <w:top w:val="single" w:sz="6" w:space="0" w:color="auto"/>
            </w:tcBorders>
          </w:tcPr>
          <w:p w14:paraId="2F63D48E" w14:textId="77777777" w:rsidR="00964B88" w:rsidRDefault="00964B88"/>
        </w:tc>
        <w:tc>
          <w:tcPr>
            <w:tcW w:w="2589" w:type="dxa"/>
            <w:tcBorders>
              <w:top w:val="single" w:sz="6" w:space="0" w:color="auto"/>
            </w:tcBorders>
          </w:tcPr>
          <w:p w14:paraId="23DE1ADD" w14:textId="77777777" w:rsidR="00964B88" w:rsidRDefault="00964B88"/>
        </w:tc>
      </w:tr>
      <w:tr w:rsidR="00964B88" w14:paraId="7243CD1B" w14:textId="77777777">
        <w:tc>
          <w:tcPr>
            <w:tcW w:w="2590" w:type="dxa"/>
          </w:tcPr>
          <w:p w14:paraId="516C15DF" w14:textId="77777777" w:rsidR="00964B88" w:rsidRDefault="00964B88">
            <w:r>
              <w:t>3 051</w:t>
            </w:r>
          </w:p>
        </w:tc>
        <w:tc>
          <w:tcPr>
            <w:tcW w:w="2589" w:type="dxa"/>
          </w:tcPr>
          <w:p w14:paraId="3A8FF224" w14:textId="77777777" w:rsidR="00964B88" w:rsidRDefault="00964B88">
            <w:r>
              <w:t>1 606</w:t>
            </w:r>
          </w:p>
        </w:tc>
        <w:tc>
          <w:tcPr>
            <w:tcW w:w="2589" w:type="dxa"/>
          </w:tcPr>
          <w:p w14:paraId="3F4918A8" w14:textId="77777777" w:rsidR="00964B88" w:rsidRDefault="00964B88">
            <w:r>
              <w:t>193 486</w:t>
            </w:r>
          </w:p>
        </w:tc>
      </w:tr>
      <w:tr w:rsidR="00964B88" w14:paraId="4A2EB3DE" w14:textId="77777777">
        <w:tc>
          <w:tcPr>
            <w:tcW w:w="2590" w:type="dxa"/>
          </w:tcPr>
          <w:p w14:paraId="2E206A1D" w14:textId="77777777" w:rsidR="00964B88" w:rsidRDefault="00964B88">
            <w:r>
              <w:t>..</w:t>
            </w:r>
          </w:p>
        </w:tc>
        <w:tc>
          <w:tcPr>
            <w:tcW w:w="2589" w:type="dxa"/>
          </w:tcPr>
          <w:p w14:paraId="2C93A431" w14:textId="77777777" w:rsidR="00964B88" w:rsidRDefault="00964B88">
            <w:r>
              <w:t>..</w:t>
            </w:r>
          </w:p>
        </w:tc>
        <w:tc>
          <w:tcPr>
            <w:tcW w:w="2589" w:type="dxa"/>
          </w:tcPr>
          <w:p w14:paraId="370EB47B" w14:textId="77777777" w:rsidR="00964B88" w:rsidRDefault="00964B88">
            <w:r>
              <w:t>(151)</w:t>
            </w:r>
          </w:p>
        </w:tc>
      </w:tr>
      <w:tr w:rsidR="00964B88" w14:paraId="652E6420" w14:textId="77777777">
        <w:tc>
          <w:tcPr>
            <w:tcW w:w="2590" w:type="dxa"/>
          </w:tcPr>
          <w:p w14:paraId="7CB715AD" w14:textId="77777777" w:rsidR="00964B88" w:rsidRDefault="00964B88">
            <w:r>
              <w:t>(349)</w:t>
            </w:r>
          </w:p>
        </w:tc>
        <w:tc>
          <w:tcPr>
            <w:tcW w:w="2589" w:type="dxa"/>
          </w:tcPr>
          <w:p w14:paraId="16C7795F" w14:textId="77777777" w:rsidR="00964B88" w:rsidRDefault="00964B88">
            <w:r>
              <w:t>33</w:t>
            </w:r>
          </w:p>
        </w:tc>
        <w:tc>
          <w:tcPr>
            <w:tcW w:w="2589" w:type="dxa"/>
          </w:tcPr>
          <w:p w14:paraId="7D87FE29" w14:textId="77777777" w:rsidR="00964B88" w:rsidRDefault="00964B88">
            <w:r>
              <w:t>4 154</w:t>
            </w:r>
          </w:p>
        </w:tc>
      </w:tr>
      <w:tr w:rsidR="00964B88" w14:paraId="4E1B3032" w14:textId="77777777">
        <w:tc>
          <w:tcPr>
            <w:tcW w:w="2590" w:type="dxa"/>
          </w:tcPr>
          <w:p w14:paraId="3FC41BEE" w14:textId="77777777" w:rsidR="00964B88" w:rsidRDefault="00964B88">
            <w:r>
              <w:t>..</w:t>
            </w:r>
          </w:p>
        </w:tc>
        <w:tc>
          <w:tcPr>
            <w:tcW w:w="2589" w:type="dxa"/>
          </w:tcPr>
          <w:p w14:paraId="61706069" w14:textId="77777777" w:rsidR="00964B88" w:rsidRDefault="00964B88">
            <w:r>
              <w:t>..</w:t>
            </w:r>
          </w:p>
        </w:tc>
        <w:tc>
          <w:tcPr>
            <w:tcW w:w="2589" w:type="dxa"/>
          </w:tcPr>
          <w:p w14:paraId="2F2F8C04" w14:textId="77777777" w:rsidR="00964B88" w:rsidRDefault="00964B88">
            <w:r>
              <w:t>..</w:t>
            </w:r>
          </w:p>
        </w:tc>
      </w:tr>
      <w:tr w:rsidR="00964B88" w14:paraId="39AA15CC" w14:textId="77777777" w:rsidTr="00F53820">
        <w:tc>
          <w:tcPr>
            <w:tcW w:w="2590" w:type="dxa"/>
            <w:tcBorders>
              <w:top w:val="single" w:sz="6" w:space="0" w:color="auto"/>
              <w:bottom w:val="single" w:sz="6" w:space="0" w:color="auto"/>
            </w:tcBorders>
          </w:tcPr>
          <w:p w14:paraId="0414D798" w14:textId="77777777" w:rsidR="00964B88" w:rsidRDefault="00964B88">
            <w:r>
              <w:rPr>
                <w:b/>
              </w:rPr>
              <w:t>2 702</w:t>
            </w:r>
          </w:p>
        </w:tc>
        <w:tc>
          <w:tcPr>
            <w:tcW w:w="2589" w:type="dxa"/>
            <w:tcBorders>
              <w:top w:val="single" w:sz="6" w:space="0" w:color="auto"/>
              <w:bottom w:val="single" w:sz="6" w:space="0" w:color="auto"/>
            </w:tcBorders>
          </w:tcPr>
          <w:p w14:paraId="2E9F8523" w14:textId="77777777" w:rsidR="00964B88" w:rsidRDefault="00964B88">
            <w:r>
              <w:rPr>
                <w:b/>
              </w:rPr>
              <w:t>1 639</w:t>
            </w:r>
          </w:p>
        </w:tc>
        <w:tc>
          <w:tcPr>
            <w:tcW w:w="2589" w:type="dxa"/>
            <w:tcBorders>
              <w:top w:val="single" w:sz="6" w:space="0" w:color="auto"/>
              <w:bottom w:val="single" w:sz="6" w:space="0" w:color="auto"/>
            </w:tcBorders>
          </w:tcPr>
          <w:p w14:paraId="38C35BEB" w14:textId="77777777" w:rsidR="00964B88" w:rsidRDefault="00964B88">
            <w:r>
              <w:rPr>
                <w:b/>
              </w:rPr>
              <w:t>197 488</w:t>
            </w:r>
          </w:p>
        </w:tc>
      </w:tr>
      <w:tr w:rsidR="00964B88" w14:paraId="3F996492" w14:textId="77777777" w:rsidTr="00F53820">
        <w:tc>
          <w:tcPr>
            <w:tcW w:w="2590" w:type="dxa"/>
            <w:tcBorders>
              <w:top w:val="single" w:sz="6" w:space="0" w:color="auto"/>
            </w:tcBorders>
          </w:tcPr>
          <w:p w14:paraId="4D12FB44" w14:textId="77777777" w:rsidR="00964B88" w:rsidRDefault="00964B88"/>
        </w:tc>
        <w:tc>
          <w:tcPr>
            <w:tcW w:w="2589" w:type="dxa"/>
            <w:tcBorders>
              <w:top w:val="single" w:sz="6" w:space="0" w:color="auto"/>
            </w:tcBorders>
          </w:tcPr>
          <w:p w14:paraId="6C3E3678" w14:textId="77777777" w:rsidR="00964B88" w:rsidRDefault="00964B88"/>
        </w:tc>
        <w:tc>
          <w:tcPr>
            <w:tcW w:w="2589" w:type="dxa"/>
            <w:tcBorders>
              <w:top w:val="single" w:sz="6" w:space="0" w:color="auto"/>
            </w:tcBorders>
          </w:tcPr>
          <w:p w14:paraId="29BC8079" w14:textId="77777777" w:rsidR="00964B88" w:rsidRDefault="00964B88"/>
        </w:tc>
      </w:tr>
      <w:tr w:rsidR="00964B88" w14:paraId="462F87BA" w14:textId="77777777">
        <w:tc>
          <w:tcPr>
            <w:tcW w:w="2590" w:type="dxa"/>
          </w:tcPr>
          <w:p w14:paraId="7AB3FADE" w14:textId="77777777" w:rsidR="00964B88" w:rsidRDefault="00964B88">
            <w:r>
              <w:t>2 702</w:t>
            </w:r>
          </w:p>
        </w:tc>
        <w:tc>
          <w:tcPr>
            <w:tcW w:w="2589" w:type="dxa"/>
          </w:tcPr>
          <w:p w14:paraId="65AC21F0" w14:textId="77777777" w:rsidR="00964B88" w:rsidRDefault="00964B88">
            <w:r>
              <w:t>1 639</w:t>
            </w:r>
          </w:p>
        </w:tc>
        <w:tc>
          <w:tcPr>
            <w:tcW w:w="2589" w:type="dxa"/>
          </w:tcPr>
          <w:p w14:paraId="179EE7CE" w14:textId="77777777" w:rsidR="00964B88" w:rsidRDefault="00964B88">
            <w:r>
              <w:t>197 488</w:t>
            </w:r>
          </w:p>
        </w:tc>
      </w:tr>
      <w:tr w:rsidR="00964B88" w14:paraId="73D9BD5F" w14:textId="77777777">
        <w:tc>
          <w:tcPr>
            <w:tcW w:w="2590" w:type="dxa"/>
          </w:tcPr>
          <w:p w14:paraId="2876C5C3" w14:textId="77777777" w:rsidR="00964B88" w:rsidRDefault="00964B88">
            <w:r>
              <w:t>..</w:t>
            </w:r>
          </w:p>
        </w:tc>
        <w:tc>
          <w:tcPr>
            <w:tcW w:w="2589" w:type="dxa"/>
          </w:tcPr>
          <w:p w14:paraId="6F8D7F7C" w14:textId="77777777" w:rsidR="00964B88" w:rsidRDefault="00964B88">
            <w:r>
              <w:t>..</w:t>
            </w:r>
          </w:p>
        </w:tc>
        <w:tc>
          <w:tcPr>
            <w:tcW w:w="2589" w:type="dxa"/>
          </w:tcPr>
          <w:p w14:paraId="2260BA59" w14:textId="77777777" w:rsidR="00964B88" w:rsidRDefault="00964B88">
            <w:r>
              <w:t>41</w:t>
            </w:r>
          </w:p>
        </w:tc>
      </w:tr>
      <w:tr w:rsidR="00964B88" w14:paraId="02129BCB" w14:textId="77777777">
        <w:tc>
          <w:tcPr>
            <w:tcW w:w="2590" w:type="dxa"/>
          </w:tcPr>
          <w:p w14:paraId="0342EBF0" w14:textId="77777777" w:rsidR="00964B88" w:rsidRDefault="00964B88">
            <w:r>
              <w:t>194</w:t>
            </w:r>
          </w:p>
        </w:tc>
        <w:tc>
          <w:tcPr>
            <w:tcW w:w="2589" w:type="dxa"/>
          </w:tcPr>
          <w:p w14:paraId="39620492" w14:textId="77777777" w:rsidR="00964B88" w:rsidRDefault="00964B88">
            <w:r>
              <w:t>35</w:t>
            </w:r>
          </w:p>
        </w:tc>
        <w:tc>
          <w:tcPr>
            <w:tcW w:w="2589" w:type="dxa"/>
          </w:tcPr>
          <w:p w14:paraId="0056193B" w14:textId="77777777" w:rsidR="00964B88" w:rsidRDefault="00964B88">
            <w:r>
              <w:t>8 357</w:t>
            </w:r>
          </w:p>
        </w:tc>
      </w:tr>
      <w:tr w:rsidR="00964B88" w14:paraId="5085D71F" w14:textId="77777777">
        <w:tc>
          <w:tcPr>
            <w:tcW w:w="2590" w:type="dxa"/>
          </w:tcPr>
          <w:p w14:paraId="1EEF666F" w14:textId="77777777" w:rsidR="00964B88" w:rsidRDefault="00964B88">
            <w:r>
              <w:t>..</w:t>
            </w:r>
          </w:p>
        </w:tc>
        <w:tc>
          <w:tcPr>
            <w:tcW w:w="2589" w:type="dxa"/>
          </w:tcPr>
          <w:p w14:paraId="61396E34" w14:textId="77777777" w:rsidR="00964B88" w:rsidRDefault="00964B88">
            <w:r>
              <w:t>..</w:t>
            </w:r>
          </w:p>
        </w:tc>
        <w:tc>
          <w:tcPr>
            <w:tcW w:w="2589" w:type="dxa"/>
          </w:tcPr>
          <w:p w14:paraId="73459C30" w14:textId="77777777" w:rsidR="00964B88" w:rsidRDefault="00964B88">
            <w:r>
              <w:t>..</w:t>
            </w:r>
          </w:p>
        </w:tc>
      </w:tr>
      <w:tr w:rsidR="00964B88" w14:paraId="5FA20C8F" w14:textId="77777777" w:rsidTr="00F53820">
        <w:tc>
          <w:tcPr>
            <w:tcW w:w="2590" w:type="dxa"/>
            <w:tcBorders>
              <w:top w:val="single" w:sz="6" w:space="0" w:color="auto"/>
              <w:bottom w:val="single" w:sz="6" w:space="0" w:color="auto"/>
            </w:tcBorders>
          </w:tcPr>
          <w:p w14:paraId="399A9981" w14:textId="77777777" w:rsidR="00964B88" w:rsidRDefault="00964B88">
            <w:r>
              <w:rPr>
                <w:b/>
              </w:rPr>
              <w:t>2 896</w:t>
            </w:r>
          </w:p>
        </w:tc>
        <w:tc>
          <w:tcPr>
            <w:tcW w:w="2589" w:type="dxa"/>
            <w:tcBorders>
              <w:top w:val="single" w:sz="6" w:space="0" w:color="auto"/>
              <w:bottom w:val="single" w:sz="6" w:space="0" w:color="auto"/>
            </w:tcBorders>
          </w:tcPr>
          <w:p w14:paraId="7AFFAA26" w14:textId="77777777" w:rsidR="00964B88" w:rsidRDefault="00964B88">
            <w:r>
              <w:rPr>
                <w:b/>
              </w:rPr>
              <w:t>1 674</w:t>
            </w:r>
          </w:p>
        </w:tc>
        <w:tc>
          <w:tcPr>
            <w:tcW w:w="2589" w:type="dxa"/>
            <w:tcBorders>
              <w:top w:val="single" w:sz="6" w:space="0" w:color="auto"/>
              <w:bottom w:val="single" w:sz="6" w:space="0" w:color="auto"/>
            </w:tcBorders>
          </w:tcPr>
          <w:p w14:paraId="3D2F6E2A" w14:textId="77777777" w:rsidR="00964B88" w:rsidRDefault="00964B88">
            <w:r>
              <w:rPr>
                <w:b/>
              </w:rPr>
              <w:t>205 886</w:t>
            </w:r>
          </w:p>
        </w:tc>
      </w:tr>
      <w:tr w:rsidR="00964B88" w14:paraId="2E504786" w14:textId="77777777" w:rsidTr="00F53820">
        <w:tc>
          <w:tcPr>
            <w:tcW w:w="2590" w:type="dxa"/>
            <w:tcBorders>
              <w:top w:val="single" w:sz="6" w:space="0" w:color="auto"/>
            </w:tcBorders>
          </w:tcPr>
          <w:p w14:paraId="66C8B8D7" w14:textId="77777777" w:rsidR="00964B88" w:rsidRDefault="00964B88"/>
        </w:tc>
        <w:tc>
          <w:tcPr>
            <w:tcW w:w="2589" w:type="dxa"/>
            <w:tcBorders>
              <w:top w:val="single" w:sz="6" w:space="0" w:color="auto"/>
            </w:tcBorders>
          </w:tcPr>
          <w:p w14:paraId="3D6809B7" w14:textId="77777777" w:rsidR="00964B88" w:rsidRDefault="00964B88"/>
        </w:tc>
        <w:tc>
          <w:tcPr>
            <w:tcW w:w="2589" w:type="dxa"/>
            <w:tcBorders>
              <w:top w:val="single" w:sz="6" w:space="0" w:color="auto"/>
            </w:tcBorders>
          </w:tcPr>
          <w:p w14:paraId="5B4983C0" w14:textId="77777777" w:rsidR="00964B88" w:rsidRDefault="00964B88"/>
        </w:tc>
      </w:tr>
      <w:tr w:rsidR="00964B88" w14:paraId="5625C284" w14:textId="77777777">
        <w:tc>
          <w:tcPr>
            <w:tcW w:w="2590" w:type="dxa"/>
          </w:tcPr>
          <w:p w14:paraId="58D4B34C" w14:textId="77777777" w:rsidR="00964B88" w:rsidRDefault="00964B88">
            <w:r>
              <w:t>2 896</w:t>
            </w:r>
          </w:p>
        </w:tc>
        <w:tc>
          <w:tcPr>
            <w:tcW w:w="2589" w:type="dxa"/>
          </w:tcPr>
          <w:p w14:paraId="72EF5FB8" w14:textId="77777777" w:rsidR="00964B88" w:rsidRDefault="00964B88">
            <w:r>
              <w:t>1 674</w:t>
            </w:r>
          </w:p>
        </w:tc>
        <w:tc>
          <w:tcPr>
            <w:tcW w:w="2589" w:type="dxa"/>
          </w:tcPr>
          <w:p w14:paraId="6438125F" w14:textId="77777777" w:rsidR="00964B88" w:rsidRDefault="00964B88">
            <w:r>
              <w:t>205 886</w:t>
            </w:r>
          </w:p>
        </w:tc>
      </w:tr>
      <w:tr w:rsidR="00964B88" w14:paraId="0F5019F1" w14:textId="77777777">
        <w:tc>
          <w:tcPr>
            <w:tcW w:w="2590" w:type="dxa"/>
          </w:tcPr>
          <w:p w14:paraId="01A43366" w14:textId="77777777" w:rsidR="00964B88" w:rsidRDefault="00964B88">
            <w:r>
              <w:t>..</w:t>
            </w:r>
          </w:p>
        </w:tc>
        <w:tc>
          <w:tcPr>
            <w:tcW w:w="2589" w:type="dxa"/>
          </w:tcPr>
          <w:p w14:paraId="135483AF" w14:textId="77777777" w:rsidR="00964B88" w:rsidRDefault="00964B88">
            <w:r>
              <w:t>..</w:t>
            </w:r>
          </w:p>
        </w:tc>
        <w:tc>
          <w:tcPr>
            <w:tcW w:w="2589" w:type="dxa"/>
          </w:tcPr>
          <w:p w14:paraId="2C4C89D2" w14:textId="77777777" w:rsidR="00964B88" w:rsidRDefault="00964B88">
            <w:r>
              <w:t>2 577</w:t>
            </w:r>
          </w:p>
        </w:tc>
      </w:tr>
      <w:tr w:rsidR="00964B88" w14:paraId="5F3503FA" w14:textId="77777777">
        <w:tc>
          <w:tcPr>
            <w:tcW w:w="2590" w:type="dxa"/>
          </w:tcPr>
          <w:p w14:paraId="0EFFE9D0" w14:textId="77777777" w:rsidR="00964B88" w:rsidRDefault="00964B88">
            <w:r>
              <w:t>30</w:t>
            </w:r>
          </w:p>
        </w:tc>
        <w:tc>
          <w:tcPr>
            <w:tcW w:w="2589" w:type="dxa"/>
          </w:tcPr>
          <w:p w14:paraId="0AB995B0" w14:textId="77777777" w:rsidR="00964B88" w:rsidRDefault="00964B88">
            <w:r>
              <w:t>40</w:t>
            </w:r>
          </w:p>
        </w:tc>
        <w:tc>
          <w:tcPr>
            <w:tcW w:w="2589" w:type="dxa"/>
          </w:tcPr>
          <w:p w14:paraId="0CB036DA" w14:textId="77777777" w:rsidR="00964B88" w:rsidRDefault="00964B88">
            <w:r>
              <w:t>5 234</w:t>
            </w:r>
          </w:p>
        </w:tc>
      </w:tr>
      <w:tr w:rsidR="00964B88" w14:paraId="06DE9CA8" w14:textId="77777777">
        <w:tc>
          <w:tcPr>
            <w:tcW w:w="2590" w:type="dxa"/>
          </w:tcPr>
          <w:p w14:paraId="0FE6678D" w14:textId="77777777" w:rsidR="00964B88" w:rsidRDefault="00964B88">
            <w:r>
              <w:t>..</w:t>
            </w:r>
          </w:p>
        </w:tc>
        <w:tc>
          <w:tcPr>
            <w:tcW w:w="2589" w:type="dxa"/>
          </w:tcPr>
          <w:p w14:paraId="151F403A" w14:textId="77777777" w:rsidR="00964B88" w:rsidRDefault="00964B88">
            <w:r>
              <w:t>..</w:t>
            </w:r>
          </w:p>
        </w:tc>
        <w:tc>
          <w:tcPr>
            <w:tcW w:w="2589" w:type="dxa"/>
          </w:tcPr>
          <w:p w14:paraId="6AEFA6CB" w14:textId="77777777" w:rsidR="00964B88" w:rsidRDefault="00964B88">
            <w:r>
              <w:t>..</w:t>
            </w:r>
          </w:p>
        </w:tc>
      </w:tr>
      <w:tr w:rsidR="00964B88" w14:paraId="3931F1CF" w14:textId="77777777" w:rsidTr="00F53820">
        <w:tc>
          <w:tcPr>
            <w:tcW w:w="2590" w:type="dxa"/>
            <w:tcBorders>
              <w:top w:val="single" w:sz="6" w:space="0" w:color="auto"/>
              <w:bottom w:val="single" w:sz="6" w:space="0" w:color="auto"/>
            </w:tcBorders>
          </w:tcPr>
          <w:p w14:paraId="252C8384" w14:textId="77777777" w:rsidR="00964B88" w:rsidRDefault="00964B88">
            <w:r>
              <w:rPr>
                <w:b/>
              </w:rPr>
              <w:t>2 926</w:t>
            </w:r>
          </w:p>
        </w:tc>
        <w:tc>
          <w:tcPr>
            <w:tcW w:w="2589" w:type="dxa"/>
            <w:tcBorders>
              <w:top w:val="single" w:sz="6" w:space="0" w:color="auto"/>
              <w:bottom w:val="single" w:sz="6" w:space="0" w:color="auto"/>
            </w:tcBorders>
          </w:tcPr>
          <w:p w14:paraId="37BE386B" w14:textId="77777777" w:rsidR="00964B88" w:rsidRDefault="00964B88">
            <w:r>
              <w:rPr>
                <w:b/>
              </w:rPr>
              <w:t>1 715</w:t>
            </w:r>
          </w:p>
        </w:tc>
        <w:tc>
          <w:tcPr>
            <w:tcW w:w="2589" w:type="dxa"/>
            <w:tcBorders>
              <w:top w:val="single" w:sz="6" w:space="0" w:color="auto"/>
              <w:bottom w:val="single" w:sz="6" w:space="0" w:color="auto"/>
            </w:tcBorders>
          </w:tcPr>
          <w:p w14:paraId="17873611" w14:textId="77777777" w:rsidR="00964B88" w:rsidRDefault="00964B88">
            <w:r>
              <w:rPr>
                <w:b/>
              </w:rPr>
              <w:t>213 697</w:t>
            </w:r>
          </w:p>
        </w:tc>
      </w:tr>
      <w:tr w:rsidR="00964B88" w14:paraId="099AC34D" w14:textId="77777777" w:rsidTr="00F53820">
        <w:tc>
          <w:tcPr>
            <w:tcW w:w="2590" w:type="dxa"/>
            <w:tcBorders>
              <w:top w:val="single" w:sz="6" w:space="0" w:color="auto"/>
            </w:tcBorders>
          </w:tcPr>
          <w:p w14:paraId="4C165E8D" w14:textId="77777777" w:rsidR="00964B88" w:rsidRDefault="00964B88"/>
        </w:tc>
        <w:tc>
          <w:tcPr>
            <w:tcW w:w="2589" w:type="dxa"/>
            <w:tcBorders>
              <w:top w:val="single" w:sz="6" w:space="0" w:color="auto"/>
            </w:tcBorders>
          </w:tcPr>
          <w:p w14:paraId="11362496" w14:textId="77777777" w:rsidR="00964B88" w:rsidRDefault="00964B88"/>
        </w:tc>
        <w:tc>
          <w:tcPr>
            <w:tcW w:w="2589" w:type="dxa"/>
            <w:tcBorders>
              <w:top w:val="single" w:sz="6" w:space="0" w:color="auto"/>
            </w:tcBorders>
          </w:tcPr>
          <w:p w14:paraId="65264E67" w14:textId="77777777" w:rsidR="00964B88" w:rsidRDefault="00964B88"/>
        </w:tc>
      </w:tr>
      <w:tr w:rsidR="00964B88" w14:paraId="5B188A11" w14:textId="77777777">
        <w:tc>
          <w:tcPr>
            <w:tcW w:w="2590" w:type="dxa"/>
          </w:tcPr>
          <w:p w14:paraId="11431A72" w14:textId="77777777" w:rsidR="00964B88" w:rsidRDefault="00964B88">
            <w:r>
              <w:t>2 926</w:t>
            </w:r>
          </w:p>
        </w:tc>
        <w:tc>
          <w:tcPr>
            <w:tcW w:w="2589" w:type="dxa"/>
          </w:tcPr>
          <w:p w14:paraId="565A471A" w14:textId="77777777" w:rsidR="00964B88" w:rsidRDefault="00964B88">
            <w:r>
              <w:t>1 715</w:t>
            </w:r>
          </w:p>
        </w:tc>
        <w:tc>
          <w:tcPr>
            <w:tcW w:w="2589" w:type="dxa"/>
          </w:tcPr>
          <w:p w14:paraId="6066996B" w14:textId="77777777" w:rsidR="00964B88" w:rsidRDefault="00964B88">
            <w:r>
              <w:t>213 697</w:t>
            </w:r>
          </w:p>
        </w:tc>
      </w:tr>
      <w:tr w:rsidR="00964B88" w14:paraId="112661B1" w14:textId="77777777">
        <w:tc>
          <w:tcPr>
            <w:tcW w:w="2590" w:type="dxa"/>
          </w:tcPr>
          <w:p w14:paraId="5775931A" w14:textId="77777777" w:rsidR="00964B88" w:rsidRDefault="00964B88">
            <w:r>
              <w:t>..</w:t>
            </w:r>
          </w:p>
        </w:tc>
        <w:tc>
          <w:tcPr>
            <w:tcW w:w="2589" w:type="dxa"/>
          </w:tcPr>
          <w:p w14:paraId="54993FFC" w14:textId="77777777" w:rsidR="00964B88" w:rsidRDefault="00964B88">
            <w:r>
              <w:t>..</w:t>
            </w:r>
          </w:p>
        </w:tc>
        <w:tc>
          <w:tcPr>
            <w:tcW w:w="2589" w:type="dxa"/>
          </w:tcPr>
          <w:p w14:paraId="163883D6" w14:textId="77777777" w:rsidR="00964B88" w:rsidRDefault="00964B88">
            <w:r>
              <w:t>3 551</w:t>
            </w:r>
          </w:p>
        </w:tc>
      </w:tr>
      <w:tr w:rsidR="00964B88" w14:paraId="569D8A6D" w14:textId="77777777">
        <w:tc>
          <w:tcPr>
            <w:tcW w:w="2590" w:type="dxa"/>
          </w:tcPr>
          <w:p w14:paraId="087E7894" w14:textId="77777777" w:rsidR="00964B88" w:rsidRDefault="00964B88">
            <w:r>
              <w:t>29</w:t>
            </w:r>
          </w:p>
        </w:tc>
        <w:tc>
          <w:tcPr>
            <w:tcW w:w="2589" w:type="dxa"/>
          </w:tcPr>
          <w:p w14:paraId="76E47EDC" w14:textId="77777777" w:rsidR="00964B88" w:rsidRDefault="00964B88">
            <w:r>
              <w:t>42</w:t>
            </w:r>
          </w:p>
        </w:tc>
        <w:tc>
          <w:tcPr>
            <w:tcW w:w="2589" w:type="dxa"/>
          </w:tcPr>
          <w:p w14:paraId="36E3A77F" w14:textId="77777777" w:rsidR="00964B88" w:rsidRDefault="00964B88">
            <w:r>
              <w:t>6 328</w:t>
            </w:r>
          </w:p>
        </w:tc>
      </w:tr>
      <w:tr w:rsidR="00964B88" w14:paraId="6593421F" w14:textId="77777777">
        <w:tc>
          <w:tcPr>
            <w:tcW w:w="2590" w:type="dxa"/>
          </w:tcPr>
          <w:p w14:paraId="74D468E3" w14:textId="77777777" w:rsidR="00964B88" w:rsidRDefault="00964B88">
            <w:r>
              <w:t>..</w:t>
            </w:r>
          </w:p>
        </w:tc>
        <w:tc>
          <w:tcPr>
            <w:tcW w:w="2589" w:type="dxa"/>
          </w:tcPr>
          <w:p w14:paraId="13C8BEE2" w14:textId="77777777" w:rsidR="00964B88" w:rsidRDefault="00964B88">
            <w:r>
              <w:t>..</w:t>
            </w:r>
          </w:p>
        </w:tc>
        <w:tc>
          <w:tcPr>
            <w:tcW w:w="2589" w:type="dxa"/>
          </w:tcPr>
          <w:p w14:paraId="174FA5AB" w14:textId="77777777" w:rsidR="00964B88" w:rsidRDefault="00964B88">
            <w:r>
              <w:t>..</w:t>
            </w:r>
          </w:p>
        </w:tc>
      </w:tr>
      <w:tr w:rsidR="00964B88" w14:paraId="2B0D1B6F" w14:textId="77777777">
        <w:trPr>
          <w:cnfStyle w:val="010000000000" w:firstRow="0" w:lastRow="1" w:firstColumn="0" w:lastColumn="0" w:oddVBand="0" w:evenVBand="0" w:oddHBand="0" w:evenHBand="0" w:firstRowFirstColumn="0" w:firstRowLastColumn="0" w:lastRowFirstColumn="0" w:lastRowLastColumn="0"/>
        </w:trPr>
        <w:tc>
          <w:tcPr>
            <w:tcW w:w="2590" w:type="dxa"/>
          </w:tcPr>
          <w:p w14:paraId="5D5C9785" w14:textId="77777777" w:rsidR="00964B88" w:rsidRDefault="00964B88">
            <w:r>
              <w:t>2 955</w:t>
            </w:r>
          </w:p>
        </w:tc>
        <w:tc>
          <w:tcPr>
            <w:tcW w:w="2589" w:type="dxa"/>
          </w:tcPr>
          <w:p w14:paraId="442DB79C" w14:textId="77777777" w:rsidR="00964B88" w:rsidRDefault="00964B88">
            <w:r>
              <w:t>1 756</w:t>
            </w:r>
          </w:p>
        </w:tc>
        <w:tc>
          <w:tcPr>
            <w:tcW w:w="2589" w:type="dxa"/>
          </w:tcPr>
          <w:p w14:paraId="28E9C3E6" w14:textId="77777777" w:rsidR="00964B88" w:rsidRDefault="00964B88">
            <w:r>
              <w:t>223 577</w:t>
            </w:r>
          </w:p>
        </w:tc>
      </w:tr>
    </w:tbl>
    <w:p w14:paraId="30E232BD" w14:textId="77777777" w:rsidR="00964B88" w:rsidRDefault="00964B88" w:rsidP="00F53820"/>
    <w:p w14:paraId="70C14616" w14:textId="77777777" w:rsidR="00964B88" w:rsidRPr="0007698C" w:rsidRDefault="00964B88" w:rsidP="0007698C">
      <w:r w:rsidRPr="0007698C">
        <w:br w:type="page"/>
      </w:r>
    </w:p>
    <w:p w14:paraId="41AABA7F" w14:textId="77777777" w:rsidR="00964B88" w:rsidRDefault="00964B88" w:rsidP="0007698C">
      <w:pPr>
        <w:pStyle w:val="TableHeading"/>
        <w:rPr>
          <w:rStyle w:val="Heading2Char0"/>
          <w:rFonts w:eastAsiaTheme="minorHAnsi" w:cstheme="minorBidi"/>
          <w:b/>
          <w:spacing w:val="0"/>
          <w:sz w:val="20"/>
          <w:szCs w:val="20"/>
        </w:rPr>
      </w:pPr>
      <w:r>
        <w:lastRenderedPageBreak/>
        <w:t>Table 5.10</w:t>
      </w:r>
      <w:r w:rsidR="009C1504">
        <w:t>:</w:t>
      </w:r>
      <w:r w:rsidRPr="00631823">
        <w:tab/>
        <w:t>Net acquisition of non-financial asset</w:t>
      </w:r>
      <w:r>
        <w:t>s – non-financial public sector</w:t>
      </w:r>
      <w:r w:rsidR="0007698C">
        <w:tab/>
      </w:r>
      <w:r w:rsidRPr="00BC01CF">
        <w:rPr>
          <w:rStyle w:val="Heading2Char0"/>
          <w:rFonts w:eastAsiaTheme="minorHAnsi" w:cstheme="minorBidi"/>
          <w:b/>
          <w:spacing w:val="0"/>
          <w:sz w:val="20"/>
          <w:szCs w:val="20"/>
        </w:rPr>
        <w:t>($ million)</w:t>
      </w:r>
    </w:p>
    <w:tbl>
      <w:tblPr>
        <w:tblStyle w:val="DTFTable"/>
        <w:tblW w:w="7768" w:type="dxa"/>
        <w:tblLayout w:type="fixed"/>
        <w:tblLook w:val="06E0" w:firstRow="1" w:lastRow="1" w:firstColumn="1" w:lastColumn="0" w:noHBand="1" w:noVBand="1"/>
      </w:tblPr>
      <w:tblGrid>
        <w:gridCol w:w="3641"/>
        <w:gridCol w:w="727"/>
        <w:gridCol w:w="850"/>
        <w:gridCol w:w="850"/>
        <w:gridCol w:w="850"/>
        <w:gridCol w:w="850"/>
      </w:tblGrid>
      <w:tr w:rsidR="00964B88" w14:paraId="2EBA5581"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41" w:type="dxa"/>
          </w:tcPr>
          <w:p w14:paraId="4DC16165" w14:textId="77777777" w:rsidR="00964B88" w:rsidRDefault="00964B88"/>
        </w:tc>
        <w:tc>
          <w:tcPr>
            <w:tcW w:w="727" w:type="dxa"/>
          </w:tcPr>
          <w:p w14:paraId="0EC22F91"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4AA79947"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1AB01D3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715CF04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157B1AA8"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6A687EE2" w14:textId="77777777">
        <w:tc>
          <w:tcPr>
            <w:cnfStyle w:val="001000000000" w:firstRow="0" w:lastRow="0" w:firstColumn="1" w:lastColumn="0" w:oddVBand="0" w:evenVBand="0" w:oddHBand="0" w:evenHBand="0" w:firstRowFirstColumn="0" w:firstRowLastColumn="0" w:lastRowFirstColumn="0" w:lastRowLastColumn="0"/>
            <w:tcW w:w="3641" w:type="dxa"/>
          </w:tcPr>
          <w:p w14:paraId="3D6F11BA" w14:textId="77777777" w:rsidR="00964B88" w:rsidRDefault="00964B88">
            <w:r>
              <w:t>Purchases of non</w:t>
            </w:r>
            <w:r>
              <w:noBreakHyphen/>
              <w:t>financial assets</w:t>
            </w:r>
            <w:r>
              <w:br/>
              <w:t>(including change in inventories)</w:t>
            </w:r>
          </w:p>
        </w:tc>
        <w:tc>
          <w:tcPr>
            <w:tcW w:w="727" w:type="dxa"/>
          </w:tcPr>
          <w:p w14:paraId="6907DA92" w14:textId="77777777" w:rsidR="00964B88" w:rsidRDefault="00964B88">
            <w:pPr>
              <w:cnfStyle w:val="000000000000" w:firstRow="0" w:lastRow="0" w:firstColumn="0" w:lastColumn="0" w:oddVBand="0" w:evenVBand="0" w:oddHBand="0" w:evenHBand="0" w:firstRowFirstColumn="0" w:firstRowLastColumn="0" w:lastRowFirstColumn="0" w:lastRowLastColumn="0"/>
            </w:pPr>
            <w:r>
              <w:t>16 154</w:t>
            </w:r>
          </w:p>
        </w:tc>
        <w:tc>
          <w:tcPr>
            <w:tcW w:w="850" w:type="dxa"/>
          </w:tcPr>
          <w:p w14:paraId="6D58F03F" w14:textId="77777777" w:rsidR="00964B88" w:rsidRDefault="00964B88">
            <w:pPr>
              <w:cnfStyle w:val="000000000000" w:firstRow="0" w:lastRow="0" w:firstColumn="0" w:lastColumn="0" w:oddVBand="0" w:evenVBand="0" w:oddHBand="0" w:evenHBand="0" w:firstRowFirstColumn="0" w:firstRowLastColumn="0" w:lastRowFirstColumn="0" w:lastRowLastColumn="0"/>
            </w:pPr>
            <w:r>
              <w:t>16 603</w:t>
            </w:r>
          </w:p>
        </w:tc>
        <w:tc>
          <w:tcPr>
            <w:tcW w:w="850" w:type="dxa"/>
          </w:tcPr>
          <w:p w14:paraId="08059F98" w14:textId="77777777" w:rsidR="00964B88" w:rsidRDefault="00964B88">
            <w:pPr>
              <w:cnfStyle w:val="000000000000" w:firstRow="0" w:lastRow="0" w:firstColumn="0" w:lastColumn="0" w:oddVBand="0" w:evenVBand="0" w:oddHBand="0" w:evenHBand="0" w:firstRowFirstColumn="0" w:firstRowLastColumn="0" w:lastRowFirstColumn="0" w:lastRowLastColumn="0"/>
            </w:pPr>
            <w:r>
              <w:t>14 449</w:t>
            </w:r>
          </w:p>
        </w:tc>
        <w:tc>
          <w:tcPr>
            <w:tcW w:w="850" w:type="dxa"/>
          </w:tcPr>
          <w:p w14:paraId="5AC843B0" w14:textId="77777777" w:rsidR="00964B88" w:rsidRDefault="00964B88">
            <w:pPr>
              <w:cnfStyle w:val="000000000000" w:firstRow="0" w:lastRow="0" w:firstColumn="0" w:lastColumn="0" w:oddVBand="0" w:evenVBand="0" w:oddHBand="0" w:evenHBand="0" w:firstRowFirstColumn="0" w:firstRowLastColumn="0" w:lastRowFirstColumn="0" w:lastRowLastColumn="0"/>
            </w:pPr>
            <w:r>
              <w:t>11 586</w:t>
            </w:r>
          </w:p>
        </w:tc>
        <w:tc>
          <w:tcPr>
            <w:tcW w:w="850" w:type="dxa"/>
          </w:tcPr>
          <w:p w14:paraId="4FD99CFD" w14:textId="77777777" w:rsidR="00964B88" w:rsidRDefault="00964B88">
            <w:pPr>
              <w:cnfStyle w:val="000000000000" w:firstRow="0" w:lastRow="0" w:firstColumn="0" w:lastColumn="0" w:oddVBand="0" w:evenVBand="0" w:oddHBand="0" w:evenHBand="0" w:firstRowFirstColumn="0" w:firstRowLastColumn="0" w:lastRowFirstColumn="0" w:lastRowLastColumn="0"/>
            </w:pPr>
            <w:r>
              <w:t>12 660</w:t>
            </w:r>
          </w:p>
        </w:tc>
      </w:tr>
      <w:tr w:rsidR="00964B88" w14:paraId="295C0AA0" w14:textId="77777777">
        <w:tc>
          <w:tcPr>
            <w:cnfStyle w:val="001000000000" w:firstRow="0" w:lastRow="0" w:firstColumn="1" w:lastColumn="0" w:oddVBand="0" w:evenVBand="0" w:oddHBand="0" w:evenHBand="0" w:firstRowFirstColumn="0" w:firstRowLastColumn="0" w:lastRowFirstColumn="0" w:lastRowLastColumn="0"/>
            <w:tcW w:w="3641" w:type="dxa"/>
          </w:tcPr>
          <w:p w14:paraId="45D8904C" w14:textId="77777777" w:rsidR="00964B88" w:rsidRDefault="00964B88">
            <w:r>
              <w:t>Less: Sales of non</w:t>
            </w:r>
            <w:r>
              <w:noBreakHyphen/>
              <w:t>financial assets</w:t>
            </w:r>
          </w:p>
        </w:tc>
        <w:tc>
          <w:tcPr>
            <w:tcW w:w="727" w:type="dxa"/>
          </w:tcPr>
          <w:p w14:paraId="2024988A" w14:textId="77777777" w:rsidR="00964B88" w:rsidRDefault="00964B88">
            <w:pPr>
              <w:cnfStyle w:val="000000000000" w:firstRow="0" w:lastRow="0" w:firstColumn="0" w:lastColumn="0" w:oddVBand="0" w:evenVBand="0" w:oddHBand="0" w:evenHBand="0" w:firstRowFirstColumn="0" w:firstRowLastColumn="0" w:lastRowFirstColumn="0" w:lastRowLastColumn="0"/>
            </w:pPr>
            <w:r>
              <w:t>(1 120)</w:t>
            </w:r>
          </w:p>
        </w:tc>
        <w:tc>
          <w:tcPr>
            <w:tcW w:w="850" w:type="dxa"/>
          </w:tcPr>
          <w:p w14:paraId="36FCB34F" w14:textId="77777777" w:rsidR="00964B88" w:rsidRDefault="00964B88">
            <w:pPr>
              <w:cnfStyle w:val="000000000000" w:firstRow="0" w:lastRow="0" w:firstColumn="0" w:lastColumn="0" w:oddVBand="0" w:evenVBand="0" w:oddHBand="0" w:evenHBand="0" w:firstRowFirstColumn="0" w:firstRowLastColumn="0" w:lastRowFirstColumn="0" w:lastRowLastColumn="0"/>
            </w:pPr>
            <w:r>
              <w:t>(1 117)</w:t>
            </w:r>
          </w:p>
        </w:tc>
        <w:tc>
          <w:tcPr>
            <w:tcW w:w="850" w:type="dxa"/>
          </w:tcPr>
          <w:p w14:paraId="1777BAFD" w14:textId="77777777" w:rsidR="00964B88" w:rsidRDefault="00964B88">
            <w:pPr>
              <w:cnfStyle w:val="000000000000" w:firstRow="0" w:lastRow="0" w:firstColumn="0" w:lastColumn="0" w:oddVBand="0" w:evenVBand="0" w:oddHBand="0" w:evenHBand="0" w:firstRowFirstColumn="0" w:firstRowLastColumn="0" w:lastRowFirstColumn="0" w:lastRowLastColumn="0"/>
            </w:pPr>
            <w:r>
              <w:t>(483)</w:t>
            </w:r>
          </w:p>
        </w:tc>
        <w:tc>
          <w:tcPr>
            <w:tcW w:w="850" w:type="dxa"/>
          </w:tcPr>
          <w:p w14:paraId="674D34DB" w14:textId="77777777" w:rsidR="00964B88" w:rsidRDefault="00964B88">
            <w:pPr>
              <w:cnfStyle w:val="000000000000" w:firstRow="0" w:lastRow="0" w:firstColumn="0" w:lastColumn="0" w:oddVBand="0" w:evenVBand="0" w:oddHBand="0" w:evenHBand="0" w:firstRowFirstColumn="0" w:firstRowLastColumn="0" w:lastRowFirstColumn="0" w:lastRowLastColumn="0"/>
            </w:pPr>
            <w:r>
              <w:t>(905)</w:t>
            </w:r>
          </w:p>
        </w:tc>
        <w:tc>
          <w:tcPr>
            <w:tcW w:w="850" w:type="dxa"/>
          </w:tcPr>
          <w:p w14:paraId="17F19133" w14:textId="77777777" w:rsidR="00964B88" w:rsidRDefault="00964B88">
            <w:pPr>
              <w:cnfStyle w:val="000000000000" w:firstRow="0" w:lastRow="0" w:firstColumn="0" w:lastColumn="0" w:oddVBand="0" w:evenVBand="0" w:oddHBand="0" w:evenHBand="0" w:firstRowFirstColumn="0" w:firstRowLastColumn="0" w:lastRowFirstColumn="0" w:lastRowLastColumn="0"/>
            </w:pPr>
            <w:r>
              <w:t>(729)</w:t>
            </w:r>
          </w:p>
        </w:tc>
      </w:tr>
      <w:tr w:rsidR="00964B88" w14:paraId="4B1F8EB8" w14:textId="77777777">
        <w:tc>
          <w:tcPr>
            <w:cnfStyle w:val="001000000000" w:firstRow="0" w:lastRow="0" w:firstColumn="1" w:lastColumn="0" w:oddVBand="0" w:evenVBand="0" w:oddHBand="0" w:evenHBand="0" w:firstRowFirstColumn="0" w:firstRowLastColumn="0" w:lastRowFirstColumn="0" w:lastRowLastColumn="0"/>
            <w:tcW w:w="3641" w:type="dxa"/>
          </w:tcPr>
          <w:p w14:paraId="4B105F56" w14:textId="77777777" w:rsidR="00964B88" w:rsidRDefault="00964B88">
            <w:r>
              <w:t>Less: Depreciation and amortisation</w:t>
            </w:r>
          </w:p>
        </w:tc>
        <w:tc>
          <w:tcPr>
            <w:tcW w:w="727" w:type="dxa"/>
          </w:tcPr>
          <w:p w14:paraId="4E263D75" w14:textId="77777777" w:rsidR="00964B88" w:rsidRDefault="00964B88">
            <w:pPr>
              <w:cnfStyle w:val="000000000000" w:firstRow="0" w:lastRow="0" w:firstColumn="0" w:lastColumn="0" w:oddVBand="0" w:evenVBand="0" w:oddHBand="0" w:evenHBand="0" w:firstRowFirstColumn="0" w:firstRowLastColumn="0" w:lastRowFirstColumn="0" w:lastRowLastColumn="0"/>
            </w:pPr>
            <w:r>
              <w:t>(6 217)</w:t>
            </w:r>
          </w:p>
        </w:tc>
        <w:tc>
          <w:tcPr>
            <w:tcW w:w="850" w:type="dxa"/>
          </w:tcPr>
          <w:p w14:paraId="2C109BD4" w14:textId="77777777" w:rsidR="00964B88" w:rsidRDefault="00964B88">
            <w:pPr>
              <w:cnfStyle w:val="000000000000" w:firstRow="0" w:lastRow="0" w:firstColumn="0" w:lastColumn="0" w:oddVBand="0" w:evenVBand="0" w:oddHBand="0" w:evenHBand="0" w:firstRowFirstColumn="0" w:firstRowLastColumn="0" w:lastRowFirstColumn="0" w:lastRowLastColumn="0"/>
            </w:pPr>
            <w:r>
              <w:t>(6 266)</w:t>
            </w:r>
          </w:p>
        </w:tc>
        <w:tc>
          <w:tcPr>
            <w:tcW w:w="850" w:type="dxa"/>
          </w:tcPr>
          <w:p w14:paraId="1436E431" w14:textId="77777777" w:rsidR="00964B88" w:rsidRDefault="00964B88">
            <w:pPr>
              <w:cnfStyle w:val="000000000000" w:firstRow="0" w:lastRow="0" w:firstColumn="0" w:lastColumn="0" w:oddVBand="0" w:evenVBand="0" w:oddHBand="0" w:evenHBand="0" w:firstRowFirstColumn="0" w:firstRowLastColumn="0" w:lastRowFirstColumn="0" w:lastRowLastColumn="0"/>
            </w:pPr>
            <w:r>
              <w:t>(6 797)</w:t>
            </w:r>
          </w:p>
        </w:tc>
        <w:tc>
          <w:tcPr>
            <w:tcW w:w="850" w:type="dxa"/>
          </w:tcPr>
          <w:p w14:paraId="18DCECEB" w14:textId="77777777" w:rsidR="00964B88" w:rsidRDefault="00964B88">
            <w:pPr>
              <w:cnfStyle w:val="000000000000" w:firstRow="0" w:lastRow="0" w:firstColumn="0" w:lastColumn="0" w:oddVBand="0" w:evenVBand="0" w:oddHBand="0" w:evenHBand="0" w:firstRowFirstColumn="0" w:firstRowLastColumn="0" w:lastRowFirstColumn="0" w:lastRowLastColumn="0"/>
            </w:pPr>
            <w:r>
              <w:t>(7 191)</w:t>
            </w:r>
          </w:p>
        </w:tc>
        <w:tc>
          <w:tcPr>
            <w:tcW w:w="850" w:type="dxa"/>
          </w:tcPr>
          <w:p w14:paraId="6E79A0ED" w14:textId="77777777" w:rsidR="00964B88" w:rsidRDefault="00964B88">
            <w:pPr>
              <w:cnfStyle w:val="000000000000" w:firstRow="0" w:lastRow="0" w:firstColumn="0" w:lastColumn="0" w:oddVBand="0" w:evenVBand="0" w:oddHBand="0" w:evenHBand="0" w:firstRowFirstColumn="0" w:firstRowLastColumn="0" w:lastRowFirstColumn="0" w:lastRowLastColumn="0"/>
            </w:pPr>
            <w:r>
              <w:t>(7 656)</w:t>
            </w:r>
          </w:p>
        </w:tc>
      </w:tr>
      <w:tr w:rsidR="00964B88" w14:paraId="4C2EA12C" w14:textId="77777777" w:rsidTr="00F53820">
        <w:tc>
          <w:tcPr>
            <w:cnfStyle w:val="001000000000" w:firstRow="0" w:lastRow="0" w:firstColumn="1" w:lastColumn="0" w:oddVBand="0" w:evenVBand="0" w:oddHBand="0" w:evenHBand="0" w:firstRowFirstColumn="0" w:firstRowLastColumn="0" w:lastRowFirstColumn="0" w:lastRowLastColumn="0"/>
            <w:tcW w:w="3641" w:type="dxa"/>
            <w:tcBorders>
              <w:bottom w:val="single" w:sz="6" w:space="0" w:color="auto"/>
            </w:tcBorders>
          </w:tcPr>
          <w:p w14:paraId="14B314F8" w14:textId="77777777" w:rsidR="00964B88" w:rsidRDefault="00964B88">
            <w:r>
              <w:t>Plus: Other movements in non</w:t>
            </w:r>
            <w:r>
              <w:noBreakHyphen/>
              <w:t>financial assets</w:t>
            </w:r>
            <w:r>
              <w:rPr>
                <w:vertAlign w:val="superscript"/>
              </w:rPr>
              <w:t xml:space="preserve"> (a)(b)</w:t>
            </w:r>
          </w:p>
        </w:tc>
        <w:tc>
          <w:tcPr>
            <w:tcW w:w="727" w:type="dxa"/>
            <w:tcBorders>
              <w:bottom w:val="single" w:sz="6" w:space="0" w:color="auto"/>
            </w:tcBorders>
          </w:tcPr>
          <w:p w14:paraId="353825B1" w14:textId="77777777" w:rsidR="00964B88" w:rsidRDefault="00964B88">
            <w:pPr>
              <w:cnfStyle w:val="000000000000" w:firstRow="0" w:lastRow="0" w:firstColumn="0" w:lastColumn="0" w:oddVBand="0" w:evenVBand="0" w:oddHBand="0" w:evenHBand="0" w:firstRowFirstColumn="0" w:firstRowLastColumn="0" w:lastRowFirstColumn="0" w:lastRowLastColumn="0"/>
            </w:pPr>
            <w:r>
              <w:t>1 827</w:t>
            </w:r>
          </w:p>
        </w:tc>
        <w:tc>
          <w:tcPr>
            <w:tcW w:w="850" w:type="dxa"/>
            <w:tcBorders>
              <w:bottom w:val="single" w:sz="6" w:space="0" w:color="auto"/>
            </w:tcBorders>
          </w:tcPr>
          <w:p w14:paraId="460AC899" w14:textId="77777777" w:rsidR="00964B88" w:rsidRDefault="00964B88">
            <w:pPr>
              <w:cnfStyle w:val="000000000000" w:firstRow="0" w:lastRow="0" w:firstColumn="0" w:lastColumn="0" w:oddVBand="0" w:evenVBand="0" w:oddHBand="0" w:evenHBand="0" w:firstRowFirstColumn="0" w:firstRowLastColumn="0" w:lastRowFirstColumn="0" w:lastRowLastColumn="0"/>
            </w:pPr>
            <w:r>
              <w:t>3 236</w:t>
            </w:r>
          </w:p>
        </w:tc>
        <w:tc>
          <w:tcPr>
            <w:tcW w:w="850" w:type="dxa"/>
            <w:tcBorders>
              <w:bottom w:val="single" w:sz="6" w:space="0" w:color="auto"/>
            </w:tcBorders>
          </w:tcPr>
          <w:p w14:paraId="26BE727F" w14:textId="77777777" w:rsidR="00964B88" w:rsidRDefault="00964B88">
            <w:pPr>
              <w:cnfStyle w:val="000000000000" w:firstRow="0" w:lastRow="0" w:firstColumn="0" w:lastColumn="0" w:oddVBand="0" w:evenVBand="0" w:oddHBand="0" w:evenHBand="0" w:firstRowFirstColumn="0" w:firstRowLastColumn="0" w:lastRowFirstColumn="0" w:lastRowLastColumn="0"/>
            </w:pPr>
            <w:r>
              <w:t>3 226</w:t>
            </w:r>
          </w:p>
        </w:tc>
        <w:tc>
          <w:tcPr>
            <w:tcW w:w="850" w:type="dxa"/>
            <w:tcBorders>
              <w:bottom w:val="single" w:sz="6" w:space="0" w:color="auto"/>
            </w:tcBorders>
          </w:tcPr>
          <w:p w14:paraId="733B2E9A" w14:textId="77777777" w:rsidR="00964B88" w:rsidRDefault="00964B88">
            <w:pPr>
              <w:cnfStyle w:val="000000000000" w:firstRow="0" w:lastRow="0" w:firstColumn="0" w:lastColumn="0" w:oddVBand="0" w:evenVBand="0" w:oddHBand="0" w:evenHBand="0" w:firstRowFirstColumn="0" w:firstRowLastColumn="0" w:lastRowFirstColumn="0" w:lastRowLastColumn="0"/>
            </w:pPr>
            <w:r>
              <w:t>4 239</w:t>
            </w:r>
          </w:p>
        </w:tc>
        <w:tc>
          <w:tcPr>
            <w:tcW w:w="850" w:type="dxa"/>
            <w:tcBorders>
              <w:bottom w:val="single" w:sz="6" w:space="0" w:color="auto"/>
            </w:tcBorders>
          </w:tcPr>
          <w:p w14:paraId="4077BA30" w14:textId="77777777" w:rsidR="00964B88" w:rsidRDefault="00964B88">
            <w:pPr>
              <w:cnfStyle w:val="000000000000" w:firstRow="0" w:lastRow="0" w:firstColumn="0" w:lastColumn="0" w:oddVBand="0" w:evenVBand="0" w:oddHBand="0" w:evenHBand="0" w:firstRowFirstColumn="0" w:firstRowLastColumn="0" w:lastRowFirstColumn="0" w:lastRowLastColumn="0"/>
            </w:pPr>
            <w:r>
              <w:t>2 997</w:t>
            </w:r>
          </w:p>
        </w:tc>
      </w:tr>
      <w:tr w:rsidR="00964B88" w14:paraId="3DFB1D3B"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1" w:type="dxa"/>
          </w:tcPr>
          <w:p w14:paraId="33E9F7BE" w14:textId="77777777" w:rsidR="00964B88" w:rsidRDefault="00964B88">
            <w:r>
              <w:t>Total net acquisition of non</w:t>
            </w:r>
            <w:r>
              <w:noBreakHyphen/>
              <w:t>financial assets from transactions</w:t>
            </w:r>
          </w:p>
        </w:tc>
        <w:tc>
          <w:tcPr>
            <w:tcW w:w="727" w:type="dxa"/>
          </w:tcPr>
          <w:p w14:paraId="31D1F6F0" w14:textId="77777777" w:rsidR="00964B88" w:rsidRDefault="00964B88">
            <w:pPr>
              <w:cnfStyle w:val="010000000000" w:firstRow="0" w:lastRow="1" w:firstColumn="0" w:lastColumn="0" w:oddVBand="0" w:evenVBand="0" w:oddHBand="0" w:evenHBand="0" w:firstRowFirstColumn="0" w:firstRowLastColumn="0" w:lastRowFirstColumn="0" w:lastRowLastColumn="0"/>
            </w:pPr>
            <w:r>
              <w:t>10 644</w:t>
            </w:r>
          </w:p>
        </w:tc>
        <w:tc>
          <w:tcPr>
            <w:tcW w:w="850" w:type="dxa"/>
          </w:tcPr>
          <w:p w14:paraId="5EFB1087" w14:textId="77777777" w:rsidR="00964B88" w:rsidRDefault="00964B88">
            <w:pPr>
              <w:cnfStyle w:val="010000000000" w:firstRow="0" w:lastRow="1" w:firstColumn="0" w:lastColumn="0" w:oddVBand="0" w:evenVBand="0" w:oddHBand="0" w:evenHBand="0" w:firstRowFirstColumn="0" w:firstRowLastColumn="0" w:lastRowFirstColumn="0" w:lastRowLastColumn="0"/>
            </w:pPr>
            <w:r>
              <w:t>12 457</w:t>
            </w:r>
          </w:p>
        </w:tc>
        <w:tc>
          <w:tcPr>
            <w:tcW w:w="850" w:type="dxa"/>
          </w:tcPr>
          <w:p w14:paraId="60B605D9" w14:textId="77777777" w:rsidR="00964B88" w:rsidRDefault="00964B88">
            <w:pPr>
              <w:cnfStyle w:val="010000000000" w:firstRow="0" w:lastRow="1" w:firstColumn="0" w:lastColumn="0" w:oddVBand="0" w:evenVBand="0" w:oddHBand="0" w:evenHBand="0" w:firstRowFirstColumn="0" w:firstRowLastColumn="0" w:lastRowFirstColumn="0" w:lastRowLastColumn="0"/>
            </w:pPr>
            <w:r>
              <w:t>10 395</w:t>
            </w:r>
          </w:p>
        </w:tc>
        <w:tc>
          <w:tcPr>
            <w:tcW w:w="850" w:type="dxa"/>
          </w:tcPr>
          <w:p w14:paraId="420B4ADF" w14:textId="77777777" w:rsidR="00964B88" w:rsidRDefault="00964B88">
            <w:pPr>
              <w:cnfStyle w:val="010000000000" w:firstRow="0" w:lastRow="1" w:firstColumn="0" w:lastColumn="0" w:oddVBand="0" w:evenVBand="0" w:oddHBand="0" w:evenHBand="0" w:firstRowFirstColumn="0" w:firstRowLastColumn="0" w:lastRowFirstColumn="0" w:lastRowLastColumn="0"/>
            </w:pPr>
            <w:r>
              <w:t>7 729</w:t>
            </w:r>
          </w:p>
        </w:tc>
        <w:tc>
          <w:tcPr>
            <w:tcW w:w="850" w:type="dxa"/>
          </w:tcPr>
          <w:p w14:paraId="46441C36" w14:textId="77777777" w:rsidR="00964B88" w:rsidRDefault="00964B88">
            <w:pPr>
              <w:cnfStyle w:val="010000000000" w:firstRow="0" w:lastRow="1" w:firstColumn="0" w:lastColumn="0" w:oddVBand="0" w:evenVBand="0" w:oddHBand="0" w:evenHBand="0" w:firstRowFirstColumn="0" w:firstRowLastColumn="0" w:lastRowFirstColumn="0" w:lastRowLastColumn="0"/>
            </w:pPr>
            <w:r>
              <w:t>7 272</w:t>
            </w:r>
          </w:p>
        </w:tc>
      </w:tr>
    </w:tbl>
    <w:p w14:paraId="659D4390" w14:textId="77777777" w:rsidR="00964B88" w:rsidRDefault="00964B88" w:rsidP="00F53820">
      <w:pPr>
        <w:pStyle w:val="Note"/>
      </w:pPr>
      <w:r>
        <w:t>Notes:</w:t>
      </w:r>
    </w:p>
    <w:p w14:paraId="5D35D110" w14:textId="77777777" w:rsidR="00964B88" w:rsidRPr="003938EB" w:rsidRDefault="00964B88" w:rsidP="00F53820">
      <w:pPr>
        <w:pStyle w:val="Note"/>
      </w:pPr>
      <w:r w:rsidRPr="00714B66">
        <w:t>(a)</w:t>
      </w:r>
      <w:r w:rsidRPr="00714B66">
        <w:tab/>
        <w:t xml:space="preserve">The other movements in non-financial assets includes recognising right of use assets under lease arrangements, and recognising service concession arrangements, including from </w:t>
      </w:r>
      <w:r>
        <w:t>p</w:t>
      </w:r>
      <w:r w:rsidRPr="00714B66">
        <w:t xml:space="preserve">ublic </w:t>
      </w:r>
      <w:r>
        <w:t>p</w:t>
      </w:r>
      <w:r w:rsidRPr="00714B66">
        <w:t xml:space="preserve">rivate </w:t>
      </w:r>
      <w:r>
        <w:t>p</w:t>
      </w:r>
      <w:r w:rsidRPr="00714B66">
        <w:t>artnerships. Some of these items have been impacted by the application of the new accounting standards.</w:t>
      </w:r>
    </w:p>
    <w:p w14:paraId="74A24646" w14:textId="77777777" w:rsidR="00964B88" w:rsidRDefault="00964B88" w:rsidP="00F53820">
      <w:pPr>
        <w:pStyle w:val="Note"/>
      </w:pPr>
      <w:r w:rsidRPr="004B239C">
        <w:t>(</w:t>
      </w:r>
      <w:r>
        <w:t>b</w:t>
      </w:r>
      <w:r w:rsidRPr="004B239C">
        <w:t>)</w:t>
      </w:r>
      <w:r w:rsidRPr="004B239C">
        <w:tab/>
      </w:r>
      <w:r w:rsidRPr="00BF0F1C">
        <w:t>The public private partnerships across the forward estimates relate to the Casey Hospital expansion, the High Capacity Metro Trains Project, the Metro Tunnel, the new Footscray Hospital, North East Link, the Suburban Roads Upgrade – Northern Roads Upgrade, South Eastern Roads Upgrade and Western Roads Upgrade, and the West Gate Tunnel Project.</w:t>
      </w:r>
    </w:p>
    <w:p w14:paraId="106EE81D" w14:textId="77777777" w:rsidR="00964B88" w:rsidRDefault="00964B88" w:rsidP="00F53820">
      <w:pPr>
        <w:pStyle w:val="Heading10"/>
      </w:pPr>
      <w:r>
        <w:br w:type="page"/>
      </w:r>
    </w:p>
    <w:p w14:paraId="09CB5D9B" w14:textId="77777777" w:rsidR="00964B88" w:rsidRDefault="00964B88" w:rsidP="00F53820">
      <w:pPr>
        <w:pStyle w:val="TableHeading"/>
      </w:pPr>
      <w:r>
        <w:lastRenderedPageBreak/>
        <w:t>Table 5.11</w:t>
      </w:r>
      <w:r w:rsidR="009C1504">
        <w:t>:</w:t>
      </w:r>
      <w:r>
        <w:tab/>
        <w:t xml:space="preserve">Public financial corporations sector comprehensive operating </w:t>
      </w:r>
      <w:r>
        <w:br/>
        <w:t>statement for the financial year ended 30 June</w:t>
      </w:r>
      <w:r>
        <w:tab/>
        <w:t>($ million)</w:t>
      </w:r>
    </w:p>
    <w:tbl>
      <w:tblPr>
        <w:tblStyle w:val="DTFTable"/>
        <w:tblW w:w="7768" w:type="dxa"/>
        <w:tblLayout w:type="fixed"/>
        <w:tblLook w:val="06E0" w:firstRow="1" w:lastRow="1" w:firstColumn="1" w:lastColumn="0" w:noHBand="1" w:noVBand="1"/>
      </w:tblPr>
      <w:tblGrid>
        <w:gridCol w:w="3998"/>
        <w:gridCol w:w="142"/>
        <w:gridCol w:w="145"/>
        <w:gridCol w:w="467"/>
        <w:gridCol w:w="754"/>
        <w:gridCol w:w="754"/>
        <w:gridCol w:w="754"/>
        <w:gridCol w:w="754"/>
      </w:tblGrid>
      <w:tr w:rsidR="00964B88" w14:paraId="6AE174CF" w14:textId="77777777" w:rsidTr="000769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14:paraId="59D2B835" w14:textId="77777777" w:rsidR="00964B88" w:rsidRDefault="00964B88"/>
        </w:tc>
        <w:tc>
          <w:tcPr>
            <w:tcW w:w="754" w:type="dxa"/>
            <w:gridSpan w:val="3"/>
          </w:tcPr>
          <w:p w14:paraId="03F1AC3D"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754" w:type="dxa"/>
          </w:tcPr>
          <w:p w14:paraId="6969519C"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754" w:type="dxa"/>
          </w:tcPr>
          <w:p w14:paraId="086CC96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754" w:type="dxa"/>
          </w:tcPr>
          <w:p w14:paraId="507663CE"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754" w:type="dxa"/>
          </w:tcPr>
          <w:p w14:paraId="68DFC04F"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117F3A8D"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664B086E" w14:textId="77777777" w:rsidR="00964B88" w:rsidRDefault="00964B88">
            <w:r>
              <w:rPr>
                <w:b/>
              </w:rPr>
              <w:t>Revenue from transactions</w:t>
            </w:r>
          </w:p>
        </w:tc>
        <w:tc>
          <w:tcPr>
            <w:tcW w:w="754" w:type="dxa"/>
            <w:gridSpan w:val="3"/>
          </w:tcPr>
          <w:p w14:paraId="678F5F1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023EF9B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44FF134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0893B2A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2538DCE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D60A0C8"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58F5E247" w14:textId="77777777" w:rsidR="00964B88" w:rsidRDefault="00964B88">
            <w:r>
              <w:t>Interest revenue</w:t>
            </w:r>
          </w:p>
        </w:tc>
        <w:tc>
          <w:tcPr>
            <w:tcW w:w="754" w:type="dxa"/>
            <w:gridSpan w:val="3"/>
          </w:tcPr>
          <w:p w14:paraId="6BF69A54" w14:textId="77777777" w:rsidR="00964B88" w:rsidRDefault="00964B88">
            <w:pPr>
              <w:cnfStyle w:val="000000000000" w:firstRow="0" w:lastRow="0" w:firstColumn="0" w:lastColumn="0" w:oddVBand="0" w:evenVBand="0" w:oddHBand="0" w:evenHBand="0" w:firstRowFirstColumn="0" w:firstRowLastColumn="0" w:lastRowFirstColumn="0" w:lastRowLastColumn="0"/>
            </w:pPr>
            <w:r>
              <w:t>1 939</w:t>
            </w:r>
          </w:p>
        </w:tc>
        <w:tc>
          <w:tcPr>
            <w:tcW w:w="754" w:type="dxa"/>
          </w:tcPr>
          <w:p w14:paraId="6E8B6EDD" w14:textId="77777777" w:rsidR="00964B88" w:rsidRDefault="00964B88">
            <w:pPr>
              <w:cnfStyle w:val="000000000000" w:firstRow="0" w:lastRow="0" w:firstColumn="0" w:lastColumn="0" w:oddVBand="0" w:evenVBand="0" w:oddHBand="0" w:evenHBand="0" w:firstRowFirstColumn="0" w:firstRowLastColumn="0" w:lastRowFirstColumn="0" w:lastRowLastColumn="0"/>
            </w:pPr>
            <w:r>
              <w:t>1 879</w:t>
            </w:r>
          </w:p>
        </w:tc>
        <w:tc>
          <w:tcPr>
            <w:tcW w:w="754" w:type="dxa"/>
          </w:tcPr>
          <w:p w14:paraId="76291948" w14:textId="77777777" w:rsidR="00964B88" w:rsidRDefault="00964B88">
            <w:pPr>
              <w:cnfStyle w:val="000000000000" w:firstRow="0" w:lastRow="0" w:firstColumn="0" w:lastColumn="0" w:oddVBand="0" w:evenVBand="0" w:oddHBand="0" w:evenHBand="0" w:firstRowFirstColumn="0" w:firstRowLastColumn="0" w:lastRowFirstColumn="0" w:lastRowLastColumn="0"/>
            </w:pPr>
            <w:r>
              <w:t>1 902</w:t>
            </w:r>
          </w:p>
        </w:tc>
        <w:tc>
          <w:tcPr>
            <w:tcW w:w="754" w:type="dxa"/>
          </w:tcPr>
          <w:p w14:paraId="21BBC8E2" w14:textId="77777777" w:rsidR="00964B88" w:rsidRDefault="00964B88">
            <w:pPr>
              <w:cnfStyle w:val="000000000000" w:firstRow="0" w:lastRow="0" w:firstColumn="0" w:lastColumn="0" w:oddVBand="0" w:evenVBand="0" w:oddHBand="0" w:evenHBand="0" w:firstRowFirstColumn="0" w:firstRowLastColumn="0" w:lastRowFirstColumn="0" w:lastRowLastColumn="0"/>
            </w:pPr>
            <w:r>
              <w:t>2 014</w:t>
            </w:r>
          </w:p>
        </w:tc>
        <w:tc>
          <w:tcPr>
            <w:tcW w:w="754" w:type="dxa"/>
          </w:tcPr>
          <w:p w14:paraId="3C1644F8" w14:textId="77777777" w:rsidR="00964B88" w:rsidRDefault="00964B88">
            <w:pPr>
              <w:cnfStyle w:val="000000000000" w:firstRow="0" w:lastRow="0" w:firstColumn="0" w:lastColumn="0" w:oddVBand="0" w:evenVBand="0" w:oddHBand="0" w:evenHBand="0" w:firstRowFirstColumn="0" w:firstRowLastColumn="0" w:lastRowFirstColumn="0" w:lastRowLastColumn="0"/>
            </w:pPr>
            <w:r>
              <w:t>2 021</w:t>
            </w:r>
          </w:p>
        </w:tc>
      </w:tr>
      <w:tr w:rsidR="00964B88" w14:paraId="3CC31F8E"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3F04E575" w14:textId="77777777" w:rsidR="00964B88" w:rsidRDefault="00964B88">
            <w:r>
              <w:t>Dividend revenue</w:t>
            </w:r>
          </w:p>
        </w:tc>
        <w:tc>
          <w:tcPr>
            <w:tcW w:w="754" w:type="dxa"/>
            <w:gridSpan w:val="3"/>
          </w:tcPr>
          <w:p w14:paraId="39E39A50" w14:textId="77777777" w:rsidR="00964B88" w:rsidRDefault="00964B88">
            <w:pPr>
              <w:cnfStyle w:val="000000000000" w:firstRow="0" w:lastRow="0" w:firstColumn="0" w:lastColumn="0" w:oddVBand="0" w:evenVBand="0" w:oddHBand="0" w:evenHBand="0" w:firstRowFirstColumn="0" w:firstRowLastColumn="0" w:lastRowFirstColumn="0" w:lastRowLastColumn="0"/>
            </w:pPr>
            <w:r>
              <w:t>1 536</w:t>
            </w:r>
          </w:p>
        </w:tc>
        <w:tc>
          <w:tcPr>
            <w:tcW w:w="754" w:type="dxa"/>
          </w:tcPr>
          <w:p w14:paraId="6BA3BC9C" w14:textId="77777777" w:rsidR="00964B88" w:rsidRDefault="00964B88">
            <w:pPr>
              <w:cnfStyle w:val="000000000000" w:firstRow="0" w:lastRow="0" w:firstColumn="0" w:lastColumn="0" w:oddVBand="0" w:evenVBand="0" w:oddHBand="0" w:evenHBand="0" w:firstRowFirstColumn="0" w:firstRowLastColumn="0" w:lastRowFirstColumn="0" w:lastRowLastColumn="0"/>
            </w:pPr>
            <w:r>
              <w:t>1 742</w:t>
            </w:r>
          </w:p>
        </w:tc>
        <w:tc>
          <w:tcPr>
            <w:tcW w:w="754" w:type="dxa"/>
          </w:tcPr>
          <w:p w14:paraId="0387ACCE" w14:textId="77777777" w:rsidR="00964B88" w:rsidRDefault="00964B88">
            <w:pPr>
              <w:cnfStyle w:val="000000000000" w:firstRow="0" w:lastRow="0" w:firstColumn="0" w:lastColumn="0" w:oddVBand="0" w:evenVBand="0" w:oddHBand="0" w:evenHBand="0" w:firstRowFirstColumn="0" w:firstRowLastColumn="0" w:lastRowFirstColumn="0" w:lastRowLastColumn="0"/>
            </w:pPr>
            <w:r>
              <w:t>1 691</w:t>
            </w:r>
          </w:p>
        </w:tc>
        <w:tc>
          <w:tcPr>
            <w:tcW w:w="754" w:type="dxa"/>
          </w:tcPr>
          <w:p w14:paraId="06FCFF54" w14:textId="77777777" w:rsidR="00964B88" w:rsidRDefault="00964B88">
            <w:pPr>
              <w:cnfStyle w:val="000000000000" w:firstRow="0" w:lastRow="0" w:firstColumn="0" w:lastColumn="0" w:oddVBand="0" w:evenVBand="0" w:oddHBand="0" w:evenHBand="0" w:firstRowFirstColumn="0" w:firstRowLastColumn="0" w:lastRowFirstColumn="0" w:lastRowLastColumn="0"/>
            </w:pPr>
            <w:r>
              <w:t>1 695</w:t>
            </w:r>
          </w:p>
        </w:tc>
        <w:tc>
          <w:tcPr>
            <w:tcW w:w="754" w:type="dxa"/>
          </w:tcPr>
          <w:p w14:paraId="32DBFE9A" w14:textId="77777777" w:rsidR="00964B88" w:rsidRDefault="00964B88">
            <w:pPr>
              <w:cnfStyle w:val="000000000000" w:firstRow="0" w:lastRow="0" w:firstColumn="0" w:lastColumn="0" w:oddVBand="0" w:evenVBand="0" w:oddHBand="0" w:evenHBand="0" w:firstRowFirstColumn="0" w:firstRowLastColumn="0" w:lastRowFirstColumn="0" w:lastRowLastColumn="0"/>
            </w:pPr>
            <w:r>
              <w:t>1 746</w:t>
            </w:r>
          </w:p>
        </w:tc>
      </w:tr>
      <w:tr w:rsidR="00964B88" w14:paraId="7DE612A7"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249E5A9D" w14:textId="77777777" w:rsidR="00964B88" w:rsidRDefault="00964B88">
            <w:r>
              <w:t>Sales of goods and services</w:t>
            </w:r>
          </w:p>
        </w:tc>
        <w:tc>
          <w:tcPr>
            <w:tcW w:w="754" w:type="dxa"/>
            <w:gridSpan w:val="3"/>
          </w:tcPr>
          <w:p w14:paraId="6A06EC35" w14:textId="77777777" w:rsidR="00964B88" w:rsidRDefault="00964B88">
            <w:pPr>
              <w:cnfStyle w:val="000000000000" w:firstRow="0" w:lastRow="0" w:firstColumn="0" w:lastColumn="0" w:oddVBand="0" w:evenVBand="0" w:oddHBand="0" w:evenHBand="0" w:firstRowFirstColumn="0" w:firstRowLastColumn="0" w:lastRowFirstColumn="0" w:lastRowLastColumn="0"/>
            </w:pPr>
            <w:r>
              <w:t>5 085</w:t>
            </w:r>
          </w:p>
        </w:tc>
        <w:tc>
          <w:tcPr>
            <w:tcW w:w="754" w:type="dxa"/>
          </w:tcPr>
          <w:p w14:paraId="26A0AFC8" w14:textId="77777777" w:rsidR="00964B88" w:rsidRDefault="00964B88">
            <w:pPr>
              <w:cnfStyle w:val="000000000000" w:firstRow="0" w:lastRow="0" w:firstColumn="0" w:lastColumn="0" w:oddVBand="0" w:evenVBand="0" w:oddHBand="0" w:evenHBand="0" w:firstRowFirstColumn="0" w:firstRowLastColumn="0" w:lastRowFirstColumn="0" w:lastRowLastColumn="0"/>
            </w:pPr>
            <w:r>
              <w:t>5 143</w:t>
            </w:r>
          </w:p>
        </w:tc>
        <w:tc>
          <w:tcPr>
            <w:tcW w:w="754" w:type="dxa"/>
          </w:tcPr>
          <w:p w14:paraId="7D844F2A" w14:textId="77777777" w:rsidR="00964B88" w:rsidRDefault="00964B88">
            <w:pPr>
              <w:cnfStyle w:val="000000000000" w:firstRow="0" w:lastRow="0" w:firstColumn="0" w:lastColumn="0" w:oddVBand="0" w:evenVBand="0" w:oddHBand="0" w:evenHBand="0" w:firstRowFirstColumn="0" w:firstRowLastColumn="0" w:lastRowFirstColumn="0" w:lastRowLastColumn="0"/>
            </w:pPr>
            <w:r>
              <w:t>5 382</w:t>
            </w:r>
          </w:p>
        </w:tc>
        <w:tc>
          <w:tcPr>
            <w:tcW w:w="754" w:type="dxa"/>
          </w:tcPr>
          <w:p w14:paraId="57DDF159" w14:textId="77777777" w:rsidR="00964B88" w:rsidRDefault="00964B88">
            <w:pPr>
              <w:cnfStyle w:val="000000000000" w:firstRow="0" w:lastRow="0" w:firstColumn="0" w:lastColumn="0" w:oddVBand="0" w:evenVBand="0" w:oddHBand="0" w:evenHBand="0" w:firstRowFirstColumn="0" w:firstRowLastColumn="0" w:lastRowFirstColumn="0" w:lastRowLastColumn="0"/>
            </w:pPr>
            <w:r>
              <w:t>5 646</w:t>
            </w:r>
          </w:p>
        </w:tc>
        <w:tc>
          <w:tcPr>
            <w:tcW w:w="754" w:type="dxa"/>
          </w:tcPr>
          <w:p w14:paraId="7880BD2B" w14:textId="77777777" w:rsidR="00964B88" w:rsidRDefault="00964B88">
            <w:pPr>
              <w:cnfStyle w:val="000000000000" w:firstRow="0" w:lastRow="0" w:firstColumn="0" w:lastColumn="0" w:oddVBand="0" w:evenVBand="0" w:oddHBand="0" w:evenHBand="0" w:firstRowFirstColumn="0" w:firstRowLastColumn="0" w:lastRowFirstColumn="0" w:lastRowLastColumn="0"/>
            </w:pPr>
            <w:r>
              <w:t>5 917</w:t>
            </w:r>
          </w:p>
        </w:tc>
      </w:tr>
      <w:tr w:rsidR="00964B88" w14:paraId="341B77AE"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7E669091" w14:textId="77777777" w:rsidR="00964B88" w:rsidRDefault="00964B88">
            <w:r>
              <w:t>Other revenue</w:t>
            </w:r>
          </w:p>
        </w:tc>
        <w:tc>
          <w:tcPr>
            <w:tcW w:w="754" w:type="dxa"/>
            <w:gridSpan w:val="3"/>
            <w:tcBorders>
              <w:bottom w:val="single" w:sz="6" w:space="0" w:color="auto"/>
            </w:tcBorders>
          </w:tcPr>
          <w:p w14:paraId="3FC50D47" w14:textId="77777777" w:rsidR="00964B88" w:rsidRDefault="00964B88">
            <w:pPr>
              <w:cnfStyle w:val="000000000000" w:firstRow="0" w:lastRow="0" w:firstColumn="0" w:lastColumn="0" w:oddVBand="0" w:evenVBand="0" w:oddHBand="0" w:evenHBand="0" w:firstRowFirstColumn="0" w:firstRowLastColumn="0" w:lastRowFirstColumn="0" w:lastRowLastColumn="0"/>
            </w:pPr>
            <w:r>
              <w:t>22</w:t>
            </w:r>
          </w:p>
        </w:tc>
        <w:tc>
          <w:tcPr>
            <w:tcW w:w="754" w:type="dxa"/>
            <w:tcBorders>
              <w:bottom w:val="single" w:sz="6" w:space="0" w:color="auto"/>
            </w:tcBorders>
          </w:tcPr>
          <w:p w14:paraId="059B275A" w14:textId="77777777" w:rsidR="00964B88" w:rsidRDefault="00964B88">
            <w:pPr>
              <w:cnfStyle w:val="000000000000" w:firstRow="0" w:lastRow="0" w:firstColumn="0" w:lastColumn="0" w:oddVBand="0" w:evenVBand="0" w:oddHBand="0" w:evenHBand="0" w:firstRowFirstColumn="0" w:firstRowLastColumn="0" w:lastRowFirstColumn="0" w:lastRowLastColumn="0"/>
            </w:pPr>
            <w:r>
              <w:t>24</w:t>
            </w:r>
          </w:p>
        </w:tc>
        <w:tc>
          <w:tcPr>
            <w:tcW w:w="754" w:type="dxa"/>
            <w:tcBorders>
              <w:bottom w:val="single" w:sz="6" w:space="0" w:color="auto"/>
            </w:tcBorders>
          </w:tcPr>
          <w:p w14:paraId="2C4150E8" w14:textId="77777777" w:rsidR="00964B88" w:rsidRDefault="00964B88">
            <w:pPr>
              <w:cnfStyle w:val="000000000000" w:firstRow="0" w:lastRow="0" w:firstColumn="0" w:lastColumn="0" w:oddVBand="0" w:evenVBand="0" w:oddHBand="0" w:evenHBand="0" w:firstRowFirstColumn="0" w:firstRowLastColumn="0" w:lastRowFirstColumn="0" w:lastRowLastColumn="0"/>
            </w:pPr>
            <w:r>
              <w:t>25</w:t>
            </w:r>
          </w:p>
        </w:tc>
        <w:tc>
          <w:tcPr>
            <w:tcW w:w="754" w:type="dxa"/>
            <w:tcBorders>
              <w:bottom w:val="single" w:sz="6" w:space="0" w:color="auto"/>
            </w:tcBorders>
          </w:tcPr>
          <w:p w14:paraId="60C9AA5F" w14:textId="77777777" w:rsidR="00964B88" w:rsidRDefault="00964B88">
            <w:pPr>
              <w:cnfStyle w:val="000000000000" w:firstRow="0" w:lastRow="0" w:firstColumn="0" w:lastColumn="0" w:oddVBand="0" w:evenVBand="0" w:oddHBand="0" w:evenHBand="0" w:firstRowFirstColumn="0" w:firstRowLastColumn="0" w:lastRowFirstColumn="0" w:lastRowLastColumn="0"/>
            </w:pPr>
            <w:r>
              <w:t>26</w:t>
            </w:r>
          </w:p>
        </w:tc>
        <w:tc>
          <w:tcPr>
            <w:tcW w:w="754" w:type="dxa"/>
            <w:tcBorders>
              <w:bottom w:val="single" w:sz="6" w:space="0" w:color="auto"/>
            </w:tcBorders>
          </w:tcPr>
          <w:p w14:paraId="3399F367" w14:textId="77777777" w:rsidR="00964B88" w:rsidRDefault="00964B88">
            <w:pPr>
              <w:cnfStyle w:val="000000000000" w:firstRow="0" w:lastRow="0" w:firstColumn="0" w:lastColumn="0" w:oddVBand="0" w:evenVBand="0" w:oddHBand="0" w:evenHBand="0" w:firstRowFirstColumn="0" w:firstRowLastColumn="0" w:lastRowFirstColumn="0" w:lastRowLastColumn="0"/>
            </w:pPr>
            <w:r>
              <w:t>27</w:t>
            </w:r>
          </w:p>
        </w:tc>
      </w:tr>
      <w:tr w:rsidR="00964B88" w14:paraId="28A1D20B"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1CCB3012" w14:textId="77777777" w:rsidR="00964B88" w:rsidRDefault="00964B88">
            <w:r>
              <w:rPr>
                <w:b/>
              </w:rPr>
              <w:t>Total revenue from transactions</w:t>
            </w:r>
          </w:p>
        </w:tc>
        <w:tc>
          <w:tcPr>
            <w:tcW w:w="754" w:type="dxa"/>
            <w:gridSpan w:val="3"/>
            <w:tcBorders>
              <w:top w:val="single" w:sz="6" w:space="0" w:color="auto"/>
            </w:tcBorders>
          </w:tcPr>
          <w:p w14:paraId="39FFDE8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8 583</w:t>
            </w:r>
          </w:p>
        </w:tc>
        <w:tc>
          <w:tcPr>
            <w:tcW w:w="754" w:type="dxa"/>
            <w:tcBorders>
              <w:top w:val="single" w:sz="6" w:space="0" w:color="auto"/>
            </w:tcBorders>
          </w:tcPr>
          <w:p w14:paraId="2809DA6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8 788</w:t>
            </w:r>
          </w:p>
        </w:tc>
        <w:tc>
          <w:tcPr>
            <w:tcW w:w="754" w:type="dxa"/>
            <w:tcBorders>
              <w:top w:val="single" w:sz="6" w:space="0" w:color="auto"/>
            </w:tcBorders>
          </w:tcPr>
          <w:p w14:paraId="1D0BB18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9 001</w:t>
            </w:r>
          </w:p>
        </w:tc>
        <w:tc>
          <w:tcPr>
            <w:tcW w:w="754" w:type="dxa"/>
            <w:tcBorders>
              <w:top w:val="single" w:sz="6" w:space="0" w:color="auto"/>
            </w:tcBorders>
          </w:tcPr>
          <w:p w14:paraId="64A740C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9 381</w:t>
            </w:r>
          </w:p>
        </w:tc>
        <w:tc>
          <w:tcPr>
            <w:tcW w:w="754" w:type="dxa"/>
            <w:tcBorders>
              <w:top w:val="single" w:sz="6" w:space="0" w:color="auto"/>
            </w:tcBorders>
          </w:tcPr>
          <w:p w14:paraId="7F6D8C0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9 711</w:t>
            </w:r>
          </w:p>
        </w:tc>
      </w:tr>
      <w:tr w:rsidR="00964B88" w14:paraId="46BB1654"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6303C03E" w14:textId="77777777" w:rsidR="00964B88" w:rsidRDefault="00964B88">
            <w:r>
              <w:rPr>
                <w:b/>
              </w:rPr>
              <w:t>Expenses from transactions</w:t>
            </w:r>
          </w:p>
        </w:tc>
        <w:tc>
          <w:tcPr>
            <w:tcW w:w="754" w:type="dxa"/>
            <w:gridSpan w:val="3"/>
          </w:tcPr>
          <w:p w14:paraId="21F2F8F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014611E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782942D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61F5812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22698FB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4B63BC0B"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12546CDC" w14:textId="77777777" w:rsidR="00964B88" w:rsidRDefault="00964B88">
            <w:r>
              <w:t>Employee expenses</w:t>
            </w:r>
          </w:p>
        </w:tc>
        <w:tc>
          <w:tcPr>
            <w:tcW w:w="754" w:type="dxa"/>
            <w:gridSpan w:val="3"/>
          </w:tcPr>
          <w:p w14:paraId="4BE0ED51" w14:textId="77777777" w:rsidR="00964B88" w:rsidRDefault="00964B88">
            <w:pPr>
              <w:cnfStyle w:val="000000000000" w:firstRow="0" w:lastRow="0" w:firstColumn="0" w:lastColumn="0" w:oddVBand="0" w:evenVBand="0" w:oddHBand="0" w:evenHBand="0" w:firstRowFirstColumn="0" w:firstRowLastColumn="0" w:lastRowFirstColumn="0" w:lastRowLastColumn="0"/>
            </w:pPr>
            <w:r>
              <w:t>387</w:t>
            </w:r>
          </w:p>
        </w:tc>
        <w:tc>
          <w:tcPr>
            <w:tcW w:w="754" w:type="dxa"/>
          </w:tcPr>
          <w:p w14:paraId="0EFD1B83" w14:textId="77777777" w:rsidR="00964B88" w:rsidRDefault="00964B88">
            <w:pPr>
              <w:cnfStyle w:val="000000000000" w:firstRow="0" w:lastRow="0" w:firstColumn="0" w:lastColumn="0" w:oddVBand="0" w:evenVBand="0" w:oddHBand="0" w:evenHBand="0" w:firstRowFirstColumn="0" w:firstRowLastColumn="0" w:lastRowFirstColumn="0" w:lastRowLastColumn="0"/>
            </w:pPr>
            <w:r>
              <w:t>403</w:t>
            </w:r>
          </w:p>
        </w:tc>
        <w:tc>
          <w:tcPr>
            <w:tcW w:w="754" w:type="dxa"/>
          </w:tcPr>
          <w:p w14:paraId="1F153753" w14:textId="77777777" w:rsidR="00964B88" w:rsidRDefault="00964B88">
            <w:pPr>
              <w:cnfStyle w:val="000000000000" w:firstRow="0" w:lastRow="0" w:firstColumn="0" w:lastColumn="0" w:oddVBand="0" w:evenVBand="0" w:oddHBand="0" w:evenHBand="0" w:firstRowFirstColumn="0" w:firstRowLastColumn="0" w:lastRowFirstColumn="0" w:lastRowLastColumn="0"/>
            </w:pPr>
            <w:r>
              <w:t>417</w:t>
            </w:r>
          </w:p>
        </w:tc>
        <w:tc>
          <w:tcPr>
            <w:tcW w:w="754" w:type="dxa"/>
          </w:tcPr>
          <w:p w14:paraId="0BF8309D" w14:textId="77777777" w:rsidR="00964B88" w:rsidRDefault="00964B88">
            <w:pPr>
              <w:cnfStyle w:val="000000000000" w:firstRow="0" w:lastRow="0" w:firstColumn="0" w:lastColumn="0" w:oddVBand="0" w:evenVBand="0" w:oddHBand="0" w:evenHBand="0" w:firstRowFirstColumn="0" w:firstRowLastColumn="0" w:lastRowFirstColumn="0" w:lastRowLastColumn="0"/>
            </w:pPr>
            <w:r>
              <w:t>425</w:t>
            </w:r>
          </w:p>
        </w:tc>
        <w:tc>
          <w:tcPr>
            <w:tcW w:w="754" w:type="dxa"/>
          </w:tcPr>
          <w:p w14:paraId="4B6DB91F" w14:textId="77777777" w:rsidR="00964B88" w:rsidRDefault="00964B88">
            <w:pPr>
              <w:cnfStyle w:val="000000000000" w:firstRow="0" w:lastRow="0" w:firstColumn="0" w:lastColumn="0" w:oddVBand="0" w:evenVBand="0" w:oddHBand="0" w:evenHBand="0" w:firstRowFirstColumn="0" w:firstRowLastColumn="0" w:lastRowFirstColumn="0" w:lastRowLastColumn="0"/>
            </w:pPr>
            <w:r>
              <w:t>427</w:t>
            </w:r>
          </w:p>
        </w:tc>
      </w:tr>
      <w:tr w:rsidR="00964B88" w14:paraId="192F9364"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4C31CD68" w14:textId="77777777" w:rsidR="00964B88" w:rsidRDefault="00964B88">
            <w:r>
              <w:t>Other superannuation</w:t>
            </w:r>
          </w:p>
        </w:tc>
        <w:tc>
          <w:tcPr>
            <w:tcW w:w="754" w:type="dxa"/>
            <w:gridSpan w:val="3"/>
          </w:tcPr>
          <w:p w14:paraId="2DA1FFB3" w14:textId="77777777" w:rsidR="00964B88" w:rsidRDefault="00964B88">
            <w:pPr>
              <w:cnfStyle w:val="000000000000" w:firstRow="0" w:lastRow="0" w:firstColumn="0" w:lastColumn="0" w:oddVBand="0" w:evenVBand="0" w:oddHBand="0" w:evenHBand="0" w:firstRowFirstColumn="0" w:firstRowLastColumn="0" w:lastRowFirstColumn="0" w:lastRowLastColumn="0"/>
            </w:pPr>
            <w:r>
              <w:t>30</w:t>
            </w:r>
          </w:p>
        </w:tc>
        <w:tc>
          <w:tcPr>
            <w:tcW w:w="754" w:type="dxa"/>
          </w:tcPr>
          <w:p w14:paraId="3ADB459A" w14:textId="77777777" w:rsidR="00964B88" w:rsidRDefault="00964B88">
            <w:pPr>
              <w:cnfStyle w:val="000000000000" w:firstRow="0" w:lastRow="0" w:firstColumn="0" w:lastColumn="0" w:oddVBand="0" w:evenVBand="0" w:oddHBand="0" w:evenHBand="0" w:firstRowFirstColumn="0" w:firstRowLastColumn="0" w:lastRowFirstColumn="0" w:lastRowLastColumn="0"/>
            </w:pPr>
            <w:r>
              <w:t>32</w:t>
            </w:r>
          </w:p>
        </w:tc>
        <w:tc>
          <w:tcPr>
            <w:tcW w:w="754" w:type="dxa"/>
          </w:tcPr>
          <w:p w14:paraId="0909FB0B" w14:textId="77777777" w:rsidR="00964B88" w:rsidRDefault="00964B88">
            <w:pPr>
              <w:cnfStyle w:val="000000000000" w:firstRow="0" w:lastRow="0" w:firstColumn="0" w:lastColumn="0" w:oddVBand="0" w:evenVBand="0" w:oddHBand="0" w:evenHBand="0" w:firstRowFirstColumn="0" w:firstRowLastColumn="0" w:lastRowFirstColumn="0" w:lastRowLastColumn="0"/>
            </w:pPr>
            <w:r>
              <w:t>33</w:t>
            </w:r>
          </w:p>
        </w:tc>
        <w:tc>
          <w:tcPr>
            <w:tcW w:w="754" w:type="dxa"/>
          </w:tcPr>
          <w:p w14:paraId="5EF07D28" w14:textId="77777777" w:rsidR="00964B88" w:rsidRDefault="00964B88">
            <w:pPr>
              <w:cnfStyle w:val="000000000000" w:firstRow="0" w:lastRow="0" w:firstColumn="0" w:lastColumn="0" w:oddVBand="0" w:evenVBand="0" w:oddHBand="0" w:evenHBand="0" w:firstRowFirstColumn="0" w:firstRowLastColumn="0" w:lastRowFirstColumn="0" w:lastRowLastColumn="0"/>
            </w:pPr>
            <w:r>
              <w:t>34</w:t>
            </w:r>
          </w:p>
        </w:tc>
        <w:tc>
          <w:tcPr>
            <w:tcW w:w="754" w:type="dxa"/>
          </w:tcPr>
          <w:p w14:paraId="4AFE4F28" w14:textId="77777777" w:rsidR="00964B88" w:rsidRDefault="00964B88">
            <w:pPr>
              <w:cnfStyle w:val="000000000000" w:firstRow="0" w:lastRow="0" w:firstColumn="0" w:lastColumn="0" w:oddVBand="0" w:evenVBand="0" w:oddHBand="0" w:evenHBand="0" w:firstRowFirstColumn="0" w:firstRowLastColumn="0" w:lastRowFirstColumn="0" w:lastRowLastColumn="0"/>
            </w:pPr>
            <w:r>
              <w:t>34</w:t>
            </w:r>
          </w:p>
        </w:tc>
      </w:tr>
      <w:tr w:rsidR="00964B88" w14:paraId="5CE633F8"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51361F58" w14:textId="77777777" w:rsidR="00964B88" w:rsidRDefault="00964B88">
            <w:r>
              <w:t>Depreciation</w:t>
            </w:r>
          </w:p>
        </w:tc>
        <w:tc>
          <w:tcPr>
            <w:tcW w:w="754" w:type="dxa"/>
            <w:gridSpan w:val="3"/>
          </w:tcPr>
          <w:p w14:paraId="245D5FC4" w14:textId="77777777" w:rsidR="00964B88" w:rsidRDefault="00964B88">
            <w:pPr>
              <w:cnfStyle w:val="000000000000" w:firstRow="0" w:lastRow="0" w:firstColumn="0" w:lastColumn="0" w:oddVBand="0" w:evenVBand="0" w:oddHBand="0" w:evenHBand="0" w:firstRowFirstColumn="0" w:firstRowLastColumn="0" w:lastRowFirstColumn="0" w:lastRowLastColumn="0"/>
            </w:pPr>
            <w:r>
              <w:t>89</w:t>
            </w:r>
          </w:p>
        </w:tc>
        <w:tc>
          <w:tcPr>
            <w:tcW w:w="754" w:type="dxa"/>
          </w:tcPr>
          <w:p w14:paraId="2D2FB227" w14:textId="77777777" w:rsidR="00964B88" w:rsidRDefault="00964B88">
            <w:pPr>
              <w:cnfStyle w:val="000000000000" w:firstRow="0" w:lastRow="0" w:firstColumn="0" w:lastColumn="0" w:oddVBand="0" w:evenVBand="0" w:oddHBand="0" w:evenHBand="0" w:firstRowFirstColumn="0" w:firstRowLastColumn="0" w:lastRowFirstColumn="0" w:lastRowLastColumn="0"/>
            </w:pPr>
            <w:r>
              <w:t>80</w:t>
            </w:r>
          </w:p>
        </w:tc>
        <w:tc>
          <w:tcPr>
            <w:tcW w:w="754" w:type="dxa"/>
          </w:tcPr>
          <w:p w14:paraId="19D254BE" w14:textId="77777777" w:rsidR="00964B88" w:rsidRDefault="00964B88">
            <w:pPr>
              <w:cnfStyle w:val="000000000000" w:firstRow="0" w:lastRow="0" w:firstColumn="0" w:lastColumn="0" w:oddVBand="0" w:evenVBand="0" w:oddHBand="0" w:evenHBand="0" w:firstRowFirstColumn="0" w:firstRowLastColumn="0" w:lastRowFirstColumn="0" w:lastRowLastColumn="0"/>
            </w:pPr>
            <w:r>
              <w:t>100</w:t>
            </w:r>
          </w:p>
        </w:tc>
        <w:tc>
          <w:tcPr>
            <w:tcW w:w="754" w:type="dxa"/>
          </w:tcPr>
          <w:p w14:paraId="3509B6F2" w14:textId="77777777" w:rsidR="00964B88" w:rsidRDefault="00964B88">
            <w:pPr>
              <w:cnfStyle w:val="000000000000" w:firstRow="0" w:lastRow="0" w:firstColumn="0" w:lastColumn="0" w:oddVBand="0" w:evenVBand="0" w:oddHBand="0" w:evenHBand="0" w:firstRowFirstColumn="0" w:firstRowLastColumn="0" w:lastRowFirstColumn="0" w:lastRowLastColumn="0"/>
            </w:pPr>
            <w:r>
              <w:t>125</w:t>
            </w:r>
          </w:p>
        </w:tc>
        <w:tc>
          <w:tcPr>
            <w:tcW w:w="754" w:type="dxa"/>
          </w:tcPr>
          <w:p w14:paraId="50BC250D" w14:textId="77777777" w:rsidR="00964B88" w:rsidRDefault="00964B88">
            <w:pPr>
              <w:cnfStyle w:val="000000000000" w:firstRow="0" w:lastRow="0" w:firstColumn="0" w:lastColumn="0" w:oddVBand="0" w:evenVBand="0" w:oddHBand="0" w:evenHBand="0" w:firstRowFirstColumn="0" w:firstRowLastColumn="0" w:lastRowFirstColumn="0" w:lastRowLastColumn="0"/>
            </w:pPr>
            <w:r>
              <w:t>141</w:t>
            </w:r>
          </w:p>
        </w:tc>
      </w:tr>
      <w:tr w:rsidR="00964B88" w14:paraId="55FC340F"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06649F8B" w14:textId="77777777" w:rsidR="00964B88" w:rsidRDefault="00964B88">
            <w:r>
              <w:t>Interest expense</w:t>
            </w:r>
          </w:p>
        </w:tc>
        <w:tc>
          <w:tcPr>
            <w:tcW w:w="754" w:type="dxa"/>
            <w:gridSpan w:val="3"/>
          </w:tcPr>
          <w:p w14:paraId="5D4940EE" w14:textId="77777777" w:rsidR="00964B88" w:rsidRDefault="00964B88">
            <w:pPr>
              <w:cnfStyle w:val="000000000000" w:firstRow="0" w:lastRow="0" w:firstColumn="0" w:lastColumn="0" w:oddVBand="0" w:evenVBand="0" w:oddHBand="0" w:evenHBand="0" w:firstRowFirstColumn="0" w:firstRowLastColumn="0" w:lastRowFirstColumn="0" w:lastRowLastColumn="0"/>
            </w:pPr>
            <w:r>
              <w:t>1 802</w:t>
            </w:r>
          </w:p>
        </w:tc>
        <w:tc>
          <w:tcPr>
            <w:tcW w:w="754" w:type="dxa"/>
          </w:tcPr>
          <w:p w14:paraId="5E4CD575" w14:textId="77777777" w:rsidR="00964B88" w:rsidRDefault="00964B88">
            <w:pPr>
              <w:cnfStyle w:val="000000000000" w:firstRow="0" w:lastRow="0" w:firstColumn="0" w:lastColumn="0" w:oddVBand="0" w:evenVBand="0" w:oddHBand="0" w:evenHBand="0" w:firstRowFirstColumn="0" w:firstRowLastColumn="0" w:lastRowFirstColumn="0" w:lastRowLastColumn="0"/>
            </w:pPr>
            <w:r>
              <w:t>1 757</w:t>
            </w:r>
          </w:p>
        </w:tc>
        <w:tc>
          <w:tcPr>
            <w:tcW w:w="754" w:type="dxa"/>
          </w:tcPr>
          <w:p w14:paraId="44A5D207" w14:textId="77777777" w:rsidR="00964B88" w:rsidRDefault="00964B88">
            <w:pPr>
              <w:cnfStyle w:val="000000000000" w:firstRow="0" w:lastRow="0" w:firstColumn="0" w:lastColumn="0" w:oddVBand="0" w:evenVBand="0" w:oddHBand="0" w:evenHBand="0" w:firstRowFirstColumn="0" w:firstRowLastColumn="0" w:lastRowFirstColumn="0" w:lastRowLastColumn="0"/>
            </w:pPr>
            <w:r>
              <w:t>1 772</w:t>
            </w:r>
          </w:p>
        </w:tc>
        <w:tc>
          <w:tcPr>
            <w:tcW w:w="754" w:type="dxa"/>
          </w:tcPr>
          <w:p w14:paraId="28773F4B" w14:textId="77777777" w:rsidR="00964B88" w:rsidRDefault="00964B88">
            <w:pPr>
              <w:cnfStyle w:val="000000000000" w:firstRow="0" w:lastRow="0" w:firstColumn="0" w:lastColumn="0" w:oddVBand="0" w:evenVBand="0" w:oddHBand="0" w:evenHBand="0" w:firstRowFirstColumn="0" w:firstRowLastColumn="0" w:lastRowFirstColumn="0" w:lastRowLastColumn="0"/>
            </w:pPr>
            <w:r>
              <w:t>1 841</w:t>
            </w:r>
          </w:p>
        </w:tc>
        <w:tc>
          <w:tcPr>
            <w:tcW w:w="754" w:type="dxa"/>
          </w:tcPr>
          <w:p w14:paraId="01C3F78B" w14:textId="77777777" w:rsidR="00964B88" w:rsidRDefault="00964B88">
            <w:pPr>
              <w:cnfStyle w:val="000000000000" w:firstRow="0" w:lastRow="0" w:firstColumn="0" w:lastColumn="0" w:oddVBand="0" w:evenVBand="0" w:oddHBand="0" w:evenHBand="0" w:firstRowFirstColumn="0" w:firstRowLastColumn="0" w:lastRowFirstColumn="0" w:lastRowLastColumn="0"/>
            </w:pPr>
            <w:r>
              <w:t>1 842</w:t>
            </w:r>
          </w:p>
        </w:tc>
      </w:tr>
      <w:tr w:rsidR="00964B88" w14:paraId="0585BD4E"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476615DE" w14:textId="77777777" w:rsidR="00964B88" w:rsidRDefault="00964B88">
            <w:r>
              <w:t>Grant expense</w:t>
            </w:r>
          </w:p>
        </w:tc>
        <w:tc>
          <w:tcPr>
            <w:tcW w:w="754" w:type="dxa"/>
            <w:gridSpan w:val="3"/>
          </w:tcPr>
          <w:p w14:paraId="3261BE24" w14:textId="77777777" w:rsidR="00964B88" w:rsidRDefault="00964B88">
            <w:pPr>
              <w:cnfStyle w:val="000000000000" w:firstRow="0" w:lastRow="0" w:firstColumn="0" w:lastColumn="0" w:oddVBand="0" w:evenVBand="0" w:oddHBand="0" w:evenHBand="0" w:firstRowFirstColumn="0" w:firstRowLastColumn="0" w:lastRowFirstColumn="0" w:lastRowLastColumn="0"/>
            </w:pPr>
            <w:r>
              <w:t>1 555</w:t>
            </w:r>
          </w:p>
        </w:tc>
        <w:tc>
          <w:tcPr>
            <w:tcW w:w="754" w:type="dxa"/>
          </w:tcPr>
          <w:p w14:paraId="6AC83268" w14:textId="77777777" w:rsidR="00964B88" w:rsidRDefault="00964B88">
            <w:pPr>
              <w:cnfStyle w:val="000000000000" w:firstRow="0" w:lastRow="0" w:firstColumn="0" w:lastColumn="0" w:oddVBand="0" w:evenVBand="0" w:oddHBand="0" w:evenHBand="0" w:firstRowFirstColumn="0" w:firstRowLastColumn="0" w:lastRowFirstColumn="0" w:lastRowLastColumn="0"/>
            </w:pPr>
            <w:r>
              <w:t>1 534</w:t>
            </w:r>
          </w:p>
        </w:tc>
        <w:tc>
          <w:tcPr>
            <w:tcW w:w="754" w:type="dxa"/>
          </w:tcPr>
          <w:p w14:paraId="1D42BCFD" w14:textId="77777777" w:rsidR="00964B88" w:rsidRDefault="00964B88">
            <w:pPr>
              <w:cnfStyle w:val="000000000000" w:firstRow="0" w:lastRow="0" w:firstColumn="0" w:lastColumn="0" w:oddVBand="0" w:evenVBand="0" w:oddHBand="0" w:evenHBand="0" w:firstRowFirstColumn="0" w:firstRowLastColumn="0" w:lastRowFirstColumn="0" w:lastRowLastColumn="0"/>
            </w:pPr>
            <w:r>
              <w:t>1 357</w:t>
            </w:r>
          </w:p>
        </w:tc>
        <w:tc>
          <w:tcPr>
            <w:tcW w:w="754" w:type="dxa"/>
          </w:tcPr>
          <w:p w14:paraId="2458FD78" w14:textId="77777777" w:rsidR="00964B88" w:rsidRDefault="00964B88">
            <w:pPr>
              <w:cnfStyle w:val="000000000000" w:firstRow="0" w:lastRow="0" w:firstColumn="0" w:lastColumn="0" w:oddVBand="0" w:evenVBand="0" w:oddHBand="0" w:evenHBand="0" w:firstRowFirstColumn="0" w:firstRowLastColumn="0" w:lastRowFirstColumn="0" w:lastRowLastColumn="0"/>
            </w:pPr>
            <w:r>
              <w:t>1 354</w:t>
            </w:r>
          </w:p>
        </w:tc>
        <w:tc>
          <w:tcPr>
            <w:tcW w:w="754" w:type="dxa"/>
          </w:tcPr>
          <w:p w14:paraId="0500A9FB" w14:textId="77777777" w:rsidR="00964B88" w:rsidRDefault="00964B88">
            <w:pPr>
              <w:cnfStyle w:val="000000000000" w:firstRow="0" w:lastRow="0" w:firstColumn="0" w:lastColumn="0" w:oddVBand="0" w:evenVBand="0" w:oddHBand="0" w:evenHBand="0" w:firstRowFirstColumn="0" w:firstRowLastColumn="0" w:lastRowFirstColumn="0" w:lastRowLastColumn="0"/>
            </w:pPr>
            <w:r>
              <w:t>687</w:t>
            </w:r>
          </w:p>
        </w:tc>
      </w:tr>
      <w:tr w:rsidR="00964B88" w14:paraId="6559D8AA"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6BC18DF" w14:textId="77777777" w:rsidR="00964B88" w:rsidRDefault="00964B88">
            <w:r>
              <w:t>Other operating expenses</w:t>
            </w:r>
          </w:p>
        </w:tc>
        <w:tc>
          <w:tcPr>
            <w:tcW w:w="754" w:type="dxa"/>
            <w:gridSpan w:val="3"/>
          </w:tcPr>
          <w:p w14:paraId="2913246A" w14:textId="77777777" w:rsidR="00964B88" w:rsidRDefault="00964B88">
            <w:pPr>
              <w:cnfStyle w:val="000000000000" w:firstRow="0" w:lastRow="0" w:firstColumn="0" w:lastColumn="0" w:oddVBand="0" w:evenVBand="0" w:oddHBand="0" w:evenHBand="0" w:firstRowFirstColumn="0" w:firstRowLastColumn="0" w:lastRowFirstColumn="0" w:lastRowLastColumn="0"/>
            </w:pPr>
            <w:r>
              <w:t>7 766</w:t>
            </w:r>
          </w:p>
        </w:tc>
        <w:tc>
          <w:tcPr>
            <w:tcW w:w="754" w:type="dxa"/>
          </w:tcPr>
          <w:p w14:paraId="5E68C4A8" w14:textId="77777777" w:rsidR="00964B88" w:rsidRDefault="00964B88">
            <w:pPr>
              <w:cnfStyle w:val="000000000000" w:firstRow="0" w:lastRow="0" w:firstColumn="0" w:lastColumn="0" w:oddVBand="0" w:evenVBand="0" w:oddHBand="0" w:evenHBand="0" w:firstRowFirstColumn="0" w:firstRowLastColumn="0" w:lastRowFirstColumn="0" w:lastRowLastColumn="0"/>
            </w:pPr>
            <w:r>
              <w:t>8 757</w:t>
            </w:r>
          </w:p>
        </w:tc>
        <w:tc>
          <w:tcPr>
            <w:tcW w:w="754" w:type="dxa"/>
          </w:tcPr>
          <w:p w14:paraId="744D4C2D" w14:textId="77777777" w:rsidR="00964B88" w:rsidRDefault="00964B88">
            <w:pPr>
              <w:cnfStyle w:val="000000000000" w:firstRow="0" w:lastRow="0" w:firstColumn="0" w:lastColumn="0" w:oddVBand="0" w:evenVBand="0" w:oddHBand="0" w:evenHBand="0" w:firstRowFirstColumn="0" w:firstRowLastColumn="0" w:lastRowFirstColumn="0" w:lastRowLastColumn="0"/>
            </w:pPr>
            <w:r>
              <w:t>8 929</w:t>
            </w:r>
          </w:p>
        </w:tc>
        <w:tc>
          <w:tcPr>
            <w:tcW w:w="754" w:type="dxa"/>
          </w:tcPr>
          <w:p w14:paraId="547050CF" w14:textId="77777777" w:rsidR="00964B88" w:rsidRDefault="00964B88">
            <w:pPr>
              <w:cnfStyle w:val="000000000000" w:firstRow="0" w:lastRow="0" w:firstColumn="0" w:lastColumn="0" w:oddVBand="0" w:evenVBand="0" w:oddHBand="0" w:evenHBand="0" w:firstRowFirstColumn="0" w:firstRowLastColumn="0" w:lastRowFirstColumn="0" w:lastRowLastColumn="0"/>
            </w:pPr>
            <w:r>
              <w:t>9 285</w:t>
            </w:r>
          </w:p>
        </w:tc>
        <w:tc>
          <w:tcPr>
            <w:tcW w:w="754" w:type="dxa"/>
          </w:tcPr>
          <w:p w14:paraId="73D8F5C7" w14:textId="77777777" w:rsidR="00964B88" w:rsidRDefault="00964B88">
            <w:pPr>
              <w:cnfStyle w:val="000000000000" w:firstRow="0" w:lastRow="0" w:firstColumn="0" w:lastColumn="0" w:oddVBand="0" w:evenVBand="0" w:oddHBand="0" w:evenHBand="0" w:firstRowFirstColumn="0" w:firstRowLastColumn="0" w:lastRowFirstColumn="0" w:lastRowLastColumn="0"/>
            </w:pPr>
            <w:r>
              <w:t>9 568</w:t>
            </w:r>
          </w:p>
        </w:tc>
      </w:tr>
      <w:tr w:rsidR="00964B88" w14:paraId="344C5385"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42D9D7E3" w14:textId="77777777" w:rsidR="00964B88" w:rsidRDefault="00964B88">
            <w:r>
              <w:t>Other property expenses</w:t>
            </w:r>
          </w:p>
        </w:tc>
        <w:tc>
          <w:tcPr>
            <w:tcW w:w="754" w:type="dxa"/>
            <w:gridSpan w:val="3"/>
            <w:tcBorders>
              <w:bottom w:val="single" w:sz="6" w:space="0" w:color="auto"/>
            </w:tcBorders>
          </w:tcPr>
          <w:p w14:paraId="3A3BE90C" w14:textId="77777777" w:rsidR="00964B88" w:rsidRDefault="00964B88">
            <w:pPr>
              <w:cnfStyle w:val="000000000000" w:firstRow="0" w:lastRow="0" w:firstColumn="0" w:lastColumn="0" w:oddVBand="0" w:evenVBand="0" w:oddHBand="0" w:evenHBand="0" w:firstRowFirstColumn="0" w:firstRowLastColumn="0" w:lastRowFirstColumn="0" w:lastRowLastColumn="0"/>
            </w:pPr>
            <w:r>
              <w:t>8</w:t>
            </w:r>
          </w:p>
        </w:tc>
        <w:tc>
          <w:tcPr>
            <w:tcW w:w="754" w:type="dxa"/>
            <w:tcBorders>
              <w:bottom w:val="single" w:sz="6" w:space="0" w:color="auto"/>
            </w:tcBorders>
          </w:tcPr>
          <w:p w14:paraId="27683313" w14:textId="77777777" w:rsidR="00964B88" w:rsidRDefault="00964B88">
            <w:pPr>
              <w:cnfStyle w:val="000000000000" w:firstRow="0" w:lastRow="0" w:firstColumn="0" w:lastColumn="0" w:oddVBand="0" w:evenVBand="0" w:oddHBand="0" w:evenHBand="0" w:firstRowFirstColumn="0" w:firstRowLastColumn="0" w:lastRowFirstColumn="0" w:lastRowLastColumn="0"/>
            </w:pPr>
            <w:r>
              <w:t>6</w:t>
            </w:r>
          </w:p>
        </w:tc>
        <w:tc>
          <w:tcPr>
            <w:tcW w:w="754" w:type="dxa"/>
            <w:tcBorders>
              <w:bottom w:val="single" w:sz="6" w:space="0" w:color="auto"/>
            </w:tcBorders>
          </w:tcPr>
          <w:p w14:paraId="637C1ED7" w14:textId="77777777" w:rsidR="00964B88" w:rsidRDefault="00964B88">
            <w:pPr>
              <w:cnfStyle w:val="000000000000" w:firstRow="0" w:lastRow="0" w:firstColumn="0" w:lastColumn="0" w:oddVBand="0" w:evenVBand="0" w:oddHBand="0" w:evenHBand="0" w:firstRowFirstColumn="0" w:firstRowLastColumn="0" w:lastRowFirstColumn="0" w:lastRowLastColumn="0"/>
            </w:pPr>
            <w:r>
              <w:t>7</w:t>
            </w:r>
          </w:p>
        </w:tc>
        <w:tc>
          <w:tcPr>
            <w:tcW w:w="754" w:type="dxa"/>
            <w:tcBorders>
              <w:bottom w:val="single" w:sz="6" w:space="0" w:color="auto"/>
            </w:tcBorders>
          </w:tcPr>
          <w:p w14:paraId="2BB80E20" w14:textId="77777777" w:rsidR="00964B88" w:rsidRDefault="00964B88">
            <w:pPr>
              <w:cnfStyle w:val="000000000000" w:firstRow="0" w:lastRow="0" w:firstColumn="0" w:lastColumn="0" w:oddVBand="0" w:evenVBand="0" w:oddHBand="0" w:evenHBand="0" w:firstRowFirstColumn="0" w:firstRowLastColumn="0" w:lastRowFirstColumn="0" w:lastRowLastColumn="0"/>
            </w:pPr>
            <w:r>
              <w:t>8</w:t>
            </w:r>
          </w:p>
        </w:tc>
        <w:tc>
          <w:tcPr>
            <w:tcW w:w="754" w:type="dxa"/>
            <w:tcBorders>
              <w:bottom w:val="single" w:sz="6" w:space="0" w:color="auto"/>
            </w:tcBorders>
          </w:tcPr>
          <w:p w14:paraId="4F02AA4E" w14:textId="77777777" w:rsidR="00964B88" w:rsidRDefault="00964B88">
            <w:pPr>
              <w:cnfStyle w:val="000000000000" w:firstRow="0" w:lastRow="0" w:firstColumn="0" w:lastColumn="0" w:oddVBand="0" w:evenVBand="0" w:oddHBand="0" w:evenHBand="0" w:firstRowFirstColumn="0" w:firstRowLastColumn="0" w:lastRowFirstColumn="0" w:lastRowLastColumn="0"/>
            </w:pPr>
            <w:r>
              <w:t>9</w:t>
            </w:r>
          </w:p>
        </w:tc>
      </w:tr>
      <w:tr w:rsidR="00964B88" w14:paraId="3DD559EE"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6F2CDF58" w14:textId="77777777" w:rsidR="00964B88" w:rsidRDefault="00964B88">
            <w:r>
              <w:rPr>
                <w:b/>
              </w:rPr>
              <w:t>Total expenses from transactions</w:t>
            </w:r>
          </w:p>
        </w:tc>
        <w:tc>
          <w:tcPr>
            <w:tcW w:w="754" w:type="dxa"/>
            <w:gridSpan w:val="3"/>
            <w:tcBorders>
              <w:top w:val="single" w:sz="6" w:space="0" w:color="auto"/>
              <w:bottom w:val="single" w:sz="6" w:space="0" w:color="auto"/>
            </w:tcBorders>
          </w:tcPr>
          <w:p w14:paraId="27811E7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11 637</w:t>
            </w:r>
          </w:p>
        </w:tc>
        <w:tc>
          <w:tcPr>
            <w:tcW w:w="754" w:type="dxa"/>
            <w:tcBorders>
              <w:top w:val="single" w:sz="6" w:space="0" w:color="auto"/>
              <w:bottom w:val="single" w:sz="6" w:space="0" w:color="auto"/>
            </w:tcBorders>
          </w:tcPr>
          <w:p w14:paraId="1F7B946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12 569</w:t>
            </w:r>
          </w:p>
        </w:tc>
        <w:tc>
          <w:tcPr>
            <w:tcW w:w="754" w:type="dxa"/>
            <w:tcBorders>
              <w:top w:val="single" w:sz="6" w:space="0" w:color="auto"/>
              <w:bottom w:val="single" w:sz="6" w:space="0" w:color="auto"/>
            </w:tcBorders>
          </w:tcPr>
          <w:p w14:paraId="62F9EC7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12 614</w:t>
            </w:r>
          </w:p>
        </w:tc>
        <w:tc>
          <w:tcPr>
            <w:tcW w:w="754" w:type="dxa"/>
            <w:tcBorders>
              <w:top w:val="single" w:sz="6" w:space="0" w:color="auto"/>
              <w:bottom w:val="single" w:sz="6" w:space="0" w:color="auto"/>
            </w:tcBorders>
          </w:tcPr>
          <w:p w14:paraId="28F18D6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13 071</w:t>
            </w:r>
          </w:p>
        </w:tc>
        <w:tc>
          <w:tcPr>
            <w:tcW w:w="754" w:type="dxa"/>
            <w:tcBorders>
              <w:top w:val="single" w:sz="6" w:space="0" w:color="auto"/>
              <w:bottom w:val="single" w:sz="6" w:space="0" w:color="auto"/>
            </w:tcBorders>
          </w:tcPr>
          <w:p w14:paraId="55C9E7F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12 708</w:t>
            </w:r>
          </w:p>
        </w:tc>
      </w:tr>
      <w:tr w:rsidR="00964B88" w14:paraId="025D680B"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12" w:space="0" w:color="auto"/>
            </w:tcBorders>
          </w:tcPr>
          <w:p w14:paraId="3CE7DFD2" w14:textId="77777777" w:rsidR="00964B88" w:rsidRDefault="00964B88">
            <w:r>
              <w:rPr>
                <w:b/>
              </w:rPr>
              <w:t>Net result from transactions –net operating balance</w:t>
            </w:r>
            <w:r>
              <w:rPr>
                <w:b/>
                <w:vertAlign w:val="superscript"/>
              </w:rPr>
              <w:t xml:space="preserve"> (a)</w:t>
            </w:r>
          </w:p>
        </w:tc>
        <w:tc>
          <w:tcPr>
            <w:tcW w:w="754" w:type="dxa"/>
            <w:gridSpan w:val="3"/>
            <w:tcBorders>
              <w:top w:val="single" w:sz="6" w:space="0" w:color="auto"/>
              <w:bottom w:val="single" w:sz="12" w:space="0" w:color="auto"/>
            </w:tcBorders>
          </w:tcPr>
          <w:p w14:paraId="2682456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(3 054)</w:t>
            </w:r>
          </w:p>
        </w:tc>
        <w:tc>
          <w:tcPr>
            <w:tcW w:w="754" w:type="dxa"/>
            <w:tcBorders>
              <w:top w:val="single" w:sz="6" w:space="0" w:color="auto"/>
              <w:bottom w:val="single" w:sz="12" w:space="0" w:color="auto"/>
            </w:tcBorders>
          </w:tcPr>
          <w:p w14:paraId="6EACFFD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(3 781)</w:t>
            </w:r>
          </w:p>
        </w:tc>
        <w:tc>
          <w:tcPr>
            <w:tcW w:w="754" w:type="dxa"/>
            <w:tcBorders>
              <w:top w:val="single" w:sz="6" w:space="0" w:color="auto"/>
              <w:bottom w:val="single" w:sz="12" w:space="0" w:color="auto"/>
            </w:tcBorders>
          </w:tcPr>
          <w:p w14:paraId="7DDEE3B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(3 613)</w:t>
            </w:r>
          </w:p>
        </w:tc>
        <w:tc>
          <w:tcPr>
            <w:tcW w:w="754" w:type="dxa"/>
            <w:tcBorders>
              <w:top w:val="single" w:sz="6" w:space="0" w:color="auto"/>
              <w:bottom w:val="single" w:sz="12" w:space="0" w:color="auto"/>
            </w:tcBorders>
          </w:tcPr>
          <w:p w14:paraId="6AD3E2B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(3 690)</w:t>
            </w:r>
          </w:p>
        </w:tc>
        <w:tc>
          <w:tcPr>
            <w:tcW w:w="754" w:type="dxa"/>
            <w:tcBorders>
              <w:top w:val="single" w:sz="6" w:space="0" w:color="auto"/>
              <w:bottom w:val="single" w:sz="12" w:space="0" w:color="auto"/>
            </w:tcBorders>
          </w:tcPr>
          <w:p w14:paraId="5DAE4A1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(2 997)</w:t>
            </w:r>
          </w:p>
        </w:tc>
      </w:tr>
      <w:tr w:rsidR="00964B88" w14:paraId="394A74A1"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0" w:space="0" w:color="auto"/>
            </w:tcBorders>
          </w:tcPr>
          <w:p w14:paraId="546D21FF" w14:textId="77777777" w:rsidR="00964B88" w:rsidRDefault="00964B88">
            <w:r>
              <w:rPr>
                <w:b/>
              </w:rPr>
              <w:t>Other economic flows included in net result</w:t>
            </w:r>
          </w:p>
        </w:tc>
        <w:tc>
          <w:tcPr>
            <w:tcW w:w="754" w:type="dxa"/>
            <w:gridSpan w:val="3"/>
            <w:tcBorders>
              <w:top w:val="single" w:sz="0" w:space="0" w:color="auto"/>
            </w:tcBorders>
          </w:tcPr>
          <w:p w14:paraId="79BE0FB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0B6E261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1BB914C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265E115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01CD3A8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2FD87CF" w14:textId="77777777" w:rsidTr="0007698C">
        <w:tc>
          <w:tcPr>
            <w:cnfStyle w:val="001000000000" w:firstRow="0" w:lastRow="0" w:firstColumn="1" w:lastColumn="0" w:oddVBand="0" w:evenVBand="0" w:oddHBand="0" w:evenHBand="0" w:firstRowFirstColumn="0" w:firstRowLastColumn="0" w:lastRowFirstColumn="0" w:lastRowLastColumn="0"/>
            <w:tcW w:w="4140" w:type="dxa"/>
            <w:gridSpan w:val="2"/>
          </w:tcPr>
          <w:p w14:paraId="78691170" w14:textId="77777777" w:rsidR="00964B88" w:rsidRDefault="00964B88">
            <w:r>
              <w:t>Net gain/(loss) on financial assets or liabilities at fair value</w:t>
            </w:r>
          </w:p>
        </w:tc>
        <w:tc>
          <w:tcPr>
            <w:tcW w:w="612" w:type="dxa"/>
            <w:gridSpan w:val="2"/>
          </w:tcPr>
          <w:p w14:paraId="71CEFB6F" w14:textId="77777777" w:rsidR="00964B88" w:rsidRDefault="00964B88">
            <w:pPr>
              <w:cnfStyle w:val="000000000000" w:firstRow="0" w:lastRow="0" w:firstColumn="0" w:lastColumn="0" w:oddVBand="0" w:evenVBand="0" w:oddHBand="0" w:evenHBand="0" w:firstRowFirstColumn="0" w:firstRowLastColumn="0" w:lastRowFirstColumn="0" w:lastRowLastColumn="0"/>
            </w:pPr>
            <w:r>
              <w:t>540</w:t>
            </w:r>
          </w:p>
        </w:tc>
        <w:tc>
          <w:tcPr>
            <w:tcW w:w="754" w:type="dxa"/>
          </w:tcPr>
          <w:p w14:paraId="2C90B402" w14:textId="77777777" w:rsidR="00964B88" w:rsidRDefault="00964B88">
            <w:pPr>
              <w:cnfStyle w:val="000000000000" w:firstRow="0" w:lastRow="0" w:firstColumn="0" w:lastColumn="0" w:oddVBand="0" w:evenVBand="0" w:oddHBand="0" w:evenHBand="0" w:firstRowFirstColumn="0" w:firstRowLastColumn="0" w:lastRowFirstColumn="0" w:lastRowLastColumn="0"/>
            </w:pPr>
            <w:r>
              <w:t>68</w:t>
            </w:r>
          </w:p>
        </w:tc>
        <w:tc>
          <w:tcPr>
            <w:tcW w:w="754" w:type="dxa"/>
          </w:tcPr>
          <w:p w14:paraId="46566CBE" w14:textId="77777777" w:rsidR="00964B88" w:rsidRDefault="00964B88">
            <w:pPr>
              <w:cnfStyle w:val="000000000000" w:firstRow="0" w:lastRow="0" w:firstColumn="0" w:lastColumn="0" w:oddVBand="0" w:evenVBand="0" w:oddHBand="0" w:evenHBand="0" w:firstRowFirstColumn="0" w:firstRowLastColumn="0" w:lastRowFirstColumn="0" w:lastRowLastColumn="0"/>
            </w:pPr>
            <w:r>
              <w:t>531</w:t>
            </w:r>
          </w:p>
        </w:tc>
        <w:tc>
          <w:tcPr>
            <w:tcW w:w="754" w:type="dxa"/>
          </w:tcPr>
          <w:p w14:paraId="7C96A1D1" w14:textId="77777777" w:rsidR="00964B88" w:rsidRDefault="00964B88">
            <w:pPr>
              <w:cnfStyle w:val="000000000000" w:firstRow="0" w:lastRow="0" w:firstColumn="0" w:lastColumn="0" w:oddVBand="0" w:evenVBand="0" w:oddHBand="0" w:evenHBand="0" w:firstRowFirstColumn="0" w:firstRowLastColumn="0" w:lastRowFirstColumn="0" w:lastRowLastColumn="0"/>
            </w:pPr>
            <w:r>
              <w:t>631</w:t>
            </w:r>
          </w:p>
        </w:tc>
        <w:tc>
          <w:tcPr>
            <w:tcW w:w="754" w:type="dxa"/>
          </w:tcPr>
          <w:p w14:paraId="39CAC53D" w14:textId="77777777" w:rsidR="00964B88" w:rsidRDefault="00964B88">
            <w:pPr>
              <w:cnfStyle w:val="000000000000" w:firstRow="0" w:lastRow="0" w:firstColumn="0" w:lastColumn="0" w:oddVBand="0" w:evenVBand="0" w:oddHBand="0" w:evenHBand="0" w:firstRowFirstColumn="0" w:firstRowLastColumn="0" w:lastRowFirstColumn="0" w:lastRowLastColumn="0"/>
            </w:pPr>
            <w:r>
              <w:t>653</w:t>
            </w:r>
          </w:p>
        </w:tc>
      </w:tr>
      <w:tr w:rsidR="00964B88" w14:paraId="21FD0FCA"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434FD116" w14:textId="77777777" w:rsidR="00964B88" w:rsidRDefault="00964B88">
            <w:r>
              <w:t>Other gains/(losses) from other economic flows</w:t>
            </w:r>
          </w:p>
        </w:tc>
        <w:tc>
          <w:tcPr>
            <w:tcW w:w="754" w:type="dxa"/>
            <w:gridSpan w:val="3"/>
            <w:tcBorders>
              <w:bottom w:val="single" w:sz="6" w:space="0" w:color="auto"/>
            </w:tcBorders>
          </w:tcPr>
          <w:p w14:paraId="68151E5E" w14:textId="77777777" w:rsidR="00964B88" w:rsidRDefault="00964B88">
            <w:pPr>
              <w:cnfStyle w:val="000000000000" w:firstRow="0" w:lastRow="0" w:firstColumn="0" w:lastColumn="0" w:oddVBand="0" w:evenVBand="0" w:oddHBand="0" w:evenHBand="0" w:firstRowFirstColumn="0" w:firstRowLastColumn="0" w:lastRowFirstColumn="0" w:lastRowLastColumn="0"/>
            </w:pPr>
            <w:r>
              <w:t>1 085</w:t>
            </w:r>
          </w:p>
        </w:tc>
        <w:tc>
          <w:tcPr>
            <w:tcW w:w="754" w:type="dxa"/>
            <w:tcBorders>
              <w:bottom w:val="single" w:sz="6" w:space="0" w:color="auto"/>
            </w:tcBorders>
          </w:tcPr>
          <w:p w14:paraId="0D3AF323" w14:textId="77777777" w:rsidR="00964B88" w:rsidRDefault="00964B88">
            <w:pPr>
              <w:cnfStyle w:val="000000000000" w:firstRow="0" w:lastRow="0" w:firstColumn="0" w:lastColumn="0" w:oddVBand="0" w:evenVBand="0" w:oddHBand="0" w:evenHBand="0" w:firstRowFirstColumn="0" w:firstRowLastColumn="0" w:lastRowFirstColumn="0" w:lastRowLastColumn="0"/>
            </w:pPr>
            <w:r>
              <w:t>227</w:t>
            </w:r>
          </w:p>
        </w:tc>
        <w:tc>
          <w:tcPr>
            <w:tcW w:w="754" w:type="dxa"/>
            <w:tcBorders>
              <w:bottom w:val="single" w:sz="6" w:space="0" w:color="auto"/>
            </w:tcBorders>
          </w:tcPr>
          <w:p w14:paraId="298E4A47" w14:textId="77777777" w:rsidR="00964B88" w:rsidRDefault="00964B88">
            <w:pPr>
              <w:cnfStyle w:val="000000000000" w:firstRow="0" w:lastRow="0" w:firstColumn="0" w:lastColumn="0" w:oddVBand="0" w:evenVBand="0" w:oddHBand="0" w:evenHBand="0" w:firstRowFirstColumn="0" w:firstRowLastColumn="0" w:lastRowFirstColumn="0" w:lastRowLastColumn="0"/>
            </w:pPr>
            <w:r>
              <w:t>1 313</w:t>
            </w:r>
          </w:p>
        </w:tc>
        <w:tc>
          <w:tcPr>
            <w:tcW w:w="754" w:type="dxa"/>
            <w:tcBorders>
              <w:bottom w:val="single" w:sz="6" w:space="0" w:color="auto"/>
            </w:tcBorders>
          </w:tcPr>
          <w:p w14:paraId="52C440FC" w14:textId="77777777" w:rsidR="00964B88" w:rsidRDefault="00964B88">
            <w:pPr>
              <w:cnfStyle w:val="000000000000" w:firstRow="0" w:lastRow="0" w:firstColumn="0" w:lastColumn="0" w:oddVBand="0" w:evenVBand="0" w:oddHBand="0" w:evenHBand="0" w:firstRowFirstColumn="0" w:firstRowLastColumn="0" w:lastRowFirstColumn="0" w:lastRowLastColumn="0"/>
            </w:pPr>
            <w:r>
              <w:t>1 319</w:t>
            </w:r>
          </w:p>
        </w:tc>
        <w:tc>
          <w:tcPr>
            <w:tcW w:w="754" w:type="dxa"/>
            <w:tcBorders>
              <w:bottom w:val="single" w:sz="6" w:space="0" w:color="auto"/>
            </w:tcBorders>
          </w:tcPr>
          <w:p w14:paraId="4DFDF06B" w14:textId="77777777" w:rsidR="00964B88" w:rsidRDefault="00964B88">
            <w:pPr>
              <w:cnfStyle w:val="000000000000" w:firstRow="0" w:lastRow="0" w:firstColumn="0" w:lastColumn="0" w:oddVBand="0" w:evenVBand="0" w:oddHBand="0" w:evenHBand="0" w:firstRowFirstColumn="0" w:firstRowLastColumn="0" w:lastRowFirstColumn="0" w:lastRowLastColumn="0"/>
            </w:pPr>
            <w:r>
              <w:t>1 281</w:t>
            </w:r>
          </w:p>
        </w:tc>
      </w:tr>
      <w:tr w:rsidR="00964B88" w14:paraId="4E186834"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045386D6" w14:textId="77777777" w:rsidR="00964B88" w:rsidRDefault="00964B88">
            <w:r>
              <w:rPr>
                <w:b/>
              </w:rPr>
              <w:t>Total other economic flows included in net result</w:t>
            </w:r>
          </w:p>
        </w:tc>
        <w:tc>
          <w:tcPr>
            <w:tcW w:w="754" w:type="dxa"/>
            <w:gridSpan w:val="3"/>
            <w:tcBorders>
              <w:top w:val="single" w:sz="6" w:space="0" w:color="auto"/>
              <w:bottom w:val="single" w:sz="6" w:space="0" w:color="auto"/>
            </w:tcBorders>
          </w:tcPr>
          <w:p w14:paraId="13687A0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1 625</w:t>
            </w:r>
          </w:p>
        </w:tc>
        <w:tc>
          <w:tcPr>
            <w:tcW w:w="754" w:type="dxa"/>
            <w:tcBorders>
              <w:top w:val="single" w:sz="6" w:space="0" w:color="auto"/>
              <w:bottom w:val="single" w:sz="6" w:space="0" w:color="auto"/>
            </w:tcBorders>
          </w:tcPr>
          <w:p w14:paraId="2A1E914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294</w:t>
            </w:r>
          </w:p>
        </w:tc>
        <w:tc>
          <w:tcPr>
            <w:tcW w:w="754" w:type="dxa"/>
            <w:tcBorders>
              <w:top w:val="single" w:sz="6" w:space="0" w:color="auto"/>
              <w:bottom w:val="single" w:sz="6" w:space="0" w:color="auto"/>
            </w:tcBorders>
          </w:tcPr>
          <w:p w14:paraId="71B6FFE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1 844</w:t>
            </w:r>
          </w:p>
        </w:tc>
        <w:tc>
          <w:tcPr>
            <w:tcW w:w="754" w:type="dxa"/>
            <w:tcBorders>
              <w:top w:val="single" w:sz="6" w:space="0" w:color="auto"/>
              <w:bottom w:val="single" w:sz="6" w:space="0" w:color="auto"/>
            </w:tcBorders>
          </w:tcPr>
          <w:p w14:paraId="1483BE2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1 950</w:t>
            </w:r>
          </w:p>
        </w:tc>
        <w:tc>
          <w:tcPr>
            <w:tcW w:w="754" w:type="dxa"/>
            <w:tcBorders>
              <w:top w:val="single" w:sz="6" w:space="0" w:color="auto"/>
              <w:bottom w:val="single" w:sz="6" w:space="0" w:color="auto"/>
            </w:tcBorders>
          </w:tcPr>
          <w:p w14:paraId="1D22761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1 934</w:t>
            </w:r>
          </w:p>
        </w:tc>
      </w:tr>
      <w:tr w:rsidR="00964B88" w14:paraId="06CA8FCD"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12" w:space="0" w:color="auto"/>
            </w:tcBorders>
          </w:tcPr>
          <w:p w14:paraId="196280AA" w14:textId="77777777" w:rsidR="00964B88" w:rsidRDefault="00964B88">
            <w:r>
              <w:rPr>
                <w:b/>
              </w:rPr>
              <w:t>Net result</w:t>
            </w:r>
          </w:p>
        </w:tc>
        <w:tc>
          <w:tcPr>
            <w:tcW w:w="754" w:type="dxa"/>
            <w:gridSpan w:val="3"/>
            <w:tcBorders>
              <w:top w:val="single" w:sz="6" w:space="0" w:color="auto"/>
              <w:bottom w:val="single" w:sz="12" w:space="0" w:color="auto"/>
            </w:tcBorders>
          </w:tcPr>
          <w:p w14:paraId="72EEB13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(1 429)</w:t>
            </w:r>
          </w:p>
        </w:tc>
        <w:tc>
          <w:tcPr>
            <w:tcW w:w="754" w:type="dxa"/>
            <w:tcBorders>
              <w:top w:val="single" w:sz="6" w:space="0" w:color="auto"/>
              <w:bottom w:val="single" w:sz="12" w:space="0" w:color="auto"/>
            </w:tcBorders>
          </w:tcPr>
          <w:p w14:paraId="4A11019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(3 486)</w:t>
            </w:r>
          </w:p>
        </w:tc>
        <w:tc>
          <w:tcPr>
            <w:tcW w:w="754" w:type="dxa"/>
            <w:tcBorders>
              <w:top w:val="single" w:sz="6" w:space="0" w:color="auto"/>
              <w:bottom w:val="single" w:sz="12" w:space="0" w:color="auto"/>
            </w:tcBorders>
          </w:tcPr>
          <w:p w14:paraId="0977C94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(1 770)</w:t>
            </w:r>
          </w:p>
        </w:tc>
        <w:tc>
          <w:tcPr>
            <w:tcW w:w="754" w:type="dxa"/>
            <w:tcBorders>
              <w:top w:val="single" w:sz="6" w:space="0" w:color="auto"/>
              <w:bottom w:val="single" w:sz="12" w:space="0" w:color="auto"/>
            </w:tcBorders>
          </w:tcPr>
          <w:p w14:paraId="5370F86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(1 740)</w:t>
            </w:r>
          </w:p>
        </w:tc>
        <w:tc>
          <w:tcPr>
            <w:tcW w:w="754" w:type="dxa"/>
            <w:tcBorders>
              <w:top w:val="single" w:sz="6" w:space="0" w:color="auto"/>
              <w:bottom w:val="single" w:sz="12" w:space="0" w:color="auto"/>
            </w:tcBorders>
          </w:tcPr>
          <w:p w14:paraId="2FF5E12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(1 063)</w:t>
            </w:r>
          </w:p>
        </w:tc>
      </w:tr>
      <w:tr w:rsidR="00964B88" w14:paraId="0EC4F4DA"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0" w:space="0" w:color="auto"/>
            </w:tcBorders>
          </w:tcPr>
          <w:p w14:paraId="23FB52AA" w14:textId="77777777" w:rsidR="00964B88" w:rsidRDefault="00964B88">
            <w:r>
              <w:rPr>
                <w:b/>
              </w:rPr>
              <w:t>Other economic flows – other comprehensive income</w:t>
            </w:r>
          </w:p>
        </w:tc>
        <w:tc>
          <w:tcPr>
            <w:tcW w:w="754" w:type="dxa"/>
            <w:gridSpan w:val="3"/>
            <w:tcBorders>
              <w:top w:val="single" w:sz="0" w:space="0" w:color="auto"/>
            </w:tcBorders>
          </w:tcPr>
          <w:p w14:paraId="7B9EF72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1C7CAA9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75A98D2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04997F7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0FBADD3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0C86E51"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34F20452" w14:textId="77777777" w:rsidR="00964B88" w:rsidRDefault="00964B88">
            <w:r>
              <w:rPr>
                <w:b/>
              </w:rPr>
              <w:t>Items that will not be reclassified to net result</w:t>
            </w:r>
          </w:p>
        </w:tc>
        <w:tc>
          <w:tcPr>
            <w:tcW w:w="754" w:type="dxa"/>
            <w:gridSpan w:val="3"/>
          </w:tcPr>
          <w:p w14:paraId="439C8F5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6832BB8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7D508D6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164E333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51107E4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4117CACF"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243CBFB7" w14:textId="77777777" w:rsidR="00964B88" w:rsidRDefault="00964B88">
            <w:r>
              <w:t>Other movements in equity</w:t>
            </w:r>
          </w:p>
        </w:tc>
        <w:tc>
          <w:tcPr>
            <w:tcW w:w="754" w:type="dxa"/>
            <w:gridSpan w:val="3"/>
          </w:tcPr>
          <w:p w14:paraId="4993A25A" w14:textId="77777777" w:rsidR="00964B88" w:rsidRDefault="00964B88">
            <w:pPr>
              <w:cnfStyle w:val="000000000000" w:firstRow="0" w:lastRow="0" w:firstColumn="0" w:lastColumn="0" w:oddVBand="0" w:evenVBand="0" w:oddHBand="0" w:evenHBand="0" w:firstRowFirstColumn="0" w:firstRowLastColumn="0" w:lastRowFirstColumn="0" w:lastRowLastColumn="0"/>
            </w:pPr>
            <w:r>
              <w:t>5</w:t>
            </w:r>
          </w:p>
        </w:tc>
        <w:tc>
          <w:tcPr>
            <w:tcW w:w="754" w:type="dxa"/>
          </w:tcPr>
          <w:p w14:paraId="3FC837FD" w14:textId="77777777" w:rsidR="00964B88" w:rsidRDefault="00964B88">
            <w:pPr>
              <w:cnfStyle w:val="000000000000" w:firstRow="0" w:lastRow="0" w:firstColumn="0" w:lastColumn="0" w:oddVBand="0" w:evenVBand="0" w:oddHBand="0" w:evenHBand="0" w:firstRowFirstColumn="0" w:firstRowLastColumn="0" w:lastRowFirstColumn="0" w:lastRowLastColumn="0"/>
            </w:pPr>
            <w:r>
              <w:t>10</w:t>
            </w:r>
          </w:p>
        </w:tc>
        <w:tc>
          <w:tcPr>
            <w:tcW w:w="754" w:type="dxa"/>
          </w:tcPr>
          <w:p w14:paraId="7F18CC9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54" w:type="dxa"/>
          </w:tcPr>
          <w:p w14:paraId="756E657E"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54" w:type="dxa"/>
          </w:tcPr>
          <w:p w14:paraId="27389779"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3461AC72" w14:textId="77777777" w:rsidTr="0007698C">
        <w:tc>
          <w:tcPr>
            <w:cnfStyle w:val="001000000000" w:firstRow="0" w:lastRow="0" w:firstColumn="1" w:lastColumn="0" w:oddVBand="0" w:evenVBand="0" w:oddHBand="0" w:evenHBand="0" w:firstRowFirstColumn="0" w:firstRowLastColumn="0" w:lastRowFirstColumn="0" w:lastRowLastColumn="0"/>
            <w:tcW w:w="4285" w:type="dxa"/>
            <w:gridSpan w:val="3"/>
            <w:tcBorders>
              <w:top w:val="single" w:sz="6" w:space="0" w:color="auto"/>
              <w:bottom w:val="single" w:sz="6" w:space="0" w:color="auto"/>
            </w:tcBorders>
          </w:tcPr>
          <w:p w14:paraId="48CC3679" w14:textId="77777777" w:rsidR="00964B88" w:rsidRDefault="00964B88">
            <w:r>
              <w:rPr>
                <w:b/>
              </w:rPr>
              <w:t>Total other economic flows –</w:t>
            </w:r>
            <w:r w:rsidR="0007698C">
              <w:rPr>
                <w:b/>
              </w:rPr>
              <w:t xml:space="preserve"> </w:t>
            </w:r>
            <w:r>
              <w:rPr>
                <w:b/>
              </w:rPr>
              <w:t>other comprehensive income</w:t>
            </w:r>
          </w:p>
        </w:tc>
        <w:tc>
          <w:tcPr>
            <w:tcW w:w="467" w:type="dxa"/>
            <w:tcBorders>
              <w:top w:val="single" w:sz="6" w:space="0" w:color="auto"/>
              <w:bottom w:val="single" w:sz="6" w:space="0" w:color="auto"/>
            </w:tcBorders>
          </w:tcPr>
          <w:p w14:paraId="5D52A08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w:t>
            </w:r>
          </w:p>
        </w:tc>
        <w:tc>
          <w:tcPr>
            <w:tcW w:w="754" w:type="dxa"/>
            <w:tcBorders>
              <w:top w:val="single" w:sz="6" w:space="0" w:color="auto"/>
              <w:bottom w:val="single" w:sz="6" w:space="0" w:color="auto"/>
            </w:tcBorders>
          </w:tcPr>
          <w:p w14:paraId="45E5AD2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w:t>
            </w:r>
          </w:p>
        </w:tc>
        <w:tc>
          <w:tcPr>
            <w:tcW w:w="754" w:type="dxa"/>
            <w:tcBorders>
              <w:top w:val="single" w:sz="6" w:space="0" w:color="auto"/>
              <w:bottom w:val="single" w:sz="6" w:space="0" w:color="auto"/>
            </w:tcBorders>
          </w:tcPr>
          <w:p w14:paraId="1730243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w:t>
            </w:r>
          </w:p>
        </w:tc>
        <w:tc>
          <w:tcPr>
            <w:tcW w:w="754" w:type="dxa"/>
            <w:tcBorders>
              <w:top w:val="single" w:sz="6" w:space="0" w:color="auto"/>
              <w:bottom w:val="single" w:sz="6" w:space="0" w:color="auto"/>
            </w:tcBorders>
          </w:tcPr>
          <w:p w14:paraId="2CE9CED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w:t>
            </w:r>
          </w:p>
        </w:tc>
        <w:tc>
          <w:tcPr>
            <w:tcW w:w="754" w:type="dxa"/>
            <w:tcBorders>
              <w:top w:val="single" w:sz="6" w:space="0" w:color="auto"/>
              <w:bottom w:val="single" w:sz="6" w:space="0" w:color="auto"/>
            </w:tcBorders>
          </w:tcPr>
          <w:p w14:paraId="20B0A97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w:t>
            </w:r>
          </w:p>
        </w:tc>
      </w:tr>
      <w:tr w:rsidR="00964B88" w14:paraId="56CA8082"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12" w:space="0" w:color="auto"/>
            </w:tcBorders>
          </w:tcPr>
          <w:p w14:paraId="22215B12" w14:textId="77777777" w:rsidR="00964B88" w:rsidRDefault="00964B88">
            <w:r>
              <w:rPr>
                <w:b/>
              </w:rPr>
              <w:t>Comprehensive result – total change in net worth</w:t>
            </w:r>
          </w:p>
        </w:tc>
        <w:tc>
          <w:tcPr>
            <w:tcW w:w="754" w:type="dxa"/>
            <w:gridSpan w:val="3"/>
            <w:tcBorders>
              <w:top w:val="single" w:sz="6" w:space="0" w:color="auto"/>
              <w:bottom w:val="single" w:sz="12" w:space="0" w:color="auto"/>
            </w:tcBorders>
          </w:tcPr>
          <w:p w14:paraId="74AF8A3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(1 424)</w:t>
            </w:r>
          </w:p>
        </w:tc>
        <w:tc>
          <w:tcPr>
            <w:tcW w:w="754" w:type="dxa"/>
            <w:tcBorders>
              <w:top w:val="single" w:sz="6" w:space="0" w:color="auto"/>
              <w:bottom w:val="single" w:sz="12" w:space="0" w:color="auto"/>
            </w:tcBorders>
          </w:tcPr>
          <w:p w14:paraId="0D56678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(3 477)</w:t>
            </w:r>
          </w:p>
        </w:tc>
        <w:tc>
          <w:tcPr>
            <w:tcW w:w="754" w:type="dxa"/>
            <w:tcBorders>
              <w:top w:val="single" w:sz="6" w:space="0" w:color="auto"/>
              <w:bottom w:val="single" w:sz="12" w:space="0" w:color="auto"/>
            </w:tcBorders>
          </w:tcPr>
          <w:p w14:paraId="46CE702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(1 770)</w:t>
            </w:r>
          </w:p>
        </w:tc>
        <w:tc>
          <w:tcPr>
            <w:tcW w:w="754" w:type="dxa"/>
            <w:tcBorders>
              <w:top w:val="single" w:sz="6" w:space="0" w:color="auto"/>
              <w:bottom w:val="single" w:sz="12" w:space="0" w:color="auto"/>
            </w:tcBorders>
          </w:tcPr>
          <w:p w14:paraId="78B12DE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(1 740)</w:t>
            </w:r>
          </w:p>
        </w:tc>
        <w:tc>
          <w:tcPr>
            <w:tcW w:w="754" w:type="dxa"/>
            <w:tcBorders>
              <w:top w:val="single" w:sz="6" w:space="0" w:color="auto"/>
              <w:bottom w:val="single" w:sz="12" w:space="0" w:color="auto"/>
            </w:tcBorders>
          </w:tcPr>
          <w:p w14:paraId="403BF24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(1 063)</w:t>
            </w:r>
          </w:p>
        </w:tc>
      </w:tr>
      <w:tr w:rsidR="00964B88" w14:paraId="782337EC" w14:textId="77777777" w:rsidTr="0007698C">
        <w:trPr>
          <w:trHeight w:hRule="exact" w:val="113"/>
        </w:trPr>
        <w:tc>
          <w:tcPr>
            <w:cnfStyle w:val="001000000000" w:firstRow="0" w:lastRow="0" w:firstColumn="1" w:lastColumn="0" w:oddVBand="0" w:evenVBand="0" w:oddHBand="0" w:evenHBand="0" w:firstRowFirstColumn="0" w:firstRowLastColumn="0" w:lastRowFirstColumn="0" w:lastRowLastColumn="0"/>
            <w:tcW w:w="3998" w:type="dxa"/>
            <w:tcBorders>
              <w:top w:val="single" w:sz="0" w:space="0" w:color="auto"/>
            </w:tcBorders>
          </w:tcPr>
          <w:p w14:paraId="31B0D897" w14:textId="77777777" w:rsidR="00964B88" w:rsidRDefault="00964B88"/>
        </w:tc>
        <w:tc>
          <w:tcPr>
            <w:tcW w:w="754" w:type="dxa"/>
            <w:gridSpan w:val="3"/>
            <w:tcBorders>
              <w:top w:val="single" w:sz="0" w:space="0" w:color="auto"/>
            </w:tcBorders>
          </w:tcPr>
          <w:p w14:paraId="6871D8C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7295D51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791C667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5193A2F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27E0DA4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5364613F"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A256047" w14:textId="77777777" w:rsidR="00964B88" w:rsidRDefault="00964B88">
            <w:r>
              <w:rPr>
                <w:b/>
              </w:rPr>
              <w:t>KEY FISCAL AGGREGATES</w:t>
            </w:r>
          </w:p>
        </w:tc>
        <w:tc>
          <w:tcPr>
            <w:tcW w:w="754" w:type="dxa"/>
            <w:gridSpan w:val="3"/>
          </w:tcPr>
          <w:p w14:paraId="06EB744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11D7FA8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25B375E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70BFA6E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54" w:type="dxa"/>
          </w:tcPr>
          <w:p w14:paraId="03724F9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062962E"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4CF37E5C" w14:textId="77777777" w:rsidR="00964B88" w:rsidRDefault="00964B88">
            <w:r>
              <w:rPr>
                <w:b/>
              </w:rPr>
              <w:t>Net operating balance</w:t>
            </w:r>
          </w:p>
        </w:tc>
        <w:tc>
          <w:tcPr>
            <w:tcW w:w="754" w:type="dxa"/>
            <w:gridSpan w:val="3"/>
          </w:tcPr>
          <w:p w14:paraId="34436C6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(3 054)</w:t>
            </w:r>
          </w:p>
        </w:tc>
        <w:tc>
          <w:tcPr>
            <w:tcW w:w="754" w:type="dxa"/>
          </w:tcPr>
          <w:p w14:paraId="19A2BB9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(3 781)</w:t>
            </w:r>
          </w:p>
        </w:tc>
        <w:tc>
          <w:tcPr>
            <w:tcW w:w="754" w:type="dxa"/>
          </w:tcPr>
          <w:p w14:paraId="130308E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(3 613)</w:t>
            </w:r>
          </w:p>
        </w:tc>
        <w:tc>
          <w:tcPr>
            <w:tcW w:w="754" w:type="dxa"/>
          </w:tcPr>
          <w:p w14:paraId="7678CA6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(3 690)</w:t>
            </w:r>
          </w:p>
        </w:tc>
        <w:tc>
          <w:tcPr>
            <w:tcW w:w="754" w:type="dxa"/>
          </w:tcPr>
          <w:p w14:paraId="12FA88E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(2 997)</w:t>
            </w:r>
          </w:p>
        </w:tc>
      </w:tr>
      <w:tr w:rsidR="00964B88" w14:paraId="59F813D5"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51282625" w14:textId="77777777" w:rsidR="00964B88" w:rsidRDefault="00964B88">
            <w:r>
              <w:t>Less: Net acquisition of non</w:t>
            </w:r>
            <w:r>
              <w:noBreakHyphen/>
              <w:t>financial assets from transactions</w:t>
            </w:r>
          </w:p>
        </w:tc>
        <w:tc>
          <w:tcPr>
            <w:tcW w:w="754" w:type="dxa"/>
            <w:gridSpan w:val="3"/>
            <w:tcBorders>
              <w:bottom w:val="single" w:sz="6" w:space="0" w:color="auto"/>
            </w:tcBorders>
          </w:tcPr>
          <w:p w14:paraId="0C4C4591" w14:textId="77777777" w:rsidR="00964B88" w:rsidRDefault="00964B88">
            <w:pPr>
              <w:cnfStyle w:val="000000000000" w:firstRow="0" w:lastRow="0" w:firstColumn="0" w:lastColumn="0" w:oddVBand="0" w:evenVBand="0" w:oddHBand="0" w:evenHBand="0" w:firstRowFirstColumn="0" w:firstRowLastColumn="0" w:lastRowFirstColumn="0" w:lastRowLastColumn="0"/>
            </w:pPr>
            <w:r>
              <w:t>82</w:t>
            </w:r>
          </w:p>
        </w:tc>
        <w:tc>
          <w:tcPr>
            <w:tcW w:w="754" w:type="dxa"/>
            <w:tcBorders>
              <w:bottom w:val="single" w:sz="6" w:space="0" w:color="auto"/>
            </w:tcBorders>
          </w:tcPr>
          <w:p w14:paraId="65158345" w14:textId="77777777" w:rsidR="00964B88" w:rsidRDefault="00964B88">
            <w:pPr>
              <w:cnfStyle w:val="000000000000" w:firstRow="0" w:lastRow="0" w:firstColumn="0" w:lastColumn="0" w:oddVBand="0" w:evenVBand="0" w:oddHBand="0" w:evenHBand="0" w:firstRowFirstColumn="0" w:firstRowLastColumn="0" w:lastRowFirstColumn="0" w:lastRowLastColumn="0"/>
            </w:pPr>
            <w:r>
              <w:t>138</w:t>
            </w:r>
          </w:p>
        </w:tc>
        <w:tc>
          <w:tcPr>
            <w:tcW w:w="754" w:type="dxa"/>
            <w:tcBorders>
              <w:bottom w:val="single" w:sz="6" w:space="0" w:color="auto"/>
            </w:tcBorders>
          </w:tcPr>
          <w:p w14:paraId="0559E5BB" w14:textId="77777777" w:rsidR="00964B88" w:rsidRDefault="00964B88">
            <w:pPr>
              <w:cnfStyle w:val="000000000000" w:firstRow="0" w:lastRow="0" w:firstColumn="0" w:lastColumn="0" w:oddVBand="0" w:evenVBand="0" w:oddHBand="0" w:evenHBand="0" w:firstRowFirstColumn="0" w:firstRowLastColumn="0" w:lastRowFirstColumn="0" w:lastRowLastColumn="0"/>
            </w:pPr>
            <w:r>
              <w:t>104</w:t>
            </w:r>
          </w:p>
        </w:tc>
        <w:tc>
          <w:tcPr>
            <w:tcW w:w="754" w:type="dxa"/>
            <w:tcBorders>
              <w:bottom w:val="single" w:sz="6" w:space="0" w:color="auto"/>
            </w:tcBorders>
          </w:tcPr>
          <w:p w14:paraId="64CEED7B" w14:textId="77777777" w:rsidR="00964B88" w:rsidRDefault="00964B88">
            <w:pPr>
              <w:cnfStyle w:val="000000000000" w:firstRow="0" w:lastRow="0" w:firstColumn="0" w:lastColumn="0" w:oddVBand="0" w:evenVBand="0" w:oddHBand="0" w:evenHBand="0" w:firstRowFirstColumn="0" w:firstRowLastColumn="0" w:lastRowFirstColumn="0" w:lastRowLastColumn="0"/>
            </w:pPr>
            <w:r>
              <w:t>15</w:t>
            </w:r>
          </w:p>
        </w:tc>
        <w:tc>
          <w:tcPr>
            <w:tcW w:w="754" w:type="dxa"/>
            <w:tcBorders>
              <w:bottom w:val="single" w:sz="6" w:space="0" w:color="auto"/>
            </w:tcBorders>
          </w:tcPr>
          <w:p w14:paraId="71796A83" w14:textId="77777777" w:rsidR="00964B88" w:rsidRDefault="00964B88">
            <w:pPr>
              <w:cnfStyle w:val="000000000000" w:firstRow="0" w:lastRow="0" w:firstColumn="0" w:lastColumn="0" w:oddVBand="0" w:evenVBand="0" w:oddHBand="0" w:evenHBand="0" w:firstRowFirstColumn="0" w:firstRowLastColumn="0" w:lastRowFirstColumn="0" w:lastRowLastColumn="0"/>
            </w:pPr>
            <w:r>
              <w:t>(9)</w:t>
            </w:r>
          </w:p>
        </w:tc>
      </w:tr>
      <w:tr w:rsidR="00964B88" w14:paraId="38F561BF" w14:textId="77777777" w:rsidTr="000769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8" w:type="dxa"/>
          </w:tcPr>
          <w:p w14:paraId="1D1DB01E" w14:textId="77777777" w:rsidR="00964B88" w:rsidRDefault="00964B88">
            <w:r>
              <w:t>Net lending/(borrowing)</w:t>
            </w:r>
          </w:p>
        </w:tc>
        <w:tc>
          <w:tcPr>
            <w:tcW w:w="754" w:type="dxa"/>
            <w:gridSpan w:val="3"/>
          </w:tcPr>
          <w:p w14:paraId="16FA2B4B" w14:textId="77777777" w:rsidR="00964B88" w:rsidRDefault="00964B88">
            <w:pPr>
              <w:cnfStyle w:val="010000000000" w:firstRow="0" w:lastRow="1" w:firstColumn="0" w:lastColumn="0" w:oddVBand="0" w:evenVBand="0" w:oddHBand="0" w:evenHBand="0" w:firstRowFirstColumn="0" w:firstRowLastColumn="0" w:lastRowFirstColumn="0" w:lastRowLastColumn="0"/>
            </w:pPr>
            <w:r>
              <w:t>(3 136)</w:t>
            </w:r>
          </w:p>
        </w:tc>
        <w:tc>
          <w:tcPr>
            <w:tcW w:w="754" w:type="dxa"/>
          </w:tcPr>
          <w:p w14:paraId="165B9F29" w14:textId="77777777" w:rsidR="00964B88" w:rsidRDefault="00964B88">
            <w:pPr>
              <w:cnfStyle w:val="010000000000" w:firstRow="0" w:lastRow="1" w:firstColumn="0" w:lastColumn="0" w:oddVBand="0" w:evenVBand="0" w:oddHBand="0" w:evenHBand="0" w:firstRowFirstColumn="0" w:firstRowLastColumn="0" w:lastRowFirstColumn="0" w:lastRowLastColumn="0"/>
            </w:pPr>
            <w:r>
              <w:t>(3 918)</w:t>
            </w:r>
          </w:p>
        </w:tc>
        <w:tc>
          <w:tcPr>
            <w:tcW w:w="754" w:type="dxa"/>
          </w:tcPr>
          <w:p w14:paraId="53F5A33D" w14:textId="77777777" w:rsidR="00964B88" w:rsidRDefault="00964B88">
            <w:pPr>
              <w:cnfStyle w:val="010000000000" w:firstRow="0" w:lastRow="1" w:firstColumn="0" w:lastColumn="0" w:oddVBand="0" w:evenVBand="0" w:oddHBand="0" w:evenHBand="0" w:firstRowFirstColumn="0" w:firstRowLastColumn="0" w:lastRowFirstColumn="0" w:lastRowLastColumn="0"/>
            </w:pPr>
            <w:r>
              <w:t>(3 717)</w:t>
            </w:r>
          </w:p>
        </w:tc>
        <w:tc>
          <w:tcPr>
            <w:tcW w:w="754" w:type="dxa"/>
          </w:tcPr>
          <w:p w14:paraId="11842F9C" w14:textId="77777777" w:rsidR="00964B88" w:rsidRDefault="00964B88">
            <w:pPr>
              <w:cnfStyle w:val="010000000000" w:firstRow="0" w:lastRow="1" w:firstColumn="0" w:lastColumn="0" w:oddVBand="0" w:evenVBand="0" w:oddHBand="0" w:evenHBand="0" w:firstRowFirstColumn="0" w:firstRowLastColumn="0" w:lastRowFirstColumn="0" w:lastRowLastColumn="0"/>
            </w:pPr>
            <w:r>
              <w:t>(3 705)</w:t>
            </w:r>
          </w:p>
        </w:tc>
        <w:tc>
          <w:tcPr>
            <w:tcW w:w="754" w:type="dxa"/>
          </w:tcPr>
          <w:p w14:paraId="17231BFC" w14:textId="77777777" w:rsidR="00964B88" w:rsidRDefault="00964B88">
            <w:pPr>
              <w:cnfStyle w:val="010000000000" w:firstRow="0" w:lastRow="1" w:firstColumn="0" w:lastColumn="0" w:oddVBand="0" w:evenVBand="0" w:oddHBand="0" w:evenHBand="0" w:firstRowFirstColumn="0" w:firstRowLastColumn="0" w:lastRowFirstColumn="0" w:lastRowLastColumn="0"/>
            </w:pPr>
            <w:r>
              <w:t>(2 988)</w:t>
            </w:r>
          </w:p>
        </w:tc>
      </w:tr>
    </w:tbl>
    <w:p w14:paraId="38B3B600" w14:textId="77777777" w:rsidR="00964B88" w:rsidRPr="004E629E" w:rsidRDefault="00964B88" w:rsidP="00F53820">
      <w:pPr>
        <w:pStyle w:val="Note"/>
      </w:pPr>
      <w:r>
        <w:t>Note</w:t>
      </w:r>
      <w:r w:rsidRPr="004E629E">
        <w:t>:</w:t>
      </w:r>
    </w:p>
    <w:p w14:paraId="615A0121" w14:textId="77777777" w:rsidR="00964B88" w:rsidRDefault="00964B88" w:rsidP="00F53820">
      <w:pPr>
        <w:pStyle w:val="Note"/>
      </w:pPr>
      <w:r w:rsidRPr="004E629E">
        <w:t>(a)</w:t>
      </w:r>
      <w:r w:rsidRPr="004E629E">
        <w:tab/>
        <w:t xml:space="preserve">Capital gains on the investment portfolios of the State’s insurance agencies (WorkSafe Victoria, Transport Accident Commission and Victorian Managed Insurance Authority) are classified as other economic flows. As these capital gains are available to fund claims expenses, the net result </w:t>
      </w:r>
      <w:r>
        <w:t xml:space="preserve">more meaningfully reflects </w:t>
      </w:r>
      <w:r w:rsidRPr="004E629E">
        <w:t>the underlying operating and performance of the public financial corporations sector than the net result from transactions.</w:t>
      </w:r>
    </w:p>
    <w:p w14:paraId="54EA34BD" w14:textId="77777777" w:rsidR="00964B88" w:rsidRPr="004A63BB" w:rsidRDefault="00964B88" w:rsidP="00F53820">
      <w:pPr>
        <w:pStyle w:val="Heading10"/>
        <w:rPr>
          <w:sz w:val="14"/>
        </w:rPr>
      </w:pPr>
      <w:r>
        <w:br w:type="page"/>
      </w:r>
    </w:p>
    <w:p w14:paraId="37F62A20" w14:textId="77777777" w:rsidR="00964B88" w:rsidRDefault="00964B88" w:rsidP="00F53820">
      <w:pPr>
        <w:pStyle w:val="TableHeading"/>
      </w:pPr>
      <w:r>
        <w:lastRenderedPageBreak/>
        <w:t>Table 5.12</w:t>
      </w:r>
      <w:r w:rsidR="009C1504">
        <w:t>:</w:t>
      </w:r>
      <w:r>
        <w:tab/>
        <w:t>Public financial corporations sector balance sheet as at 30 June</w:t>
      </w:r>
      <w:r>
        <w:tab/>
        <w:t>($ million)</w:t>
      </w:r>
    </w:p>
    <w:tbl>
      <w:tblPr>
        <w:tblStyle w:val="DTFTable"/>
        <w:tblW w:w="7768" w:type="dxa"/>
        <w:tblLayout w:type="fixed"/>
        <w:tblLook w:val="06A0" w:firstRow="1" w:lastRow="0" w:firstColumn="1" w:lastColumn="0" w:noHBand="1" w:noVBand="1"/>
      </w:tblPr>
      <w:tblGrid>
        <w:gridCol w:w="3715"/>
        <w:gridCol w:w="810"/>
        <w:gridCol w:w="811"/>
        <w:gridCol w:w="810"/>
        <w:gridCol w:w="811"/>
        <w:gridCol w:w="811"/>
      </w:tblGrid>
      <w:tr w:rsidR="00964B88" w14:paraId="6DCBC2D8"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15" w:type="dxa"/>
          </w:tcPr>
          <w:p w14:paraId="79BAE3F0" w14:textId="77777777" w:rsidR="00964B88" w:rsidRDefault="00964B88"/>
        </w:tc>
        <w:tc>
          <w:tcPr>
            <w:tcW w:w="810" w:type="dxa"/>
          </w:tcPr>
          <w:p w14:paraId="11C777FC"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r>
              <w:rPr>
                <w:vertAlign w:val="superscript"/>
              </w:rPr>
              <w:t xml:space="preserve"> (a)</w:t>
            </w:r>
          </w:p>
        </w:tc>
        <w:tc>
          <w:tcPr>
            <w:tcW w:w="811" w:type="dxa"/>
          </w:tcPr>
          <w:p w14:paraId="2C52B38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810" w:type="dxa"/>
          </w:tcPr>
          <w:p w14:paraId="7BBDDF4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811" w:type="dxa"/>
          </w:tcPr>
          <w:p w14:paraId="3E2B0766"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811" w:type="dxa"/>
          </w:tcPr>
          <w:p w14:paraId="13C7A9D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2DC32345" w14:textId="77777777">
        <w:tc>
          <w:tcPr>
            <w:cnfStyle w:val="001000000000" w:firstRow="0" w:lastRow="0" w:firstColumn="1" w:lastColumn="0" w:oddVBand="0" w:evenVBand="0" w:oddHBand="0" w:evenHBand="0" w:firstRowFirstColumn="0" w:firstRowLastColumn="0" w:lastRowFirstColumn="0" w:lastRowLastColumn="0"/>
            <w:tcW w:w="3715" w:type="dxa"/>
          </w:tcPr>
          <w:p w14:paraId="3CFED094" w14:textId="77777777" w:rsidR="00964B88" w:rsidRDefault="00964B88">
            <w:r>
              <w:rPr>
                <w:b/>
              </w:rPr>
              <w:t>Assets</w:t>
            </w:r>
          </w:p>
        </w:tc>
        <w:tc>
          <w:tcPr>
            <w:tcW w:w="810" w:type="dxa"/>
          </w:tcPr>
          <w:p w14:paraId="16949E3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5E85DB9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50466AF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3881DB7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68CD79B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9EC94D7" w14:textId="77777777">
        <w:tc>
          <w:tcPr>
            <w:cnfStyle w:val="001000000000" w:firstRow="0" w:lastRow="0" w:firstColumn="1" w:lastColumn="0" w:oddVBand="0" w:evenVBand="0" w:oddHBand="0" w:evenHBand="0" w:firstRowFirstColumn="0" w:firstRowLastColumn="0" w:lastRowFirstColumn="0" w:lastRowLastColumn="0"/>
            <w:tcW w:w="3715" w:type="dxa"/>
          </w:tcPr>
          <w:p w14:paraId="322CD3FA" w14:textId="77777777" w:rsidR="00964B88" w:rsidRDefault="00964B88">
            <w:r>
              <w:rPr>
                <w:b/>
              </w:rPr>
              <w:t>Financial assets</w:t>
            </w:r>
          </w:p>
        </w:tc>
        <w:tc>
          <w:tcPr>
            <w:tcW w:w="810" w:type="dxa"/>
          </w:tcPr>
          <w:p w14:paraId="7CCCE35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5B3AE31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7D27AD4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762F12D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06F1EBB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7AE5700C" w14:textId="77777777">
        <w:tc>
          <w:tcPr>
            <w:cnfStyle w:val="001000000000" w:firstRow="0" w:lastRow="0" w:firstColumn="1" w:lastColumn="0" w:oddVBand="0" w:evenVBand="0" w:oddHBand="0" w:evenHBand="0" w:firstRowFirstColumn="0" w:firstRowLastColumn="0" w:lastRowFirstColumn="0" w:lastRowLastColumn="0"/>
            <w:tcW w:w="3715" w:type="dxa"/>
          </w:tcPr>
          <w:p w14:paraId="5416A8E9" w14:textId="77777777" w:rsidR="00964B88" w:rsidRDefault="00964B88">
            <w:r>
              <w:t>Cash and deposits</w:t>
            </w:r>
          </w:p>
        </w:tc>
        <w:tc>
          <w:tcPr>
            <w:tcW w:w="810" w:type="dxa"/>
          </w:tcPr>
          <w:p w14:paraId="045AE451" w14:textId="77777777" w:rsidR="00964B88" w:rsidRDefault="00964B88">
            <w:pPr>
              <w:cnfStyle w:val="000000000000" w:firstRow="0" w:lastRow="0" w:firstColumn="0" w:lastColumn="0" w:oddVBand="0" w:evenVBand="0" w:oddHBand="0" w:evenHBand="0" w:firstRowFirstColumn="0" w:firstRowLastColumn="0" w:lastRowFirstColumn="0" w:lastRowLastColumn="0"/>
            </w:pPr>
            <w:r>
              <w:t>4 114</w:t>
            </w:r>
          </w:p>
        </w:tc>
        <w:tc>
          <w:tcPr>
            <w:tcW w:w="811" w:type="dxa"/>
          </w:tcPr>
          <w:p w14:paraId="2DF59998" w14:textId="77777777" w:rsidR="00964B88" w:rsidRDefault="00964B88">
            <w:pPr>
              <w:cnfStyle w:val="000000000000" w:firstRow="0" w:lastRow="0" w:firstColumn="0" w:lastColumn="0" w:oddVBand="0" w:evenVBand="0" w:oddHBand="0" w:evenHBand="0" w:firstRowFirstColumn="0" w:firstRowLastColumn="0" w:lastRowFirstColumn="0" w:lastRowLastColumn="0"/>
            </w:pPr>
            <w:r>
              <w:t>3 067</w:t>
            </w:r>
          </w:p>
        </w:tc>
        <w:tc>
          <w:tcPr>
            <w:tcW w:w="810" w:type="dxa"/>
          </w:tcPr>
          <w:p w14:paraId="42122F77" w14:textId="77777777" w:rsidR="00964B88" w:rsidRDefault="00964B88">
            <w:pPr>
              <w:cnfStyle w:val="000000000000" w:firstRow="0" w:lastRow="0" w:firstColumn="0" w:lastColumn="0" w:oddVBand="0" w:evenVBand="0" w:oddHBand="0" w:evenHBand="0" w:firstRowFirstColumn="0" w:firstRowLastColumn="0" w:lastRowFirstColumn="0" w:lastRowLastColumn="0"/>
            </w:pPr>
            <w:r>
              <w:t>3 028</w:t>
            </w:r>
          </w:p>
        </w:tc>
        <w:tc>
          <w:tcPr>
            <w:tcW w:w="811" w:type="dxa"/>
          </w:tcPr>
          <w:p w14:paraId="4EB3BA80" w14:textId="77777777" w:rsidR="00964B88" w:rsidRDefault="00964B88">
            <w:pPr>
              <w:cnfStyle w:val="000000000000" w:firstRow="0" w:lastRow="0" w:firstColumn="0" w:lastColumn="0" w:oddVBand="0" w:evenVBand="0" w:oddHBand="0" w:evenHBand="0" w:firstRowFirstColumn="0" w:firstRowLastColumn="0" w:lastRowFirstColumn="0" w:lastRowLastColumn="0"/>
            </w:pPr>
            <w:r>
              <w:t>2 930</w:t>
            </w:r>
          </w:p>
        </w:tc>
        <w:tc>
          <w:tcPr>
            <w:tcW w:w="811" w:type="dxa"/>
          </w:tcPr>
          <w:p w14:paraId="6006AB45" w14:textId="77777777" w:rsidR="00964B88" w:rsidRDefault="00964B88">
            <w:pPr>
              <w:cnfStyle w:val="000000000000" w:firstRow="0" w:lastRow="0" w:firstColumn="0" w:lastColumn="0" w:oddVBand="0" w:evenVBand="0" w:oddHBand="0" w:evenHBand="0" w:firstRowFirstColumn="0" w:firstRowLastColumn="0" w:lastRowFirstColumn="0" w:lastRowLastColumn="0"/>
            </w:pPr>
            <w:r>
              <w:t>2 859</w:t>
            </w:r>
          </w:p>
        </w:tc>
      </w:tr>
      <w:tr w:rsidR="00964B88" w14:paraId="60135E5A" w14:textId="77777777">
        <w:tc>
          <w:tcPr>
            <w:cnfStyle w:val="001000000000" w:firstRow="0" w:lastRow="0" w:firstColumn="1" w:lastColumn="0" w:oddVBand="0" w:evenVBand="0" w:oddHBand="0" w:evenHBand="0" w:firstRowFirstColumn="0" w:firstRowLastColumn="0" w:lastRowFirstColumn="0" w:lastRowLastColumn="0"/>
            <w:tcW w:w="3715" w:type="dxa"/>
          </w:tcPr>
          <w:p w14:paraId="4F087179" w14:textId="77777777" w:rsidR="00964B88" w:rsidRDefault="00964B88">
            <w:r>
              <w:t>Advances paid</w:t>
            </w:r>
          </w:p>
        </w:tc>
        <w:tc>
          <w:tcPr>
            <w:tcW w:w="810" w:type="dxa"/>
          </w:tcPr>
          <w:p w14:paraId="11F60534" w14:textId="77777777" w:rsidR="00964B88" w:rsidRDefault="00964B88">
            <w:pPr>
              <w:cnfStyle w:val="000000000000" w:firstRow="0" w:lastRow="0" w:firstColumn="0" w:lastColumn="0" w:oddVBand="0" w:evenVBand="0" w:oddHBand="0" w:evenHBand="0" w:firstRowFirstColumn="0" w:firstRowLastColumn="0" w:lastRowFirstColumn="0" w:lastRowLastColumn="0"/>
            </w:pPr>
            <w:r>
              <w:t>29</w:t>
            </w:r>
          </w:p>
        </w:tc>
        <w:tc>
          <w:tcPr>
            <w:tcW w:w="811" w:type="dxa"/>
          </w:tcPr>
          <w:p w14:paraId="263251FE" w14:textId="77777777" w:rsidR="00964B88" w:rsidRDefault="00964B88">
            <w:pPr>
              <w:cnfStyle w:val="000000000000" w:firstRow="0" w:lastRow="0" w:firstColumn="0" w:lastColumn="0" w:oddVBand="0" w:evenVBand="0" w:oddHBand="0" w:evenHBand="0" w:firstRowFirstColumn="0" w:firstRowLastColumn="0" w:lastRowFirstColumn="0" w:lastRowLastColumn="0"/>
            </w:pPr>
            <w:r>
              <w:t>19</w:t>
            </w:r>
          </w:p>
        </w:tc>
        <w:tc>
          <w:tcPr>
            <w:tcW w:w="810" w:type="dxa"/>
          </w:tcPr>
          <w:p w14:paraId="7380364B" w14:textId="77777777" w:rsidR="00964B88" w:rsidRDefault="00964B88">
            <w:pPr>
              <w:cnfStyle w:val="000000000000" w:firstRow="0" w:lastRow="0" w:firstColumn="0" w:lastColumn="0" w:oddVBand="0" w:evenVBand="0" w:oddHBand="0" w:evenHBand="0" w:firstRowFirstColumn="0" w:firstRowLastColumn="0" w:lastRowFirstColumn="0" w:lastRowLastColumn="0"/>
            </w:pPr>
            <w:r>
              <w:t>19</w:t>
            </w:r>
          </w:p>
        </w:tc>
        <w:tc>
          <w:tcPr>
            <w:tcW w:w="811" w:type="dxa"/>
          </w:tcPr>
          <w:p w14:paraId="18AFBDDB" w14:textId="77777777" w:rsidR="00964B88" w:rsidRDefault="00964B88">
            <w:pPr>
              <w:cnfStyle w:val="000000000000" w:firstRow="0" w:lastRow="0" w:firstColumn="0" w:lastColumn="0" w:oddVBand="0" w:evenVBand="0" w:oddHBand="0" w:evenHBand="0" w:firstRowFirstColumn="0" w:firstRowLastColumn="0" w:lastRowFirstColumn="0" w:lastRowLastColumn="0"/>
            </w:pPr>
            <w:r>
              <w:t>18</w:t>
            </w:r>
          </w:p>
        </w:tc>
        <w:tc>
          <w:tcPr>
            <w:tcW w:w="811" w:type="dxa"/>
          </w:tcPr>
          <w:p w14:paraId="29132F89" w14:textId="77777777" w:rsidR="00964B88" w:rsidRDefault="00964B88">
            <w:pPr>
              <w:cnfStyle w:val="000000000000" w:firstRow="0" w:lastRow="0" w:firstColumn="0" w:lastColumn="0" w:oddVBand="0" w:evenVBand="0" w:oddHBand="0" w:evenHBand="0" w:firstRowFirstColumn="0" w:firstRowLastColumn="0" w:lastRowFirstColumn="0" w:lastRowLastColumn="0"/>
            </w:pPr>
            <w:r>
              <w:t>17</w:t>
            </w:r>
          </w:p>
        </w:tc>
      </w:tr>
      <w:tr w:rsidR="00964B88" w14:paraId="74C7BC69" w14:textId="77777777">
        <w:tc>
          <w:tcPr>
            <w:cnfStyle w:val="001000000000" w:firstRow="0" w:lastRow="0" w:firstColumn="1" w:lastColumn="0" w:oddVBand="0" w:evenVBand="0" w:oddHBand="0" w:evenHBand="0" w:firstRowFirstColumn="0" w:firstRowLastColumn="0" w:lastRowFirstColumn="0" w:lastRowLastColumn="0"/>
            <w:tcW w:w="3715" w:type="dxa"/>
          </w:tcPr>
          <w:p w14:paraId="62179CC0" w14:textId="77777777" w:rsidR="00964B88" w:rsidRDefault="00964B88">
            <w:r>
              <w:t>Receivables</w:t>
            </w:r>
          </w:p>
        </w:tc>
        <w:tc>
          <w:tcPr>
            <w:tcW w:w="810" w:type="dxa"/>
          </w:tcPr>
          <w:p w14:paraId="3EE56DD5" w14:textId="77777777" w:rsidR="00964B88" w:rsidRDefault="00964B88">
            <w:pPr>
              <w:cnfStyle w:val="000000000000" w:firstRow="0" w:lastRow="0" w:firstColumn="0" w:lastColumn="0" w:oddVBand="0" w:evenVBand="0" w:oddHBand="0" w:evenHBand="0" w:firstRowFirstColumn="0" w:firstRowLastColumn="0" w:lastRowFirstColumn="0" w:lastRowLastColumn="0"/>
            </w:pPr>
            <w:r>
              <w:t>2 219</w:t>
            </w:r>
          </w:p>
        </w:tc>
        <w:tc>
          <w:tcPr>
            <w:tcW w:w="811" w:type="dxa"/>
          </w:tcPr>
          <w:p w14:paraId="02B3566E" w14:textId="77777777" w:rsidR="00964B88" w:rsidRDefault="00964B88">
            <w:pPr>
              <w:cnfStyle w:val="000000000000" w:firstRow="0" w:lastRow="0" w:firstColumn="0" w:lastColumn="0" w:oddVBand="0" w:evenVBand="0" w:oddHBand="0" w:evenHBand="0" w:firstRowFirstColumn="0" w:firstRowLastColumn="0" w:lastRowFirstColumn="0" w:lastRowLastColumn="0"/>
            </w:pPr>
            <w:r>
              <w:t>1 907</w:t>
            </w:r>
          </w:p>
        </w:tc>
        <w:tc>
          <w:tcPr>
            <w:tcW w:w="810" w:type="dxa"/>
          </w:tcPr>
          <w:p w14:paraId="35076977" w14:textId="77777777" w:rsidR="00964B88" w:rsidRDefault="00964B88">
            <w:pPr>
              <w:cnfStyle w:val="000000000000" w:firstRow="0" w:lastRow="0" w:firstColumn="0" w:lastColumn="0" w:oddVBand="0" w:evenVBand="0" w:oddHBand="0" w:evenHBand="0" w:firstRowFirstColumn="0" w:firstRowLastColumn="0" w:lastRowFirstColumn="0" w:lastRowLastColumn="0"/>
            </w:pPr>
            <w:r>
              <w:t>1 958</w:t>
            </w:r>
          </w:p>
        </w:tc>
        <w:tc>
          <w:tcPr>
            <w:tcW w:w="811" w:type="dxa"/>
          </w:tcPr>
          <w:p w14:paraId="7865DA36" w14:textId="77777777" w:rsidR="00964B88" w:rsidRDefault="00964B88">
            <w:pPr>
              <w:cnfStyle w:val="000000000000" w:firstRow="0" w:lastRow="0" w:firstColumn="0" w:lastColumn="0" w:oddVBand="0" w:evenVBand="0" w:oddHBand="0" w:evenHBand="0" w:firstRowFirstColumn="0" w:firstRowLastColumn="0" w:lastRowFirstColumn="0" w:lastRowLastColumn="0"/>
            </w:pPr>
            <w:r>
              <w:t>2 035</w:t>
            </w:r>
          </w:p>
        </w:tc>
        <w:tc>
          <w:tcPr>
            <w:tcW w:w="811" w:type="dxa"/>
          </w:tcPr>
          <w:p w14:paraId="7671549B" w14:textId="77777777" w:rsidR="00964B88" w:rsidRDefault="00964B88">
            <w:pPr>
              <w:cnfStyle w:val="000000000000" w:firstRow="0" w:lastRow="0" w:firstColumn="0" w:lastColumn="0" w:oddVBand="0" w:evenVBand="0" w:oddHBand="0" w:evenHBand="0" w:firstRowFirstColumn="0" w:firstRowLastColumn="0" w:lastRowFirstColumn="0" w:lastRowLastColumn="0"/>
            </w:pPr>
            <w:r>
              <w:t>2 114</w:t>
            </w:r>
          </w:p>
        </w:tc>
      </w:tr>
      <w:tr w:rsidR="00964B88" w14:paraId="5C61545D" w14:textId="77777777">
        <w:tc>
          <w:tcPr>
            <w:cnfStyle w:val="001000000000" w:firstRow="0" w:lastRow="0" w:firstColumn="1" w:lastColumn="0" w:oddVBand="0" w:evenVBand="0" w:oddHBand="0" w:evenHBand="0" w:firstRowFirstColumn="0" w:firstRowLastColumn="0" w:lastRowFirstColumn="0" w:lastRowLastColumn="0"/>
            <w:tcW w:w="3715" w:type="dxa"/>
          </w:tcPr>
          <w:p w14:paraId="2D93FCF6" w14:textId="77777777" w:rsidR="00964B88" w:rsidRDefault="00964B88">
            <w:r>
              <w:t>Investments, loans and placements</w:t>
            </w:r>
          </w:p>
        </w:tc>
        <w:tc>
          <w:tcPr>
            <w:tcW w:w="810" w:type="dxa"/>
          </w:tcPr>
          <w:p w14:paraId="215C23BD" w14:textId="77777777" w:rsidR="00964B88" w:rsidRDefault="00964B88">
            <w:pPr>
              <w:cnfStyle w:val="000000000000" w:firstRow="0" w:lastRow="0" w:firstColumn="0" w:lastColumn="0" w:oddVBand="0" w:evenVBand="0" w:oddHBand="0" w:evenHBand="0" w:firstRowFirstColumn="0" w:firstRowLastColumn="0" w:lastRowFirstColumn="0" w:lastRowLastColumn="0"/>
            </w:pPr>
            <w:r>
              <w:t>36 290</w:t>
            </w:r>
          </w:p>
        </w:tc>
        <w:tc>
          <w:tcPr>
            <w:tcW w:w="811" w:type="dxa"/>
          </w:tcPr>
          <w:p w14:paraId="66D3D03E" w14:textId="77777777" w:rsidR="00964B88" w:rsidRDefault="00964B88">
            <w:pPr>
              <w:cnfStyle w:val="000000000000" w:firstRow="0" w:lastRow="0" w:firstColumn="0" w:lastColumn="0" w:oddVBand="0" w:evenVBand="0" w:oddHBand="0" w:evenHBand="0" w:firstRowFirstColumn="0" w:firstRowLastColumn="0" w:lastRowFirstColumn="0" w:lastRowLastColumn="0"/>
            </w:pPr>
            <w:r>
              <w:t>37 714</w:t>
            </w:r>
          </w:p>
        </w:tc>
        <w:tc>
          <w:tcPr>
            <w:tcW w:w="810" w:type="dxa"/>
          </w:tcPr>
          <w:p w14:paraId="66E8B868" w14:textId="77777777" w:rsidR="00964B88" w:rsidRDefault="00964B88">
            <w:pPr>
              <w:cnfStyle w:val="000000000000" w:firstRow="0" w:lastRow="0" w:firstColumn="0" w:lastColumn="0" w:oddVBand="0" w:evenVBand="0" w:oddHBand="0" w:evenHBand="0" w:firstRowFirstColumn="0" w:firstRowLastColumn="0" w:lastRowFirstColumn="0" w:lastRowLastColumn="0"/>
            </w:pPr>
            <w:r>
              <w:t>37 095</w:t>
            </w:r>
          </w:p>
        </w:tc>
        <w:tc>
          <w:tcPr>
            <w:tcW w:w="811" w:type="dxa"/>
          </w:tcPr>
          <w:p w14:paraId="08F75E7A" w14:textId="77777777" w:rsidR="00964B88" w:rsidRDefault="00964B88">
            <w:pPr>
              <w:cnfStyle w:val="000000000000" w:firstRow="0" w:lastRow="0" w:firstColumn="0" w:lastColumn="0" w:oddVBand="0" w:evenVBand="0" w:oddHBand="0" w:evenHBand="0" w:firstRowFirstColumn="0" w:firstRowLastColumn="0" w:lastRowFirstColumn="0" w:lastRowLastColumn="0"/>
            </w:pPr>
            <w:r>
              <w:t>37 943</w:t>
            </w:r>
          </w:p>
        </w:tc>
        <w:tc>
          <w:tcPr>
            <w:tcW w:w="811" w:type="dxa"/>
          </w:tcPr>
          <w:p w14:paraId="14F028FE" w14:textId="77777777" w:rsidR="00964B88" w:rsidRDefault="00964B88">
            <w:pPr>
              <w:cnfStyle w:val="000000000000" w:firstRow="0" w:lastRow="0" w:firstColumn="0" w:lastColumn="0" w:oddVBand="0" w:evenVBand="0" w:oddHBand="0" w:evenHBand="0" w:firstRowFirstColumn="0" w:firstRowLastColumn="0" w:lastRowFirstColumn="0" w:lastRowLastColumn="0"/>
            </w:pPr>
            <w:r>
              <w:t>39 408</w:t>
            </w:r>
          </w:p>
        </w:tc>
      </w:tr>
      <w:tr w:rsidR="00964B88" w14:paraId="6B8ED087" w14:textId="77777777">
        <w:tc>
          <w:tcPr>
            <w:cnfStyle w:val="001000000000" w:firstRow="0" w:lastRow="0" w:firstColumn="1" w:lastColumn="0" w:oddVBand="0" w:evenVBand="0" w:oddHBand="0" w:evenHBand="0" w:firstRowFirstColumn="0" w:firstRowLastColumn="0" w:lastRowFirstColumn="0" w:lastRowLastColumn="0"/>
            <w:tcW w:w="3715" w:type="dxa"/>
          </w:tcPr>
          <w:p w14:paraId="1CEE678D" w14:textId="77777777" w:rsidR="00964B88" w:rsidRDefault="00964B88">
            <w:r>
              <w:t>Loans receivable from non</w:t>
            </w:r>
            <w:r>
              <w:noBreakHyphen/>
              <w:t>financial public sector</w:t>
            </w:r>
            <w:r>
              <w:rPr>
                <w:vertAlign w:val="superscript"/>
              </w:rPr>
              <w:t xml:space="preserve"> (b)</w:t>
            </w:r>
          </w:p>
        </w:tc>
        <w:tc>
          <w:tcPr>
            <w:tcW w:w="810" w:type="dxa"/>
          </w:tcPr>
          <w:p w14:paraId="0107580E" w14:textId="77777777" w:rsidR="00964B88" w:rsidRDefault="00964B88">
            <w:pPr>
              <w:cnfStyle w:val="000000000000" w:firstRow="0" w:lastRow="0" w:firstColumn="0" w:lastColumn="0" w:oddVBand="0" w:evenVBand="0" w:oddHBand="0" w:evenHBand="0" w:firstRowFirstColumn="0" w:firstRowLastColumn="0" w:lastRowFirstColumn="0" w:lastRowLastColumn="0"/>
            </w:pPr>
            <w:r>
              <w:t>39 319</w:t>
            </w:r>
          </w:p>
        </w:tc>
        <w:tc>
          <w:tcPr>
            <w:tcW w:w="811" w:type="dxa"/>
          </w:tcPr>
          <w:p w14:paraId="11C9BDAC" w14:textId="77777777" w:rsidR="00964B88" w:rsidRDefault="00964B88">
            <w:pPr>
              <w:cnfStyle w:val="000000000000" w:firstRow="0" w:lastRow="0" w:firstColumn="0" w:lastColumn="0" w:oddVBand="0" w:evenVBand="0" w:oddHBand="0" w:evenHBand="0" w:firstRowFirstColumn="0" w:firstRowLastColumn="0" w:lastRowFirstColumn="0" w:lastRowLastColumn="0"/>
            </w:pPr>
            <w:r>
              <w:t>41 873</w:t>
            </w:r>
          </w:p>
        </w:tc>
        <w:tc>
          <w:tcPr>
            <w:tcW w:w="810" w:type="dxa"/>
          </w:tcPr>
          <w:p w14:paraId="037E25E3" w14:textId="77777777" w:rsidR="00964B88" w:rsidRDefault="00964B88">
            <w:pPr>
              <w:cnfStyle w:val="000000000000" w:firstRow="0" w:lastRow="0" w:firstColumn="0" w:lastColumn="0" w:oddVBand="0" w:evenVBand="0" w:oddHBand="0" w:evenHBand="0" w:firstRowFirstColumn="0" w:firstRowLastColumn="0" w:lastRowFirstColumn="0" w:lastRowLastColumn="0"/>
            </w:pPr>
            <w:r>
              <w:t>50 523</w:t>
            </w:r>
          </w:p>
        </w:tc>
        <w:tc>
          <w:tcPr>
            <w:tcW w:w="811" w:type="dxa"/>
          </w:tcPr>
          <w:p w14:paraId="19802F80" w14:textId="77777777" w:rsidR="00964B88" w:rsidRDefault="00964B88">
            <w:pPr>
              <w:cnfStyle w:val="000000000000" w:firstRow="0" w:lastRow="0" w:firstColumn="0" w:lastColumn="0" w:oddVBand="0" w:evenVBand="0" w:oddHBand="0" w:evenHBand="0" w:firstRowFirstColumn="0" w:firstRowLastColumn="0" w:lastRowFirstColumn="0" w:lastRowLastColumn="0"/>
            </w:pPr>
            <w:r>
              <w:t>53 979</w:t>
            </w:r>
          </w:p>
        </w:tc>
        <w:tc>
          <w:tcPr>
            <w:tcW w:w="811" w:type="dxa"/>
          </w:tcPr>
          <w:p w14:paraId="65AAFBE8" w14:textId="77777777" w:rsidR="00964B88" w:rsidRDefault="00964B88">
            <w:pPr>
              <w:cnfStyle w:val="000000000000" w:firstRow="0" w:lastRow="0" w:firstColumn="0" w:lastColumn="0" w:oddVBand="0" w:evenVBand="0" w:oddHBand="0" w:evenHBand="0" w:firstRowFirstColumn="0" w:firstRowLastColumn="0" w:lastRowFirstColumn="0" w:lastRowLastColumn="0"/>
            </w:pPr>
            <w:r>
              <w:t>56 543</w:t>
            </w:r>
          </w:p>
        </w:tc>
      </w:tr>
      <w:tr w:rsidR="00964B88" w14:paraId="30AC5440"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60E2BA16" w14:textId="77777777" w:rsidR="00964B88" w:rsidRDefault="00964B88">
            <w:r>
              <w:rPr>
                <w:b/>
              </w:rPr>
              <w:t>Total financial assets</w:t>
            </w:r>
          </w:p>
        </w:tc>
        <w:tc>
          <w:tcPr>
            <w:tcW w:w="810" w:type="dxa"/>
            <w:tcBorders>
              <w:top w:val="single" w:sz="6" w:space="0" w:color="auto"/>
              <w:bottom w:val="single" w:sz="6" w:space="0" w:color="auto"/>
            </w:tcBorders>
          </w:tcPr>
          <w:p w14:paraId="7509BF5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81 971</w:t>
            </w:r>
          </w:p>
        </w:tc>
        <w:tc>
          <w:tcPr>
            <w:tcW w:w="811" w:type="dxa"/>
            <w:tcBorders>
              <w:top w:val="single" w:sz="6" w:space="0" w:color="auto"/>
              <w:bottom w:val="single" w:sz="6" w:space="0" w:color="auto"/>
            </w:tcBorders>
          </w:tcPr>
          <w:p w14:paraId="11FDAB1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84 580</w:t>
            </w:r>
          </w:p>
        </w:tc>
        <w:tc>
          <w:tcPr>
            <w:tcW w:w="810" w:type="dxa"/>
            <w:tcBorders>
              <w:top w:val="single" w:sz="6" w:space="0" w:color="auto"/>
              <w:bottom w:val="single" w:sz="6" w:space="0" w:color="auto"/>
            </w:tcBorders>
          </w:tcPr>
          <w:p w14:paraId="4B9A815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92 623</w:t>
            </w:r>
          </w:p>
        </w:tc>
        <w:tc>
          <w:tcPr>
            <w:tcW w:w="811" w:type="dxa"/>
            <w:tcBorders>
              <w:top w:val="single" w:sz="6" w:space="0" w:color="auto"/>
              <w:bottom w:val="single" w:sz="6" w:space="0" w:color="auto"/>
            </w:tcBorders>
          </w:tcPr>
          <w:p w14:paraId="01604EC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96 904</w:t>
            </w:r>
          </w:p>
        </w:tc>
        <w:tc>
          <w:tcPr>
            <w:tcW w:w="811" w:type="dxa"/>
            <w:tcBorders>
              <w:top w:val="single" w:sz="6" w:space="0" w:color="auto"/>
              <w:bottom w:val="single" w:sz="6" w:space="0" w:color="auto"/>
            </w:tcBorders>
          </w:tcPr>
          <w:p w14:paraId="66BB0B4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100 941</w:t>
            </w:r>
          </w:p>
        </w:tc>
      </w:tr>
      <w:tr w:rsidR="00964B88" w14:paraId="5AF226D9"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tcBorders>
          </w:tcPr>
          <w:p w14:paraId="5E28D5B1" w14:textId="77777777" w:rsidR="00964B88" w:rsidRDefault="00964B88">
            <w:r>
              <w:rPr>
                <w:b/>
              </w:rPr>
              <w:t>Non</w:t>
            </w:r>
            <w:r>
              <w:rPr>
                <w:b/>
              </w:rPr>
              <w:noBreakHyphen/>
              <w:t>financial assets</w:t>
            </w:r>
          </w:p>
        </w:tc>
        <w:tc>
          <w:tcPr>
            <w:tcW w:w="810" w:type="dxa"/>
            <w:tcBorders>
              <w:top w:val="single" w:sz="6" w:space="0" w:color="auto"/>
            </w:tcBorders>
          </w:tcPr>
          <w:p w14:paraId="5F9ADB3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6" w:space="0" w:color="auto"/>
            </w:tcBorders>
          </w:tcPr>
          <w:p w14:paraId="52D8A6B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Borders>
              <w:top w:val="single" w:sz="6" w:space="0" w:color="auto"/>
            </w:tcBorders>
          </w:tcPr>
          <w:p w14:paraId="5C81B81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6" w:space="0" w:color="auto"/>
            </w:tcBorders>
          </w:tcPr>
          <w:p w14:paraId="778027D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6" w:space="0" w:color="auto"/>
            </w:tcBorders>
          </w:tcPr>
          <w:p w14:paraId="0A863D8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AF58163" w14:textId="77777777">
        <w:tc>
          <w:tcPr>
            <w:cnfStyle w:val="001000000000" w:firstRow="0" w:lastRow="0" w:firstColumn="1" w:lastColumn="0" w:oddVBand="0" w:evenVBand="0" w:oddHBand="0" w:evenHBand="0" w:firstRowFirstColumn="0" w:firstRowLastColumn="0" w:lastRowFirstColumn="0" w:lastRowLastColumn="0"/>
            <w:tcW w:w="3715" w:type="dxa"/>
          </w:tcPr>
          <w:p w14:paraId="16C93A63" w14:textId="77777777" w:rsidR="00964B88" w:rsidRDefault="00964B88">
            <w:r>
              <w:t>Non</w:t>
            </w:r>
            <w:r>
              <w:noBreakHyphen/>
              <w:t>financial assets held for sale</w:t>
            </w:r>
          </w:p>
        </w:tc>
        <w:tc>
          <w:tcPr>
            <w:tcW w:w="810" w:type="dxa"/>
          </w:tcPr>
          <w:p w14:paraId="40D19C7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446D4DE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3052D01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7404EFA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7C6A741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DF25D4D" w14:textId="77777777">
        <w:tc>
          <w:tcPr>
            <w:cnfStyle w:val="001000000000" w:firstRow="0" w:lastRow="0" w:firstColumn="1" w:lastColumn="0" w:oddVBand="0" w:evenVBand="0" w:oddHBand="0" w:evenHBand="0" w:firstRowFirstColumn="0" w:firstRowLastColumn="0" w:lastRowFirstColumn="0" w:lastRowLastColumn="0"/>
            <w:tcW w:w="3715" w:type="dxa"/>
          </w:tcPr>
          <w:p w14:paraId="57716863" w14:textId="77777777" w:rsidR="00964B88" w:rsidRDefault="00964B88">
            <w:r>
              <w:t>Land, buildings, infrastructure, plant and equipment</w:t>
            </w:r>
          </w:p>
        </w:tc>
        <w:tc>
          <w:tcPr>
            <w:tcW w:w="810" w:type="dxa"/>
          </w:tcPr>
          <w:p w14:paraId="34BE8B5C" w14:textId="77777777" w:rsidR="00964B88" w:rsidRDefault="00964B88">
            <w:pPr>
              <w:cnfStyle w:val="000000000000" w:firstRow="0" w:lastRow="0" w:firstColumn="0" w:lastColumn="0" w:oddVBand="0" w:evenVBand="0" w:oddHBand="0" w:evenHBand="0" w:firstRowFirstColumn="0" w:firstRowLastColumn="0" w:lastRowFirstColumn="0" w:lastRowLastColumn="0"/>
            </w:pPr>
            <w:r>
              <w:t>230</w:t>
            </w:r>
          </w:p>
        </w:tc>
        <w:tc>
          <w:tcPr>
            <w:tcW w:w="811" w:type="dxa"/>
          </w:tcPr>
          <w:p w14:paraId="0CF529C2" w14:textId="77777777" w:rsidR="00964B88" w:rsidRDefault="00964B88">
            <w:pPr>
              <w:cnfStyle w:val="000000000000" w:firstRow="0" w:lastRow="0" w:firstColumn="0" w:lastColumn="0" w:oddVBand="0" w:evenVBand="0" w:oddHBand="0" w:evenHBand="0" w:firstRowFirstColumn="0" w:firstRowLastColumn="0" w:lastRowFirstColumn="0" w:lastRowLastColumn="0"/>
            </w:pPr>
            <w:r>
              <w:t>350</w:t>
            </w:r>
          </w:p>
        </w:tc>
        <w:tc>
          <w:tcPr>
            <w:tcW w:w="810" w:type="dxa"/>
          </w:tcPr>
          <w:p w14:paraId="344FA915" w14:textId="77777777" w:rsidR="00964B88" w:rsidRDefault="00964B88">
            <w:pPr>
              <w:cnfStyle w:val="000000000000" w:firstRow="0" w:lastRow="0" w:firstColumn="0" w:lastColumn="0" w:oddVBand="0" w:evenVBand="0" w:oddHBand="0" w:evenHBand="0" w:firstRowFirstColumn="0" w:firstRowLastColumn="0" w:lastRowFirstColumn="0" w:lastRowLastColumn="0"/>
            </w:pPr>
            <w:r>
              <w:t>330</w:t>
            </w:r>
          </w:p>
        </w:tc>
        <w:tc>
          <w:tcPr>
            <w:tcW w:w="811" w:type="dxa"/>
          </w:tcPr>
          <w:p w14:paraId="6F16478B" w14:textId="77777777" w:rsidR="00964B88" w:rsidRDefault="00964B88">
            <w:pPr>
              <w:cnfStyle w:val="000000000000" w:firstRow="0" w:lastRow="0" w:firstColumn="0" w:lastColumn="0" w:oddVBand="0" w:evenVBand="0" w:oddHBand="0" w:evenHBand="0" w:firstRowFirstColumn="0" w:firstRowLastColumn="0" w:lastRowFirstColumn="0" w:lastRowLastColumn="0"/>
            </w:pPr>
            <w:r>
              <w:t>321</w:t>
            </w:r>
          </w:p>
        </w:tc>
        <w:tc>
          <w:tcPr>
            <w:tcW w:w="811" w:type="dxa"/>
          </w:tcPr>
          <w:p w14:paraId="44C3932F" w14:textId="77777777" w:rsidR="00964B88" w:rsidRDefault="00964B88">
            <w:pPr>
              <w:cnfStyle w:val="000000000000" w:firstRow="0" w:lastRow="0" w:firstColumn="0" w:lastColumn="0" w:oddVBand="0" w:evenVBand="0" w:oddHBand="0" w:evenHBand="0" w:firstRowFirstColumn="0" w:firstRowLastColumn="0" w:lastRowFirstColumn="0" w:lastRowLastColumn="0"/>
            </w:pPr>
            <w:r>
              <w:t>312</w:t>
            </w:r>
          </w:p>
        </w:tc>
      </w:tr>
      <w:tr w:rsidR="00964B88" w14:paraId="10160B01"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75F203AC" w14:textId="77777777" w:rsidR="00964B88" w:rsidRDefault="00964B88">
            <w:r>
              <w:t>Other non</w:t>
            </w:r>
            <w:r>
              <w:noBreakHyphen/>
              <w:t>financial assets</w:t>
            </w:r>
          </w:p>
        </w:tc>
        <w:tc>
          <w:tcPr>
            <w:tcW w:w="810" w:type="dxa"/>
            <w:tcBorders>
              <w:bottom w:val="single" w:sz="6" w:space="0" w:color="auto"/>
            </w:tcBorders>
          </w:tcPr>
          <w:p w14:paraId="6083E03C" w14:textId="77777777" w:rsidR="00964B88" w:rsidRDefault="00964B88">
            <w:pPr>
              <w:cnfStyle w:val="000000000000" w:firstRow="0" w:lastRow="0" w:firstColumn="0" w:lastColumn="0" w:oddVBand="0" w:evenVBand="0" w:oddHBand="0" w:evenHBand="0" w:firstRowFirstColumn="0" w:firstRowLastColumn="0" w:lastRowFirstColumn="0" w:lastRowLastColumn="0"/>
            </w:pPr>
            <w:r>
              <w:t>3 153</w:t>
            </w:r>
          </w:p>
        </w:tc>
        <w:tc>
          <w:tcPr>
            <w:tcW w:w="811" w:type="dxa"/>
            <w:tcBorders>
              <w:bottom w:val="single" w:sz="6" w:space="0" w:color="auto"/>
            </w:tcBorders>
          </w:tcPr>
          <w:p w14:paraId="3E3E364A" w14:textId="77777777" w:rsidR="00964B88" w:rsidRDefault="00964B88">
            <w:pPr>
              <w:cnfStyle w:val="000000000000" w:firstRow="0" w:lastRow="0" w:firstColumn="0" w:lastColumn="0" w:oddVBand="0" w:evenVBand="0" w:oddHBand="0" w:evenHBand="0" w:firstRowFirstColumn="0" w:firstRowLastColumn="0" w:lastRowFirstColumn="0" w:lastRowLastColumn="0"/>
            </w:pPr>
            <w:r>
              <w:t>3 818</w:t>
            </w:r>
          </w:p>
        </w:tc>
        <w:tc>
          <w:tcPr>
            <w:tcW w:w="810" w:type="dxa"/>
            <w:tcBorders>
              <w:bottom w:val="single" w:sz="6" w:space="0" w:color="auto"/>
            </w:tcBorders>
          </w:tcPr>
          <w:p w14:paraId="73B57C36" w14:textId="77777777" w:rsidR="00964B88" w:rsidRDefault="00964B88">
            <w:pPr>
              <w:cnfStyle w:val="000000000000" w:firstRow="0" w:lastRow="0" w:firstColumn="0" w:lastColumn="0" w:oddVBand="0" w:evenVBand="0" w:oddHBand="0" w:evenHBand="0" w:firstRowFirstColumn="0" w:firstRowLastColumn="0" w:lastRowFirstColumn="0" w:lastRowLastColumn="0"/>
            </w:pPr>
            <w:r>
              <w:t>4 262</w:t>
            </w:r>
          </w:p>
        </w:tc>
        <w:tc>
          <w:tcPr>
            <w:tcW w:w="811" w:type="dxa"/>
            <w:tcBorders>
              <w:bottom w:val="single" w:sz="6" w:space="0" w:color="auto"/>
            </w:tcBorders>
          </w:tcPr>
          <w:p w14:paraId="146B20D3" w14:textId="77777777" w:rsidR="00964B88" w:rsidRDefault="00964B88">
            <w:pPr>
              <w:cnfStyle w:val="000000000000" w:firstRow="0" w:lastRow="0" w:firstColumn="0" w:lastColumn="0" w:oddVBand="0" w:evenVBand="0" w:oddHBand="0" w:evenHBand="0" w:firstRowFirstColumn="0" w:firstRowLastColumn="0" w:lastRowFirstColumn="0" w:lastRowLastColumn="0"/>
            </w:pPr>
            <w:r>
              <w:t>4 600</w:t>
            </w:r>
          </w:p>
        </w:tc>
        <w:tc>
          <w:tcPr>
            <w:tcW w:w="811" w:type="dxa"/>
            <w:tcBorders>
              <w:bottom w:val="single" w:sz="6" w:space="0" w:color="auto"/>
            </w:tcBorders>
          </w:tcPr>
          <w:p w14:paraId="6CD70635" w14:textId="77777777" w:rsidR="00964B88" w:rsidRDefault="00964B88">
            <w:pPr>
              <w:cnfStyle w:val="000000000000" w:firstRow="0" w:lastRow="0" w:firstColumn="0" w:lastColumn="0" w:oddVBand="0" w:evenVBand="0" w:oddHBand="0" w:evenHBand="0" w:firstRowFirstColumn="0" w:firstRowLastColumn="0" w:lastRowFirstColumn="0" w:lastRowLastColumn="0"/>
            </w:pPr>
            <w:r>
              <w:t>4 862</w:t>
            </w:r>
          </w:p>
        </w:tc>
      </w:tr>
      <w:tr w:rsidR="00964B88" w14:paraId="64B44595"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38B0E0A2" w14:textId="77777777" w:rsidR="00964B88" w:rsidRDefault="00964B88">
            <w:r>
              <w:rPr>
                <w:b/>
              </w:rPr>
              <w:t>Total non</w:t>
            </w:r>
            <w:r>
              <w:rPr>
                <w:b/>
              </w:rPr>
              <w:noBreakHyphen/>
              <w:t>financial assets</w:t>
            </w:r>
          </w:p>
        </w:tc>
        <w:tc>
          <w:tcPr>
            <w:tcW w:w="810" w:type="dxa"/>
            <w:tcBorders>
              <w:top w:val="single" w:sz="6" w:space="0" w:color="auto"/>
              <w:bottom w:val="single" w:sz="6" w:space="0" w:color="auto"/>
            </w:tcBorders>
          </w:tcPr>
          <w:p w14:paraId="74A6745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3 383</w:t>
            </w:r>
          </w:p>
        </w:tc>
        <w:tc>
          <w:tcPr>
            <w:tcW w:w="811" w:type="dxa"/>
            <w:tcBorders>
              <w:top w:val="single" w:sz="6" w:space="0" w:color="auto"/>
              <w:bottom w:val="single" w:sz="6" w:space="0" w:color="auto"/>
            </w:tcBorders>
          </w:tcPr>
          <w:p w14:paraId="30C98D5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4 168</w:t>
            </w:r>
          </w:p>
        </w:tc>
        <w:tc>
          <w:tcPr>
            <w:tcW w:w="810" w:type="dxa"/>
            <w:tcBorders>
              <w:top w:val="single" w:sz="6" w:space="0" w:color="auto"/>
              <w:bottom w:val="single" w:sz="6" w:space="0" w:color="auto"/>
            </w:tcBorders>
          </w:tcPr>
          <w:p w14:paraId="3F3F04F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4 591</w:t>
            </w:r>
          </w:p>
        </w:tc>
        <w:tc>
          <w:tcPr>
            <w:tcW w:w="811" w:type="dxa"/>
            <w:tcBorders>
              <w:top w:val="single" w:sz="6" w:space="0" w:color="auto"/>
              <w:bottom w:val="single" w:sz="6" w:space="0" w:color="auto"/>
            </w:tcBorders>
          </w:tcPr>
          <w:p w14:paraId="6FAE357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4 921</w:t>
            </w:r>
          </w:p>
        </w:tc>
        <w:tc>
          <w:tcPr>
            <w:tcW w:w="811" w:type="dxa"/>
            <w:tcBorders>
              <w:top w:val="single" w:sz="6" w:space="0" w:color="auto"/>
              <w:bottom w:val="single" w:sz="6" w:space="0" w:color="auto"/>
            </w:tcBorders>
          </w:tcPr>
          <w:p w14:paraId="0946303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5 173</w:t>
            </w:r>
          </w:p>
        </w:tc>
      </w:tr>
      <w:tr w:rsidR="00964B88" w14:paraId="3228D6FB"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tcBorders>
          </w:tcPr>
          <w:p w14:paraId="72DE4748" w14:textId="77777777" w:rsidR="00964B88" w:rsidRDefault="00964B88">
            <w:r>
              <w:rPr>
                <w:b/>
              </w:rPr>
              <w:t>Total assets</w:t>
            </w:r>
          </w:p>
        </w:tc>
        <w:tc>
          <w:tcPr>
            <w:tcW w:w="810" w:type="dxa"/>
            <w:tcBorders>
              <w:top w:val="single" w:sz="6" w:space="0" w:color="auto"/>
            </w:tcBorders>
          </w:tcPr>
          <w:p w14:paraId="5461936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85 355</w:t>
            </w:r>
          </w:p>
        </w:tc>
        <w:tc>
          <w:tcPr>
            <w:tcW w:w="811" w:type="dxa"/>
            <w:tcBorders>
              <w:top w:val="single" w:sz="6" w:space="0" w:color="auto"/>
            </w:tcBorders>
          </w:tcPr>
          <w:p w14:paraId="3E60FF8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88 748</w:t>
            </w:r>
          </w:p>
        </w:tc>
        <w:tc>
          <w:tcPr>
            <w:tcW w:w="810" w:type="dxa"/>
            <w:tcBorders>
              <w:top w:val="single" w:sz="6" w:space="0" w:color="auto"/>
            </w:tcBorders>
          </w:tcPr>
          <w:p w14:paraId="2A37DCD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97 214</w:t>
            </w:r>
          </w:p>
        </w:tc>
        <w:tc>
          <w:tcPr>
            <w:tcW w:w="811" w:type="dxa"/>
            <w:tcBorders>
              <w:top w:val="single" w:sz="6" w:space="0" w:color="auto"/>
            </w:tcBorders>
          </w:tcPr>
          <w:p w14:paraId="3C1F4B0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101 825</w:t>
            </w:r>
          </w:p>
        </w:tc>
        <w:tc>
          <w:tcPr>
            <w:tcW w:w="811" w:type="dxa"/>
            <w:tcBorders>
              <w:top w:val="single" w:sz="6" w:space="0" w:color="auto"/>
            </w:tcBorders>
          </w:tcPr>
          <w:p w14:paraId="178DB36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106 114</w:t>
            </w:r>
          </w:p>
        </w:tc>
      </w:tr>
      <w:tr w:rsidR="00964B88" w14:paraId="4B1BA48F" w14:textId="77777777">
        <w:tc>
          <w:tcPr>
            <w:cnfStyle w:val="001000000000" w:firstRow="0" w:lastRow="0" w:firstColumn="1" w:lastColumn="0" w:oddVBand="0" w:evenVBand="0" w:oddHBand="0" w:evenHBand="0" w:firstRowFirstColumn="0" w:firstRowLastColumn="0" w:lastRowFirstColumn="0" w:lastRowLastColumn="0"/>
            <w:tcW w:w="3715" w:type="dxa"/>
          </w:tcPr>
          <w:p w14:paraId="63CC1D1E" w14:textId="77777777" w:rsidR="00964B88" w:rsidRDefault="00964B88">
            <w:r>
              <w:rPr>
                <w:b/>
              </w:rPr>
              <w:t>Liabilities</w:t>
            </w:r>
          </w:p>
        </w:tc>
        <w:tc>
          <w:tcPr>
            <w:tcW w:w="810" w:type="dxa"/>
          </w:tcPr>
          <w:p w14:paraId="2886021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380BA97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3271040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34B4A3E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1100146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6D534E7" w14:textId="77777777">
        <w:tc>
          <w:tcPr>
            <w:cnfStyle w:val="001000000000" w:firstRow="0" w:lastRow="0" w:firstColumn="1" w:lastColumn="0" w:oddVBand="0" w:evenVBand="0" w:oddHBand="0" w:evenHBand="0" w:firstRowFirstColumn="0" w:firstRowLastColumn="0" w:lastRowFirstColumn="0" w:lastRowLastColumn="0"/>
            <w:tcW w:w="3715" w:type="dxa"/>
          </w:tcPr>
          <w:p w14:paraId="7E84E66D" w14:textId="77777777" w:rsidR="00964B88" w:rsidRDefault="00964B88">
            <w:r>
              <w:t>Deposits held and advances received</w:t>
            </w:r>
          </w:p>
        </w:tc>
        <w:tc>
          <w:tcPr>
            <w:tcW w:w="810" w:type="dxa"/>
          </w:tcPr>
          <w:p w14:paraId="4B88D3B1" w14:textId="77777777" w:rsidR="00964B88" w:rsidRDefault="00964B88">
            <w:pPr>
              <w:cnfStyle w:val="000000000000" w:firstRow="0" w:lastRow="0" w:firstColumn="0" w:lastColumn="0" w:oddVBand="0" w:evenVBand="0" w:oddHBand="0" w:evenHBand="0" w:firstRowFirstColumn="0" w:firstRowLastColumn="0" w:lastRowFirstColumn="0" w:lastRowLastColumn="0"/>
            </w:pPr>
            <w:r>
              <w:t>603</w:t>
            </w:r>
          </w:p>
        </w:tc>
        <w:tc>
          <w:tcPr>
            <w:tcW w:w="811" w:type="dxa"/>
          </w:tcPr>
          <w:p w14:paraId="5B2DFCF3" w14:textId="77777777" w:rsidR="00964B88" w:rsidRDefault="00964B88">
            <w:pPr>
              <w:cnfStyle w:val="000000000000" w:firstRow="0" w:lastRow="0" w:firstColumn="0" w:lastColumn="0" w:oddVBand="0" w:evenVBand="0" w:oddHBand="0" w:evenHBand="0" w:firstRowFirstColumn="0" w:firstRowLastColumn="0" w:lastRowFirstColumn="0" w:lastRowLastColumn="0"/>
            </w:pPr>
            <w:r>
              <w:t>672</w:t>
            </w:r>
          </w:p>
        </w:tc>
        <w:tc>
          <w:tcPr>
            <w:tcW w:w="810" w:type="dxa"/>
          </w:tcPr>
          <w:p w14:paraId="0E4DD357" w14:textId="77777777" w:rsidR="00964B88" w:rsidRDefault="00964B88">
            <w:pPr>
              <w:cnfStyle w:val="000000000000" w:firstRow="0" w:lastRow="0" w:firstColumn="0" w:lastColumn="0" w:oddVBand="0" w:evenVBand="0" w:oddHBand="0" w:evenHBand="0" w:firstRowFirstColumn="0" w:firstRowLastColumn="0" w:lastRowFirstColumn="0" w:lastRowLastColumn="0"/>
            </w:pPr>
            <w:r>
              <w:t>513</w:t>
            </w:r>
          </w:p>
        </w:tc>
        <w:tc>
          <w:tcPr>
            <w:tcW w:w="811" w:type="dxa"/>
          </w:tcPr>
          <w:p w14:paraId="5AB17B02" w14:textId="77777777" w:rsidR="00964B88" w:rsidRDefault="00964B88">
            <w:pPr>
              <w:cnfStyle w:val="000000000000" w:firstRow="0" w:lastRow="0" w:firstColumn="0" w:lastColumn="0" w:oddVBand="0" w:evenVBand="0" w:oddHBand="0" w:evenHBand="0" w:firstRowFirstColumn="0" w:firstRowLastColumn="0" w:lastRowFirstColumn="0" w:lastRowLastColumn="0"/>
            </w:pPr>
            <w:r>
              <w:t>518</w:t>
            </w:r>
          </w:p>
        </w:tc>
        <w:tc>
          <w:tcPr>
            <w:tcW w:w="811" w:type="dxa"/>
          </w:tcPr>
          <w:p w14:paraId="65C8E3BA" w14:textId="77777777" w:rsidR="00964B88" w:rsidRDefault="00964B88">
            <w:pPr>
              <w:cnfStyle w:val="000000000000" w:firstRow="0" w:lastRow="0" w:firstColumn="0" w:lastColumn="0" w:oddVBand="0" w:evenVBand="0" w:oddHBand="0" w:evenHBand="0" w:firstRowFirstColumn="0" w:firstRowLastColumn="0" w:lastRowFirstColumn="0" w:lastRowLastColumn="0"/>
            </w:pPr>
            <w:r>
              <w:t>539</w:t>
            </w:r>
          </w:p>
        </w:tc>
      </w:tr>
      <w:tr w:rsidR="00964B88" w14:paraId="1ED0954D" w14:textId="77777777">
        <w:tc>
          <w:tcPr>
            <w:cnfStyle w:val="001000000000" w:firstRow="0" w:lastRow="0" w:firstColumn="1" w:lastColumn="0" w:oddVBand="0" w:evenVBand="0" w:oddHBand="0" w:evenHBand="0" w:firstRowFirstColumn="0" w:firstRowLastColumn="0" w:lastRowFirstColumn="0" w:lastRowLastColumn="0"/>
            <w:tcW w:w="3715" w:type="dxa"/>
          </w:tcPr>
          <w:p w14:paraId="1C5B760F" w14:textId="77777777" w:rsidR="00964B88" w:rsidRDefault="00964B88">
            <w:r>
              <w:t>Payables</w:t>
            </w:r>
          </w:p>
        </w:tc>
        <w:tc>
          <w:tcPr>
            <w:tcW w:w="810" w:type="dxa"/>
          </w:tcPr>
          <w:p w14:paraId="7BCCE5C0" w14:textId="77777777" w:rsidR="00964B88" w:rsidRDefault="00964B88">
            <w:pPr>
              <w:cnfStyle w:val="000000000000" w:firstRow="0" w:lastRow="0" w:firstColumn="0" w:lastColumn="0" w:oddVBand="0" w:evenVBand="0" w:oddHBand="0" w:evenHBand="0" w:firstRowFirstColumn="0" w:firstRowLastColumn="0" w:lastRowFirstColumn="0" w:lastRowLastColumn="0"/>
            </w:pPr>
            <w:r>
              <w:t>1 808</w:t>
            </w:r>
          </w:p>
        </w:tc>
        <w:tc>
          <w:tcPr>
            <w:tcW w:w="811" w:type="dxa"/>
          </w:tcPr>
          <w:p w14:paraId="7E9701D0" w14:textId="77777777" w:rsidR="00964B88" w:rsidRDefault="00964B88">
            <w:pPr>
              <w:cnfStyle w:val="000000000000" w:firstRow="0" w:lastRow="0" w:firstColumn="0" w:lastColumn="0" w:oddVBand="0" w:evenVBand="0" w:oddHBand="0" w:evenHBand="0" w:firstRowFirstColumn="0" w:firstRowLastColumn="0" w:lastRowFirstColumn="0" w:lastRowLastColumn="0"/>
            </w:pPr>
            <w:r>
              <w:t>1 635</w:t>
            </w:r>
          </w:p>
        </w:tc>
        <w:tc>
          <w:tcPr>
            <w:tcW w:w="810" w:type="dxa"/>
          </w:tcPr>
          <w:p w14:paraId="022D8D90" w14:textId="77777777" w:rsidR="00964B88" w:rsidRDefault="00964B88">
            <w:pPr>
              <w:cnfStyle w:val="000000000000" w:firstRow="0" w:lastRow="0" w:firstColumn="0" w:lastColumn="0" w:oddVBand="0" w:evenVBand="0" w:oddHBand="0" w:evenHBand="0" w:firstRowFirstColumn="0" w:firstRowLastColumn="0" w:lastRowFirstColumn="0" w:lastRowLastColumn="0"/>
            </w:pPr>
            <w:r>
              <w:t>1 677</w:t>
            </w:r>
          </w:p>
        </w:tc>
        <w:tc>
          <w:tcPr>
            <w:tcW w:w="811" w:type="dxa"/>
          </w:tcPr>
          <w:p w14:paraId="289C90AD" w14:textId="77777777" w:rsidR="00964B88" w:rsidRDefault="00964B88">
            <w:pPr>
              <w:cnfStyle w:val="000000000000" w:firstRow="0" w:lastRow="0" w:firstColumn="0" w:lastColumn="0" w:oddVBand="0" w:evenVBand="0" w:oddHBand="0" w:evenHBand="0" w:firstRowFirstColumn="0" w:firstRowLastColumn="0" w:lastRowFirstColumn="0" w:lastRowLastColumn="0"/>
            </w:pPr>
            <w:r>
              <w:t>1 709</w:t>
            </w:r>
          </w:p>
        </w:tc>
        <w:tc>
          <w:tcPr>
            <w:tcW w:w="811" w:type="dxa"/>
          </w:tcPr>
          <w:p w14:paraId="1966FBA5" w14:textId="77777777" w:rsidR="00964B88" w:rsidRDefault="00964B88">
            <w:pPr>
              <w:cnfStyle w:val="000000000000" w:firstRow="0" w:lastRow="0" w:firstColumn="0" w:lastColumn="0" w:oddVBand="0" w:evenVBand="0" w:oddHBand="0" w:evenHBand="0" w:firstRowFirstColumn="0" w:firstRowLastColumn="0" w:lastRowFirstColumn="0" w:lastRowLastColumn="0"/>
            </w:pPr>
            <w:r>
              <w:t>1 741</w:t>
            </w:r>
          </w:p>
        </w:tc>
      </w:tr>
      <w:tr w:rsidR="00964B88" w14:paraId="3F00DB7D" w14:textId="77777777">
        <w:tc>
          <w:tcPr>
            <w:cnfStyle w:val="001000000000" w:firstRow="0" w:lastRow="0" w:firstColumn="1" w:lastColumn="0" w:oddVBand="0" w:evenVBand="0" w:oddHBand="0" w:evenHBand="0" w:firstRowFirstColumn="0" w:firstRowLastColumn="0" w:lastRowFirstColumn="0" w:lastRowLastColumn="0"/>
            <w:tcW w:w="3715" w:type="dxa"/>
          </w:tcPr>
          <w:p w14:paraId="42FC72D4" w14:textId="77777777" w:rsidR="00964B88" w:rsidRDefault="00964B88">
            <w:r>
              <w:t>Borrowings</w:t>
            </w:r>
            <w:r>
              <w:rPr>
                <w:vertAlign w:val="superscript"/>
              </w:rPr>
              <w:t xml:space="preserve"> (c)</w:t>
            </w:r>
          </w:p>
        </w:tc>
        <w:tc>
          <w:tcPr>
            <w:tcW w:w="810" w:type="dxa"/>
          </w:tcPr>
          <w:p w14:paraId="69CE1045" w14:textId="77777777" w:rsidR="00964B88" w:rsidRDefault="00964B88">
            <w:pPr>
              <w:cnfStyle w:val="000000000000" w:firstRow="0" w:lastRow="0" w:firstColumn="0" w:lastColumn="0" w:oddVBand="0" w:evenVBand="0" w:oddHBand="0" w:evenHBand="0" w:firstRowFirstColumn="0" w:firstRowLastColumn="0" w:lastRowFirstColumn="0" w:lastRowLastColumn="0"/>
            </w:pPr>
            <w:r>
              <w:t>49 698</w:t>
            </w:r>
          </w:p>
        </w:tc>
        <w:tc>
          <w:tcPr>
            <w:tcW w:w="811" w:type="dxa"/>
          </w:tcPr>
          <w:p w14:paraId="21531E6E" w14:textId="77777777" w:rsidR="00964B88" w:rsidRDefault="00964B88">
            <w:pPr>
              <w:cnfStyle w:val="000000000000" w:firstRow="0" w:lastRow="0" w:firstColumn="0" w:lastColumn="0" w:oddVBand="0" w:evenVBand="0" w:oddHBand="0" w:evenHBand="0" w:firstRowFirstColumn="0" w:firstRowLastColumn="0" w:lastRowFirstColumn="0" w:lastRowLastColumn="0"/>
            </w:pPr>
            <w:r>
              <w:t>52 821</w:t>
            </w:r>
          </w:p>
        </w:tc>
        <w:tc>
          <w:tcPr>
            <w:tcW w:w="810" w:type="dxa"/>
          </w:tcPr>
          <w:p w14:paraId="0CC32301" w14:textId="77777777" w:rsidR="00964B88" w:rsidRDefault="00964B88">
            <w:pPr>
              <w:cnfStyle w:val="000000000000" w:firstRow="0" w:lastRow="0" w:firstColumn="0" w:lastColumn="0" w:oddVBand="0" w:evenVBand="0" w:oddHBand="0" w:evenHBand="0" w:firstRowFirstColumn="0" w:firstRowLastColumn="0" w:lastRowFirstColumn="0" w:lastRowLastColumn="0"/>
            </w:pPr>
            <w:r>
              <w:t>61 468</w:t>
            </w:r>
          </w:p>
        </w:tc>
        <w:tc>
          <w:tcPr>
            <w:tcW w:w="811" w:type="dxa"/>
          </w:tcPr>
          <w:p w14:paraId="352283F4" w14:textId="77777777" w:rsidR="00964B88" w:rsidRDefault="00964B88">
            <w:pPr>
              <w:cnfStyle w:val="000000000000" w:firstRow="0" w:lastRow="0" w:firstColumn="0" w:lastColumn="0" w:oddVBand="0" w:evenVBand="0" w:oddHBand="0" w:evenHBand="0" w:firstRowFirstColumn="0" w:firstRowLastColumn="0" w:lastRowFirstColumn="0" w:lastRowLastColumn="0"/>
            </w:pPr>
            <w:r>
              <w:t>64 922</w:t>
            </w:r>
          </w:p>
        </w:tc>
        <w:tc>
          <w:tcPr>
            <w:tcW w:w="811" w:type="dxa"/>
          </w:tcPr>
          <w:p w14:paraId="082CF006" w14:textId="77777777" w:rsidR="00964B88" w:rsidRDefault="00964B88">
            <w:pPr>
              <w:cnfStyle w:val="000000000000" w:firstRow="0" w:lastRow="0" w:firstColumn="0" w:lastColumn="0" w:oddVBand="0" w:evenVBand="0" w:oddHBand="0" w:evenHBand="0" w:firstRowFirstColumn="0" w:firstRowLastColumn="0" w:lastRowFirstColumn="0" w:lastRowLastColumn="0"/>
            </w:pPr>
            <w:r>
              <w:t>67 444</w:t>
            </w:r>
          </w:p>
        </w:tc>
      </w:tr>
      <w:tr w:rsidR="00964B88" w14:paraId="47CE53E3" w14:textId="77777777">
        <w:tc>
          <w:tcPr>
            <w:cnfStyle w:val="001000000000" w:firstRow="0" w:lastRow="0" w:firstColumn="1" w:lastColumn="0" w:oddVBand="0" w:evenVBand="0" w:oddHBand="0" w:evenHBand="0" w:firstRowFirstColumn="0" w:firstRowLastColumn="0" w:lastRowFirstColumn="0" w:lastRowLastColumn="0"/>
            <w:tcW w:w="3715" w:type="dxa"/>
          </w:tcPr>
          <w:p w14:paraId="1EF124ED" w14:textId="77777777" w:rsidR="00964B88" w:rsidRDefault="00964B88">
            <w:r>
              <w:t>Employee benefits</w:t>
            </w:r>
          </w:p>
        </w:tc>
        <w:tc>
          <w:tcPr>
            <w:tcW w:w="810" w:type="dxa"/>
          </w:tcPr>
          <w:p w14:paraId="24225BC3" w14:textId="77777777" w:rsidR="00964B88" w:rsidRDefault="00964B88">
            <w:pPr>
              <w:cnfStyle w:val="000000000000" w:firstRow="0" w:lastRow="0" w:firstColumn="0" w:lastColumn="0" w:oddVBand="0" w:evenVBand="0" w:oddHBand="0" w:evenHBand="0" w:firstRowFirstColumn="0" w:firstRowLastColumn="0" w:lastRowFirstColumn="0" w:lastRowLastColumn="0"/>
            </w:pPr>
            <w:r>
              <w:t>112</w:t>
            </w:r>
          </w:p>
        </w:tc>
        <w:tc>
          <w:tcPr>
            <w:tcW w:w="811" w:type="dxa"/>
          </w:tcPr>
          <w:p w14:paraId="5526FC24" w14:textId="77777777" w:rsidR="00964B88" w:rsidRDefault="00964B88">
            <w:pPr>
              <w:cnfStyle w:val="000000000000" w:firstRow="0" w:lastRow="0" w:firstColumn="0" w:lastColumn="0" w:oddVBand="0" w:evenVBand="0" w:oddHBand="0" w:evenHBand="0" w:firstRowFirstColumn="0" w:firstRowLastColumn="0" w:lastRowFirstColumn="0" w:lastRowLastColumn="0"/>
            </w:pPr>
            <w:r>
              <w:t>100</w:t>
            </w:r>
          </w:p>
        </w:tc>
        <w:tc>
          <w:tcPr>
            <w:tcW w:w="810" w:type="dxa"/>
          </w:tcPr>
          <w:p w14:paraId="53A3C2AD" w14:textId="77777777" w:rsidR="00964B88" w:rsidRDefault="00964B88">
            <w:pPr>
              <w:cnfStyle w:val="000000000000" w:firstRow="0" w:lastRow="0" w:firstColumn="0" w:lastColumn="0" w:oddVBand="0" w:evenVBand="0" w:oddHBand="0" w:evenHBand="0" w:firstRowFirstColumn="0" w:firstRowLastColumn="0" w:lastRowFirstColumn="0" w:lastRowLastColumn="0"/>
            </w:pPr>
            <w:r>
              <w:t>102</w:t>
            </w:r>
          </w:p>
        </w:tc>
        <w:tc>
          <w:tcPr>
            <w:tcW w:w="811" w:type="dxa"/>
          </w:tcPr>
          <w:p w14:paraId="4C703945" w14:textId="77777777" w:rsidR="00964B88" w:rsidRDefault="00964B88">
            <w:pPr>
              <w:cnfStyle w:val="000000000000" w:firstRow="0" w:lastRow="0" w:firstColumn="0" w:lastColumn="0" w:oddVBand="0" w:evenVBand="0" w:oddHBand="0" w:evenHBand="0" w:firstRowFirstColumn="0" w:firstRowLastColumn="0" w:lastRowFirstColumn="0" w:lastRowLastColumn="0"/>
            </w:pPr>
            <w:r>
              <w:t>105</w:t>
            </w:r>
          </w:p>
        </w:tc>
        <w:tc>
          <w:tcPr>
            <w:tcW w:w="811" w:type="dxa"/>
          </w:tcPr>
          <w:p w14:paraId="0851DE6B" w14:textId="77777777" w:rsidR="00964B88" w:rsidRDefault="00964B88">
            <w:pPr>
              <w:cnfStyle w:val="000000000000" w:firstRow="0" w:lastRow="0" w:firstColumn="0" w:lastColumn="0" w:oddVBand="0" w:evenVBand="0" w:oddHBand="0" w:evenHBand="0" w:firstRowFirstColumn="0" w:firstRowLastColumn="0" w:lastRowFirstColumn="0" w:lastRowLastColumn="0"/>
            </w:pPr>
            <w:r>
              <w:t>108</w:t>
            </w:r>
          </w:p>
        </w:tc>
      </w:tr>
      <w:tr w:rsidR="00964B88" w14:paraId="44E6578C"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5174FAF7" w14:textId="77777777" w:rsidR="00964B88" w:rsidRDefault="00964B88">
            <w:r>
              <w:t>Other provisions</w:t>
            </w:r>
          </w:p>
        </w:tc>
        <w:tc>
          <w:tcPr>
            <w:tcW w:w="810" w:type="dxa"/>
            <w:tcBorders>
              <w:bottom w:val="single" w:sz="6" w:space="0" w:color="auto"/>
            </w:tcBorders>
          </w:tcPr>
          <w:p w14:paraId="0FCCA4DC" w14:textId="77777777" w:rsidR="00964B88" w:rsidRDefault="00964B88">
            <w:pPr>
              <w:cnfStyle w:val="000000000000" w:firstRow="0" w:lastRow="0" w:firstColumn="0" w:lastColumn="0" w:oddVBand="0" w:evenVBand="0" w:oddHBand="0" w:evenHBand="0" w:firstRowFirstColumn="0" w:firstRowLastColumn="0" w:lastRowFirstColumn="0" w:lastRowLastColumn="0"/>
            </w:pPr>
            <w:r>
              <w:t>42 065</w:t>
            </w:r>
          </w:p>
        </w:tc>
        <w:tc>
          <w:tcPr>
            <w:tcW w:w="811" w:type="dxa"/>
            <w:tcBorders>
              <w:bottom w:val="single" w:sz="6" w:space="0" w:color="auto"/>
            </w:tcBorders>
          </w:tcPr>
          <w:p w14:paraId="38DD3835" w14:textId="77777777" w:rsidR="00964B88" w:rsidRDefault="00964B88">
            <w:pPr>
              <w:cnfStyle w:val="000000000000" w:firstRow="0" w:lastRow="0" w:firstColumn="0" w:lastColumn="0" w:oddVBand="0" w:evenVBand="0" w:oddHBand="0" w:evenHBand="0" w:firstRowFirstColumn="0" w:firstRowLastColumn="0" w:lastRowFirstColumn="0" w:lastRowLastColumn="0"/>
            </w:pPr>
            <w:r>
              <w:t>44 483</w:t>
            </w:r>
          </w:p>
        </w:tc>
        <w:tc>
          <w:tcPr>
            <w:tcW w:w="810" w:type="dxa"/>
            <w:tcBorders>
              <w:bottom w:val="single" w:sz="6" w:space="0" w:color="auto"/>
            </w:tcBorders>
          </w:tcPr>
          <w:p w14:paraId="19C20A25" w14:textId="77777777" w:rsidR="00964B88" w:rsidRDefault="00964B88">
            <w:pPr>
              <w:cnfStyle w:val="000000000000" w:firstRow="0" w:lastRow="0" w:firstColumn="0" w:lastColumn="0" w:oddVBand="0" w:evenVBand="0" w:oddHBand="0" w:evenHBand="0" w:firstRowFirstColumn="0" w:firstRowLastColumn="0" w:lastRowFirstColumn="0" w:lastRowLastColumn="0"/>
            </w:pPr>
            <w:r>
              <w:t>47 244</w:t>
            </w:r>
          </w:p>
        </w:tc>
        <w:tc>
          <w:tcPr>
            <w:tcW w:w="811" w:type="dxa"/>
            <w:tcBorders>
              <w:bottom w:val="single" w:sz="6" w:space="0" w:color="auto"/>
            </w:tcBorders>
          </w:tcPr>
          <w:p w14:paraId="440BEC75" w14:textId="77777777" w:rsidR="00964B88" w:rsidRDefault="00964B88">
            <w:pPr>
              <w:cnfStyle w:val="000000000000" w:firstRow="0" w:lastRow="0" w:firstColumn="0" w:lastColumn="0" w:oddVBand="0" w:evenVBand="0" w:oddHBand="0" w:evenHBand="0" w:firstRowFirstColumn="0" w:firstRowLastColumn="0" w:lastRowFirstColumn="0" w:lastRowLastColumn="0"/>
            </w:pPr>
            <w:r>
              <w:t>50 147</w:t>
            </w:r>
          </w:p>
        </w:tc>
        <w:tc>
          <w:tcPr>
            <w:tcW w:w="811" w:type="dxa"/>
            <w:tcBorders>
              <w:bottom w:val="single" w:sz="6" w:space="0" w:color="auto"/>
            </w:tcBorders>
          </w:tcPr>
          <w:p w14:paraId="187B1521" w14:textId="77777777" w:rsidR="00964B88" w:rsidRDefault="00964B88">
            <w:pPr>
              <w:cnfStyle w:val="000000000000" w:firstRow="0" w:lastRow="0" w:firstColumn="0" w:lastColumn="0" w:oddVBand="0" w:evenVBand="0" w:oddHBand="0" w:evenHBand="0" w:firstRowFirstColumn="0" w:firstRowLastColumn="0" w:lastRowFirstColumn="0" w:lastRowLastColumn="0"/>
            </w:pPr>
            <w:r>
              <w:t>52 959</w:t>
            </w:r>
          </w:p>
        </w:tc>
      </w:tr>
      <w:tr w:rsidR="00964B88" w14:paraId="3508B0A3"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14:paraId="53B9776A" w14:textId="77777777" w:rsidR="00964B88" w:rsidRDefault="00964B88">
            <w:r>
              <w:rPr>
                <w:b/>
              </w:rPr>
              <w:t>Total liabilities</w:t>
            </w:r>
          </w:p>
        </w:tc>
        <w:tc>
          <w:tcPr>
            <w:tcW w:w="810" w:type="dxa"/>
            <w:tcBorders>
              <w:top w:val="single" w:sz="6" w:space="0" w:color="auto"/>
              <w:bottom w:val="single" w:sz="6" w:space="0" w:color="auto"/>
            </w:tcBorders>
          </w:tcPr>
          <w:p w14:paraId="0D270A6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94 286</w:t>
            </w:r>
          </w:p>
        </w:tc>
        <w:tc>
          <w:tcPr>
            <w:tcW w:w="811" w:type="dxa"/>
            <w:tcBorders>
              <w:top w:val="single" w:sz="6" w:space="0" w:color="auto"/>
              <w:bottom w:val="single" w:sz="6" w:space="0" w:color="auto"/>
            </w:tcBorders>
          </w:tcPr>
          <w:p w14:paraId="2DC6022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99 711</w:t>
            </w:r>
          </w:p>
        </w:tc>
        <w:tc>
          <w:tcPr>
            <w:tcW w:w="810" w:type="dxa"/>
            <w:tcBorders>
              <w:top w:val="single" w:sz="6" w:space="0" w:color="auto"/>
              <w:bottom w:val="single" w:sz="6" w:space="0" w:color="auto"/>
            </w:tcBorders>
          </w:tcPr>
          <w:p w14:paraId="204D86F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111 005</w:t>
            </w:r>
          </w:p>
        </w:tc>
        <w:tc>
          <w:tcPr>
            <w:tcW w:w="811" w:type="dxa"/>
            <w:tcBorders>
              <w:top w:val="single" w:sz="6" w:space="0" w:color="auto"/>
              <w:bottom w:val="single" w:sz="6" w:space="0" w:color="auto"/>
            </w:tcBorders>
          </w:tcPr>
          <w:p w14:paraId="59402BD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117 401</w:t>
            </w:r>
          </w:p>
        </w:tc>
        <w:tc>
          <w:tcPr>
            <w:tcW w:w="811" w:type="dxa"/>
            <w:tcBorders>
              <w:top w:val="single" w:sz="6" w:space="0" w:color="auto"/>
              <w:bottom w:val="single" w:sz="6" w:space="0" w:color="auto"/>
            </w:tcBorders>
          </w:tcPr>
          <w:p w14:paraId="0DDEBD1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122 791</w:t>
            </w:r>
          </w:p>
        </w:tc>
      </w:tr>
      <w:tr w:rsidR="00964B88" w14:paraId="494FA7DE"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12" w:space="0" w:color="auto"/>
            </w:tcBorders>
          </w:tcPr>
          <w:p w14:paraId="296D272C" w14:textId="77777777" w:rsidR="00964B88" w:rsidRDefault="00964B88">
            <w:r>
              <w:rPr>
                <w:b/>
              </w:rPr>
              <w:t>Net assets</w:t>
            </w:r>
            <w:r>
              <w:rPr>
                <w:b/>
                <w:vertAlign w:val="superscript"/>
              </w:rPr>
              <w:t xml:space="preserve"> (d)</w:t>
            </w:r>
          </w:p>
        </w:tc>
        <w:tc>
          <w:tcPr>
            <w:tcW w:w="810" w:type="dxa"/>
            <w:tcBorders>
              <w:top w:val="single" w:sz="6" w:space="0" w:color="auto"/>
              <w:bottom w:val="single" w:sz="12" w:space="0" w:color="auto"/>
            </w:tcBorders>
          </w:tcPr>
          <w:p w14:paraId="5B84812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(8 931)</w:t>
            </w:r>
          </w:p>
        </w:tc>
        <w:tc>
          <w:tcPr>
            <w:tcW w:w="811" w:type="dxa"/>
            <w:tcBorders>
              <w:top w:val="single" w:sz="6" w:space="0" w:color="auto"/>
              <w:bottom w:val="single" w:sz="12" w:space="0" w:color="auto"/>
            </w:tcBorders>
          </w:tcPr>
          <w:p w14:paraId="055C6C0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(10 963)</w:t>
            </w:r>
          </w:p>
        </w:tc>
        <w:tc>
          <w:tcPr>
            <w:tcW w:w="810" w:type="dxa"/>
            <w:tcBorders>
              <w:top w:val="single" w:sz="6" w:space="0" w:color="auto"/>
              <w:bottom w:val="single" w:sz="12" w:space="0" w:color="auto"/>
            </w:tcBorders>
          </w:tcPr>
          <w:p w14:paraId="45A9D3E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(13 791)</w:t>
            </w:r>
          </w:p>
        </w:tc>
        <w:tc>
          <w:tcPr>
            <w:tcW w:w="811" w:type="dxa"/>
            <w:tcBorders>
              <w:top w:val="single" w:sz="6" w:space="0" w:color="auto"/>
              <w:bottom w:val="single" w:sz="12" w:space="0" w:color="auto"/>
            </w:tcBorders>
          </w:tcPr>
          <w:p w14:paraId="1F3288E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(15 576)</w:t>
            </w:r>
          </w:p>
        </w:tc>
        <w:tc>
          <w:tcPr>
            <w:tcW w:w="811" w:type="dxa"/>
            <w:tcBorders>
              <w:top w:val="single" w:sz="6" w:space="0" w:color="auto"/>
              <w:bottom w:val="single" w:sz="12" w:space="0" w:color="auto"/>
            </w:tcBorders>
          </w:tcPr>
          <w:p w14:paraId="70BACCC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(16 676)</w:t>
            </w:r>
          </w:p>
        </w:tc>
      </w:tr>
      <w:tr w:rsidR="00964B88" w14:paraId="3014D2BD"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top w:val="single" w:sz="0" w:space="0" w:color="auto"/>
            </w:tcBorders>
          </w:tcPr>
          <w:p w14:paraId="0FE7CFEF" w14:textId="77777777" w:rsidR="00964B88" w:rsidRDefault="00964B88">
            <w:r>
              <w:t>Accumulated surplus/(deficit)</w:t>
            </w:r>
          </w:p>
        </w:tc>
        <w:tc>
          <w:tcPr>
            <w:tcW w:w="810" w:type="dxa"/>
            <w:tcBorders>
              <w:top w:val="single" w:sz="0" w:space="0" w:color="auto"/>
            </w:tcBorders>
          </w:tcPr>
          <w:p w14:paraId="4B20C6F6" w14:textId="77777777" w:rsidR="00964B88" w:rsidRDefault="00964B88">
            <w:pPr>
              <w:cnfStyle w:val="000000000000" w:firstRow="0" w:lastRow="0" w:firstColumn="0" w:lastColumn="0" w:oddVBand="0" w:evenVBand="0" w:oddHBand="0" w:evenHBand="0" w:firstRowFirstColumn="0" w:firstRowLastColumn="0" w:lastRowFirstColumn="0" w:lastRowLastColumn="0"/>
            </w:pPr>
            <w:r>
              <w:t>(9 000)</w:t>
            </w:r>
          </w:p>
        </w:tc>
        <w:tc>
          <w:tcPr>
            <w:tcW w:w="811" w:type="dxa"/>
            <w:tcBorders>
              <w:top w:val="single" w:sz="0" w:space="0" w:color="auto"/>
            </w:tcBorders>
          </w:tcPr>
          <w:p w14:paraId="437D9B9E" w14:textId="77777777" w:rsidR="00964B88" w:rsidRDefault="00964B88">
            <w:pPr>
              <w:cnfStyle w:val="000000000000" w:firstRow="0" w:lastRow="0" w:firstColumn="0" w:lastColumn="0" w:oddVBand="0" w:evenVBand="0" w:oddHBand="0" w:evenHBand="0" w:firstRowFirstColumn="0" w:firstRowLastColumn="0" w:lastRowFirstColumn="0" w:lastRowLastColumn="0"/>
            </w:pPr>
            <w:r>
              <w:t>(11 031)</w:t>
            </w:r>
          </w:p>
        </w:tc>
        <w:tc>
          <w:tcPr>
            <w:tcW w:w="810" w:type="dxa"/>
            <w:tcBorders>
              <w:top w:val="single" w:sz="0" w:space="0" w:color="auto"/>
            </w:tcBorders>
          </w:tcPr>
          <w:p w14:paraId="44C7C47B" w14:textId="77777777" w:rsidR="00964B88" w:rsidRDefault="00964B88">
            <w:pPr>
              <w:cnfStyle w:val="000000000000" w:firstRow="0" w:lastRow="0" w:firstColumn="0" w:lastColumn="0" w:oddVBand="0" w:evenVBand="0" w:oddHBand="0" w:evenHBand="0" w:firstRowFirstColumn="0" w:firstRowLastColumn="0" w:lastRowFirstColumn="0" w:lastRowLastColumn="0"/>
            </w:pPr>
            <w:r>
              <w:t>(13 859)</w:t>
            </w:r>
          </w:p>
        </w:tc>
        <w:tc>
          <w:tcPr>
            <w:tcW w:w="811" w:type="dxa"/>
            <w:tcBorders>
              <w:top w:val="single" w:sz="0" w:space="0" w:color="auto"/>
            </w:tcBorders>
          </w:tcPr>
          <w:p w14:paraId="3EC9727C" w14:textId="77777777" w:rsidR="00964B88" w:rsidRDefault="00964B88">
            <w:pPr>
              <w:cnfStyle w:val="000000000000" w:firstRow="0" w:lastRow="0" w:firstColumn="0" w:lastColumn="0" w:oddVBand="0" w:evenVBand="0" w:oddHBand="0" w:evenHBand="0" w:firstRowFirstColumn="0" w:firstRowLastColumn="0" w:lastRowFirstColumn="0" w:lastRowLastColumn="0"/>
            </w:pPr>
            <w:r>
              <w:t>(15 644)</w:t>
            </w:r>
          </w:p>
        </w:tc>
        <w:tc>
          <w:tcPr>
            <w:tcW w:w="811" w:type="dxa"/>
            <w:tcBorders>
              <w:top w:val="single" w:sz="0" w:space="0" w:color="auto"/>
            </w:tcBorders>
          </w:tcPr>
          <w:p w14:paraId="5139C3AE" w14:textId="77777777" w:rsidR="00964B88" w:rsidRDefault="00964B88">
            <w:pPr>
              <w:cnfStyle w:val="000000000000" w:firstRow="0" w:lastRow="0" w:firstColumn="0" w:lastColumn="0" w:oddVBand="0" w:evenVBand="0" w:oddHBand="0" w:evenHBand="0" w:firstRowFirstColumn="0" w:firstRowLastColumn="0" w:lastRowFirstColumn="0" w:lastRowLastColumn="0"/>
            </w:pPr>
            <w:r>
              <w:t>(16 744)</w:t>
            </w:r>
          </w:p>
        </w:tc>
      </w:tr>
      <w:tr w:rsidR="00964B88" w14:paraId="47A4AA66"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bottom w:val="single" w:sz="6" w:space="0" w:color="auto"/>
            </w:tcBorders>
          </w:tcPr>
          <w:p w14:paraId="29E55F0C" w14:textId="77777777" w:rsidR="00964B88" w:rsidRDefault="00964B88">
            <w:r>
              <w:t>Reserves</w:t>
            </w:r>
          </w:p>
        </w:tc>
        <w:tc>
          <w:tcPr>
            <w:tcW w:w="810" w:type="dxa"/>
            <w:tcBorders>
              <w:bottom w:val="single" w:sz="6" w:space="0" w:color="auto"/>
            </w:tcBorders>
          </w:tcPr>
          <w:p w14:paraId="5F7C26A6" w14:textId="77777777" w:rsidR="00964B88" w:rsidRDefault="00964B88">
            <w:pPr>
              <w:cnfStyle w:val="000000000000" w:firstRow="0" w:lastRow="0" w:firstColumn="0" w:lastColumn="0" w:oddVBand="0" w:evenVBand="0" w:oddHBand="0" w:evenHBand="0" w:firstRowFirstColumn="0" w:firstRowLastColumn="0" w:lastRowFirstColumn="0" w:lastRowLastColumn="0"/>
            </w:pPr>
            <w:r>
              <w:t>68</w:t>
            </w:r>
          </w:p>
        </w:tc>
        <w:tc>
          <w:tcPr>
            <w:tcW w:w="811" w:type="dxa"/>
            <w:tcBorders>
              <w:bottom w:val="single" w:sz="6" w:space="0" w:color="auto"/>
            </w:tcBorders>
          </w:tcPr>
          <w:p w14:paraId="38E39F99" w14:textId="77777777" w:rsidR="00964B88" w:rsidRDefault="00964B88">
            <w:pPr>
              <w:cnfStyle w:val="000000000000" w:firstRow="0" w:lastRow="0" w:firstColumn="0" w:lastColumn="0" w:oddVBand="0" w:evenVBand="0" w:oddHBand="0" w:evenHBand="0" w:firstRowFirstColumn="0" w:firstRowLastColumn="0" w:lastRowFirstColumn="0" w:lastRowLastColumn="0"/>
            </w:pPr>
            <w:r>
              <w:t>68</w:t>
            </w:r>
          </w:p>
        </w:tc>
        <w:tc>
          <w:tcPr>
            <w:tcW w:w="810" w:type="dxa"/>
            <w:tcBorders>
              <w:bottom w:val="single" w:sz="6" w:space="0" w:color="auto"/>
            </w:tcBorders>
          </w:tcPr>
          <w:p w14:paraId="0F6E7CA3" w14:textId="77777777" w:rsidR="00964B88" w:rsidRDefault="00964B88">
            <w:pPr>
              <w:cnfStyle w:val="000000000000" w:firstRow="0" w:lastRow="0" w:firstColumn="0" w:lastColumn="0" w:oddVBand="0" w:evenVBand="0" w:oddHBand="0" w:evenHBand="0" w:firstRowFirstColumn="0" w:firstRowLastColumn="0" w:lastRowFirstColumn="0" w:lastRowLastColumn="0"/>
            </w:pPr>
            <w:r>
              <w:t>68</w:t>
            </w:r>
          </w:p>
        </w:tc>
        <w:tc>
          <w:tcPr>
            <w:tcW w:w="811" w:type="dxa"/>
            <w:tcBorders>
              <w:bottom w:val="single" w:sz="6" w:space="0" w:color="auto"/>
            </w:tcBorders>
          </w:tcPr>
          <w:p w14:paraId="1CB03AB4" w14:textId="77777777" w:rsidR="00964B88" w:rsidRDefault="00964B88">
            <w:pPr>
              <w:cnfStyle w:val="000000000000" w:firstRow="0" w:lastRow="0" w:firstColumn="0" w:lastColumn="0" w:oddVBand="0" w:evenVBand="0" w:oddHBand="0" w:evenHBand="0" w:firstRowFirstColumn="0" w:firstRowLastColumn="0" w:lastRowFirstColumn="0" w:lastRowLastColumn="0"/>
            </w:pPr>
            <w:r>
              <w:t>68</w:t>
            </w:r>
          </w:p>
        </w:tc>
        <w:tc>
          <w:tcPr>
            <w:tcW w:w="811" w:type="dxa"/>
            <w:tcBorders>
              <w:bottom w:val="single" w:sz="6" w:space="0" w:color="auto"/>
            </w:tcBorders>
          </w:tcPr>
          <w:p w14:paraId="2FC8DBCA" w14:textId="77777777" w:rsidR="00964B88" w:rsidRDefault="00964B88">
            <w:pPr>
              <w:cnfStyle w:val="000000000000" w:firstRow="0" w:lastRow="0" w:firstColumn="0" w:lastColumn="0" w:oddVBand="0" w:evenVBand="0" w:oddHBand="0" w:evenHBand="0" w:firstRowFirstColumn="0" w:firstRowLastColumn="0" w:lastRowFirstColumn="0" w:lastRowLastColumn="0"/>
            </w:pPr>
            <w:r>
              <w:t>68</w:t>
            </w:r>
          </w:p>
        </w:tc>
      </w:tr>
      <w:tr w:rsidR="00964B88" w14:paraId="574E6837" w14:textId="77777777" w:rsidTr="00F53820">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12" w:space="0" w:color="auto"/>
            </w:tcBorders>
          </w:tcPr>
          <w:p w14:paraId="1329F8FA" w14:textId="77777777" w:rsidR="00964B88" w:rsidRDefault="00964B88">
            <w:r>
              <w:rPr>
                <w:b/>
              </w:rPr>
              <w:t>Net worth</w:t>
            </w:r>
            <w:r>
              <w:rPr>
                <w:b/>
                <w:vertAlign w:val="superscript"/>
              </w:rPr>
              <w:t xml:space="preserve"> (d)</w:t>
            </w:r>
          </w:p>
        </w:tc>
        <w:tc>
          <w:tcPr>
            <w:tcW w:w="810" w:type="dxa"/>
            <w:tcBorders>
              <w:top w:val="single" w:sz="6" w:space="0" w:color="auto"/>
              <w:bottom w:val="single" w:sz="12" w:space="0" w:color="auto"/>
            </w:tcBorders>
          </w:tcPr>
          <w:p w14:paraId="4C41543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(8 931)</w:t>
            </w:r>
          </w:p>
        </w:tc>
        <w:tc>
          <w:tcPr>
            <w:tcW w:w="811" w:type="dxa"/>
            <w:tcBorders>
              <w:top w:val="single" w:sz="6" w:space="0" w:color="auto"/>
              <w:bottom w:val="single" w:sz="12" w:space="0" w:color="auto"/>
            </w:tcBorders>
          </w:tcPr>
          <w:p w14:paraId="0148306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(10 963)</w:t>
            </w:r>
          </w:p>
        </w:tc>
        <w:tc>
          <w:tcPr>
            <w:tcW w:w="810" w:type="dxa"/>
            <w:tcBorders>
              <w:top w:val="single" w:sz="6" w:space="0" w:color="auto"/>
              <w:bottom w:val="single" w:sz="12" w:space="0" w:color="auto"/>
            </w:tcBorders>
          </w:tcPr>
          <w:p w14:paraId="4974926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(13 791)</w:t>
            </w:r>
          </w:p>
        </w:tc>
        <w:tc>
          <w:tcPr>
            <w:tcW w:w="811" w:type="dxa"/>
            <w:tcBorders>
              <w:top w:val="single" w:sz="6" w:space="0" w:color="auto"/>
              <w:bottom w:val="single" w:sz="12" w:space="0" w:color="auto"/>
            </w:tcBorders>
          </w:tcPr>
          <w:p w14:paraId="1821C78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(15 576)</w:t>
            </w:r>
          </w:p>
        </w:tc>
        <w:tc>
          <w:tcPr>
            <w:tcW w:w="811" w:type="dxa"/>
            <w:tcBorders>
              <w:top w:val="single" w:sz="6" w:space="0" w:color="auto"/>
              <w:bottom w:val="single" w:sz="12" w:space="0" w:color="auto"/>
            </w:tcBorders>
          </w:tcPr>
          <w:p w14:paraId="62F11F6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(16 676)</w:t>
            </w:r>
          </w:p>
        </w:tc>
      </w:tr>
      <w:tr w:rsidR="00964B88" w14:paraId="6B3624CE" w14:textId="77777777" w:rsidTr="00F53820">
        <w:trPr>
          <w:trHeight w:hRule="exact" w:val="113"/>
        </w:trPr>
        <w:tc>
          <w:tcPr>
            <w:cnfStyle w:val="001000000000" w:firstRow="0" w:lastRow="0" w:firstColumn="1" w:lastColumn="0" w:oddVBand="0" w:evenVBand="0" w:oddHBand="0" w:evenHBand="0" w:firstRowFirstColumn="0" w:firstRowLastColumn="0" w:lastRowFirstColumn="0" w:lastRowLastColumn="0"/>
            <w:tcW w:w="3715" w:type="dxa"/>
            <w:tcBorders>
              <w:top w:val="single" w:sz="0" w:space="0" w:color="auto"/>
            </w:tcBorders>
          </w:tcPr>
          <w:p w14:paraId="7600EFDA" w14:textId="77777777" w:rsidR="00964B88" w:rsidRDefault="00964B88"/>
        </w:tc>
        <w:tc>
          <w:tcPr>
            <w:tcW w:w="810" w:type="dxa"/>
            <w:tcBorders>
              <w:top w:val="single" w:sz="0" w:space="0" w:color="auto"/>
            </w:tcBorders>
          </w:tcPr>
          <w:p w14:paraId="1CFE714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0" w:space="0" w:color="auto"/>
            </w:tcBorders>
          </w:tcPr>
          <w:p w14:paraId="684CD75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Borders>
              <w:top w:val="single" w:sz="0" w:space="0" w:color="auto"/>
            </w:tcBorders>
          </w:tcPr>
          <w:p w14:paraId="66EEB61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0" w:space="0" w:color="auto"/>
            </w:tcBorders>
          </w:tcPr>
          <w:p w14:paraId="6ECC901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Borders>
              <w:top w:val="single" w:sz="0" w:space="0" w:color="auto"/>
            </w:tcBorders>
          </w:tcPr>
          <w:p w14:paraId="38C1506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76792DDD" w14:textId="77777777">
        <w:tc>
          <w:tcPr>
            <w:cnfStyle w:val="001000000000" w:firstRow="0" w:lastRow="0" w:firstColumn="1" w:lastColumn="0" w:oddVBand="0" w:evenVBand="0" w:oddHBand="0" w:evenHBand="0" w:firstRowFirstColumn="0" w:firstRowLastColumn="0" w:lastRowFirstColumn="0" w:lastRowLastColumn="0"/>
            <w:tcW w:w="3715" w:type="dxa"/>
          </w:tcPr>
          <w:p w14:paraId="172EE52E" w14:textId="77777777" w:rsidR="00964B88" w:rsidRDefault="00964B88">
            <w:r>
              <w:rPr>
                <w:b/>
              </w:rPr>
              <w:t>FISCAL AGGREGATES</w:t>
            </w:r>
          </w:p>
        </w:tc>
        <w:tc>
          <w:tcPr>
            <w:tcW w:w="810" w:type="dxa"/>
          </w:tcPr>
          <w:p w14:paraId="7D1AD06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08B8FBB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0" w:type="dxa"/>
          </w:tcPr>
          <w:p w14:paraId="3B9CA93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04147CC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11" w:type="dxa"/>
          </w:tcPr>
          <w:p w14:paraId="2102761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74C6DA6" w14:textId="77777777">
        <w:tc>
          <w:tcPr>
            <w:cnfStyle w:val="001000000000" w:firstRow="0" w:lastRow="0" w:firstColumn="1" w:lastColumn="0" w:oddVBand="0" w:evenVBand="0" w:oddHBand="0" w:evenHBand="0" w:firstRowFirstColumn="0" w:firstRowLastColumn="0" w:lastRowFirstColumn="0" w:lastRowLastColumn="0"/>
            <w:tcW w:w="3715" w:type="dxa"/>
          </w:tcPr>
          <w:p w14:paraId="21E16B80" w14:textId="77777777" w:rsidR="00964B88" w:rsidRDefault="00964B88">
            <w:r>
              <w:t>Net financial worth</w:t>
            </w:r>
          </w:p>
        </w:tc>
        <w:tc>
          <w:tcPr>
            <w:tcW w:w="810" w:type="dxa"/>
          </w:tcPr>
          <w:p w14:paraId="5FE5DCD9" w14:textId="77777777" w:rsidR="00964B88" w:rsidRDefault="00964B88">
            <w:pPr>
              <w:cnfStyle w:val="000000000000" w:firstRow="0" w:lastRow="0" w:firstColumn="0" w:lastColumn="0" w:oddVBand="0" w:evenVBand="0" w:oddHBand="0" w:evenHBand="0" w:firstRowFirstColumn="0" w:firstRowLastColumn="0" w:lastRowFirstColumn="0" w:lastRowLastColumn="0"/>
            </w:pPr>
            <w:r>
              <w:t>(12 315)</w:t>
            </w:r>
          </w:p>
        </w:tc>
        <w:tc>
          <w:tcPr>
            <w:tcW w:w="811" w:type="dxa"/>
          </w:tcPr>
          <w:p w14:paraId="10565863" w14:textId="77777777" w:rsidR="00964B88" w:rsidRDefault="00964B88">
            <w:pPr>
              <w:cnfStyle w:val="000000000000" w:firstRow="0" w:lastRow="0" w:firstColumn="0" w:lastColumn="0" w:oddVBand="0" w:evenVBand="0" w:oddHBand="0" w:evenHBand="0" w:firstRowFirstColumn="0" w:firstRowLastColumn="0" w:lastRowFirstColumn="0" w:lastRowLastColumn="0"/>
            </w:pPr>
            <w:r>
              <w:t>(15 131)</w:t>
            </w:r>
          </w:p>
        </w:tc>
        <w:tc>
          <w:tcPr>
            <w:tcW w:w="810" w:type="dxa"/>
          </w:tcPr>
          <w:p w14:paraId="5B89827D" w14:textId="77777777" w:rsidR="00964B88" w:rsidRDefault="00964B88">
            <w:pPr>
              <w:cnfStyle w:val="000000000000" w:firstRow="0" w:lastRow="0" w:firstColumn="0" w:lastColumn="0" w:oddVBand="0" w:evenVBand="0" w:oddHBand="0" w:evenHBand="0" w:firstRowFirstColumn="0" w:firstRowLastColumn="0" w:lastRowFirstColumn="0" w:lastRowLastColumn="0"/>
            </w:pPr>
            <w:r>
              <w:t>(18 382)</w:t>
            </w:r>
          </w:p>
        </w:tc>
        <w:tc>
          <w:tcPr>
            <w:tcW w:w="811" w:type="dxa"/>
          </w:tcPr>
          <w:p w14:paraId="455FDBE9" w14:textId="77777777" w:rsidR="00964B88" w:rsidRDefault="00964B88">
            <w:pPr>
              <w:cnfStyle w:val="000000000000" w:firstRow="0" w:lastRow="0" w:firstColumn="0" w:lastColumn="0" w:oddVBand="0" w:evenVBand="0" w:oddHBand="0" w:evenHBand="0" w:firstRowFirstColumn="0" w:firstRowLastColumn="0" w:lastRowFirstColumn="0" w:lastRowLastColumn="0"/>
            </w:pPr>
            <w:r>
              <w:t>(20 497)</w:t>
            </w:r>
          </w:p>
        </w:tc>
        <w:tc>
          <w:tcPr>
            <w:tcW w:w="811" w:type="dxa"/>
          </w:tcPr>
          <w:p w14:paraId="09846612" w14:textId="77777777" w:rsidR="00964B88" w:rsidRDefault="00964B88">
            <w:pPr>
              <w:cnfStyle w:val="000000000000" w:firstRow="0" w:lastRow="0" w:firstColumn="0" w:lastColumn="0" w:oddVBand="0" w:evenVBand="0" w:oddHBand="0" w:evenHBand="0" w:firstRowFirstColumn="0" w:firstRowLastColumn="0" w:lastRowFirstColumn="0" w:lastRowLastColumn="0"/>
            </w:pPr>
            <w:r>
              <w:t>(21 850)</w:t>
            </w:r>
          </w:p>
        </w:tc>
      </w:tr>
      <w:tr w:rsidR="00964B88" w14:paraId="34CE8345" w14:textId="77777777">
        <w:tc>
          <w:tcPr>
            <w:cnfStyle w:val="001000000000" w:firstRow="0" w:lastRow="0" w:firstColumn="1" w:lastColumn="0" w:oddVBand="0" w:evenVBand="0" w:oddHBand="0" w:evenHBand="0" w:firstRowFirstColumn="0" w:firstRowLastColumn="0" w:lastRowFirstColumn="0" w:lastRowLastColumn="0"/>
            <w:tcW w:w="3715" w:type="dxa"/>
          </w:tcPr>
          <w:p w14:paraId="0A173A1F" w14:textId="77777777" w:rsidR="00964B88" w:rsidRDefault="00964B88">
            <w:r>
              <w:t>Net financial liabilities</w:t>
            </w:r>
          </w:p>
        </w:tc>
        <w:tc>
          <w:tcPr>
            <w:tcW w:w="810" w:type="dxa"/>
          </w:tcPr>
          <w:p w14:paraId="381D6F4F" w14:textId="77777777" w:rsidR="00964B88" w:rsidRDefault="00964B88">
            <w:pPr>
              <w:cnfStyle w:val="000000000000" w:firstRow="0" w:lastRow="0" w:firstColumn="0" w:lastColumn="0" w:oddVBand="0" w:evenVBand="0" w:oddHBand="0" w:evenHBand="0" w:firstRowFirstColumn="0" w:firstRowLastColumn="0" w:lastRowFirstColumn="0" w:lastRowLastColumn="0"/>
            </w:pPr>
            <w:r>
              <w:t>12 315</w:t>
            </w:r>
          </w:p>
        </w:tc>
        <w:tc>
          <w:tcPr>
            <w:tcW w:w="811" w:type="dxa"/>
          </w:tcPr>
          <w:p w14:paraId="5C43FE71" w14:textId="77777777" w:rsidR="00964B88" w:rsidRDefault="00964B88">
            <w:pPr>
              <w:cnfStyle w:val="000000000000" w:firstRow="0" w:lastRow="0" w:firstColumn="0" w:lastColumn="0" w:oddVBand="0" w:evenVBand="0" w:oddHBand="0" w:evenHBand="0" w:firstRowFirstColumn="0" w:firstRowLastColumn="0" w:lastRowFirstColumn="0" w:lastRowLastColumn="0"/>
            </w:pPr>
            <w:r>
              <w:t>15 131</w:t>
            </w:r>
          </w:p>
        </w:tc>
        <w:tc>
          <w:tcPr>
            <w:tcW w:w="810" w:type="dxa"/>
          </w:tcPr>
          <w:p w14:paraId="37851F9A" w14:textId="77777777" w:rsidR="00964B88" w:rsidRDefault="00964B88">
            <w:pPr>
              <w:cnfStyle w:val="000000000000" w:firstRow="0" w:lastRow="0" w:firstColumn="0" w:lastColumn="0" w:oddVBand="0" w:evenVBand="0" w:oddHBand="0" w:evenHBand="0" w:firstRowFirstColumn="0" w:firstRowLastColumn="0" w:lastRowFirstColumn="0" w:lastRowLastColumn="0"/>
            </w:pPr>
            <w:r>
              <w:t>18 382</w:t>
            </w:r>
          </w:p>
        </w:tc>
        <w:tc>
          <w:tcPr>
            <w:tcW w:w="811" w:type="dxa"/>
          </w:tcPr>
          <w:p w14:paraId="091A15AA" w14:textId="77777777" w:rsidR="00964B88" w:rsidRDefault="00964B88">
            <w:pPr>
              <w:cnfStyle w:val="000000000000" w:firstRow="0" w:lastRow="0" w:firstColumn="0" w:lastColumn="0" w:oddVBand="0" w:evenVBand="0" w:oddHBand="0" w:evenHBand="0" w:firstRowFirstColumn="0" w:firstRowLastColumn="0" w:lastRowFirstColumn="0" w:lastRowLastColumn="0"/>
            </w:pPr>
            <w:r>
              <w:t>20 497</w:t>
            </w:r>
          </w:p>
        </w:tc>
        <w:tc>
          <w:tcPr>
            <w:tcW w:w="811" w:type="dxa"/>
          </w:tcPr>
          <w:p w14:paraId="48BDCF82" w14:textId="77777777" w:rsidR="00964B88" w:rsidRDefault="00964B88">
            <w:pPr>
              <w:cnfStyle w:val="000000000000" w:firstRow="0" w:lastRow="0" w:firstColumn="0" w:lastColumn="0" w:oddVBand="0" w:evenVBand="0" w:oddHBand="0" w:evenHBand="0" w:firstRowFirstColumn="0" w:firstRowLastColumn="0" w:lastRowFirstColumn="0" w:lastRowLastColumn="0"/>
            </w:pPr>
            <w:r>
              <w:t>21 850</w:t>
            </w:r>
          </w:p>
        </w:tc>
      </w:tr>
      <w:tr w:rsidR="00964B88" w14:paraId="6F143217" w14:textId="77777777">
        <w:tc>
          <w:tcPr>
            <w:cnfStyle w:val="001000000000" w:firstRow="0" w:lastRow="0" w:firstColumn="1" w:lastColumn="0" w:oddVBand="0" w:evenVBand="0" w:oddHBand="0" w:evenHBand="0" w:firstRowFirstColumn="0" w:firstRowLastColumn="0" w:lastRowFirstColumn="0" w:lastRowLastColumn="0"/>
            <w:tcW w:w="3715" w:type="dxa"/>
          </w:tcPr>
          <w:p w14:paraId="718ECE1F" w14:textId="77777777" w:rsidR="00964B88" w:rsidRDefault="00964B88">
            <w:r>
              <w:t>Net debt</w:t>
            </w:r>
          </w:p>
        </w:tc>
        <w:tc>
          <w:tcPr>
            <w:tcW w:w="810" w:type="dxa"/>
          </w:tcPr>
          <w:p w14:paraId="0E867639" w14:textId="77777777" w:rsidR="00964B88" w:rsidRDefault="00964B88">
            <w:pPr>
              <w:cnfStyle w:val="000000000000" w:firstRow="0" w:lastRow="0" w:firstColumn="0" w:lastColumn="0" w:oddVBand="0" w:evenVBand="0" w:oddHBand="0" w:evenHBand="0" w:firstRowFirstColumn="0" w:firstRowLastColumn="0" w:lastRowFirstColumn="0" w:lastRowLastColumn="0"/>
            </w:pPr>
            <w:r>
              <w:t>(29 452)</w:t>
            </w:r>
          </w:p>
        </w:tc>
        <w:tc>
          <w:tcPr>
            <w:tcW w:w="811" w:type="dxa"/>
          </w:tcPr>
          <w:p w14:paraId="57721F07" w14:textId="77777777" w:rsidR="00964B88" w:rsidRDefault="00964B88">
            <w:pPr>
              <w:cnfStyle w:val="000000000000" w:firstRow="0" w:lastRow="0" w:firstColumn="0" w:lastColumn="0" w:oddVBand="0" w:evenVBand="0" w:oddHBand="0" w:evenHBand="0" w:firstRowFirstColumn="0" w:firstRowLastColumn="0" w:lastRowFirstColumn="0" w:lastRowLastColumn="0"/>
            </w:pPr>
            <w:r>
              <w:t>(29 180)</w:t>
            </w:r>
          </w:p>
        </w:tc>
        <w:tc>
          <w:tcPr>
            <w:tcW w:w="810" w:type="dxa"/>
          </w:tcPr>
          <w:p w14:paraId="501D43D5" w14:textId="77777777" w:rsidR="00964B88" w:rsidRDefault="00964B88">
            <w:pPr>
              <w:cnfStyle w:val="000000000000" w:firstRow="0" w:lastRow="0" w:firstColumn="0" w:lastColumn="0" w:oddVBand="0" w:evenVBand="0" w:oddHBand="0" w:evenHBand="0" w:firstRowFirstColumn="0" w:firstRowLastColumn="0" w:lastRowFirstColumn="0" w:lastRowLastColumn="0"/>
            </w:pPr>
            <w:r>
              <w:t>(28 683)</w:t>
            </w:r>
          </w:p>
        </w:tc>
        <w:tc>
          <w:tcPr>
            <w:tcW w:w="811" w:type="dxa"/>
          </w:tcPr>
          <w:p w14:paraId="0DC018A0" w14:textId="77777777" w:rsidR="00964B88" w:rsidRDefault="00964B88">
            <w:pPr>
              <w:cnfStyle w:val="000000000000" w:firstRow="0" w:lastRow="0" w:firstColumn="0" w:lastColumn="0" w:oddVBand="0" w:evenVBand="0" w:oddHBand="0" w:evenHBand="0" w:firstRowFirstColumn="0" w:firstRowLastColumn="0" w:lastRowFirstColumn="0" w:lastRowLastColumn="0"/>
            </w:pPr>
            <w:r>
              <w:t>(29 429)</w:t>
            </w:r>
          </w:p>
        </w:tc>
        <w:tc>
          <w:tcPr>
            <w:tcW w:w="811" w:type="dxa"/>
          </w:tcPr>
          <w:p w14:paraId="1D7D683A" w14:textId="77777777" w:rsidR="00964B88" w:rsidRDefault="00964B88">
            <w:pPr>
              <w:cnfStyle w:val="000000000000" w:firstRow="0" w:lastRow="0" w:firstColumn="0" w:lastColumn="0" w:oddVBand="0" w:evenVBand="0" w:oddHBand="0" w:evenHBand="0" w:firstRowFirstColumn="0" w:firstRowLastColumn="0" w:lastRowFirstColumn="0" w:lastRowLastColumn="0"/>
            </w:pPr>
            <w:r>
              <w:t>(30 843)</w:t>
            </w:r>
          </w:p>
        </w:tc>
      </w:tr>
    </w:tbl>
    <w:p w14:paraId="74D27EF5" w14:textId="77777777" w:rsidR="00964B88" w:rsidRPr="006E4D7E" w:rsidRDefault="00964B88" w:rsidP="00F53820">
      <w:pPr>
        <w:pStyle w:val="Note"/>
      </w:pPr>
      <w:r w:rsidRPr="006E4D7E">
        <w:t>Notes:</w:t>
      </w:r>
    </w:p>
    <w:p w14:paraId="4A5D7EB4" w14:textId="77777777" w:rsidR="00964B88" w:rsidRPr="006E4D7E" w:rsidRDefault="00964B88" w:rsidP="00F53820">
      <w:pPr>
        <w:pStyle w:val="Note"/>
      </w:pPr>
      <w:r w:rsidRPr="006E4D7E">
        <w:t>(a)</w:t>
      </w:r>
      <w:r w:rsidRPr="006E4D7E">
        <w:tab/>
        <w:t>Balances represent actual opening balances at 1 July 201</w:t>
      </w:r>
      <w:r>
        <w:t>9</w:t>
      </w:r>
      <w:r w:rsidRPr="006E4D7E">
        <w:t xml:space="preserve"> plus 201</w:t>
      </w:r>
      <w:r>
        <w:t>9</w:t>
      </w:r>
      <w:r w:rsidRPr="006E4D7E">
        <w:t>-</w:t>
      </w:r>
      <w:r>
        <w:t>20</w:t>
      </w:r>
      <w:r w:rsidRPr="006E4D7E">
        <w:t xml:space="preserve"> budgeted movements.</w:t>
      </w:r>
    </w:p>
    <w:p w14:paraId="7FD2A969" w14:textId="77777777" w:rsidR="00964B88" w:rsidRPr="006E4D7E" w:rsidRDefault="00964B88" w:rsidP="00F53820">
      <w:pPr>
        <w:pStyle w:val="Note"/>
      </w:pPr>
      <w:r w:rsidRPr="006E4D7E">
        <w:t>(b)</w:t>
      </w:r>
      <w:r w:rsidRPr="006E4D7E">
        <w:tab/>
        <w:t>Loans receivable from the non-financial public sector are at amortised cost.</w:t>
      </w:r>
    </w:p>
    <w:p w14:paraId="4FBA222C" w14:textId="77777777" w:rsidR="00964B88" w:rsidRPr="006E4D7E" w:rsidRDefault="00964B88" w:rsidP="00F53820">
      <w:pPr>
        <w:pStyle w:val="Note"/>
      </w:pPr>
      <w:r w:rsidRPr="006E4D7E">
        <w:t>(c)</w:t>
      </w:r>
      <w:r w:rsidRPr="006E4D7E">
        <w:tab/>
        <w:t>Borrowings with the private sector are at market value.</w:t>
      </w:r>
    </w:p>
    <w:p w14:paraId="32BDC3BB" w14:textId="77777777" w:rsidR="00964B88" w:rsidRPr="006E4D7E" w:rsidRDefault="00964B88" w:rsidP="00F53820">
      <w:pPr>
        <w:pStyle w:val="Note"/>
      </w:pPr>
      <w:r w:rsidRPr="006E4D7E">
        <w:t>(d)</w:t>
      </w:r>
      <w:r w:rsidRPr="006E4D7E">
        <w:tab/>
        <w:t>Treasury Corporation of Victoria’s external loan liabilities are at mark-to-market value while the corresponding assets, that is lending to the non-financial public sector, is at historical value. This mismatch results in the negative net asset position of the sector.</w:t>
      </w:r>
    </w:p>
    <w:p w14:paraId="350ABD4B" w14:textId="77777777" w:rsidR="00964B88" w:rsidRPr="00AB0006" w:rsidRDefault="00964B88" w:rsidP="00F53820">
      <w:pPr>
        <w:keepLines w:val="0"/>
        <w:rPr>
          <w:rFonts w:asciiTheme="majorHAnsi" w:hAnsiTheme="majorHAnsi" w:cs="Times New Roman"/>
          <w:i/>
          <w:sz w:val="15"/>
          <w:szCs w:val="15"/>
          <w:lang w:eastAsia="en-AU"/>
        </w:rPr>
      </w:pPr>
      <w:r>
        <w:rPr>
          <w:rFonts w:asciiTheme="majorHAnsi" w:hAnsiTheme="majorHAnsi" w:cs="Times New Roman"/>
          <w:i/>
          <w:sz w:val="15"/>
          <w:szCs w:val="15"/>
          <w:lang w:eastAsia="en-AU"/>
        </w:rPr>
        <w:br w:type="page"/>
      </w:r>
    </w:p>
    <w:p w14:paraId="780CB059" w14:textId="77777777" w:rsidR="00964B88" w:rsidRDefault="00964B88" w:rsidP="00F53820">
      <w:pPr>
        <w:pStyle w:val="TableHeading"/>
      </w:pPr>
      <w:r>
        <w:lastRenderedPageBreak/>
        <w:t>Table 5.13</w:t>
      </w:r>
      <w:r w:rsidR="009C1504">
        <w:t>:</w:t>
      </w:r>
      <w:r>
        <w:tab/>
        <w:t xml:space="preserve">Public financial corporations sector cash flow statement </w:t>
      </w:r>
      <w:r w:rsidR="00506B7C">
        <w:br/>
      </w:r>
      <w:r>
        <w:t>for the financial year ended 30 June</w:t>
      </w:r>
      <w:r>
        <w:tab/>
        <w:t>($ million)</w:t>
      </w:r>
    </w:p>
    <w:tbl>
      <w:tblPr>
        <w:tblStyle w:val="DTFTable"/>
        <w:tblW w:w="7768" w:type="dxa"/>
        <w:tblLayout w:type="fixed"/>
        <w:tblLook w:val="06E0" w:firstRow="1" w:lastRow="1" w:firstColumn="1" w:lastColumn="0" w:noHBand="1" w:noVBand="1"/>
      </w:tblPr>
      <w:tblGrid>
        <w:gridCol w:w="3998"/>
        <w:gridCol w:w="142"/>
        <w:gridCol w:w="612"/>
        <w:gridCol w:w="754"/>
        <w:gridCol w:w="754"/>
        <w:gridCol w:w="754"/>
        <w:gridCol w:w="754"/>
      </w:tblGrid>
      <w:tr w:rsidR="00964B88" w14:paraId="2066DF5C" w14:textId="77777777" w:rsidTr="000769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14:paraId="19D638D3" w14:textId="77777777" w:rsidR="00964B88" w:rsidRDefault="00964B88">
            <w:pPr>
              <w:rPr>
                <w:sz w:val="16"/>
              </w:rPr>
            </w:pPr>
          </w:p>
        </w:tc>
        <w:tc>
          <w:tcPr>
            <w:tcW w:w="754" w:type="dxa"/>
            <w:gridSpan w:val="2"/>
          </w:tcPr>
          <w:p w14:paraId="4A4EBF1C"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2019</w:t>
            </w:r>
            <w:r>
              <w:rPr>
                <w:sz w:val="16"/>
              </w:rPr>
              <w:noBreakHyphen/>
              <w:t>20</w:t>
            </w:r>
            <w:r>
              <w:rPr>
                <w:sz w:val="16"/>
              </w:rPr>
              <w:br/>
              <w:t>budget</w:t>
            </w:r>
          </w:p>
        </w:tc>
        <w:tc>
          <w:tcPr>
            <w:tcW w:w="754" w:type="dxa"/>
          </w:tcPr>
          <w:p w14:paraId="4A066173"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2019</w:t>
            </w:r>
            <w:r>
              <w:rPr>
                <w:sz w:val="16"/>
              </w:rPr>
              <w:noBreakHyphen/>
              <w:t>20</w:t>
            </w:r>
            <w:r>
              <w:rPr>
                <w:sz w:val="16"/>
              </w:rPr>
              <w:br/>
              <w:t>revised</w:t>
            </w:r>
          </w:p>
        </w:tc>
        <w:tc>
          <w:tcPr>
            <w:tcW w:w="754" w:type="dxa"/>
          </w:tcPr>
          <w:p w14:paraId="71D54F2B"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2020</w:t>
            </w:r>
            <w:r>
              <w:rPr>
                <w:sz w:val="16"/>
              </w:rPr>
              <w:noBreakHyphen/>
              <w:t>21</w:t>
            </w:r>
            <w:r>
              <w:rPr>
                <w:sz w:val="16"/>
              </w:rPr>
              <w:br/>
              <w:t>estimate</w:t>
            </w:r>
          </w:p>
        </w:tc>
        <w:tc>
          <w:tcPr>
            <w:tcW w:w="754" w:type="dxa"/>
          </w:tcPr>
          <w:p w14:paraId="1F4B0F06"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2021</w:t>
            </w:r>
            <w:r>
              <w:rPr>
                <w:sz w:val="16"/>
              </w:rPr>
              <w:noBreakHyphen/>
              <w:t>22</w:t>
            </w:r>
            <w:r>
              <w:rPr>
                <w:sz w:val="16"/>
              </w:rPr>
              <w:br/>
              <w:t>estimate</w:t>
            </w:r>
          </w:p>
        </w:tc>
        <w:tc>
          <w:tcPr>
            <w:tcW w:w="754" w:type="dxa"/>
          </w:tcPr>
          <w:p w14:paraId="1D8C09F6" w14:textId="77777777" w:rsidR="00964B88" w:rsidRDefault="00964B88">
            <w:pPr>
              <w:cnfStyle w:val="100000000000" w:firstRow="1" w:lastRow="0" w:firstColumn="0" w:lastColumn="0" w:oddVBand="0" w:evenVBand="0" w:oddHBand="0" w:evenHBand="0" w:firstRowFirstColumn="0" w:firstRowLastColumn="0" w:lastRowFirstColumn="0" w:lastRowLastColumn="0"/>
              <w:rPr>
                <w:sz w:val="16"/>
              </w:rPr>
            </w:pPr>
            <w:r>
              <w:rPr>
                <w:sz w:val="16"/>
              </w:rPr>
              <w:t>2022</w:t>
            </w:r>
            <w:r>
              <w:rPr>
                <w:sz w:val="16"/>
              </w:rPr>
              <w:noBreakHyphen/>
              <w:t>23</w:t>
            </w:r>
            <w:r>
              <w:rPr>
                <w:sz w:val="16"/>
              </w:rPr>
              <w:br/>
              <w:t>estimate</w:t>
            </w:r>
          </w:p>
        </w:tc>
      </w:tr>
      <w:tr w:rsidR="00964B88" w14:paraId="7F24295B"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2593A0B8" w14:textId="77777777" w:rsidR="00964B88" w:rsidRDefault="00964B88">
            <w:pPr>
              <w:rPr>
                <w:sz w:val="16"/>
              </w:rPr>
            </w:pPr>
            <w:r>
              <w:rPr>
                <w:b/>
                <w:sz w:val="16"/>
              </w:rPr>
              <w:t>Cash flows from operating activities</w:t>
            </w:r>
          </w:p>
        </w:tc>
        <w:tc>
          <w:tcPr>
            <w:tcW w:w="754" w:type="dxa"/>
            <w:gridSpan w:val="2"/>
          </w:tcPr>
          <w:p w14:paraId="2B89739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323F29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51DA3E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D25BF1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C20BDF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09167EDC"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29538198" w14:textId="77777777" w:rsidR="00964B88" w:rsidRDefault="00964B88">
            <w:pPr>
              <w:rPr>
                <w:sz w:val="16"/>
              </w:rPr>
            </w:pPr>
            <w:r>
              <w:rPr>
                <w:b/>
                <w:sz w:val="16"/>
              </w:rPr>
              <w:t>Receipts</w:t>
            </w:r>
          </w:p>
        </w:tc>
        <w:tc>
          <w:tcPr>
            <w:tcW w:w="754" w:type="dxa"/>
            <w:gridSpan w:val="2"/>
          </w:tcPr>
          <w:p w14:paraId="039F6FA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68BEFF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1812EA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3E742F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A00BB1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6641F269"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3F0D6A34" w14:textId="77777777" w:rsidR="00964B88" w:rsidRDefault="00964B88">
            <w:pPr>
              <w:rPr>
                <w:sz w:val="16"/>
              </w:rPr>
            </w:pPr>
            <w:r>
              <w:rPr>
                <w:sz w:val="16"/>
              </w:rPr>
              <w:t>Sales of goods and services</w:t>
            </w:r>
            <w:r>
              <w:rPr>
                <w:sz w:val="16"/>
                <w:vertAlign w:val="superscript"/>
              </w:rPr>
              <w:t xml:space="preserve"> (a)</w:t>
            </w:r>
          </w:p>
        </w:tc>
        <w:tc>
          <w:tcPr>
            <w:tcW w:w="754" w:type="dxa"/>
            <w:gridSpan w:val="2"/>
          </w:tcPr>
          <w:p w14:paraId="00B0342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5 560</w:t>
            </w:r>
          </w:p>
        </w:tc>
        <w:tc>
          <w:tcPr>
            <w:tcW w:w="754" w:type="dxa"/>
          </w:tcPr>
          <w:p w14:paraId="02CD2E7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5 583</w:t>
            </w:r>
          </w:p>
        </w:tc>
        <w:tc>
          <w:tcPr>
            <w:tcW w:w="754" w:type="dxa"/>
          </w:tcPr>
          <w:p w14:paraId="147C0F2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5 865</w:t>
            </w:r>
          </w:p>
        </w:tc>
        <w:tc>
          <w:tcPr>
            <w:tcW w:w="754" w:type="dxa"/>
          </w:tcPr>
          <w:p w14:paraId="765D350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6 155</w:t>
            </w:r>
          </w:p>
        </w:tc>
        <w:tc>
          <w:tcPr>
            <w:tcW w:w="754" w:type="dxa"/>
          </w:tcPr>
          <w:p w14:paraId="70C8E68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6 454</w:t>
            </w:r>
          </w:p>
        </w:tc>
      </w:tr>
      <w:tr w:rsidR="00964B88" w14:paraId="49C8D5C1"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0AFD86BB" w14:textId="77777777" w:rsidR="00964B88" w:rsidRDefault="00964B88">
            <w:pPr>
              <w:rPr>
                <w:sz w:val="16"/>
              </w:rPr>
            </w:pPr>
            <w:r>
              <w:rPr>
                <w:sz w:val="16"/>
              </w:rPr>
              <w:t>Interest received</w:t>
            </w:r>
          </w:p>
        </w:tc>
        <w:tc>
          <w:tcPr>
            <w:tcW w:w="754" w:type="dxa"/>
            <w:gridSpan w:val="2"/>
          </w:tcPr>
          <w:p w14:paraId="3B266C9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1 879</w:t>
            </w:r>
          </w:p>
        </w:tc>
        <w:tc>
          <w:tcPr>
            <w:tcW w:w="754" w:type="dxa"/>
          </w:tcPr>
          <w:p w14:paraId="4C204FE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1 819</w:t>
            </w:r>
          </w:p>
        </w:tc>
        <w:tc>
          <w:tcPr>
            <w:tcW w:w="754" w:type="dxa"/>
          </w:tcPr>
          <w:p w14:paraId="0EA5CDC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1 842</w:t>
            </w:r>
          </w:p>
        </w:tc>
        <w:tc>
          <w:tcPr>
            <w:tcW w:w="754" w:type="dxa"/>
          </w:tcPr>
          <w:p w14:paraId="09D3E6A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1 954</w:t>
            </w:r>
          </w:p>
        </w:tc>
        <w:tc>
          <w:tcPr>
            <w:tcW w:w="754" w:type="dxa"/>
          </w:tcPr>
          <w:p w14:paraId="214406E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1 961</w:t>
            </w:r>
          </w:p>
        </w:tc>
      </w:tr>
      <w:tr w:rsidR="00964B88" w14:paraId="22A681CA"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38BD3C28" w14:textId="77777777" w:rsidR="00964B88" w:rsidRDefault="00964B88">
            <w:pPr>
              <w:rPr>
                <w:sz w:val="16"/>
              </w:rPr>
            </w:pPr>
            <w:r>
              <w:rPr>
                <w:sz w:val="16"/>
              </w:rPr>
              <w:t>Dividend receipts</w:t>
            </w:r>
          </w:p>
        </w:tc>
        <w:tc>
          <w:tcPr>
            <w:tcW w:w="754" w:type="dxa"/>
            <w:gridSpan w:val="2"/>
          </w:tcPr>
          <w:p w14:paraId="4EB9ABB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1 536</w:t>
            </w:r>
          </w:p>
        </w:tc>
        <w:tc>
          <w:tcPr>
            <w:tcW w:w="754" w:type="dxa"/>
          </w:tcPr>
          <w:p w14:paraId="43FD558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1 742</w:t>
            </w:r>
          </w:p>
        </w:tc>
        <w:tc>
          <w:tcPr>
            <w:tcW w:w="754" w:type="dxa"/>
          </w:tcPr>
          <w:p w14:paraId="68C647B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1 691</w:t>
            </w:r>
          </w:p>
        </w:tc>
        <w:tc>
          <w:tcPr>
            <w:tcW w:w="754" w:type="dxa"/>
          </w:tcPr>
          <w:p w14:paraId="19BB5D5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1 695</w:t>
            </w:r>
          </w:p>
        </w:tc>
        <w:tc>
          <w:tcPr>
            <w:tcW w:w="754" w:type="dxa"/>
          </w:tcPr>
          <w:p w14:paraId="43F82B6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1 746</w:t>
            </w:r>
          </w:p>
        </w:tc>
      </w:tr>
      <w:tr w:rsidR="00964B88" w14:paraId="5FAFA842"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68CDD4A8" w14:textId="77777777" w:rsidR="00964B88" w:rsidRDefault="00964B88">
            <w:pPr>
              <w:rPr>
                <w:sz w:val="16"/>
              </w:rPr>
            </w:pPr>
            <w:r>
              <w:rPr>
                <w:sz w:val="16"/>
              </w:rPr>
              <w:t>Other receipts</w:t>
            </w:r>
          </w:p>
        </w:tc>
        <w:tc>
          <w:tcPr>
            <w:tcW w:w="754" w:type="dxa"/>
            <w:gridSpan w:val="2"/>
            <w:tcBorders>
              <w:bottom w:val="single" w:sz="6" w:space="0" w:color="auto"/>
            </w:tcBorders>
          </w:tcPr>
          <w:p w14:paraId="3B642CA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69</w:t>
            </w:r>
          </w:p>
        </w:tc>
        <w:tc>
          <w:tcPr>
            <w:tcW w:w="754" w:type="dxa"/>
            <w:tcBorders>
              <w:bottom w:val="single" w:sz="6" w:space="0" w:color="auto"/>
            </w:tcBorders>
          </w:tcPr>
          <w:p w14:paraId="0D12445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118</w:t>
            </w:r>
          </w:p>
        </w:tc>
        <w:tc>
          <w:tcPr>
            <w:tcW w:w="754" w:type="dxa"/>
            <w:tcBorders>
              <w:bottom w:val="single" w:sz="6" w:space="0" w:color="auto"/>
            </w:tcBorders>
          </w:tcPr>
          <w:p w14:paraId="10D545A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46</w:t>
            </w:r>
          </w:p>
        </w:tc>
        <w:tc>
          <w:tcPr>
            <w:tcW w:w="754" w:type="dxa"/>
            <w:tcBorders>
              <w:bottom w:val="single" w:sz="6" w:space="0" w:color="auto"/>
            </w:tcBorders>
          </w:tcPr>
          <w:p w14:paraId="60DDF56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42</w:t>
            </w:r>
          </w:p>
        </w:tc>
        <w:tc>
          <w:tcPr>
            <w:tcW w:w="754" w:type="dxa"/>
            <w:tcBorders>
              <w:bottom w:val="single" w:sz="6" w:space="0" w:color="auto"/>
            </w:tcBorders>
          </w:tcPr>
          <w:p w14:paraId="3E1C532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25</w:t>
            </w:r>
          </w:p>
        </w:tc>
      </w:tr>
      <w:tr w:rsidR="00964B88" w14:paraId="088B2173"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70D6CDAE" w14:textId="77777777" w:rsidR="00964B88" w:rsidRDefault="00964B88">
            <w:pPr>
              <w:rPr>
                <w:sz w:val="16"/>
              </w:rPr>
            </w:pPr>
            <w:r>
              <w:rPr>
                <w:b/>
                <w:sz w:val="16"/>
              </w:rPr>
              <w:t>Total receipts</w:t>
            </w:r>
          </w:p>
        </w:tc>
        <w:tc>
          <w:tcPr>
            <w:tcW w:w="754" w:type="dxa"/>
            <w:gridSpan w:val="2"/>
            <w:tcBorders>
              <w:top w:val="single" w:sz="6" w:space="0" w:color="auto"/>
            </w:tcBorders>
          </w:tcPr>
          <w:p w14:paraId="7B9D870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9 045</w:t>
            </w:r>
          </w:p>
        </w:tc>
        <w:tc>
          <w:tcPr>
            <w:tcW w:w="754" w:type="dxa"/>
            <w:tcBorders>
              <w:top w:val="single" w:sz="6" w:space="0" w:color="auto"/>
            </w:tcBorders>
          </w:tcPr>
          <w:p w14:paraId="6551999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9 262</w:t>
            </w:r>
          </w:p>
        </w:tc>
        <w:tc>
          <w:tcPr>
            <w:tcW w:w="754" w:type="dxa"/>
            <w:tcBorders>
              <w:top w:val="single" w:sz="6" w:space="0" w:color="auto"/>
            </w:tcBorders>
          </w:tcPr>
          <w:p w14:paraId="067D25E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9 445</w:t>
            </w:r>
          </w:p>
        </w:tc>
        <w:tc>
          <w:tcPr>
            <w:tcW w:w="754" w:type="dxa"/>
            <w:tcBorders>
              <w:top w:val="single" w:sz="6" w:space="0" w:color="auto"/>
            </w:tcBorders>
          </w:tcPr>
          <w:p w14:paraId="0A2484D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9 847</w:t>
            </w:r>
          </w:p>
        </w:tc>
        <w:tc>
          <w:tcPr>
            <w:tcW w:w="754" w:type="dxa"/>
            <w:tcBorders>
              <w:top w:val="single" w:sz="6" w:space="0" w:color="auto"/>
            </w:tcBorders>
          </w:tcPr>
          <w:p w14:paraId="3608BEC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10 186</w:t>
            </w:r>
          </w:p>
        </w:tc>
      </w:tr>
      <w:tr w:rsidR="00964B88" w14:paraId="006D3DF7"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5C8EEDC0" w14:textId="77777777" w:rsidR="00964B88" w:rsidRDefault="00964B88">
            <w:pPr>
              <w:rPr>
                <w:sz w:val="16"/>
              </w:rPr>
            </w:pPr>
            <w:r>
              <w:rPr>
                <w:b/>
                <w:sz w:val="16"/>
              </w:rPr>
              <w:t>Payments</w:t>
            </w:r>
          </w:p>
        </w:tc>
        <w:tc>
          <w:tcPr>
            <w:tcW w:w="754" w:type="dxa"/>
            <w:gridSpan w:val="2"/>
          </w:tcPr>
          <w:p w14:paraId="7243C8B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D774EB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513E50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7450A0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E9E0D3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24C1918C"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9EED770" w14:textId="77777777" w:rsidR="00964B88" w:rsidRDefault="00964B88">
            <w:pPr>
              <w:rPr>
                <w:sz w:val="16"/>
              </w:rPr>
            </w:pPr>
            <w:r>
              <w:rPr>
                <w:sz w:val="16"/>
              </w:rPr>
              <w:t>Payments for employees</w:t>
            </w:r>
          </w:p>
        </w:tc>
        <w:tc>
          <w:tcPr>
            <w:tcW w:w="754" w:type="dxa"/>
            <w:gridSpan w:val="2"/>
          </w:tcPr>
          <w:p w14:paraId="5ACBD20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(383)</w:t>
            </w:r>
          </w:p>
        </w:tc>
        <w:tc>
          <w:tcPr>
            <w:tcW w:w="754" w:type="dxa"/>
          </w:tcPr>
          <w:p w14:paraId="58465DE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(411)</w:t>
            </w:r>
          </w:p>
        </w:tc>
        <w:tc>
          <w:tcPr>
            <w:tcW w:w="754" w:type="dxa"/>
          </w:tcPr>
          <w:p w14:paraId="1E8CE8D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(414)</w:t>
            </w:r>
          </w:p>
        </w:tc>
        <w:tc>
          <w:tcPr>
            <w:tcW w:w="754" w:type="dxa"/>
          </w:tcPr>
          <w:p w14:paraId="1ECE5BD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(422)</w:t>
            </w:r>
          </w:p>
        </w:tc>
        <w:tc>
          <w:tcPr>
            <w:tcW w:w="754" w:type="dxa"/>
          </w:tcPr>
          <w:p w14:paraId="6DA66D7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(424)</w:t>
            </w:r>
          </w:p>
        </w:tc>
      </w:tr>
      <w:tr w:rsidR="00964B88" w14:paraId="7A553C8F"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30F96753" w14:textId="77777777" w:rsidR="00964B88" w:rsidRDefault="00964B88">
            <w:pPr>
              <w:rPr>
                <w:sz w:val="16"/>
              </w:rPr>
            </w:pPr>
            <w:r>
              <w:rPr>
                <w:sz w:val="16"/>
              </w:rPr>
              <w:t>Superannuation</w:t>
            </w:r>
          </w:p>
        </w:tc>
        <w:tc>
          <w:tcPr>
            <w:tcW w:w="754" w:type="dxa"/>
            <w:gridSpan w:val="2"/>
          </w:tcPr>
          <w:p w14:paraId="6AFDAF3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(30)</w:t>
            </w:r>
          </w:p>
        </w:tc>
        <w:tc>
          <w:tcPr>
            <w:tcW w:w="754" w:type="dxa"/>
          </w:tcPr>
          <w:p w14:paraId="2137EFE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(32)</w:t>
            </w:r>
          </w:p>
        </w:tc>
        <w:tc>
          <w:tcPr>
            <w:tcW w:w="754" w:type="dxa"/>
          </w:tcPr>
          <w:p w14:paraId="79FB54C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(33)</w:t>
            </w:r>
          </w:p>
        </w:tc>
        <w:tc>
          <w:tcPr>
            <w:tcW w:w="754" w:type="dxa"/>
          </w:tcPr>
          <w:p w14:paraId="39F0F4D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(34)</w:t>
            </w:r>
          </w:p>
        </w:tc>
        <w:tc>
          <w:tcPr>
            <w:tcW w:w="754" w:type="dxa"/>
          </w:tcPr>
          <w:p w14:paraId="6BECE68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(34)</w:t>
            </w:r>
          </w:p>
        </w:tc>
      </w:tr>
      <w:tr w:rsidR="00964B88" w14:paraId="2F91DE56"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330120AD" w14:textId="77777777" w:rsidR="00964B88" w:rsidRDefault="00964B88">
            <w:pPr>
              <w:rPr>
                <w:sz w:val="16"/>
              </w:rPr>
            </w:pPr>
            <w:r>
              <w:rPr>
                <w:sz w:val="16"/>
              </w:rPr>
              <w:t>Interest paid</w:t>
            </w:r>
          </w:p>
        </w:tc>
        <w:tc>
          <w:tcPr>
            <w:tcW w:w="754" w:type="dxa"/>
            <w:gridSpan w:val="2"/>
          </w:tcPr>
          <w:p w14:paraId="4D4F67E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(1 852)</w:t>
            </w:r>
          </w:p>
        </w:tc>
        <w:tc>
          <w:tcPr>
            <w:tcW w:w="754" w:type="dxa"/>
          </w:tcPr>
          <w:p w14:paraId="7A513D8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(1 826)</w:t>
            </w:r>
          </w:p>
        </w:tc>
        <w:tc>
          <w:tcPr>
            <w:tcW w:w="754" w:type="dxa"/>
          </w:tcPr>
          <w:p w14:paraId="19B2BB5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(1 824)</w:t>
            </w:r>
          </w:p>
        </w:tc>
        <w:tc>
          <w:tcPr>
            <w:tcW w:w="754" w:type="dxa"/>
          </w:tcPr>
          <w:p w14:paraId="78C8C05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(1 895)</w:t>
            </w:r>
          </w:p>
        </w:tc>
        <w:tc>
          <w:tcPr>
            <w:tcW w:w="754" w:type="dxa"/>
          </w:tcPr>
          <w:p w14:paraId="48884A2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(1 896)</w:t>
            </w:r>
          </w:p>
        </w:tc>
      </w:tr>
      <w:tr w:rsidR="00964B88" w14:paraId="5D4C035D"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0A0B621C" w14:textId="77777777" w:rsidR="00964B88" w:rsidRDefault="00964B88">
            <w:pPr>
              <w:rPr>
                <w:sz w:val="16"/>
              </w:rPr>
            </w:pPr>
            <w:r>
              <w:rPr>
                <w:sz w:val="16"/>
              </w:rPr>
              <w:t>Grants and subsidies</w:t>
            </w:r>
          </w:p>
        </w:tc>
        <w:tc>
          <w:tcPr>
            <w:tcW w:w="754" w:type="dxa"/>
            <w:gridSpan w:val="2"/>
          </w:tcPr>
          <w:p w14:paraId="71BF8FF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(1 555)</w:t>
            </w:r>
          </w:p>
        </w:tc>
        <w:tc>
          <w:tcPr>
            <w:tcW w:w="754" w:type="dxa"/>
          </w:tcPr>
          <w:p w14:paraId="5D0378C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(1 534)</w:t>
            </w:r>
          </w:p>
        </w:tc>
        <w:tc>
          <w:tcPr>
            <w:tcW w:w="754" w:type="dxa"/>
          </w:tcPr>
          <w:p w14:paraId="693D805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(1 357)</w:t>
            </w:r>
          </w:p>
        </w:tc>
        <w:tc>
          <w:tcPr>
            <w:tcW w:w="754" w:type="dxa"/>
          </w:tcPr>
          <w:p w14:paraId="7772B60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(1 354)</w:t>
            </w:r>
          </w:p>
        </w:tc>
        <w:tc>
          <w:tcPr>
            <w:tcW w:w="754" w:type="dxa"/>
          </w:tcPr>
          <w:p w14:paraId="06BEB5A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(687)</w:t>
            </w:r>
          </w:p>
        </w:tc>
      </w:tr>
      <w:tr w:rsidR="00964B88" w14:paraId="58F3B8A4"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4829E100" w14:textId="77777777" w:rsidR="00964B88" w:rsidRDefault="00964B88">
            <w:pPr>
              <w:rPr>
                <w:sz w:val="16"/>
              </w:rPr>
            </w:pPr>
            <w:r>
              <w:rPr>
                <w:sz w:val="16"/>
              </w:rPr>
              <w:t>Goods and services</w:t>
            </w:r>
            <w:r>
              <w:rPr>
                <w:sz w:val="16"/>
                <w:vertAlign w:val="superscript"/>
              </w:rPr>
              <w:t xml:space="preserve"> (a)</w:t>
            </w:r>
          </w:p>
        </w:tc>
        <w:tc>
          <w:tcPr>
            <w:tcW w:w="754" w:type="dxa"/>
            <w:gridSpan w:val="2"/>
          </w:tcPr>
          <w:p w14:paraId="09A98B2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(5 389)</w:t>
            </w:r>
          </w:p>
        </w:tc>
        <w:tc>
          <w:tcPr>
            <w:tcW w:w="754" w:type="dxa"/>
          </w:tcPr>
          <w:p w14:paraId="484C1BF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(5 541)</w:t>
            </w:r>
          </w:p>
        </w:tc>
        <w:tc>
          <w:tcPr>
            <w:tcW w:w="754" w:type="dxa"/>
          </w:tcPr>
          <w:p w14:paraId="2AD92FB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(5 706)</w:t>
            </w:r>
          </w:p>
        </w:tc>
        <w:tc>
          <w:tcPr>
            <w:tcW w:w="754" w:type="dxa"/>
          </w:tcPr>
          <w:p w14:paraId="6909462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(5 966)</w:t>
            </w:r>
          </w:p>
        </w:tc>
        <w:tc>
          <w:tcPr>
            <w:tcW w:w="754" w:type="dxa"/>
          </w:tcPr>
          <w:p w14:paraId="23D5B7A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(6 338)</w:t>
            </w:r>
          </w:p>
        </w:tc>
      </w:tr>
      <w:tr w:rsidR="00964B88" w14:paraId="47406C7D"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18FF5B26" w14:textId="77777777" w:rsidR="00964B88" w:rsidRDefault="00964B88">
            <w:pPr>
              <w:rPr>
                <w:sz w:val="16"/>
              </w:rPr>
            </w:pPr>
            <w:r>
              <w:rPr>
                <w:sz w:val="16"/>
              </w:rPr>
              <w:t>Other payments</w:t>
            </w:r>
          </w:p>
        </w:tc>
        <w:tc>
          <w:tcPr>
            <w:tcW w:w="754" w:type="dxa"/>
            <w:gridSpan w:val="2"/>
            <w:tcBorders>
              <w:bottom w:val="single" w:sz="6" w:space="0" w:color="auto"/>
            </w:tcBorders>
          </w:tcPr>
          <w:p w14:paraId="1758860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w:t>
            </w:r>
          </w:p>
        </w:tc>
        <w:tc>
          <w:tcPr>
            <w:tcW w:w="754" w:type="dxa"/>
            <w:tcBorders>
              <w:bottom w:val="single" w:sz="6" w:space="0" w:color="auto"/>
            </w:tcBorders>
          </w:tcPr>
          <w:p w14:paraId="3A1B012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w:t>
            </w:r>
          </w:p>
        </w:tc>
        <w:tc>
          <w:tcPr>
            <w:tcW w:w="754" w:type="dxa"/>
            <w:tcBorders>
              <w:bottom w:val="single" w:sz="6" w:space="0" w:color="auto"/>
            </w:tcBorders>
          </w:tcPr>
          <w:p w14:paraId="3909097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w:t>
            </w:r>
          </w:p>
        </w:tc>
        <w:tc>
          <w:tcPr>
            <w:tcW w:w="754" w:type="dxa"/>
            <w:tcBorders>
              <w:bottom w:val="single" w:sz="6" w:space="0" w:color="auto"/>
            </w:tcBorders>
          </w:tcPr>
          <w:p w14:paraId="2ABE011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w:t>
            </w:r>
          </w:p>
        </w:tc>
        <w:tc>
          <w:tcPr>
            <w:tcW w:w="754" w:type="dxa"/>
            <w:tcBorders>
              <w:bottom w:val="single" w:sz="6" w:space="0" w:color="auto"/>
            </w:tcBorders>
          </w:tcPr>
          <w:p w14:paraId="563B97E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w:t>
            </w:r>
          </w:p>
        </w:tc>
      </w:tr>
      <w:tr w:rsidR="00964B88" w14:paraId="142E0E15"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0D8EC7E3" w14:textId="77777777" w:rsidR="00964B88" w:rsidRDefault="00964B88">
            <w:pPr>
              <w:rPr>
                <w:sz w:val="16"/>
              </w:rPr>
            </w:pPr>
            <w:r>
              <w:rPr>
                <w:b/>
                <w:sz w:val="16"/>
              </w:rPr>
              <w:t>Total payments</w:t>
            </w:r>
          </w:p>
        </w:tc>
        <w:tc>
          <w:tcPr>
            <w:tcW w:w="754" w:type="dxa"/>
            <w:gridSpan w:val="2"/>
            <w:tcBorders>
              <w:top w:val="single" w:sz="6" w:space="0" w:color="auto"/>
              <w:bottom w:val="single" w:sz="6" w:space="0" w:color="auto"/>
            </w:tcBorders>
          </w:tcPr>
          <w:p w14:paraId="3997061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(9 217)</w:t>
            </w:r>
          </w:p>
        </w:tc>
        <w:tc>
          <w:tcPr>
            <w:tcW w:w="754" w:type="dxa"/>
            <w:tcBorders>
              <w:top w:val="single" w:sz="6" w:space="0" w:color="auto"/>
              <w:bottom w:val="single" w:sz="6" w:space="0" w:color="auto"/>
            </w:tcBorders>
          </w:tcPr>
          <w:p w14:paraId="71D163C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(9 350)</w:t>
            </w:r>
          </w:p>
        </w:tc>
        <w:tc>
          <w:tcPr>
            <w:tcW w:w="754" w:type="dxa"/>
            <w:tcBorders>
              <w:top w:val="single" w:sz="6" w:space="0" w:color="auto"/>
              <w:bottom w:val="single" w:sz="6" w:space="0" w:color="auto"/>
            </w:tcBorders>
          </w:tcPr>
          <w:p w14:paraId="08EE288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(9 340)</w:t>
            </w:r>
          </w:p>
        </w:tc>
        <w:tc>
          <w:tcPr>
            <w:tcW w:w="754" w:type="dxa"/>
            <w:tcBorders>
              <w:top w:val="single" w:sz="6" w:space="0" w:color="auto"/>
              <w:bottom w:val="single" w:sz="6" w:space="0" w:color="auto"/>
            </w:tcBorders>
          </w:tcPr>
          <w:p w14:paraId="3394BAE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(9 678)</w:t>
            </w:r>
          </w:p>
        </w:tc>
        <w:tc>
          <w:tcPr>
            <w:tcW w:w="754" w:type="dxa"/>
            <w:tcBorders>
              <w:top w:val="single" w:sz="6" w:space="0" w:color="auto"/>
              <w:bottom w:val="single" w:sz="6" w:space="0" w:color="auto"/>
            </w:tcBorders>
          </w:tcPr>
          <w:p w14:paraId="6BD2E1D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(9 387)</w:t>
            </w:r>
          </w:p>
        </w:tc>
      </w:tr>
      <w:tr w:rsidR="00964B88" w14:paraId="4EA8B920"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45DEF88C" w14:textId="77777777" w:rsidR="00964B88" w:rsidRDefault="00964B88">
            <w:pPr>
              <w:rPr>
                <w:sz w:val="16"/>
              </w:rPr>
            </w:pPr>
            <w:r>
              <w:rPr>
                <w:b/>
                <w:sz w:val="16"/>
              </w:rPr>
              <w:t>Net cash flows from operating activities</w:t>
            </w:r>
          </w:p>
        </w:tc>
        <w:tc>
          <w:tcPr>
            <w:tcW w:w="754" w:type="dxa"/>
            <w:gridSpan w:val="2"/>
            <w:tcBorders>
              <w:top w:val="single" w:sz="6" w:space="0" w:color="auto"/>
            </w:tcBorders>
          </w:tcPr>
          <w:p w14:paraId="15F1E03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(172)</w:t>
            </w:r>
          </w:p>
        </w:tc>
        <w:tc>
          <w:tcPr>
            <w:tcW w:w="754" w:type="dxa"/>
            <w:tcBorders>
              <w:top w:val="single" w:sz="6" w:space="0" w:color="auto"/>
            </w:tcBorders>
          </w:tcPr>
          <w:p w14:paraId="7B32564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(88)</w:t>
            </w:r>
          </w:p>
        </w:tc>
        <w:tc>
          <w:tcPr>
            <w:tcW w:w="754" w:type="dxa"/>
            <w:tcBorders>
              <w:top w:val="single" w:sz="6" w:space="0" w:color="auto"/>
            </w:tcBorders>
          </w:tcPr>
          <w:p w14:paraId="552578A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105</w:t>
            </w:r>
          </w:p>
        </w:tc>
        <w:tc>
          <w:tcPr>
            <w:tcW w:w="754" w:type="dxa"/>
            <w:tcBorders>
              <w:top w:val="single" w:sz="6" w:space="0" w:color="auto"/>
            </w:tcBorders>
          </w:tcPr>
          <w:p w14:paraId="1993616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169</w:t>
            </w:r>
          </w:p>
        </w:tc>
        <w:tc>
          <w:tcPr>
            <w:tcW w:w="754" w:type="dxa"/>
            <w:tcBorders>
              <w:top w:val="single" w:sz="6" w:space="0" w:color="auto"/>
            </w:tcBorders>
          </w:tcPr>
          <w:p w14:paraId="460BD2F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800</w:t>
            </w:r>
          </w:p>
        </w:tc>
      </w:tr>
      <w:tr w:rsidR="00964B88" w14:paraId="6A0B3B9E"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39D2DC57" w14:textId="77777777" w:rsidR="00964B88" w:rsidRDefault="00964B88">
            <w:pPr>
              <w:rPr>
                <w:sz w:val="16"/>
              </w:rPr>
            </w:pPr>
            <w:r>
              <w:rPr>
                <w:b/>
                <w:sz w:val="16"/>
              </w:rPr>
              <w:t>Cash flows from investing activities</w:t>
            </w:r>
          </w:p>
        </w:tc>
        <w:tc>
          <w:tcPr>
            <w:tcW w:w="754" w:type="dxa"/>
            <w:gridSpan w:val="2"/>
          </w:tcPr>
          <w:p w14:paraId="695BB5A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E55469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8814CF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373932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3E101B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228C0390"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4BFB0573" w14:textId="77777777" w:rsidR="00964B88" w:rsidRDefault="00964B88">
            <w:pPr>
              <w:rPr>
                <w:sz w:val="16"/>
              </w:rPr>
            </w:pPr>
            <w:r>
              <w:rPr>
                <w:b/>
                <w:sz w:val="16"/>
              </w:rPr>
              <w:t>Cash flows from investments in non</w:t>
            </w:r>
            <w:r>
              <w:rPr>
                <w:b/>
                <w:sz w:val="16"/>
              </w:rPr>
              <w:noBreakHyphen/>
              <w:t>financial assets</w:t>
            </w:r>
          </w:p>
        </w:tc>
        <w:tc>
          <w:tcPr>
            <w:tcW w:w="754" w:type="dxa"/>
            <w:gridSpan w:val="2"/>
          </w:tcPr>
          <w:p w14:paraId="780CD99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003E39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03E4BF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0F4A96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513C57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0077D432"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0715E43" w14:textId="77777777" w:rsidR="00964B88" w:rsidRDefault="00964B88">
            <w:pPr>
              <w:rPr>
                <w:sz w:val="16"/>
              </w:rPr>
            </w:pPr>
            <w:r>
              <w:rPr>
                <w:sz w:val="16"/>
              </w:rPr>
              <w:t>Purchases of non</w:t>
            </w:r>
            <w:r>
              <w:rPr>
                <w:sz w:val="16"/>
              </w:rPr>
              <w:noBreakHyphen/>
              <w:t>financial assets</w:t>
            </w:r>
          </w:p>
        </w:tc>
        <w:tc>
          <w:tcPr>
            <w:tcW w:w="754" w:type="dxa"/>
            <w:gridSpan w:val="2"/>
          </w:tcPr>
          <w:p w14:paraId="483A1DF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(171)</w:t>
            </w:r>
          </w:p>
        </w:tc>
        <w:tc>
          <w:tcPr>
            <w:tcW w:w="754" w:type="dxa"/>
          </w:tcPr>
          <w:p w14:paraId="789C365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(219)</w:t>
            </w:r>
          </w:p>
        </w:tc>
        <w:tc>
          <w:tcPr>
            <w:tcW w:w="754" w:type="dxa"/>
          </w:tcPr>
          <w:p w14:paraId="1BDC940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(205)</w:t>
            </w:r>
          </w:p>
        </w:tc>
        <w:tc>
          <w:tcPr>
            <w:tcW w:w="754" w:type="dxa"/>
          </w:tcPr>
          <w:p w14:paraId="78267E1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(141)</w:t>
            </w:r>
          </w:p>
        </w:tc>
        <w:tc>
          <w:tcPr>
            <w:tcW w:w="754" w:type="dxa"/>
          </w:tcPr>
          <w:p w14:paraId="77BF499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(133)</w:t>
            </w:r>
          </w:p>
        </w:tc>
      </w:tr>
      <w:tr w:rsidR="00964B88" w14:paraId="3ABB1A87"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101432A5" w14:textId="77777777" w:rsidR="00964B88" w:rsidRDefault="00964B88">
            <w:pPr>
              <w:rPr>
                <w:sz w:val="16"/>
              </w:rPr>
            </w:pPr>
            <w:r>
              <w:rPr>
                <w:sz w:val="16"/>
              </w:rPr>
              <w:t>Sales of non</w:t>
            </w:r>
            <w:r>
              <w:rPr>
                <w:sz w:val="16"/>
              </w:rPr>
              <w:noBreakHyphen/>
              <w:t>financial assets</w:t>
            </w:r>
          </w:p>
        </w:tc>
        <w:tc>
          <w:tcPr>
            <w:tcW w:w="754" w:type="dxa"/>
            <w:gridSpan w:val="2"/>
            <w:tcBorders>
              <w:bottom w:val="single" w:sz="6" w:space="0" w:color="auto"/>
            </w:tcBorders>
          </w:tcPr>
          <w:p w14:paraId="71E7AB6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54" w:type="dxa"/>
            <w:tcBorders>
              <w:bottom w:val="single" w:sz="6" w:space="0" w:color="auto"/>
            </w:tcBorders>
          </w:tcPr>
          <w:p w14:paraId="5FA83E8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w:t>
            </w:r>
          </w:p>
        </w:tc>
        <w:tc>
          <w:tcPr>
            <w:tcW w:w="754" w:type="dxa"/>
            <w:tcBorders>
              <w:bottom w:val="single" w:sz="6" w:space="0" w:color="auto"/>
            </w:tcBorders>
          </w:tcPr>
          <w:p w14:paraId="54731BF4"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w:t>
            </w:r>
          </w:p>
        </w:tc>
        <w:tc>
          <w:tcPr>
            <w:tcW w:w="754" w:type="dxa"/>
            <w:tcBorders>
              <w:bottom w:val="single" w:sz="6" w:space="0" w:color="auto"/>
            </w:tcBorders>
          </w:tcPr>
          <w:p w14:paraId="5F043CD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w:t>
            </w:r>
          </w:p>
        </w:tc>
        <w:tc>
          <w:tcPr>
            <w:tcW w:w="754" w:type="dxa"/>
            <w:tcBorders>
              <w:bottom w:val="single" w:sz="6" w:space="0" w:color="auto"/>
            </w:tcBorders>
          </w:tcPr>
          <w:p w14:paraId="409F4F8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w:t>
            </w:r>
          </w:p>
        </w:tc>
      </w:tr>
      <w:tr w:rsidR="00964B88" w14:paraId="370832E9"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36F58C21" w14:textId="77777777" w:rsidR="00964B88" w:rsidRDefault="00964B88">
            <w:pPr>
              <w:rPr>
                <w:sz w:val="16"/>
              </w:rPr>
            </w:pPr>
            <w:r>
              <w:rPr>
                <w:b/>
                <w:sz w:val="16"/>
              </w:rPr>
              <w:t>Net cash flows from investments in non</w:t>
            </w:r>
            <w:r>
              <w:rPr>
                <w:b/>
                <w:sz w:val="16"/>
              </w:rPr>
              <w:noBreakHyphen/>
              <w:t>financial assets</w:t>
            </w:r>
          </w:p>
        </w:tc>
        <w:tc>
          <w:tcPr>
            <w:tcW w:w="754" w:type="dxa"/>
            <w:gridSpan w:val="2"/>
            <w:tcBorders>
              <w:top w:val="single" w:sz="6" w:space="0" w:color="auto"/>
            </w:tcBorders>
          </w:tcPr>
          <w:p w14:paraId="050D94B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(171)</w:t>
            </w:r>
          </w:p>
        </w:tc>
        <w:tc>
          <w:tcPr>
            <w:tcW w:w="754" w:type="dxa"/>
            <w:tcBorders>
              <w:top w:val="single" w:sz="6" w:space="0" w:color="auto"/>
            </w:tcBorders>
          </w:tcPr>
          <w:p w14:paraId="750F42A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(217)</w:t>
            </w:r>
          </w:p>
        </w:tc>
        <w:tc>
          <w:tcPr>
            <w:tcW w:w="754" w:type="dxa"/>
            <w:tcBorders>
              <w:top w:val="single" w:sz="6" w:space="0" w:color="auto"/>
            </w:tcBorders>
          </w:tcPr>
          <w:p w14:paraId="657D5C3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(204)</w:t>
            </w:r>
          </w:p>
        </w:tc>
        <w:tc>
          <w:tcPr>
            <w:tcW w:w="754" w:type="dxa"/>
            <w:tcBorders>
              <w:top w:val="single" w:sz="6" w:space="0" w:color="auto"/>
            </w:tcBorders>
          </w:tcPr>
          <w:p w14:paraId="15473F3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(140)</w:t>
            </w:r>
          </w:p>
        </w:tc>
        <w:tc>
          <w:tcPr>
            <w:tcW w:w="754" w:type="dxa"/>
            <w:tcBorders>
              <w:top w:val="single" w:sz="6" w:space="0" w:color="auto"/>
            </w:tcBorders>
          </w:tcPr>
          <w:p w14:paraId="694FD76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(132)</w:t>
            </w:r>
          </w:p>
        </w:tc>
      </w:tr>
      <w:tr w:rsidR="00964B88" w14:paraId="71A328A0"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5095E4F8" w14:textId="77777777" w:rsidR="00964B88" w:rsidRDefault="00964B88">
            <w:pPr>
              <w:rPr>
                <w:sz w:val="16"/>
              </w:rPr>
            </w:pPr>
            <w:r>
              <w:rPr>
                <w:sz w:val="16"/>
              </w:rPr>
              <w:t>Net cash flows from investments in financial assets for policy purposes</w:t>
            </w:r>
          </w:p>
        </w:tc>
        <w:tc>
          <w:tcPr>
            <w:tcW w:w="754" w:type="dxa"/>
            <w:gridSpan w:val="2"/>
            <w:tcBorders>
              <w:bottom w:val="single" w:sz="6" w:space="0" w:color="auto"/>
            </w:tcBorders>
          </w:tcPr>
          <w:p w14:paraId="217DCD2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w:t>
            </w:r>
          </w:p>
        </w:tc>
        <w:tc>
          <w:tcPr>
            <w:tcW w:w="754" w:type="dxa"/>
            <w:tcBorders>
              <w:bottom w:val="single" w:sz="6" w:space="0" w:color="auto"/>
            </w:tcBorders>
          </w:tcPr>
          <w:p w14:paraId="7233D01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18</w:t>
            </w:r>
          </w:p>
        </w:tc>
        <w:tc>
          <w:tcPr>
            <w:tcW w:w="754" w:type="dxa"/>
            <w:tcBorders>
              <w:bottom w:val="single" w:sz="6" w:space="0" w:color="auto"/>
            </w:tcBorders>
          </w:tcPr>
          <w:p w14:paraId="48C3FA4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54" w:type="dxa"/>
            <w:tcBorders>
              <w:bottom w:val="single" w:sz="6" w:space="0" w:color="auto"/>
            </w:tcBorders>
          </w:tcPr>
          <w:p w14:paraId="21650E2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w:t>
            </w:r>
          </w:p>
        </w:tc>
        <w:tc>
          <w:tcPr>
            <w:tcW w:w="754" w:type="dxa"/>
            <w:tcBorders>
              <w:bottom w:val="single" w:sz="6" w:space="0" w:color="auto"/>
            </w:tcBorders>
          </w:tcPr>
          <w:p w14:paraId="3CDC7C8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w:t>
            </w:r>
          </w:p>
        </w:tc>
      </w:tr>
      <w:tr w:rsidR="00964B88" w14:paraId="0651757E"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1B5A888D" w14:textId="77777777" w:rsidR="00964B88" w:rsidRDefault="00964B88">
            <w:pPr>
              <w:rPr>
                <w:sz w:val="16"/>
              </w:rPr>
            </w:pPr>
            <w:r>
              <w:rPr>
                <w:b/>
                <w:sz w:val="16"/>
              </w:rPr>
              <w:t>Subtotal</w:t>
            </w:r>
          </w:p>
        </w:tc>
        <w:tc>
          <w:tcPr>
            <w:tcW w:w="754" w:type="dxa"/>
            <w:gridSpan w:val="2"/>
            <w:tcBorders>
              <w:top w:val="single" w:sz="6" w:space="0" w:color="auto"/>
            </w:tcBorders>
          </w:tcPr>
          <w:p w14:paraId="7B35379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(168)</w:t>
            </w:r>
          </w:p>
        </w:tc>
        <w:tc>
          <w:tcPr>
            <w:tcW w:w="754" w:type="dxa"/>
            <w:tcBorders>
              <w:top w:val="single" w:sz="6" w:space="0" w:color="auto"/>
            </w:tcBorders>
          </w:tcPr>
          <w:p w14:paraId="43A2F97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(199)</w:t>
            </w:r>
          </w:p>
        </w:tc>
        <w:tc>
          <w:tcPr>
            <w:tcW w:w="754" w:type="dxa"/>
            <w:tcBorders>
              <w:top w:val="single" w:sz="6" w:space="0" w:color="auto"/>
            </w:tcBorders>
          </w:tcPr>
          <w:p w14:paraId="5E4A3C0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(204)</w:t>
            </w:r>
          </w:p>
        </w:tc>
        <w:tc>
          <w:tcPr>
            <w:tcW w:w="754" w:type="dxa"/>
            <w:tcBorders>
              <w:top w:val="single" w:sz="6" w:space="0" w:color="auto"/>
            </w:tcBorders>
          </w:tcPr>
          <w:p w14:paraId="60ECB50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(138)</w:t>
            </w:r>
          </w:p>
        </w:tc>
        <w:tc>
          <w:tcPr>
            <w:tcW w:w="754" w:type="dxa"/>
            <w:tcBorders>
              <w:top w:val="single" w:sz="6" w:space="0" w:color="auto"/>
            </w:tcBorders>
          </w:tcPr>
          <w:p w14:paraId="73EA808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(131)</w:t>
            </w:r>
          </w:p>
        </w:tc>
      </w:tr>
      <w:tr w:rsidR="00964B88" w14:paraId="612FA9C6"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7E1509F5" w14:textId="77777777" w:rsidR="00964B88" w:rsidRDefault="00964B88">
            <w:pPr>
              <w:rPr>
                <w:sz w:val="16"/>
              </w:rPr>
            </w:pPr>
            <w:r>
              <w:rPr>
                <w:sz w:val="16"/>
              </w:rPr>
              <w:t>Net cash flows from investment in financial assets for liquidity management purposes</w:t>
            </w:r>
          </w:p>
        </w:tc>
        <w:tc>
          <w:tcPr>
            <w:tcW w:w="754" w:type="dxa"/>
            <w:gridSpan w:val="2"/>
            <w:tcBorders>
              <w:bottom w:val="single" w:sz="6" w:space="0" w:color="auto"/>
            </w:tcBorders>
          </w:tcPr>
          <w:p w14:paraId="082BFC2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1 766</w:t>
            </w:r>
          </w:p>
        </w:tc>
        <w:tc>
          <w:tcPr>
            <w:tcW w:w="754" w:type="dxa"/>
            <w:tcBorders>
              <w:bottom w:val="single" w:sz="6" w:space="0" w:color="auto"/>
            </w:tcBorders>
          </w:tcPr>
          <w:p w14:paraId="1A746F3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(2 920)</w:t>
            </w:r>
          </w:p>
        </w:tc>
        <w:tc>
          <w:tcPr>
            <w:tcW w:w="754" w:type="dxa"/>
            <w:tcBorders>
              <w:bottom w:val="single" w:sz="6" w:space="0" w:color="auto"/>
            </w:tcBorders>
          </w:tcPr>
          <w:p w14:paraId="7FDB095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(7 441)</w:t>
            </w:r>
          </w:p>
        </w:tc>
        <w:tc>
          <w:tcPr>
            <w:tcW w:w="754" w:type="dxa"/>
            <w:tcBorders>
              <w:bottom w:val="single" w:sz="6" w:space="0" w:color="auto"/>
            </w:tcBorders>
          </w:tcPr>
          <w:p w14:paraId="1102143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(3 612)</w:t>
            </w:r>
          </w:p>
        </w:tc>
        <w:tc>
          <w:tcPr>
            <w:tcW w:w="754" w:type="dxa"/>
            <w:tcBorders>
              <w:bottom w:val="single" w:sz="6" w:space="0" w:color="auto"/>
            </w:tcBorders>
          </w:tcPr>
          <w:p w14:paraId="17CE521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(3 315)</w:t>
            </w:r>
          </w:p>
        </w:tc>
      </w:tr>
      <w:tr w:rsidR="00964B88" w14:paraId="0C62B085"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7C90E8F8" w14:textId="77777777" w:rsidR="00964B88" w:rsidRDefault="00964B88">
            <w:pPr>
              <w:rPr>
                <w:sz w:val="16"/>
              </w:rPr>
            </w:pPr>
            <w:r>
              <w:rPr>
                <w:b/>
                <w:sz w:val="16"/>
              </w:rPr>
              <w:t>Net cash flows from investing activities</w:t>
            </w:r>
          </w:p>
        </w:tc>
        <w:tc>
          <w:tcPr>
            <w:tcW w:w="754" w:type="dxa"/>
            <w:gridSpan w:val="2"/>
            <w:tcBorders>
              <w:top w:val="single" w:sz="6" w:space="0" w:color="auto"/>
            </w:tcBorders>
          </w:tcPr>
          <w:p w14:paraId="5E465C5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1 597</w:t>
            </w:r>
          </w:p>
        </w:tc>
        <w:tc>
          <w:tcPr>
            <w:tcW w:w="754" w:type="dxa"/>
            <w:tcBorders>
              <w:top w:val="single" w:sz="6" w:space="0" w:color="auto"/>
            </w:tcBorders>
          </w:tcPr>
          <w:p w14:paraId="4C51655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(3 119)</w:t>
            </w:r>
          </w:p>
        </w:tc>
        <w:tc>
          <w:tcPr>
            <w:tcW w:w="754" w:type="dxa"/>
            <w:tcBorders>
              <w:top w:val="single" w:sz="6" w:space="0" w:color="auto"/>
            </w:tcBorders>
          </w:tcPr>
          <w:p w14:paraId="69A8F45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(7 645)</w:t>
            </w:r>
          </w:p>
        </w:tc>
        <w:tc>
          <w:tcPr>
            <w:tcW w:w="754" w:type="dxa"/>
            <w:tcBorders>
              <w:top w:val="single" w:sz="6" w:space="0" w:color="auto"/>
            </w:tcBorders>
          </w:tcPr>
          <w:p w14:paraId="11B1DF7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(3 750)</w:t>
            </w:r>
          </w:p>
        </w:tc>
        <w:tc>
          <w:tcPr>
            <w:tcW w:w="754" w:type="dxa"/>
            <w:tcBorders>
              <w:top w:val="single" w:sz="6" w:space="0" w:color="auto"/>
            </w:tcBorders>
          </w:tcPr>
          <w:p w14:paraId="6FD6540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(3 445)</w:t>
            </w:r>
          </w:p>
        </w:tc>
      </w:tr>
      <w:tr w:rsidR="00964B88" w14:paraId="0C3C25A1"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411A8A4D" w14:textId="77777777" w:rsidR="00964B88" w:rsidRDefault="00964B88">
            <w:pPr>
              <w:rPr>
                <w:sz w:val="16"/>
              </w:rPr>
            </w:pPr>
            <w:r>
              <w:rPr>
                <w:b/>
                <w:sz w:val="16"/>
              </w:rPr>
              <w:t>Cash flows from financing activities</w:t>
            </w:r>
          </w:p>
        </w:tc>
        <w:tc>
          <w:tcPr>
            <w:tcW w:w="754" w:type="dxa"/>
            <w:gridSpan w:val="2"/>
          </w:tcPr>
          <w:p w14:paraId="3238775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3B47873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21A584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7B9E18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10DDF4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129B8290"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A7C3BBF" w14:textId="77777777" w:rsidR="00964B88" w:rsidRDefault="00964B88">
            <w:pPr>
              <w:rPr>
                <w:sz w:val="16"/>
              </w:rPr>
            </w:pPr>
            <w:r>
              <w:rPr>
                <w:sz w:val="16"/>
              </w:rPr>
              <w:t>Advances received (net)</w:t>
            </w:r>
          </w:p>
        </w:tc>
        <w:tc>
          <w:tcPr>
            <w:tcW w:w="754" w:type="dxa"/>
            <w:gridSpan w:val="2"/>
          </w:tcPr>
          <w:p w14:paraId="0B0D04D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w:t>
            </w:r>
          </w:p>
        </w:tc>
        <w:tc>
          <w:tcPr>
            <w:tcW w:w="754" w:type="dxa"/>
          </w:tcPr>
          <w:p w14:paraId="0D7E698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(18)</w:t>
            </w:r>
          </w:p>
        </w:tc>
        <w:tc>
          <w:tcPr>
            <w:tcW w:w="754" w:type="dxa"/>
          </w:tcPr>
          <w:p w14:paraId="45A2D18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w:t>
            </w:r>
          </w:p>
        </w:tc>
        <w:tc>
          <w:tcPr>
            <w:tcW w:w="754" w:type="dxa"/>
          </w:tcPr>
          <w:p w14:paraId="124C38E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w:t>
            </w:r>
          </w:p>
        </w:tc>
        <w:tc>
          <w:tcPr>
            <w:tcW w:w="754" w:type="dxa"/>
          </w:tcPr>
          <w:p w14:paraId="1130A7A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w:t>
            </w:r>
          </w:p>
        </w:tc>
      </w:tr>
      <w:tr w:rsidR="00964B88" w14:paraId="043D648D"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72EC9531" w14:textId="77777777" w:rsidR="00964B88" w:rsidRDefault="00964B88">
            <w:pPr>
              <w:rPr>
                <w:sz w:val="16"/>
              </w:rPr>
            </w:pPr>
            <w:r>
              <w:rPr>
                <w:sz w:val="16"/>
              </w:rPr>
              <w:t>Net borrowings</w:t>
            </w:r>
          </w:p>
        </w:tc>
        <w:tc>
          <w:tcPr>
            <w:tcW w:w="754" w:type="dxa"/>
            <w:gridSpan w:val="2"/>
          </w:tcPr>
          <w:p w14:paraId="7924728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2 526</w:t>
            </w:r>
          </w:p>
        </w:tc>
        <w:tc>
          <w:tcPr>
            <w:tcW w:w="754" w:type="dxa"/>
          </w:tcPr>
          <w:p w14:paraId="064BB83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5 159</w:t>
            </w:r>
          </w:p>
        </w:tc>
        <w:tc>
          <w:tcPr>
            <w:tcW w:w="754" w:type="dxa"/>
          </w:tcPr>
          <w:p w14:paraId="21E7990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8 717</w:t>
            </w:r>
          </w:p>
        </w:tc>
        <w:tc>
          <w:tcPr>
            <w:tcW w:w="754" w:type="dxa"/>
          </w:tcPr>
          <w:p w14:paraId="4CE5B8F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3 523</w:t>
            </w:r>
          </w:p>
        </w:tc>
        <w:tc>
          <w:tcPr>
            <w:tcW w:w="754" w:type="dxa"/>
          </w:tcPr>
          <w:p w14:paraId="23F4DFE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2 592</w:t>
            </w:r>
          </w:p>
        </w:tc>
      </w:tr>
      <w:tr w:rsidR="00964B88" w14:paraId="3F97194D"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42473656" w14:textId="77777777" w:rsidR="00964B88" w:rsidRDefault="00964B88">
            <w:pPr>
              <w:rPr>
                <w:sz w:val="16"/>
              </w:rPr>
            </w:pPr>
            <w:r>
              <w:rPr>
                <w:sz w:val="16"/>
              </w:rPr>
              <w:t>Deposits received (net)</w:t>
            </w:r>
          </w:p>
        </w:tc>
        <w:tc>
          <w:tcPr>
            <w:tcW w:w="754" w:type="dxa"/>
            <w:gridSpan w:val="2"/>
          </w:tcPr>
          <w:p w14:paraId="40FC552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(2 552)</w:t>
            </w:r>
          </w:p>
        </w:tc>
        <w:tc>
          <w:tcPr>
            <w:tcW w:w="754" w:type="dxa"/>
          </w:tcPr>
          <w:p w14:paraId="2B5BF08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(1 600)</w:t>
            </w:r>
          </w:p>
        </w:tc>
        <w:tc>
          <w:tcPr>
            <w:tcW w:w="754" w:type="dxa"/>
          </w:tcPr>
          <w:p w14:paraId="0126E401"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(158)</w:t>
            </w:r>
          </w:p>
        </w:tc>
        <w:tc>
          <w:tcPr>
            <w:tcW w:w="754" w:type="dxa"/>
          </w:tcPr>
          <w:p w14:paraId="4C05AAF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6</w:t>
            </w:r>
          </w:p>
        </w:tc>
        <w:tc>
          <w:tcPr>
            <w:tcW w:w="754" w:type="dxa"/>
          </w:tcPr>
          <w:p w14:paraId="107DA7B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22</w:t>
            </w:r>
          </w:p>
        </w:tc>
      </w:tr>
      <w:tr w:rsidR="00964B88" w14:paraId="6E56DDD3"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22B27D4F" w14:textId="77777777" w:rsidR="00964B88" w:rsidRDefault="00964B88">
            <w:pPr>
              <w:rPr>
                <w:sz w:val="16"/>
              </w:rPr>
            </w:pPr>
            <w:r>
              <w:rPr>
                <w:sz w:val="16"/>
              </w:rPr>
              <w:t>Other financing (net)</w:t>
            </w:r>
          </w:p>
        </w:tc>
        <w:tc>
          <w:tcPr>
            <w:tcW w:w="754" w:type="dxa"/>
            <w:gridSpan w:val="2"/>
            <w:tcBorders>
              <w:bottom w:val="single" w:sz="6" w:space="0" w:color="auto"/>
            </w:tcBorders>
          </w:tcPr>
          <w:p w14:paraId="347E0D7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(1 355)</w:t>
            </w:r>
          </w:p>
        </w:tc>
        <w:tc>
          <w:tcPr>
            <w:tcW w:w="754" w:type="dxa"/>
            <w:tcBorders>
              <w:bottom w:val="single" w:sz="6" w:space="0" w:color="auto"/>
            </w:tcBorders>
          </w:tcPr>
          <w:p w14:paraId="62D7C9A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(1 334)</w:t>
            </w:r>
          </w:p>
        </w:tc>
        <w:tc>
          <w:tcPr>
            <w:tcW w:w="754" w:type="dxa"/>
            <w:tcBorders>
              <w:bottom w:val="single" w:sz="6" w:space="0" w:color="auto"/>
            </w:tcBorders>
          </w:tcPr>
          <w:p w14:paraId="0B5EE3D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(1 059)</w:t>
            </w:r>
          </w:p>
        </w:tc>
        <w:tc>
          <w:tcPr>
            <w:tcW w:w="754" w:type="dxa"/>
            <w:tcBorders>
              <w:bottom w:val="single" w:sz="6" w:space="0" w:color="auto"/>
            </w:tcBorders>
          </w:tcPr>
          <w:p w14:paraId="52571AA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(45)</w:t>
            </w:r>
          </w:p>
        </w:tc>
        <w:tc>
          <w:tcPr>
            <w:tcW w:w="754" w:type="dxa"/>
            <w:tcBorders>
              <w:bottom w:val="single" w:sz="6" w:space="0" w:color="auto"/>
            </w:tcBorders>
          </w:tcPr>
          <w:p w14:paraId="72A63BF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(37)</w:t>
            </w:r>
          </w:p>
        </w:tc>
      </w:tr>
      <w:tr w:rsidR="00964B88" w14:paraId="69B52A18"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1588CDEF" w14:textId="77777777" w:rsidR="00964B88" w:rsidRDefault="00964B88">
            <w:pPr>
              <w:rPr>
                <w:sz w:val="16"/>
              </w:rPr>
            </w:pPr>
            <w:r>
              <w:rPr>
                <w:b/>
                <w:sz w:val="16"/>
              </w:rPr>
              <w:t>Net cash flows from financing activities</w:t>
            </w:r>
          </w:p>
        </w:tc>
        <w:tc>
          <w:tcPr>
            <w:tcW w:w="754" w:type="dxa"/>
            <w:gridSpan w:val="2"/>
            <w:tcBorders>
              <w:top w:val="single" w:sz="6" w:space="0" w:color="auto"/>
              <w:bottom w:val="single" w:sz="6" w:space="0" w:color="auto"/>
            </w:tcBorders>
          </w:tcPr>
          <w:p w14:paraId="3C50FB0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(1 377)</w:t>
            </w:r>
          </w:p>
        </w:tc>
        <w:tc>
          <w:tcPr>
            <w:tcW w:w="754" w:type="dxa"/>
            <w:tcBorders>
              <w:top w:val="single" w:sz="6" w:space="0" w:color="auto"/>
              <w:bottom w:val="single" w:sz="6" w:space="0" w:color="auto"/>
            </w:tcBorders>
          </w:tcPr>
          <w:p w14:paraId="09BC088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2 207</w:t>
            </w:r>
          </w:p>
        </w:tc>
        <w:tc>
          <w:tcPr>
            <w:tcW w:w="754" w:type="dxa"/>
            <w:tcBorders>
              <w:top w:val="single" w:sz="6" w:space="0" w:color="auto"/>
              <w:bottom w:val="single" w:sz="6" w:space="0" w:color="auto"/>
            </w:tcBorders>
          </w:tcPr>
          <w:p w14:paraId="0D9FDE9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7 500</w:t>
            </w:r>
          </w:p>
        </w:tc>
        <w:tc>
          <w:tcPr>
            <w:tcW w:w="754" w:type="dxa"/>
            <w:tcBorders>
              <w:top w:val="single" w:sz="6" w:space="0" w:color="auto"/>
              <w:bottom w:val="single" w:sz="6" w:space="0" w:color="auto"/>
            </w:tcBorders>
          </w:tcPr>
          <w:p w14:paraId="492BF005"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3 484</w:t>
            </w:r>
          </w:p>
        </w:tc>
        <w:tc>
          <w:tcPr>
            <w:tcW w:w="754" w:type="dxa"/>
            <w:tcBorders>
              <w:top w:val="single" w:sz="6" w:space="0" w:color="auto"/>
              <w:bottom w:val="single" w:sz="6" w:space="0" w:color="auto"/>
            </w:tcBorders>
          </w:tcPr>
          <w:p w14:paraId="35A3D87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2 575</w:t>
            </w:r>
          </w:p>
        </w:tc>
      </w:tr>
      <w:tr w:rsidR="00964B88" w14:paraId="2AC06341"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661CD021" w14:textId="77777777" w:rsidR="00964B88" w:rsidRDefault="00964B88">
            <w:pPr>
              <w:rPr>
                <w:sz w:val="16"/>
              </w:rPr>
            </w:pPr>
            <w:r>
              <w:rPr>
                <w:b/>
                <w:sz w:val="16"/>
              </w:rPr>
              <w:t>Net increase/(decrease) in cash and cash equivalents</w:t>
            </w:r>
          </w:p>
        </w:tc>
        <w:tc>
          <w:tcPr>
            <w:tcW w:w="754" w:type="dxa"/>
            <w:gridSpan w:val="2"/>
            <w:tcBorders>
              <w:top w:val="single" w:sz="6" w:space="0" w:color="auto"/>
            </w:tcBorders>
          </w:tcPr>
          <w:p w14:paraId="7A69740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47</w:t>
            </w:r>
          </w:p>
        </w:tc>
        <w:tc>
          <w:tcPr>
            <w:tcW w:w="754" w:type="dxa"/>
            <w:tcBorders>
              <w:top w:val="single" w:sz="6" w:space="0" w:color="auto"/>
            </w:tcBorders>
          </w:tcPr>
          <w:p w14:paraId="3A951BEA"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(1 000)</w:t>
            </w:r>
          </w:p>
        </w:tc>
        <w:tc>
          <w:tcPr>
            <w:tcW w:w="754" w:type="dxa"/>
            <w:tcBorders>
              <w:top w:val="single" w:sz="6" w:space="0" w:color="auto"/>
            </w:tcBorders>
          </w:tcPr>
          <w:p w14:paraId="055CC51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(39)</w:t>
            </w:r>
          </w:p>
        </w:tc>
        <w:tc>
          <w:tcPr>
            <w:tcW w:w="754" w:type="dxa"/>
            <w:tcBorders>
              <w:top w:val="single" w:sz="6" w:space="0" w:color="auto"/>
            </w:tcBorders>
          </w:tcPr>
          <w:p w14:paraId="5301B81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(98)</w:t>
            </w:r>
          </w:p>
        </w:tc>
        <w:tc>
          <w:tcPr>
            <w:tcW w:w="754" w:type="dxa"/>
            <w:tcBorders>
              <w:top w:val="single" w:sz="6" w:space="0" w:color="auto"/>
            </w:tcBorders>
          </w:tcPr>
          <w:p w14:paraId="0400B8D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(70)</w:t>
            </w:r>
          </w:p>
        </w:tc>
      </w:tr>
      <w:tr w:rsidR="00964B88" w14:paraId="0402A6C4" w14:textId="77777777" w:rsidTr="003951F6">
        <w:tc>
          <w:tcPr>
            <w:cnfStyle w:val="001000000000" w:firstRow="0" w:lastRow="0" w:firstColumn="1" w:lastColumn="0" w:oddVBand="0" w:evenVBand="0" w:oddHBand="0" w:evenHBand="0" w:firstRowFirstColumn="0" w:firstRowLastColumn="0" w:lastRowFirstColumn="0" w:lastRowLastColumn="0"/>
            <w:tcW w:w="4140" w:type="dxa"/>
            <w:gridSpan w:val="2"/>
            <w:tcBorders>
              <w:bottom w:val="single" w:sz="6" w:space="0" w:color="auto"/>
            </w:tcBorders>
          </w:tcPr>
          <w:p w14:paraId="31AC8935" w14:textId="77777777" w:rsidR="00964B88" w:rsidRDefault="00964B88">
            <w:pPr>
              <w:rPr>
                <w:sz w:val="16"/>
              </w:rPr>
            </w:pPr>
            <w:r>
              <w:rPr>
                <w:sz w:val="16"/>
              </w:rPr>
              <w:t>Cash and cash equivalents at beginning of reporting period</w:t>
            </w:r>
            <w:r>
              <w:rPr>
                <w:sz w:val="16"/>
                <w:vertAlign w:val="superscript"/>
              </w:rPr>
              <w:t xml:space="preserve"> (b)</w:t>
            </w:r>
          </w:p>
        </w:tc>
        <w:tc>
          <w:tcPr>
            <w:tcW w:w="612" w:type="dxa"/>
            <w:tcBorders>
              <w:bottom w:val="single" w:sz="6" w:space="0" w:color="auto"/>
            </w:tcBorders>
          </w:tcPr>
          <w:p w14:paraId="431892D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4 067</w:t>
            </w:r>
          </w:p>
        </w:tc>
        <w:tc>
          <w:tcPr>
            <w:tcW w:w="754" w:type="dxa"/>
            <w:tcBorders>
              <w:bottom w:val="single" w:sz="6" w:space="0" w:color="auto"/>
            </w:tcBorders>
          </w:tcPr>
          <w:p w14:paraId="20C7159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4 067</w:t>
            </w:r>
          </w:p>
        </w:tc>
        <w:tc>
          <w:tcPr>
            <w:tcW w:w="754" w:type="dxa"/>
            <w:tcBorders>
              <w:bottom w:val="single" w:sz="6" w:space="0" w:color="auto"/>
            </w:tcBorders>
          </w:tcPr>
          <w:p w14:paraId="1094B5A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3 067</w:t>
            </w:r>
          </w:p>
        </w:tc>
        <w:tc>
          <w:tcPr>
            <w:tcW w:w="754" w:type="dxa"/>
            <w:tcBorders>
              <w:bottom w:val="single" w:sz="6" w:space="0" w:color="auto"/>
            </w:tcBorders>
          </w:tcPr>
          <w:p w14:paraId="340A639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3 028</w:t>
            </w:r>
          </w:p>
        </w:tc>
        <w:tc>
          <w:tcPr>
            <w:tcW w:w="754" w:type="dxa"/>
            <w:tcBorders>
              <w:bottom w:val="single" w:sz="6" w:space="0" w:color="auto"/>
            </w:tcBorders>
          </w:tcPr>
          <w:p w14:paraId="0D9ABAF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2 930</w:t>
            </w:r>
          </w:p>
        </w:tc>
      </w:tr>
      <w:tr w:rsidR="00964B88" w14:paraId="232CEFD6"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74C4604D" w14:textId="77777777" w:rsidR="00964B88" w:rsidRDefault="00964B88">
            <w:pPr>
              <w:rPr>
                <w:sz w:val="16"/>
              </w:rPr>
            </w:pPr>
            <w:r>
              <w:rPr>
                <w:b/>
                <w:sz w:val="16"/>
              </w:rPr>
              <w:t>Cash and cash equivalents at end of reporting period</w:t>
            </w:r>
            <w:r>
              <w:rPr>
                <w:b/>
                <w:sz w:val="16"/>
                <w:vertAlign w:val="superscript"/>
              </w:rPr>
              <w:t xml:space="preserve"> (b)</w:t>
            </w:r>
          </w:p>
        </w:tc>
        <w:tc>
          <w:tcPr>
            <w:tcW w:w="754" w:type="dxa"/>
            <w:gridSpan w:val="2"/>
            <w:tcBorders>
              <w:top w:val="single" w:sz="6" w:space="0" w:color="auto"/>
              <w:bottom w:val="single" w:sz="6" w:space="0" w:color="auto"/>
            </w:tcBorders>
          </w:tcPr>
          <w:p w14:paraId="2CAF658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4 114</w:t>
            </w:r>
          </w:p>
        </w:tc>
        <w:tc>
          <w:tcPr>
            <w:tcW w:w="754" w:type="dxa"/>
            <w:tcBorders>
              <w:top w:val="single" w:sz="6" w:space="0" w:color="auto"/>
              <w:bottom w:val="single" w:sz="6" w:space="0" w:color="auto"/>
            </w:tcBorders>
          </w:tcPr>
          <w:p w14:paraId="5FD6DA1C"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3 067</w:t>
            </w:r>
          </w:p>
        </w:tc>
        <w:tc>
          <w:tcPr>
            <w:tcW w:w="754" w:type="dxa"/>
            <w:tcBorders>
              <w:top w:val="single" w:sz="6" w:space="0" w:color="auto"/>
              <w:bottom w:val="single" w:sz="6" w:space="0" w:color="auto"/>
            </w:tcBorders>
          </w:tcPr>
          <w:p w14:paraId="507A5DD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3 028</w:t>
            </w:r>
          </w:p>
        </w:tc>
        <w:tc>
          <w:tcPr>
            <w:tcW w:w="754" w:type="dxa"/>
            <w:tcBorders>
              <w:top w:val="single" w:sz="6" w:space="0" w:color="auto"/>
              <w:bottom w:val="single" w:sz="6" w:space="0" w:color="auto"/>
            </w:tcBorders>
          </w:tcPr>
          <w:p w14:paraId="016F73C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2 930</w:t>
            </w:r>
          </w:p>
        </w:tc>
        <w:tc>
          <w:tcPr>
            <w:tcW w:w="754" w:type="dxa"/>
            <w:tcBorders>
              <w:top w:val="single" w:sz="6" w:space="0" w:color="auto"/>
              <w:bottom w:val="single" w:sz="6" w:space="0" w:color="auto"/>
            </w:tcBorders>
          </w:tcPr>
          <w:p w14:paraId="2BBA3FC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b/>
                <w:sz w:val="16"/>
              </w:rPr>
              <w:t>2 859</w:t>
            </w:r>
          </w:p>
        </w:tc>
      </w:tr>
      <w:tr w:rsidR="00964B88" w14:paraId="7DF571C8" w14:textId="77777777" w:rsidTr="0007698C">
        <w:trPr>
          <w:trHeight w:hRule="exact" w:val="113"/>
        </w:trPr>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0DF9BB7A" w14:textId="77777777" w:rsidR="00964B88" w:rsidRDefault="00964B88">
            <w:pPr>
              <w:rPr>
                <w:sz w:val="16"/>
              </w:rPr>
            </w:pPr>
          </w:p>
        </w:tc>
        <w:tc>
          <w:tcPr>
            <w:tcW w:w="754" w:type="dxa"/>
            <w:gridSpan w:val="2"/>
            <w:tcBorders>
              <w:top w:val="single" w:sz="6" w:space="0" w:color="auto"/>
            </w:tcBorders>
          </w:tcPr>
          <w:p w14:paraId="4099E12B"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6A60066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00E25C1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06F27F9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2015C36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7E33F6D3"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4C1B12C9" w14:textId="77777777" w:rsidR="00964B88" w:rsidRDefault="00964B88">
            <w:pPr>
              <w:rPr>
                <w:sz w:val="16"/>
              </w:rPr>
            </w:pPr>
            <w:r>
              <w:rPr>
                <w:b/>
                <w:sz w:val="16"/>
              </w:rPr>
              <w:t>FISCAL AGGREGATES</w:t>
            </w:r>
          </w:p>
        </w:tc>
        <w:tc>
          <w:tcPr>
            <w:tcW w:w="754" w:type="dxa"/>
            <w:gridSpan w:val="2"/>
          </w:tcPr>
          <w:p w14:paraId="45AC745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3F75CB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3AB78D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446E290"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E6E72B9"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p>
        </w:tc>
      </w:tr>
      <w:tr w:rsidR="00964B88" w14:paraId="11E23F93"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2A90F1C4" w14:textId="77777777" w:rsidR="00964B88" w:rsidRDefault="00964B88">
            <w:pPr>
              <w:rPr>
                <w:sz w:val="16"/>
              </w:rPr>
            </w:pPr>
            <w:r>
              <w:rPr>
                <w:sz w:val="16"/>
              </w:rPr>
              <w:t>Net cash flows from operating activities</w:t>
            </w:r>
          </w:p>
        </w:tc>
        <w:tc>
          <w:tcPr>
            <w:tcW w:w="754" w:type="dxa"/>
            <w:gridSpan w:val="2"/>
          </w:tcPr>
          <w:p w14:paraId="1597C27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(172)</w:t>
            </w:r>
          </w:p>
        </w:tc>
        <w:tc>
          <w:tcPr>
            <w:tcW w:w="754" w:type="dxa"/>
          </w:tcPr>
          <w:p w14:paraId="7A0B6BD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(88)</w:t>
            </w:r>
          </w:p>
        </w:tc>
        <w:tc>
          <w:tcPr>
            <w:tcW w:w="754" w:type="dxa"/>
          </w:tcPr>
          <w:p w14:paraId="23364FC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105</w:t>
            </w:r>
          </w:p>
        </w:tc>
        <w:tc>
          <w:tcPr>
            <w:tcW w:w="754" w:type="dxa"/>
          </w:tcPr>
          <w:p w14:paraId="759EA82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169</w:t>
            </w:r>
          </w:p>
        </w:tc>
        <w:tc>
          <w:tcPr>
            <w:tcW w:w="754" w:type="dxa"/>
          </w:tcPr>
          <w:p w14:paraId="62A5E8D6"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800</w:t>
            </w:r>
          </w:p>
        </w:tc>
      </w:tr>
      <w:tr w:rsidR="00964B88" w14:paraId="1EFBE138" w14:textId="77777777" w:rsidTr="0007698C">
        <w:tc>
          <w:tcPr>
            <w:cnfStyle w:val="001000000000" w:firstRow="0" w:lastRow="0" w:firstColumn="1" w:lastColumn="0" w:oddVBand="0" w:evenVBand="0" w:oddHBand="0" w:evenHBand="0" w:firstRowFirstColumn="0" w:firstRowLastColumn="0" w:lastRowFirstColumn="0" w:lastRowLastColumn="0"/>
            <w:tcW w:w="3998" w:type="dxa"/>
          </w:tcPr>
          <w:p w14:paraId="2FAD981C" w14:textId="77777777" w:rsidR="00964B88" w:rsidRDefault="00964B88">
            <w:pPr>
              <w:rPr>
                <w:sz w:val="16"/>
              </w:rPr>
            </w:pPr>
            <w:r>
              <w:rPr>
                <w:sz w:val="16"/>
              </w:rPr>
              <w:t>Dividends paid</w:t>
            </w:r>
          </w:p>
        </w:tc>
        <w:tc>
          <w:tcPr>
            <w:tcW w:w="754" w:type="dxa"/>
            <w:gridSpan w:val="2"/>
          </w:tcPr>
          <w:p w14:paraId="31B13C5F"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(132)</w:t>
            </w:r>
          </w:p>
        </w:tc>
        <w:tc>
          <w:tcPr>
            <w:tcW w:w="754" w:type="dxa"/>
          </w:tcPr>
          <w:p w14:paraId="7765C5F3"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(111)</w:t>
            </w:r>
          </w:p>
        </w:tc>
        <w:tc>
          <w:tcPr>
            <w:tcW w:w="754" w:type="dxa"/>
          </w:tcPr>
          <w:p w14:paraId="1667F96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(39)</w:t>
            </w:r>
          </w:p>
        </w:tc>
        <w:tc>
          <w:tcPr>
            <w:tcW w:w="754" w:type="dxa"/>
          </w:tcPr>
          <w:p w14:paraId="2DD6F30E"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(45)</w:t>
            </w:r>
          </w:p>
        </w:tc>
        <w:tc>
          <w:tcPr>
            <w:tcW w:w="754" w:type="dxa"/>
          </w:tcPr>
          <w:p w14:paraId="2A371A62"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(37)</w:t>
            </w:r>
          </w:p>
        </w:tc>
      </w:tr>
      <w:tr w:rsidR="00964B88" w14:paraId="59454197" w14:textId="77777777" w:rsidTr="0007698C">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3FFBDCFD" w14:textId="77777777" w:rsidR="00964B88" w:rsidRDefault="00964B88">
            <w:pPr>
              <w:rPr>
                <w:sz w:val="16"/>
              </w:rPr>
            </w:pPr>
            <w:r>
              <w:rPr>
                <w:sz w:val="16"/>
              </w:rPr>
              <w:t>Net cash flows from investments in non</w:t>
            </w:r>
            <w:r>
              <w:rPr>
                <w:sz w:val="16"/>
              </w:rPr>
              <w:noBreakHyphen/>
              <w:t>financial assets</w:t>
            </w:r>
          </w:p>
        </w:tc>
        <w:tc>
          <w:tcPr>
            <w:tcW w:w="754" w:type="dxa"/>
            <w:gridSpan w:val="2"/>
            <w:tcBorders>
              <w:bottom w:val="single" w:sz="6" w:space="0" w:color="auto"/>
            </w:tcBorders>
          </w:tcPr>
          <w:p w14:paraId="3C599FD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(171)</w:t>
            </w:r>
          </w:p>
        </w:tc>
        <w:tc>
          <w:tcPr>
            <w:tcW w:w="754" w:type="dxa"/>
            <w:tcBorders>
              <w:bottom w:val="single" w:sz="6" w:space="0" w:color="auto"/>
            </w:tcBorders>
          </w:tcPr>
          <w:p w14:paraId="5556C5D7"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(217)</w:t>
            </w:r>
          </w:p>
        </w:tc>
        <w:tc>
          <w:tcPr>
            <w:tcW w:w="754" w:type="dxa"/>
            <w:tcBorders>
              <w:bottom w:val="single" w:sz="6" w:space="0" w:color="auto"/>
            </w:tcBorders>
          </w:tcPr>
          <w:p w14:paraId="7CF099C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(204)</w:t>
            </w:r>
          </w:p>
        </w:tc>
        <w:tc>
          <w:tcPr>
            <w:tcW w:w="754" w:type="dxa"/>
            <w:tcBorders>
              <w:bottom w:val="single" w:sz="6" w:space="0" w:color="auto"/>
            </w:tcBorders>
          </w:tcPr>
          <w:p w14:paraId="35493F5D"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(140)</w:t>
            </w:r>
          </w:p>
        </w:tc>
        <w:tc>
          <w:tcPr>
            <w:tcW w:w="754" w:type="dxa"/>
            <w:tcBorders>
              <w:bottom w:val="single" w:sz="6" w:space="0" w:color="auto"/>
            </w:tcBorders>
          </w:tcPr>
          <w:p w14:paraId="5610B038" w14:textId="77777777" w:rsidR="00964B88" w:rsidRDefault="00964B88">
            <w:pPr>
              <w:cnfStyle w:val="000000000000" w:firstRow="0" w:lastRow="0" w:firstColumn="0" w:lastColumn="0" w:oddVBand="0" w:evenVBand="0" w:oddHBand="0" w:evenHBand="0" w:firstRowFirstColumn="0" w:firstRowLastColumn="0" w:lastRowFirstColumn="0" w:lastRowLastColumn="0"/>
              <w:rPr>
                <w:sz w:val="16"/>
              </w:rPr>
            </w:pPr>
            <w:r>
              <w:rPr>
                <w:sz w:val="16"/>
              </w:rPr>
              <w:t>(132)</w:t>
            </w:r>
          </w:p>
        </w:tc>
      </w:tr>
      <w:tr w:rsidR="00964B88" w14:paraId="1885BB8D" w14:textId="77777777" w:rsidTr="000769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8" w:type="dxa"/>
          </w:tcPr>
          <w:p w14:paraId="50F21140" w14:textId="77777777" w:rsidR="00964B88" w:rsidRDefault="00964B88">
            <w:pPr>
              <w:rPr>
                <w:sz w:val="16"/>
              </w:rPr>
            </w:pPr>
            <w:r>
              <w:rPr>
                <w:sz w:val="16"/>
              </w:rPr>
              <w:t>Cash surplus/(deficit)</w:t>
            </w:r>
          </w:p>
        </w:tc>
        <w:tc>
          <w:tcPr>
            <w:tcW w:w="754" w:type="dxa"/>
            <w:gridSpan w:val="2"/>
          </w:tcPr>
          <w:p w14:paraId="718CA475"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(475)</w:t>
            </w:r>
          </w:p>
        </w:tc>
        <w:tc>
          <w:tcPr>
            <w:tcW w:w="754" w:type="dxa"/>
          </w:tcPr>
          <w:p w14:paraId="3B8DFF09"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(417)</w:t>
            </w:r>
          </w:p>
        </w:tc>
        <w:tc>
          <w:tcPr>
            <w:tcW w:w="754" w:type="dxa"/>
          </w:tcPr>
          <w:p w14:paraId="517DD0B7"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(137)</w:t>
            </w:r>
          </w:p>
        </w:tc>
        <w:tc>
          <w:tcPr>
            <w:tcW w:w="754" w:type="dxa"/>
          </w:tcPr>
          <w:p w14:paraId="62BCCB27"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(15)</w:t>
            </w:r>
          </w:p>
        </w:tc>
        <w:tc>
          <w:tcPr>
            <w:tcW w:w="754" w:type="dxa"/>
          </w:tcPr>
          <w:p w14:paraId="7FCA8CBA" w14:textId="77777777" w:rsidR="00964B88" w:rsidRDefault="00964B88">
            <w:pPr>
              <w:cnfStyle w:val="010000000000" w:firstRow="0" w:lastRow="1" w:firstColumn="0" w:lastColumn="0" w:oddVBand="0" w:evenVBand="0" w:oddHBand="0" w:evenHBand="0" w:firstRowFirstColumn="0" w:firstRowLastColumn="0" w:lastRowFirstColumn="0" w:lastRowLastColumn="0"/>
              <w:rPr>
                <w:sz w:val="16"/>
              </w:rPr>
            </w:pPr>
            <w:r>
              <w:rPr>
                <w:sz w:val="16"/>
              </w:rPr>
              <w:t>630</w:t>
            </w:r>
          </w:p>
        </w:tc>
      </w:tr>
    </w:tbl>
    <w:p w14:paraId="5D78CCFD" w14:textId="77777777" w:rsidR="00964B88" w:rsidRPr="00AF04C7" w:rsidRDefault="00964B88" w:rsidP="00F53820">
      <w:pPr>
        <w:pStyle w:val="Note"/>
      </w:pPr>
      <w:r w:rsidRPr="00AF04C7">
        <w:t>Notes:</w:t>
      </w:r>
    </w:p>
    <w:p w14:paraId="7E5CEBA9" w14:textId="77777777" w:rsidR="00964B88" w:rsidRPr="00AF04C7" w:rsidRDefault="00964B88" w:rsidP="00F53820">
      <w:pPr>
        <w:pStyle w:val="Note"/>
      </w:pPr>
      <w:r w:rsidRPr="00AF04C7">
        <w:t>(a)</w:t>
      </w:r>
      <w:r w:rsidRPr="00AF04C7">
        <w:tab/>
        <w:t>Inclusive of goods and services tax.</w:t>
      </w:r>
    </w:p>
    <w:p w14:paraId="4DC9A5DC" w14:textId="77777777" w:rsidR="00964B88" w:rsidRPr="00AF04C7" w:rsidRDefault="00964B88" w:rsidP="00F53820">
      <w:pPr>
        <w:pStyle w:val="Note"/>
        <w:rPr>
          <w:b/>
        </w:rPr>
      </w:pPr>
      <w:r w:rsidRPr="00AF04C7">
        <w:t>(b)</w:t>
      </w:r>
      <w:r w:rsidRPr="00AF04C7">
        <w:tab/>
      </w:r>
      <w:r w:rsidRPr="00D51820">
        <w:rPr>
          <w:i w:val="0"/>
        </w:rPr>
        <w:t>201</w:t>
      </w:r>
      <w:r>
        <w:rPr>
          <w:i w:val="0"/>
        </w:rPr>
        <w:t>9</w:t>
      </w:r>
      <w:r w:rsidRPr="00D51820">
        <w:rPr>
          <w:i w:val="0"/>
        </w:rPr>
        <w:t>-</w:t>
      </w:r>
      <w:r>
        <w:rPr>
          <w:i w:val="0"/>
        </w:rPr>
        <w:t>20</w:t>
      </w:r>
      <w:r w:rsidRPr="00D51820">
        <w:rPr>
          <w:i w:val="0"/>
        </w:rPr>
        <w:t xml:space="preserve"> Budget</w:t>
      </w:r>
      <w:r w:rsidRPr="00AF04C7">
        <w:t xml:space="preserve"> figures have been restated to represent actual opening balances at 1 July 201</w:t>
      </w:r>
      <w:r>
        <w:t>9</w:t>
      </w:r>
      <w:r w:rsidRPr="00AF04C7">
        <w:t xml:space="preserve">. </w:t>
      </w:r>
    </w:p>
    <w:p w14:paraId="4BECBF50" w14:textId="77777777" w:rsidR="00964B88" w:rsidRDefault="00964B88" w:rsidP="00F53820">
      <w:pPr>
        <w:pStyle w:val="TableHeading"/>
      </w:pPr>
      <w:r>
        <w:lastRenderedPageBreak/>
        <w:t>Table 5.14</w:t>
      </w:r>
      <w:r w:rsidR="009C1504">
        <w:t>:</w:t>
      </w:r>
      <w:r>
        <w:tab/>
        <w:t xml:space="preserve">Public financial corporations sector statement of changes in equity </w:t>
      </w:r>
      <w:r>
        <w:br/>
        <w:t>for the financial year ended 30 June</w:t>
      </w:r>
      <w:r>
        <w:tab/>
        <w:t>($ million)</w:t>
      </w:r>
    </w:p>
    <w:tbl>
      <w:tblPr>
        <w:tblStyle w:val="DTFTable"/>
        <w:tblW w:w="7768" w:type="dxa"/>
        <w:tblLayout w:type="fixed"/>
        <w:tblLook w:val="06E0" w:firstRow="1" w:lastRow="1" w:firstColumn="1" w:lastColumn="0" w:noHBand="1" w:noVBand="1"/>
      </w:tblPr>
      <w:tblGrid>
        <w:gridCol w:w="4707"/>
        <w:gridCol w:w="1559"/>
        <w:gridCol w:w="1502"/>
      </w:tblGrid>
      <w:tr w:rsidR="00964B88" w14:paraId="2FF511ED"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07" w:type="dxa"/>
          </w:tcPr>
          <w:p w14:paraId="54744A76" w14:textId="77777777" w:rsidR="00964B88" w:rsidRDefault="00964B88"/>
        </w:tc>
        <w:tc>
          <w:tcPr>
            <w:tcW w:w="1559" w:type="dxa"/>
          </w:tcPr>
          <w:p w14:paraId="0C596803" w14:textId="77777777" w:rsidR="00964B88" w:rsidRDefault="00964B88">
            <w:pPr>
              <w:cnfStyle w:val="100000000000" w:firstRow="1" w:lastRow="0" w:firstColumn="0" w:lastColumn="0" w:oddVBand="0" w:evenVBand="0" w:oddHBand="0" w:evenHBand="0" w:firstRowFirstColumn="0" w:firstRowLastColumn="0" w:lastRowFirstColumn="0" w:lastRowLastColumn="0"/>
            </w:pPr>
            <w:r>
              <w:t>Accumulated surplus/(deficit)</w:t>
            </w:r>
          </w:p>
        </w:tc>
        <w:tc>
          <w:tcPr>
            <w:tcW w:w="1502" w:type="dxa"/>
          </w:tcPr>
          <w:p w14:paraId="5CF7F814" w14:textId="77777777" w:rsidR="00964B88" w:rsidRDefault="00964B88">
            <w:pPr>
              <w:cnfStyle w:val="100000000000" w:firstRow="1" w:lastRow="0" w:firstColumn="0" w:lastColumn="0" w:oddVBand="0" w:evenVBand="0" w:oddHBand="0" w:evenHBand="0" w:firstRowFirstColumn="0" w:firstRowLastColumn="0" w:lastRowFirstColumn="0" w:lastRowLastColumn="0"/>
            </w:pPr>
            <w:r>
              <w:t>Contributions</w:t>
            </w:r>
            <w:r>
              <w:br/>
              <w:t>by owners</w:t>
            </w:r>
          </w:p>
        </w:tc>
      </w:tr>
      <w:tr w:rsidR="00964B88" w14:paraId="645F7E5C" w14:textId="77777777">
        <w:tc>
          <w:tcPr>
            <w:cnfStyle w:val="001000000000" w:firstRow="0" w:lastRow="0" w:firstColumn="1" w:lastColumn="0" w:oddVBand="0" w:evenVBand="0" w:oddHBand="0" w:evenHBand="0" w:firstRowFirstColumn="0" w:firstRowLastColumn="0" w:lastRowFirstColumn="0" w:lastRowLastColumn="0"/>
            <w:tcW w:w="4707" w:type="dxa"/>
          </w:tcPr>
          <w:p w14:paraId="67BD71D5" w14:textId="77777777" w:rsidR="00964B88" w:rsidRDefault="00964B88">
            <w:r>
              <w:rPr>
                <w:b/>
              </w:rPr>
              <w:t>2019</w:t>
            </w:r>
            <w:r>
              <w:rPr>
                <w:b/>
              </w:rPr>
              <w:noBreakHyphen/>
              <w:t>20 budget</w:t>
            </w:r>
            <w:r>
              <w:rPr>
                <w:b/>
                <w:vertAlign w:val="superscript"/>
              </w:rPr>
              <w:t xml:space="preserve"> (a)</w:t>
            </w:r>
          </w:p>
        </w:tc>
        <w:tc>
          <w:tcPr>
            <w:tcW w:w="1559" w:type="dxa"/>
          </w:tcPr>
          <w:p w14:paraId="69C4F62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02" w:type="dxa"/>
          </w:tcPr>
          <w:p w14:paraId="442541F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8D959DB" w14:textId="77777777">
        <w:tc>
          <w:tcPr>
            <w:cnfStyle w:val="001000000000" w:firstRow="0" w:lastRow="0" w:firstColumn="1" w:lastColumn="0" w:oddVBand="0" w:evenVBand="0" w:oddHBand="0" w:evenHBand="0" w:firstRowFirstColumn="0" w:firstRowLastColumn="0" w:lastRowFirstColumn="0" w:lastRowLastColumn="0"/>
            <w:tcW w:w="4707" w:type="dxa"/>
          </w:tcPr>
          <w:p w14:paraId="3E7F7806" w14:textId="77777777" w:rsidR="00964B88" w:rsidRDefault="00964B88">
            <w:r>
              <w:t>Balance at 1 July 2019</w:t>
            </w:r>
          </w:p>
        </w:tc>
        <w:tc>
          <w:tcPr>
            <w:tcW w:w="1559" w:type="dxa"/>
          </w:tcPr>
          <w:p w14:paraId="3B2C4789" w14:textId="77777777" w:rsidR="00964B88" w:rsidRDefault="00964B88">
            <w:pPr>
              <w:cnfStyle w:val="000000000000" w:firstRow="0" w:lastRow="0" w:firstColumn="0" w:lastColumn="0" w:oddVBand="0" w:evenVBand="0" w:oddHBand="0" w:evenHBand="0" w:firstRowFirstColumn="0" w:firstRowLastColumn="0" w:lastRowFirstColumn="0" w:lastRowLastColumn="0"/>
            </w:pPr>
            <w:r>
              <w:t>(6 220)</w:t>
            </w:r>
          </w:p>
        </w:tc>
        <w:tc>
          <w:tcPr>
            <w:tcW w:w="1502" w:type="dxa"/>
          </w:tcPr>
          <w:p w14:paraId="2CC125F1" w14:textId="77777777" w:rsidR="00964B88" w:rsidRDefault="00964B88">
            <w:pPr>
              <w:cnfStyle w:val="000000000000" w:firstRow="0" w:lastRow="0" w:firstColumn="0" w:lastColumn="0" w:oddVBand="0" w:evenVBand="0" w:oddHBand="0" w:evenHBand="0" w:firstRowFirstColumn="0" w:firstRowLastColumn="0" w:lastRowFirstColumn="0" w:lastRowLastColumn="0"/>
            </w:pPr>
            <w:r>
              <w:t>29</w:t>
            </w:r>
          </w:p>
        </w:tc>
      </w:tr>
      <w:tr w:rsidR="00964B88" w14:paraId="6B6F8EC0" w14:textId="77777777">
        <w:tc>
          <w:tcPr>
            <w:cnfStyle w:val="001000000000" w:firstRow="0" w:lastRow="0" w:firstColumn="1" w:lastColumn="0" w:oddVBand="0" w:evenVBand="0" w:oddHBand="0" w:evenHBand="0" w:firstRowFirstColumn="0" w:firstRowLastColumn="0" w:lastRowFirstColumn="0" w:lastRowLastColumn="0"/>
            <w:tcW w:w="4707" w:type="dxa"/>
          </w:tcPr>
          <w:p w14:paraId="1558EF18" w14:textId="77777777" w:rsidR="00964B88" w:rsidRDefault="00964B88">
            <w:r>
              <w:t>Net result for the year</w:t>
            </w:r>
          </w:p>
        </w:tc>
        <w:tc>
          <w:tcPr>
            <w:tcW w:w="1559" w:type="dxa"/>
          </w:tcPr>
          <w:p w14:paraId="0FD9189B" w14:textId="77777777" w:rsidR="00964B88" w:rsidRDefault="00964B88">
            <w:pPr>
              <w:cnfStyle w:val="000000000000" w:firstRow="0" w:lastRow="0" w:firstColumn="0" w:lastColumn="0" w:oddVBand="0" w:evenVBand="0" w:oddHBand="0" w:evenHBand="0" w:firstRowFirstColumn="0" w:firstRowLastColumn="0" w:lastRowFirstColumn="0" w:lastRowLastColumn="0"/>
            </w:pPr>
            <w:r>
              <w:t>(1 429)</w:t>
            </w:r>
          </w:p>
        </w:tc>
        <w:tc>
          <w:tcPr>
            <w:tcW w:w="1502" w:type="dxa"/>
          </w:tcPr>
          <w:p w14:paraId="16919E38"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5F37A689" w14:textId="77777777">
        <w:tc>
          <w:tcPr>
            <w:cnfStyle w:val="001000000000" w:firstRow="0" w:lastRow="0" w:firstColumn="1" w:lastColumn="0" w:oddVBand="0" w:evenVBand="0" w:oddHBand="0" w:evenHBand="0" w:firstRowFirstColumn="0" w:firstRowLastColumn="0" w:lastRowFirstColumn="0" w:lastRowLastColumn="0"/>
            <w:tcW w:w="4707" w:type="dxa"/>
          </w:tcPr>
          <w:p w14:paraId="31C455BC" w14:textId="77777777" w:rsidR="00964B88" w:rsidRDefault="00964B88">
            <w:r>
              <w:t>Other comprehensive income for the year</w:t>
            </w:r>
          </w:p>
        </w:tc>
        <w:tc>
          <w:tcPr>
            <w:tcW w:w="1559" w:type="dxa"/>
          </w:tcPr>
          <w:p w14:paraId="5419DC0C" w14:textId="77777777" w:rsidR="00964B88" w:rsidRDefault="00964B88">
            <w:pPr>
              <w:cnfStyle w:val="000000000000" w:firstRow="0" w:lastRow="0" w:firstColumn="0" w:lastColumn="0" w:oddVBand="0" w:evenVBand="0" w:oddHBand="0" w:evenHBand="0" w:firstRowFirstColumn="0" w:firstRowLastColumn="0" w:lastRowFirstColumn="0" w:lastRowLastColumn="0"/>
            </w:pPr>
            <w:r>
              <w:t>4</w:t>
            </w:r>
          </w:p>
        </w:tc>
        <w:tc>
          <w:tcPr>
            <w:tcW w:w="1502" w:type="dxa"/>
          </w:tcPr>
          <w:p w14:paraId="7F1B8E86"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42A34402" w14:textId="77777777">
        <w:tc>
          <w:tcPr>
            <w:cnfStyle w:val="001000000000" w:firstRow="0" w:lastRow="0" w:firstColumn="1" w:lastColumn="0" w:oddVBand="0" w:evenVBand="0" w:oddHBand="0" w:evenHBand="0" w:firstRowFirstColumn="0" w:firstRowLastColumn="0" w:lastRowFirstColumn="0" w:lastRowLastColumn="0"/>
            <w:tcW w:w="4707" w:type="dxa"/>
          </w:tcPr>
          <w:p w14:paraId="74FCB959" w14:textId="77777777" w:rsidR="00964B88" w:rsidRDefault="00964B88">
            <w:r>
              <w:t>Dividends paid</w:t>
            </w:r>
          </w:p>
        </w:tc>
        <w:tc>
          <w:tcPr>
            <w:tcW w:w="1559" w:type="dxa"/>
          </w:tcPr>
          <w:p w14:paraId="1E5F7489" w14:textId="77777777" w:rsidR="00964B88" w:rsidRDefault="00964B88">
            <w:pPr>
              <w:cnfStyle w:val="000000000000" w:firstRow="0" w:lastRow="0" w:firstColumn="0" w:lastColumn="0" w:oddVBand="0" w:evenVBand="0" w:oddHBand="0" w:evenHBand="0" w:firstRowFirstColumn="0" w:firstRowLastColumn="0" w:lastRowFirstColumn="0" w:lastRowLastColumn="0"/>
            </w:pPr>
            <w:r>
              <w:t>(132)</w:t>
            </w:r>
          </w:p>
        </w:tc>
        <w:tc>
          <w:tcPr>
            <w:tcW w:w="1502" w:type="dxa"/>
          </w:tcPr>
          <w:p w14:paraId="4F066025"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54D18948" w14:textId="77777777">
        <w:tc>
          <w:tcPr>
            <w:cnfStyle w:val="001000000000" w:firstRow="0" w:lastRow="0" w:firstColumn="1" w:lastColumn="0" w:oddVBand="0" w:evenVBand="0" w:oddHBand="0" w:evenHBand="0" w:firstRowFirstColumn="0" w:firstRowLastColumn="0" w:lastRowFirstColumn="0" w:lastRowLastColumn="0"/>
            <w:tcW w:w="4707" w:type="dxa"/>
          </w:tcPr>
          <w:p w14:paraId="0C74CF08" w14:textId="77777777" w:rsidR="00964B88" w:rsidRDefault="00964B88">
            <w:r>
              <w:t>Transfer to/(from) accumulated surplus</w:t>
            </w:r>
          </w:p>
        </w:tc>
        <w:tc>
          <w:tcPr>
            <w:tcW w:w="1559" w:type="dxa"/>
          </w:tcPr>
          <w:p w14:paraId="78371243" w14:textId="77777777" w:rsidR="00964B88" w:rsidRDefault="00964B88">
            <w:pPr>
              <w:cnfStyle w:val="000000000000" w:firstRow="0" w:lastRow="0" w:firstColumn="0" w:lastColumn="0" w:oddVBand="0" w:evenVBand="0" w:oddHBand="0" w:evenHBand="0" w:firstRowFirstColumn="0" w:firstRowLastColumn="0" w:lastRowFirstColumn="0" w:lastRowLastColumn="0"/>
            </w:pPr>
            <w:r>
              <w:t>(1 223)</w:t>
            </w:r>
          </w:p>
        </w:tc>
        <w:tc>
          <w:tcPr>
            <w:tcW w:w="1502" w:type="dxa"/>
          </w:tcPr>
          <w:p w14:paraId="73C4828E" w14:textId="77777777" w:rsidR="00964B88" w:rsidRDefault="00964B88">
            <w:pPr>
              <w:cnfStyle w:val="000000000000" w:firstRow="0" w:lastRow="0" w:firstColumn="0" w:lastColumn="0" w:oddVBand="0" w:evenVBand="0" w:oddHBand="0" w:evenHBand="0" w:firstRowFirstColumn="0" w:firstRowLastColumn="0" w:lastRowFirstColumn="0" w:lastRowLastColumn="0"/>
            </w:pPr>
            <w:r>
              <w:t>1 223</w:t>
            </w:r>
          </w:p>
        </w:tc>
      </w:tr>
      <w:tr w:rsidR="00964B88" w14:paraId="52F7FBCA"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bottom w:val="single" w:sz="6" w:space="0" w:color="auto"/>
            </w:tcBorders>
          </w:tcPr>
          <w:p w14:paraId="058C6733" w14:textId="77777777" w:rsidR="00964B88" w:rsidRDefault="00964B88">
            <w:r>
              <w:t>Transactions with owners in their capacity as owners</w:t>
            </w:r>
          </w:p>
        </w:tc>
        <w:tc>
          <w:tcPr>
            <w:tcW w:w="1559" w:type="dxa"/>
            <w:tcBorders>
              <w:bottom w:val="single" w:sz="6" w:space="0" w:color="auto"/>
            </w:tcBorders>
          </w:tcPr>
          <w:p w14:paraId="765FD369"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Borders>
              <w:bottom w:val="single" w:sz="6" w:space="0" w:color="auto"/>
            </w:tcBorders>
          </w:tcPr>
          <w:p w14:paraId="553E52B6" w14:textId="77777777" w:rsidR="00964B88" w:rsidRDefault="00964B88">
            <w:pPr>
              <w:cnfStyle w:val="000000000000" w:firstRow="0" w:lastRow="0" w:firstColumn="0" w:lastColumn="0" w:oddVBand="0" w:evenVBand="0" w:oddHBand="0" w:evenHBand="0" w:firstRowFirstColumn="0" w:firstRowLastColumn="0" w:lastRowFirstColumn="0" w:lastRowLastColumn="0"/>
            </w:pPr>
            <w:r>
              <w:t>(1 223)</w:t>
            </w:r>
          </w:p>
        </w:tc>
      </w:tr>
      <w:tr w:rsidR="00964B88" w14:paraId="76841C89"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bottom w:val="single" w:sz="6" w:space="0" w:color="auto"/>
            </w:tcBorders>
          </w:tcPr>
          <w:p w14:paraId="0E834EE6" w14:textId="77777777" w:rsidR="00964B88" w:rsidRDefault="00964B88">
            <w:r>
              <w:rPr>
                <w:b/>
              </w:rPr>
              <w:t>Total equity as at 30 June 2020</w:t>
            </w:r>
          </w:p>
        </w:tc>
        <w:tc>
          <w:tcPr>
            <w:tcW w:w="1559" w:type="dxa"/>
            <w:tcBorders>
              <w:top w:val="single" w:sz="6" w:space="0" w:color="auto"/>
              <w:bottom w:val="single" w:sz="6" w:space="0" w:color="auto"/>
            </w:tcBorders>
          </w:tcPr>
          <w:p w14:paraId="5E76913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(9 000)</w:t>
            </w:r>
          </w:p>
        </w:tc>
        <w:tc>
          <w:tcPr>
            <w:tcW w:w="1502" w:type="dxa"/>
            <w:tcBorders>
              <w:top w:val="single" w:sz="6" w:space="0" w:color="auto"/>
              <w:bottom w:val="single" w:sz="6" w:space="0" w:color="auto"/>
            </w:tcBorders>
          </w:tcPr>
          <w:p w14:paraId="05ADC5A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29</w:t>
            </w:r>
          </w:p>
        </w:tc>
      </w:tr>
      <w:tr w:rsidR="00964B88" w14:paraId="70E64363"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tcBorders>
          </w:tcPr>
          <w:p w14:paraId="4547AC8E" w14:textId="77777777" w:rsidR="00964B88" w:rsidRDefault="00964B88">
            <w:r>
              <w:rPr>
                <w:b/>
              </w:rPr>
              <w:t>2019</w:t>
            </w:r>
            <w:r>
              <w:rPr>
                <w:b/>
              </w:rPr>
              <w:noBreakHyphen/>
              <w:t>20 revised</w:t>
            </w:r>
          </w:p>
        </w:tc>
        <w:tc>
          <w:tcPr>
            <w:tcW w:w="1559" w:type="dxa"/>
            <w:tcBorders>
              <w:top w:val="single" w:sz="6" w:space="0" w:color="auto"/>
            </w:tcBorders>
          </w:tcPr>
          <w:p w14:paraId="69B395E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02" w:type="dxa"/>
            <w:tcBorders>
              <w:top w:val="single" w:sz="6" w:space="0" w:color="auto"/>
            </w:tcBorders>
          </w:tcPr>
          <w:p w14:paraId="298BBD3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7FCBE871" w14:textId="77777777">
        <w:tc>
          <w:tcPr>
            <w:cnfStyle w:val="001000000000" w:firstRow="0" w:lastRow="0" w:firstColumn="1" w:lastColumn="0" w:oddVBand="0" w:evenVBand="0" w:oddHBand="0" w:evenHBand="0" w:firstRowFirstColumn="0" w:firstRowLastColumn="0" w:lastRowFirstColumn="0" w:lastRowLastColumn="0"/>
            <w:tcW w:w="4707" w:type="dxa"/>
          </w:tcPr>
          <w:p w14:paraId="4CB42274" w14:textId="77777777" w:rsidR="00964B88" w:rsidRDefault="00964B88">
            <w:r>
              <w:t>Balance at 1 July 2019</w:t>
            </w:r>
          </w:p>
        </w:tc>
        <w:tc>
          <w:tcPr>
            <w:tcW w:w="1559" w:type="dxa"/>
          </w:tcPr>
          <w:p w14:paraId="359A8ECA" w14:textId="77777777" w:rsidR="00964B88" w:rsidRDefault="00964B88">
            <w:pPr>
              <w:cnfStyle w:val="000000000000" w:firstRow="0" w:lastRow="0" w:firstColumn="0" w:lastColumn="0" w:oddVBand="0" w:evenVBand="0" w:oddHBand="0" w:evenHBand="0" w:firstRowFirstColumn="0" w:firstRowLastColumn="0" w:lastRowFirstColumn="0" w:lastRowLastColumn="0"/>
            </w:pPr>
            <w:r>
              <w:t>(6 220)</w:t>
            </w:r>
          </w:p>
        </w:tc>
        <w:tc>
          <w:tcPr>
            <w:tcW w:w="1502" w:type="dxa"/>
          </w:tcPr>
          <w:p w14:paraId="05649C46" w14:textId="77777777" w:rsidR="00964B88" w:rsidRDefault="00964B88">
            <w:pPr>
              <w:cnfStyle w:val="000000000000" w:firstRow="0" w:lastRow="0" w:firstColumn="0" w:lastColumn="0" w:oddVBand="0" w:evenVBand="0" w:oddHBand="0" w:evenHBand="0" w:firstRowFirstColumn="0" w:firstRowLastColumn="0" w:lastRowFirstColumn="0" w:lastRowLastColumn="0"/>
            </w:pPr>
            <w:r>
              <w:t>29</w:t>
            </w:r>
          </w:p>
        </w:tc>
      </w:tr>
      <w:tr w:rsidR="00964B88" w14:paraId="49668EEE" w14:textId="77777777">
        <w:tc>
          <w:tcPr>
            <w:cnfStyle w:val="001000000000" w:firstRow="0" w:lastRow="0" w:firstColumn="1" w:lastColumn="0" w:oddVBand="0" w:evenVBand="0" w:oddHBand="0" w:evenHBand="0" w:firstRowFirstColumn="0" w:firstRowLastColumn="0" w:lastRowFirstColumn="0" w:lastRowLastColumn="0"/>
            <w:tcW w:w="4707" w:type="dxa"/>
          </w:tcPr>
          <w:p w14:paraId="4CA12E09" w14:textId="77777777" w:rsidR="00964B88" w:rsidRDefault="00964B88">
            <w:r>
              <w:t>Net result for the year</w:t>
            </w:r>
          </w:p>
        </w:tc>
        <w:tc>
          <w:tcPr>
            <w:tcW w:w="1559" w:type="dxa"/>
          </w:tcPr>
          <w:p w14:paraId="5E6FFA31" w14:textId="77777777" w:rsidR="00964B88" w:rsidRDefault="00964B88">
            <w:pPr>
              <w:cnfStyle w:val="000000000000" w:firstRow="0" w:lastRow="0" w:firstColumn="0" w:lastColumn="0" w:oddVBand="0" w:evenVBand="0" w:oddHBand="0" w:evenHBand="0" w:firstRowFirstColumn="0" w:firstRowLastColumn="0" w:lastRowFirstColumn="0" w:lastRowLastColumn="0"/>
            </w:pPr>
            <w:r>
              <w:t>(3 486)</w:t>
            </w:r>
          </w:p>
        </w:tc>
        <w:tc>
          <w:tcPr>
            <w:tcW w:w="1502" w:type="dxa"/>
          </w:tcPr>
          <w:p w14:paraId="08DE0B5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5C318F24" w14:textId="77777777">
        <w:tc>
          <w:tcPr>
            <w:cnfStyle w:val="001000000000" w:firstRow="0" w:lastRow="0" w:firstColumn="1" w:lastColumn="0" w:oddVBand="0" w:evenVBand="0" w:oddHBand="0" w:evenHBand="0" w:firstRowFirstColumn="0" w:firstRowLastColumn="0" w:lastRowFirstColumn="0" w:lastRowLastColumn="0"/>
            <w:tcW w:w="4707" w:type="dxa"/>
          </w:tcPr>
          <w:p w14:paraId="7E861760" w14:textId="77777777" w:rsidR="00964B88" w:rsidRDefault="00964B88">
            <w:r>
              <w:t>Other comprehensive income for the year</w:t>
            </w:r>
          </w:p>
        </w:tc>
        <w:tc>
          <w:tcPr>
            <w:tcW w:w="1559" w:type="dxa"/>
          </w:tcPr>
          <w:p w14:paraId="793BB2AF" w14:textId="77777777" w:rsidR="00964B88" w:rsidRDefault="00964B88">
            <w:pPr>
              <w:cnfStyle w:val="000000000000" w:firstRow="0" w:lastRow="0" w:firstColumn="0" w:lastColumn="0" w:oddVBand="0" w:evenVBand="0" w:oddHBand="0" w:evenHBand="0" w:firstRowFirstColumn="0" w:firstRowLastColumn="0" w:lastRowFirstColumn="0" w:lastRowLastColumn="0"/>
            </w:pPr>
            <w:r>
              <w:t>10</w:t>
            </w:r>
          </w:p>
        </w:tc>
        <w:tc>
          <w:tcPr>
            <w:tcW w:w="1502" w:type="dxa"/>
          </w:tcPr>
          <w:p w14:paraId="0242EAA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36A2D76E" w14:textId="77777777">
        <w:tc>
          <w:tcPr>
            <w:cnfStyle w:val="001000000000" w:firstRow="0" w:lastRow="0" w:firstColumn="1" w:lastColumn="0" w:oddVBand="0" w:evenVBand="0" w:oddHBand="0" w:evenHBand="0" w:firstRowFirstColumn="0" w:firstRowLastColumn="0" w:lastRowFirstColumn="0" w:lastRowLastColumn="0"/>
            <w:tcW w:w="4707" w:type="dxa"/>
          </w:tcPr>
          <w:p w14:paraId="744D3CEE" w14:textId="77777777" w:rsidR="00964B88" w:rsidRDefault="00964B88">
            <w:r>
              <w:t>Dividends paid</w:t>
            </w:r>
          </w:p>
        </w:tc>
        <w:tc>
          <w:tcPr>
            <w:tcW w:w="1559" w:type="dxa"/>
          </w:tcPr>
          <w:p w14:paraId="52277A09" w14:textId="77777777" w:rsidR="00964B88" w:rsidRDefault="00964B88">
            <w:pPr>
              <w:cnfStyle w:val="000000000000" w:firstRow="0" w:lastRow="0" w:firstColumn="0" w:lastColumn="0" w:oddVBand="0" w:evenVBand="0" w:oddHBand="0" w:evenHBand="0" w:firstRowFirstColumn="0" w:firstRowLastColumn="0" w:lastRowFirstColumn="0" w:lastRowLastColumn="0"/>
            </w:pPr>
            <w:r>
              <w:t>(111)</w:t>
            </w:r>
          </w:p>
        </w:tc>
        <w:tc>
          <w:tcPr>
            <w:tcW w:w="1502" w:type="dxa"/>
          </w:tcPr>
          <w:p w14:paraId="4F81839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030F85CD" w14:textId="77777777">
        <w:tc>
          <w:tcPr>
            <w:cnfStyle w:val="001000000000" w:firstRow="0" w:lastRow="0" w:firstColumn="1" w:lastColumn="0" w:oddVBand="0" w:evenVBand="0" w:oddHBand="0" w:evenHBand="0" w:firstRowFirstColumn="0" w:firstRowLastColumn="0" w:lastRowFirstColumn="0" w:lastRowLastColumn="0"/>
            <w:tcW w:w="4707" w:type="dxa"/>
          </w:tcPr>
          <w:p w14:paraId="202F760C" w14:textId="77777777" w:rsidR="00964B88" w:rsidRDefault="00964B88">
            <w:r>
              <w:t>Transfer to/(from) accumulated surplus</w:t>
            </w:r>
          </w:p>
        </w:tc>
        <w:tc>
          <w:tcPr>
            <w:tcW w:w="1559" w:type="dxa"/>
          </w:tcPr>
          <w:p w14:paraId="57D07117" w14:textId="77777777" w:rsidR="00964B88" w:rsidRDefault="00964B88">
            <w:pPr>
              <w:cnfStyle w:val="000000000000" w:firstRow="0" w:lastRow="0" w:firstColumn="0" w:lastColumn="0" w:oddVBand="0" w:evenVBand="0" w:oddHBand="0" w:evenHBand="0" w:firstRowFirstColumn="0" w:firstRowLastColumn="0" w:lastRowFirstColumn="0" w:lastRowLastColumn="0"/>
            </w:pPr>
            <w:r>
              <w:t>(1 223)</w:t>
            </w:r>
          </w:p>
        </w:tc>
        <w:tc>
          <w:tcPr>
            <w:tcW w:w="1502" w:type="dxa"/>
          </w:tcPr>
          <w:p w14:paraId="728F6B2D" w14:textId="77777777" w:rsidR="00964B88" w:rsidRDefault="00964B88">
            <w:pPr>
              <w:cnfStyle w:val="000000000000" w:firstRow="0" w:lastRow="0" w:firstColumn="0" w:lastColumn="0" w:oddVBand="0" w:evenVBand="0" w:oddHBand="0" w:evenHBand="0" w:firstRowFirstColumn="0" w:firstRowLastColumn="0" w:lastRowFirstColumn="0" w:lastRowLastColumn="0"/>
            </w:pPr>
            <w:r>
              <w:t>1 223</w:t>
            </w:r>
          </w:p>
        </w:tc>
      </w:tr>
      <w:tr w:rsidR="00964B88" w14:paraId="6D77B68E"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bottom w:val="single" w:sz="6" w:space="0" w:color="auto"/>
            </w:tcBorders>
          </w:tcPr>
          <w:p w14:paraId="058CC50B" w14:textId="77777777" w:rsidR="00964B88" w:rsidRDefault="00964B88">
            <w:r>
              <w:t>Transactions with owners in their capacity as owners</w:t>
            </w:r>
          </w:p>
        </w:tc>
        <w:tc>
          <w:tcPr>
            <w:tcW w:w="1559" w:type="dxa"/>
            <w:tcBorders>
              <w:bottom w:val="single" w:sz="6" w:space="0" w:color="auto"/>
            </w:tcBorders>
          </w:tcPr>
          <w:p w14:paraId="046FF9F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Borders>
              <w:bottom w:val="single" w:sz="6" w:space="0" w:color="auto"/>
            </w:tcBorders>
          </w:tcPr>
          <w:p w14:paraId="56D611DA" w14:textId="77777777" w:rsidR="00964B88" w:rsidRDefault="00964B88">
            <w:pPr>
              <w:cnfStyle w:val="000000000000" w:firstRow="0" w:lastRow="0" w:firstColumn="0" w:lastColumn="0" w:oddVBand="0" w:evenVBand="0" w:oddHBand="0" w:evenHBand="0" w:firstRowFirstColumn="0" w:firstRowLastColumn="0" w:lastRowFirstColumn="0" w:lastRowLastColumn="0"/>
            </w:pPr>
            <w:r>
              <w:t>(1 223)</w:t>
            </w:r>
          </w:p>
        </w:tc>
      </w:tr>
      <w:tr w:rsidR="00964B88" w14:paraId="342D05DE"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bottom w:val="single" w:sz="6" w:space="0" w:color="auto"/>
            </w:tcBorders>
          </w:tcPr>
          <w:p w14:paraId="24A36125" w14:textId="77777777" w:rsidR="00964B88" w:rsidRDefault="00964B88">
            <w:r>
              <w:rPr>
                <w:b/>
              </w:rPr>
              <w:t>Total equity as at 30 June 2020</w:t>
            </w:r>
          </w:p>
        </w:tc>
        <w:tc>
          <w:tcPr>
            <w:tcW w:w="1559" w:type="dxa"/>
            <w:tcBorders>
              <w:top w:val="single" w:sz="6" w:space="0" w:color="auto"/>
              <w:bottom w:val="single" w:sz="6" w:space="0" w:color="auto"/>
            </w:tcBorders>
          </w:tcPr>
          <w:p w14:paraId="2AD2902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(11 031)</w:t>
            </w:r>
          </w:p>
        </w:tc>
        <w:tc>
          <w:tcPr>
            <w:tcW w:w="1502" w:type="dxa"/>
            <w:tcBorders>
              <w:top w:val="single" w:sz="6" w:space="0" w:color="auto"/>
              <w:bottom w:val="single" w:sz="6" w:space="0" w:color="auto"/>
            </w:tcBorders>
          </w:tcPr>
          <w:p w14:paraId="6AF0D51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29</w:t>
            </w:r>
          </w:p>
        </w:tc>
      </w:tr>
      <w:tr w:rsidR="00964B88" w14:paraId="57560C1A"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tcBorders>
          </w:tcPr>
          <w:p w14:paraId="3E46D603" w14:textId="77777777" w:rsidR="00964B88" w:rsidRDefault="00964B88">
            <w:r>
              <w:rPr>
                <w:b/>
              </w:rPr>
              <w:t>2020</w:t>
            </w:r>
            <w:r>
              <w:rPr>
                <w:b/>
              </w:rPr>
              <w:noBreakHyphen/>
              <w:t>21 estimate</w:t>
            </w:r>
          </w:p>
        </w:tc>
        <w:tc>
          <w:tcPr>
            <w:tcW w:w="1559" w:type="dxa"/>
            <w:tcBorders>
              <w:top w:val="single" w:sz="6" w:space="0" w:color="auto"/>
            </w:tcBorders>
          </w:tcPr>
          <w:p w14:paraId="3E8D0C0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02" w:type="dxa"/>
            <w:tcBorders>
              <w:top w:val="single" w:sz="6" w:space="0" w:color="auto"/>
            </w:tcBorders>
          </w:tcPr>
          <w:p w14:paraId="44143C3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C57BBE1" w14:textId="77777777">
        <w:tc>
          <w:tcPr>
            <w:cnfStyle w:val="001000000000" w:firstRow="0" w:lastRow="0" w:firstColumn="1" w:lastColumn="0" w:oddVBand="0" w:evenVBand="0" w:oddHBand="0" w:evenHBand="0" w:firstRowFirstColumn="0" w:firstRowLastColumn="0" w:lastRowFirstColumn="0" w:lastRowLastColumn="0"/>
            <w:tcW w:w="4707" w:type="dxa"/>
          </w:tcPr>
          <w:p w14:paraId="1B1B154B" w14:textId="77777777" w:rsidR="00964B88" w:rsidRDefault="00964B88">
            <w:r>
              <w:t>Balance at 1 July 2020</w:t>
            </w:r>
          </w:p>
        </w:tc>
        <w:tc>
          <w:tcPr>
            <w:tcW w:w="1559" w:type="dxa"/>
          </w:tcPr>
          <w:p w14:paraId="790C9B89" w14:textId="77777777" w:rsidR="00964B88" w:rsidRDefault="00964B88">
            <w:pPr>
              <w:cnfStyle w:val="000000000000" w:firstRow="0" w:lastRow="0" w:firstColumn="0" w:lastColumn="0" w:oddVBand="0" w:evenVBand="0" w:oddHBand="0" w:evenHBand="0" w:firstRowFirstColumn="0" w:firstRowLastColumn="0" w:lastRowFirstColumn="0" w:lastRowLastColumn="0"/>
            </w:pPr>
            <w:r>
              <w:t>(11 031)</w:t>
            </w:r>
          </w:p>
        </w:tc>
        <w:tc>
          <w:tcPr>
            <w:tcW w:w="1502" w:type="dxa"/>
          </w:tcPr>
          <w:p w14:paraId="73B7C6EF" w14:textId="77777777" w:rsidR="00964B88" w:rsidRDefault="00964B88">
            <w:pPr>
              <w:cnfStyle w:val="000000000000" w:firstRow="0" w:lastRow="0" w:firstColumn="0" w:lastColumn="0" w:oddVBand="0" w:evenVBand="0" w:oddHBand="0" w:evenHBand="0" w:firstRowFirstColumn="0" w:firstRowLastColumn="0" w:lastRowFirstColumn="0" w:lastRowLastColumn="0"/>
            </w:pPr>
            <w:r>
              <w:t>29</w:t>
            </w:r>
          </w:p>
        </w:tc>
      </w:tr>
      <w:tr w:rsidR="00964B88" w14:paraId="496558E1" w14:textId="77777777">
        <w:tc>
          <w:tcPr>
            <w:cnfStyle w:val="001000000000" w:firstRow="0" w:lastRow="0" w:firstColumn="1" w:lastColumn="0" w:oddVBand="0" w:evenVBand="0" w:oddHBand="0" w:evenHBand="0" w:firstRowFirstColumn="0" w:firstRowLastColumn="0" w:lastRowFirstColumn="0" w:lastRowLastColumn="0"/>
            <w:tcW w:w="4707" w:type="dxa"/>
          </w:tcPr>
          <w:p w14:paraId="7CCF86B8" w14:textId="77777777" w:rsidR="00964B88" w:rsidRDefault="00964B88">
            <w:r>
              <w:t>Net result for the year</w:t>
            </w:r>
          </w:p>
        </w:tc>
        <w:tc>
          <w:tcPr>
            <w:tcW w:w="1559" w:type="dxa"/>
          </w:tcPr>
          <w:p w14:paraId="407034E8" w14:textId="77777777" w:rsidR="00964B88" w:rsidRDefault="00964B88">
            <w:pPr>
              <w:cnfStyle w:val="000000000000" w:firstRow="0" w:lastRow="0" w:firstColumn="0" w:lastColumn="0" w:oddVBand="0" w:evenVBand="0" w:oddHBand="0" w:evenHBand="0" w:firstRowFirstColumn="0" w:firstRowLastColumn="0" w:lastRowFirstColumn="0" w:lastRowLastColumn="0"/>
            </w:pPr>
            <w:r>
              <w:t>(1 770)</w:t>
            </w:r>
          </w:p>
        </w:tc>
        <w:tc>
          <w:tcPr>
            <w:tcW w:w="1502" w:type="dxa"/>
          </w:tcPr>
          <w:p w14:paraId="2BAA900F"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6C23CC60" w14:textId="77777777">
        <w:tc>
          <w:tcPr>
            <w:cnfStyle w:val="001000000000" w:firstRow="0" w:lastRow="0" w:firstColumn="1" w:lastColumn="0" w:oddVBand="0" w:evenVBand="0" w:oddHBand="0" w:evenHBand="0" w:firstRowFirstColumn="0" w:firstRowLastColumn="0" w:lastRowFirstColumn="0" w:lastRowLastColumn="0"/>
            <w:tcW w:w="4707" w:type="dxa"/>
          </w:tcPr>
          <w:p w14:paraId="500F89E0" w14:textId="77777777" w:rsidR="00964B88" w:rsidRDefault="00964B88">
            <w:r>
              <w:t>Other comprehensive income for the year</w:t>
            </w:r>
          </w:p>
        </w:tc>
        <w:tc>
          <w:tcPr>
            <w:tcW w:w="1559" w:type="dxa"/>
          </w:tcPr>
          <w:p w14:paraId="7F2943E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Pr>
          <w:p w14:paraId="6D1F7DA3"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591D67B3" w14:textId="77777777">
        <w:tc>
          <w:tcPr>
            <w:cnfStyle w:val="001000000000" w:firstRow="0" w:lastRow="0" w:firstColumn="1" w:lastColumn="0" w:oddVBand="0" w:evenVBand="0" w:oddHBand="0" w:evenHBand="0" w:firstRowFirstColumn="0" w:firstRowLastColumn="0" w:lastRowFirstColumn="0" w:lastRowLastColumn="0"/>
            <w:tcW w:w="4707" w:type="dxa"/>
          </w:tcPr>
          <w:p w14:paraId="346469F3" w14:textId="77777777" w:rsidR="00964B88" w:rsidRDefault="00964B88">
            <w:r>
              <w:t>Dividends paid</w:t>
            </w:r>
          </w:p>
        </w:tc>
        <w:tc>
          <w:tcPr>
            <w:tcW w:w="1559" w:type="dxa"/>
          </w:tcPr>
          <w:p w14:paraId="0B41587C" w14:textId="77777777" w:rsidR="00964B88" w:rsidRDefault="00964B88">
            <w:pPr>
              <w:cnfStyle w:val="000000000000" w:firstRow="0" w:lastRow="0" w:firstColumn="0" w:lastColumn="0" w:oddVBand="0" w:evenVBand="0" w:oddHBand="0" w:evenHBand="0" w:firstRowFirstColumn="0" w:firstRowLastColumn="0" w:lastRowFirstColumn="0" w:lastRowLastColumn="0"/>
            </w:pPr>
            <w:r>
              <w:t>(39)</w:t>
            </w:r>
          </w:p>
        </w:tc>
        <w:tc>
          <w:tcPr>
            <w:tcW w:w="1502" w:type="dxa"/>
          </w:tcPr>
          <w:p w14:paraId="64EC5247"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333609E3" w14:textId="77777777">
        <w:tc>
          <w:tcPr>
            <w:cnfStyle w:val="001000000000" w:firstRow="0" w:lastRow="0" w:firstColumn="1" w:lastColumn="0" w:oddVBand="0" w:evenVBand="0" w:oddHBand="0" w:evenHBand="0" w:firstRowFirstColumn="0" w:firstRowLastColumn="0" w:lastRowFirstColumn="0" w:lastRowLastColumn="0"/>
            <w:tcW w:w="4707" w:type="dxa"/>
          </w:tcPr>
          <w:p w14:paraId="58202C2C" w14:textId="77777777" w:rsidR="00964B88" w:rsidRDefault="00964B88">
            <w:r>
              <w:t>Transfer to/(from) accumulated surplus</w:t>
            </w:r>
          </w:p>
        </w:tc>
        <w:tc>
          <w:tcPr>
            <w:tcW w:w="1559" w:type="dxa"/>
          </w:tcPr>
          <w:p w14:paraId="654B6E45" w14:textId="77777777" w:rsidR="00964B88" w:rsidRDefault="00964B88">
            <w:pPr>
              <w:cnfStyle w:val="000000000000" w:firstRow="0" w:lastRow="0" w:firstColumn="0" w:lastColumn="0" w:oddVBand="0" w:evenVBand="0" w:oddHBand="0" w:evenHBand="0" w:firstRowFirstColumn="0" w:firstRowLastColumn="0" w:lastRowFirstColumn="0" w:lastRowLastColumn="0"/>
            </w:pPr>
            <w:r>
              <w:t>(1 020)</w:t>
            </w:r>
          </w:p>
        </w:tc>
        <w:tc>
          <w:tcPr>
            <w:tcW w:w="1502" w:type="dxa"/>
          </w:tcPr>
          <w:p w14:paraId="19D2488D" w14:textId="77777777" w:rsidR="00964B88" w:rsidRDefault="00964B88">
            <w:pPr>
              <w:cnfStyle w:val="000000000000" w:firstRow="0" w:lastRow="0" w:firstColumn="0" w:lastColumn="0" w:oddVBand="0" w:evenVBand="0" w:oddHBand="0" w:evenHBand="0" w:firstRowFirstColumn="0" w:firstRowLastColumn="0" w:lastRowFirstColumn="0" w:lastRowLastColumn="0"/>
            </w:pPr>
            <w:r>
              <w:t>1 020</w:t>
            </w:r>
          </w:p>
        </w:tc>
      </w:tr>
      <w:tr w:rsidR="00964B88" w14:paraId="6E87B2C6"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bottom w:val="single" w:sz="6" w:space="0" w:color="auto"/>
            </w:tcBorders>
          </w:tcPr>
          <w:p w14:paraId="3B2619F0" w14:textId="77777777" w:rsidR="00964B88" w:rsidRDefault="00964B88">
            <w:r>
              <w:t>Transactions with owners in their capacity as owners</w:t>
            </w:r>
          </w:p>
        </w:tc>
        <w:tc>
          <w:tcPr>
            <w:tcW w:w="1559" w:type="dxa"/>
            <w:tcBorders>
              <w:bottom w:val="single" w:sz="6" w:space="0" w:color="auto"/>
            </w:tcBorders>
          </w:tcPr>
          <w:p w14:paraId="3FBDE92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Borders>
              <w:bottom w:val="single" w:sz="6" w:space="0" w:color="auto"/>
            </w:tcBorders>
          </w:tcPr>
          <w:p w14:paraId="73A726C8" w14:textId="77777777" w:rsidR="00964B88" w:rsidRDefault="00964B88">
            <w:pPr>
              <w:cnfStyle w:val="000000000000" w:firstRow="0" w:lastRow="0" w:firstColumn="0" w:lastColumn="0" w:oddVBand="0" w:evenVBand="0" w:oddHBand="0" w:evenHBand="0" w:firstRowFirstColumn="0" w:firstRowLastColumn="0" w:lastRowFirstColumn="0" w:lastRowLastColumn="0"/>
            </w:pPr>
            <w:r>
              <w:t>(1 020)</w:t>
            </w:r>
          </w:p>
        </w:tc>
      </w:tr>
      <w:tr w:rsidR="00964B88" w14:paraId="68E16F82"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bottom w:val="single" w:sz="6" w:space="0" w:color="auto"/>
            </w:tcBorders>
          </w:tcPr>
          <w:p w14:paraId="66E25A53" w14:textId="77777777" w:rsidR="00964B88" w:rsidRDefault="00964B88">
            <w:r>
              <w:rPr>
                <w:b/>
              </w:rPr>
              <w:t>Total equity as at 30 June 2021</w:t>
            </w:r>
          </w:p>
        </w:tc>
        <w:tc>
          <w:tcPr>
            <w:tcW w:w="1559" w:type="dxa"/>
            <w:tcBorders>
              <w:top w:val="single" w:sz="6" w:space="0" w:color="auto"/>
              <w:bottom w:val="single" w:sz="6" w:space="0" w:color="auto"/>
            </w:tcBorders>
          </w:tcPr>
          <w:p w14:paraId="14B020D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(13 859)</w:t>
            </w:r>
          </w:p>
        </w:tc>
        <w:tc>
          <w:tcPr>
            <w:tcW w:w="1502" w:type="dxa"/>
            <w:tcBorders>
              <w:top w:val="single" w:sz="6" w:space="0" w:color="auto"/>
              <w:bottom w:val="single" w:sz="6" w:space="0" w:color="auto"/>
            </w:tcBorders>
          </w:tcPr>
          <w:p w14:paraId="43E9515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29</w:t>
            </w:r>
          </w:p>
        </w:tc>
      </w:tr>
      <w:tr w:rsidR="00964B88" w14:paraId="0C98500C"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tcBorders>
          </w:tcPr>
          <w:p w14:paraId="2B7FBB53" w14:textId="77777777" w:rsidR="00964B88" w:rsidRDefault="00964B88">
            <w:r>
              <w:rPr>
                <w:b/>
              </w:rPr>
              <w:t>2021</w:t>
            </w:r>
            <w:r>
              <w:rPr>
                <w:b/>
              </w:rPr>
              <w:noBreakHyphen/>
              <w:t>22 estimate</w:t>
            </w:r>
          </w:p>
        </w:tc>
        <w:tc>
          <w:tcPr>
            <w:tcW w:w="1559" w:type="dxa"/>
            <w:tcBorders>
              <w:top w:val="single" w:sz="6" w:space="0" w:color="auto"/>
            </w:tcBorders>
          </w:tcPr>
          <w:p w14:paraId="5E42249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02" w:type="dxa"/>
            <w:tcBorders>
              <w:top w:val="single" w:sz="6" w:space="0" w:color="auto"/>
            </w:tcBorders>
          </w:tcPr>
          <w:p w14:paraId="2A835D2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C82CF09" w14:textId="77777777">
        <w:tc>
          <w:tcPr>
            <w:cnfStyle w:val="001000000000" w:firstRow="0" w:lastRow="0" w:firstColumn="1" w:lastColumn="0" w:oddVBand="0" w:evenVBand="0" w:oddHBand="0" w:evenHBand="0" w:firstRowFirstColumn="0" w:firstRowLastColumn="0" w:lastRowFirstColumn="0" w:lastRowLastColumn="0"/>
            <w:tcW w:w="4707" w:type="dxa"/>
          </w:tcPr>
          <w:p w14:paraId="4A439169" w14:textId="77777777" w:rsidR="00964B88" w:rsidRDefault="00964B88">
            <w:r>
              <w:t>Balance at 1 July 2021</w:t>
            </w:r>
          </w:p>
        </w:tc>
        <w:tc>
          <w:tcPr>
            <w:tcW w:w="1559" w:type="dxa"/>
          </w:tcPr>
          <w:p w14:paraId="1D2E33B3" w14:textId="77777777" w:rsidR="00964B88" w:rsidRDefault="00964B88">
            <w:pPr>
              <w:cnfStyle w:val="000000000000" w:firstRow="0" w:lastRow="0" w:firstColumn="0" w:lastColumn="0" w:oddVBand="0" w:evenVBand="0" w:oddHBand="0" w:evenHBand="0" w:firstRowFirstColumn="0" w:firstRowLastColumn="0" w:lastRowFirstColumn="0" w:lastRowLastColumn="0"/>
            </w:pPr>
            <w:r>
              <w:t>(13 859)</w:t>
            </w:r>
          </w:p>
        </w:tc>
        <w:tc>
          <w:tcPr>
            <w:tcW w:w="1502" w:type="dxa"/>
          </w:tcPr>
          <w:p w14:paraId="1082299B" w14:textId="77777777" w:rsidR="00964B88" w:rsidRDefault="00964B88">
            <w:pPr>
              <w:cnfStyle w:val="000000000000" w:firstRow="0" w:lastRow="0" w:firstColumn="0" w:lastColumn="0" w:oddVBand="0" w:evenVBand="0" w:oddHBand="0" w:evenHBand="0" w:firstRowFirstColumn="0" w:firstRowLastColumn="0" w:lastRowFirstColumn="0" w:lastRowLastColumn="0"/>
            </w:pPr>
            <w:r>
              <w:t>29</w:t>
            </w:r>
          </w:p>
        </w:tc>
      </w:tr>
      <w:tr w:rsidR="00964B88" w14:paraId="242A1338" w14:textId="77777777">
        <w:tc>
          <w:tcPr>
            <w:cnfStyle w:val="001000000000" w:firstRow="0" w:lastRow="0" w:firstColumn="1" w:lastColumn="0" w:oddVBand="0" w:evenVBand="0" w:oddHBand="0" w:evenHBand="0" w:firstRowFirstColumn="0" w:firstRowLastColumn="0" w:lastRowFirstColumn="0" w:lastRowLastColumn="0"/>
            <w:tcW w:w="4707" w:type="dxa"/>
          </w:tcPr>
          <w:p w14:paraId="714D8128" w14:textId="77777777" w:rsidR="00964B88" w:rsidRDefault="00964B88">
            <w:r>
              <w:t>Net result for the year</w:t>
            </w:r>
          </w:p>
        </w:tc>
        <w:tc>
          <w:tcPr>
            <w:tcW w:w="1559" w:type="dxa"/>
          </w:tcPr>
          <w:p w14:paraId="4560C328" w14:textId="77777777" w:rsidR="00964B88" w:rsidRDefault="00964B88">
            <w:pPr>
              <w:cnfStyle w:val="000000000000" w:firstRow="0" w:lastRow="0" w:firstColumn="0" w:lastColumn="0" w:oddVBand="0" w:evenVBand="0" w:oddHBand="0" w:evenHBand="0" w:firstRowFirstColumn="0" w:firstRowLastColumn="0" w:lastRowFirstColumn="0" w:lastRowLastColumn="0"/>
            </w:pPr>
            <w:r>
              <w:t>(1 740)</w:t>
            </w:r>
          </w:p>
        </w:tc>
        <w:tc>
          <w:tcPr>
            <w:tcW w:w="1502" w:type="dxa"/>
          </w:tcPr>
          <w:p w14:paraId="2C2BB777"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334D4DDA" w14:textId="77777777">
        <w:tc>
          <w:tcPr>
            <w:cnfStyle w:val="001000000000" w:firstRow="0" w:lastRow="0" w:firstColumn="1" w:lastColumn="0" w:oddVBand="0" w:evenVBand="0" w:oddHBand="0" w:evenHBand="0" w:firstRowFirstColumn="0" w:firstRowLastColumn="0" w:lastRowFirstColumn="0" w:lastRowLastColumn="0"/>
            <w:tcW w:w="4707" w:type="dxa"/>
          </w:tcPr>
          <w:p w14:paraId="7D300DA7" w14:textId="77777777" w:rsidR="00964B88" w:rsidRDefault="00964B88">
            <w:r>
              <w:t>Other comprehensive income for the year</w:t>
            </w:r>
          </w:p>
        </w:tc>
        <w:tc>
          <w:tcPr>
            <w:tcW w:w="1559" w:type="dxa"/>
          </w:tcPr>
          <w:p w14:paraId="3788B65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Pr>
          <w:p w14:paraId="12C8901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07A2A169" w14:textId="77777777">
        <w:tc>
          <w:tcPr>
            <w:cnfStyle w:val="001000000000" w:firstRow="0" w:lastRow="0" w:firstColumn="1" w:lastColumn="0" w:oddVBand="0" w:evenVBand="0" w:oddHBand="0" w:evenHBand="0" w:firstRowFirstColumn="0" w:firstRowLastColumn="0" w:lastRowFirstColumn="0" w:lastRowLastColumn="0"/>
            <w:tcW w:w="4707" w:type="dxa"/>
          </w:tcPr>
          <w:p w14:paraId="37B06935" w14:textId="77777777" w:rsidR="00964B88" w:rsidRDefault="00964B88">
            <w:r>
              <w:t>Dividends paid</w:t>
            </w:r>
          </w:p>
        </w:tc>
        <w:tc>
          <w:tcPr>
            <w:tcW w:w="1559" w:type="dxa"/>
          </w:tcPr>
          <w:p w14:paraId="05C0D4E6"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1502" w:type="dxa"/>
          </w:tcPr>
          <w:p w14:paraId="51B42956"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54C98285" w14:textId="77777777">
        <w:tc>
          <w:tcPr>
            <w:cnfStyle w:val="001000000000" w:firstRow="0" w:lastRow="0" w:firstColumn="1" w:lastColumn="0" w:oddVBand="0" w:evenVBand="0" w:oddHBand="0" w:evenHBand="0" w:firstRowFirstColumn="0" w:firstRowLastColumn="0" w:lastRowFirstColumn="0" w:lastRowLastColumn="0"/>
            <w:tcW w:w="4707" w:type="dxa"/>
          </w:tcPr>
          <w:p w14:paraId="0516F278" w14:textId="77777777" w:rsidR="00964B88" w:rsidRDefault="00964B88">
            <w:r>
              <w:t>Transfer to/(from) accumulated surplus</w:t>
            </w:r>
          </w:p>
        </w:tc>
        <w:tc>
          <w:tcPr>
            <w:tcW w:w="1559" w:type="dxa"/>
          </w:tcPr>
          <w:p w14:paraId="5C609758"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Pr>
          <w:p w14:paraId="009AFC31"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6532A0B8"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bottom w:val="single" w:sz="6" w:space="0" w:color="auto"/>
            </w:tcBorders>
          </w:tcPr>
          <w:p w14:paraId="51A1144A" w14:textId="77777777" w:rsidR="00964B88" w:rsidRDefault="00964B88">
            <w:r>
              <w:t>Transactions with owners in their capacity as owners</w:t>
            </w:r>
          </w:p>
        </w:tc>
        <w:tc>
          <w:tcPr>
            <w:tcW w:w="1559" w:type="dxa"/>
            <w:tcBorders>
              <w:bottom w:val="single" w:sz="6" w:space="0" w:color="auto"/>
            </w:tcBorders>
          </w:tcPr>
          <w:p w14:paraId="2B94365F"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Borders>
              <w:bottom w:val="single" w:sz="6" w:space="0" w:color="auto"/>
            </w:tcBorders>
          </w:tcPr>
          <w:p w14:paraId="6FF6AC08"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3F5451EA"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bottom w:val="single" w:sz="6" w:space="0" w:color="auto"/>
            </w:tcBorders>
          </w:tcPr>
          <w:p w14:paraId="624CAFBF" w14:textId="77777777" w:rsidR="00964B88" w:rsidRDefault="00964B88">
            <w:r>
              <w:rPr>
                <w:b/>
              </w:rPr>
              <w:t>Total equity as at 30 June 2022</w:t>
            </w:r>
          </w:p>
        </w:tc>
        <w:tc>
          <w:tcPr>
            <w:tcW w:w="1559" w:type="dxa"/>
            <w:tcBorders>
              <w:top w:val="single" w:sz="6" w:space="0" w:color="auto"/>
              <w:bottom w:val="single" w:sz="6" w:space="0" w:color="auto"/>
            </w:tcBorders>
          </w:tcPr>
          <w:p w14:paraId="32FF2AB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(15 644)</w:t>
            </w:r>
          </w:p>
        </w:tc>
        <w:tc>
          <w:tcPr>
            <w:tcW w:w="1502" w:type="dxa"/>
            <w:tcBorders>
              <w:top w:val="single" w:sz="6" w:space="0" w:color="auto"/>
              <w:bottom w:val="single" w:sz="6" w:space="0" w:color="auto"/>
            </w:tcBorders>
          </w:tcPr>
          <w:p w14:paraId="0216CA1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29</w:t>
            </w:r>
          </w:p>
        </w:tc>
      </w:tr>
      <w:tr w:rsidR="00964B88" w14:paraId="5F3AD535"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tcBorders>
          </w:tcPr>
          <w:p w14:paraId="20D74B43" w14:textId="77777777" w:rsidR="00964B88" w:rsidRDefault="00964B88">
            <w:r>
              <w:rPr>
                <w:b/>
              </w:rPr>
              <w:t>2022</w:t>
            </w:r>
            <w:r>
              <w:rPr>
                <w:b/>
              </w:rPr>
              <w:noBreakHyphen/>
              <w:t>23 estimate</w:t>
            </w:r>
          </w:p>
        </w:tc>
        <w:tc>
          <w:tcPr>
            <w:tcW w:w="1559" w:type="dxa"/>
            <w:tcBorders>
              <w:top w:val="single" w:sz="6" w:space="0" w:color="auto"/>
            </w:tcBorders>
          </w:tcPr>
          <w:p w14:paraId="7E6F1E3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02" w:type="dxa"/>
            <w:tcBorders>
              <w:top w:val="single" w:sz="6" w:space="0" w:color="auto"/>
            </w:tcBorders>
          </w:tcPr>
          <w:p w14:paraId="07E7B5E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4D22D6B" w14:textId="77777777">
        <w:tc>
          <w:tcPr>
            <w:cnfStyle w:val="001000000000" w:firstRow="0" w:lastRow="0" w:firstColumn="1" w:lastColumn="0" w:oddVBand="0" w:evenVBand="0" w:oddHBand="0" w:evenHBand="0" w:firstRowFirstColumn="0" w:firstRowLastColumn="0" w:lastRowFirstColumn="0" w:lastRowLastColumn="0"/>
            <w:tcW w:w="4707" w:type="dxa"/>
          </w:tcPr>
          <w:p w14:paraId="6F122E1D" w14:textId="77777777" w:rsidR="00964B88" w:rsidRDefault="00964B88">
            <w:r>
              <w:t>Balance at 1 July 2022</w:t>
            </w:r>
          </w:p>
        </w:tc>
        <w:tc>
          <w:tcPr>
            <w:tcW w:w="1559" w:type="dxa"/>
          </w:tcPr>
          <w:p w14:paraId="278002E7" w14:textId="77777777" w:rsidR="00964B88" w:rsidRDefault="00964B88">
            <w:pPr>
              <w:cnfStyle w:val="000000000000" w:firstRow="0" w:lastRow="0" w:firstColumn="0" w:lastColumn="0" w:oddVBand="0" w:evenVBand="0" w:oddHBand="0" w:evenHBand="0" w:firstRowFirstColumn="0" w:firstRowLastColumn="0" w:lastRowFirstColumn="0" w:lastRowLastColumn="0"/>
            </w:pPr>
            <w:r>
              <w:t>(15 644)</w:t>
            </w:r>
          </w:p>
        </w:tc>
        <w:tc>
          <w:tcPr>
            <w:tcW w:w="1502" w:type="dxa"/>
          </w:tcPr>
          <w:p w14:paraId="74FC0ED6" w14:textId="77777777" w:rsidR="00964B88" w:rsidRDefault="00964B88">
            <w:pPr>
              <w:cnfStyle w:val="000000000000" w:firstRow="0" w:lastRow="0" w:firstColumn="0" w:lastColumn="0" w:oddVBand="0" w:evenVBand="0" w:oddHBand="0" w:evenHBand="0" w:firstRowFirstColumn="0" w:firstRowLastColumn="0" w:lastRowFirstColumn="0" w:lastRowLastColumn="0"/>
            </w:pPr>
            <w:r>
              <w:t>29</w:t>
            </w:r>
          </w:p>
        </w:tc>
      </w:tr>
      <w:tr w:rsidR="00964B88" w14:paraId="2916B335" w14:textId="77777777">
        <w:tc>
          <w:tcPr>
            <w:cnfStyle w:val="001000000000" w:firstRow="0" w:lastRow="0" w:firstColumn="1" w:lastColumn="0" w:oddVBand="0" w:evenVBand="0" w:oddHBand="0" w:evenHBand="0" w:firstRowFirstColumn="0" w:firstRowLastColumn="0" w:lastRowFirstColumn="0" w:lastRowLastColumn="0"/>
            <w:tcW w:w="4707" w:type="dxa"/>
          </w:tcPr>
          <w:p w14:paraId="0E251726" w14:textId="77777777" w:rsidR="00964B88" w:rsidRDefault="00964B88">
            <w:r>
              <w:t>Net result for the year</w:t>
            </w:r>
          </w:p>
        </w:tc>
        <w:tc>
          <w:tcPr>
            <w:tcW w:w="1559" w:type="dxa"/>
          </w:tcPr>
          <w:p w14:paraId="3FF5C5E6" w14:textId="77777777" w:rsidR="00964B88" w:rsidRDefault="00964B88">
            <w:pPr>
              <w:cnfStyle w:val="000000000000" w:firstRow="0" w:lastRow="0" w:firstColumn="0" w:lastColumn="0" w:oddVBand="0" w:evenVBand="0" w:oddHBand="0" w:evenHBand="0" w:firstRowFirstColumn="0" w:firstRowLastColumn="0" w:lastRowFirstColumn="0" w:lastRowLastColumn="0"/>
            </w:pPr>
            <w:r>
              <w:t>(1 063)</w:t>
            </w:r>
          </w:p>
        </w:tc>
        <w:tc>
          <w:tcPr>
            <w:tcW w:w="1502" w:type="dxa"/>
          </w:tcPr>
          <w:p w14:paraId="52B5F221"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6B899ADC" w14:textId="77777777">
        <w:tc>
          <w:tcPr>
            <w:cnfStyle w:val="001000000000" w:firstRow="0" w:lastRow="0" w:firstColumn="1" w:lastColumn="0" w:oddVBand="0" w:evenVBand="0" w:oddHBand="0" w:evenHBand="0" w:firstRowFirstColumn="0" w:firstRowLastColumn="0" w:lastRowFirstColumn="0" w:lastRowLastColumn="0"/>
            <w:tcW w:w="4707" w:type="dxa"/>
          </w:tcPr>
          <w:p w14:paraId="66E5BC36" w14:textId="77777777" w:rsidR="00964B88" w:rsidRDefault="00964B88">
            <w:r>
              <w:t>Other comprehensive income for the year</w:t>
            </w:r>
          </w:p>
        </w:tc>
        <w:tc>
          <w:tcPr>
            <w:tcW w:w="1559" w:type="dxa"/>
          </w:tcPr>
          <w:p w14:paraId="16725A28"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Pr>
          <w:p w14:paraId="3BF971A5"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6B04FDB7" w14:textId="77777777">
        <w:tc>
          <w:tcPr>
            <w:cnfStyle w:val="001000000000" w:firstRow="0" w:lastRow="0" w:firstColumn="1" w:lastColumn="0" w:oddVBand="0" w:evenVBand="0" w:oddHBand="0" w:evenHBand="0" w:firstRowFirstColumn="0" w:firstRowLastColumn="0" w:lastRowFirstColumn="0" w:lastRowLastColumn="0"/>
            <w:tcW w:w="4707" w:type="dxa"/>
          </w:tcPr>
          <w:p w14:paraId="1906D48C" w14:textId="77777777" w:rsidR="00964B88" w:rsidRDefault="00964B88">
            <w:r>
              <w:t>Dividends paid</w:t>
            </w:r>
          </w:p>
        </w:tc>
        <w:tc>
          <w:tcPr>
            <w:tcW w:w="1559" w:type="dxa"/>
          </w:tcPr>
          <w:p w14:paraId="3614C49E" w14:textId="77777777" w:rsidR="00964B88" w:rsidRDefault="00964B88">
            <w:pPr>
              <w:cnfStyle w:val="000000000000" w:firstRow="0" w:lastRow="0" w:firstColumn="0" w:lastColumn="0" w:oddVBand="0" w:evenVBand="0" w:oddHBand="0" w:evenHBand="0" w:firstRowFirstColumn="0" w:firstRowLastColumn="0" w:lastRowFirstColumn="0" w:lastRowLastColumn="0"/>
            </w:pPr>
            <w:r>
              <w:t>(37)</w:t>
            </w:r>
          </w:p>
        </w:tc>
        <w:tc>
          <w:tcPr>
            <w:tcW w:w="1502" w:type="dxa"/>
          </w:tcPr>
          <w:p w14:paraId="55C7BF5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4333787B" w14:textId="77777777">
        <w:tc>
          <w:tcPr>
            <w:cnfStyle w:val="001000000000" w:firstRow="0" w:lastRow="0" w:firstColumn="1" w:lastColumn="0" w:oddVBand="0" w:evenVBand="0" w:oddHBand="0" w:evenHBand="0" w:firstRowFirstColumn="0" w:firstRowLastColumn="0" w:lastRowFirstColumn="0" w:lastRowLastColumn="0"/>
            <w:tcW w:w="4707" w:type="dxa"/>
          </w:tcPr>
          <w:p w14:paraId="398658C1" w14:textId="77777777" w:rsidR="00964B88" w:rsidRDefault="00964B88">
            <w:r>
              <w:t>Transfer to/(from) accumulated surplus</w:t>
            </w:r>
          </w:p>
        </w:tc>
        <w:tc>
          <w:tcPr>
            <w:tcW w:w="1559" w:type="dxa"/>
          </w:tcPr>
          <w:p w14:paraId="7207C6F1"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Pr>
          <w:p w14:paraId="2F67FBC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77AA9658" w14:textId="77777777" w:rsidTr="00F53820">
        <w:tc>
          <w:tcPr>
            <w:cnfStyle w:val="001000000000" w:firstRow="0" w:lastRow="0" w:firstColumn="1" w:lastColumn="0" w:oddVBand="0" w:evenVBand="0" w:oddHBand="0" w:evenHBand="0" w:firstRowFirstColumn="0" w:firstRowLastColumn="0" w:lastRowFirstColumn="0" w:lastRowLastColumn="0"/>
            <w:tcW w:w="4707" w:type="dxa"/>
            <w:tcBorders>
              <w:bottom w:val="single" w:sz="6" w:space="0" w:color="auto"/>
            </w:tcBorders>
          </w:tcPr>
          <w:p w14:paraId="28A1E971" w14:textId="77777777" w:rsidR="00964B88" w:rsidRDefault="00964B88">
            <w:r>
              <w:t>Transactions with owners in their capacity as owners</w:t>
            </w:r>
          </w:p>
        </w:tc>
        <w:tc>
          <w:tcPr>
            <w:tcW w:w="1559" w:type="dxa"/>
            <w:tcBorders>
              <w:bottom w:val="single" w:sz="6" w:space="0" w:color="auto"/>
            </w:tcBorders>
          </w:tcPr>
          <w:p w14:paraId="668556F6"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02" w:type="dxa"/>
            <w:tcBorders>
              <w:bottom w:val="single" w:sz="6" w:space="0" w:color="auto"/>
            </w:tcBorders>
          </w:tcPr>
          <w:p w14:paraId="2465FD13"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1D572808"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7" w:type="dxa"/>
          </w:tcPr>
          <w:p w14:paraId="6656A301" w14:textId="77777777" w:rsidR="00964B88" w:rsidRDefault="00964B88">
            <w:r>
              <w:t>Total equity as at 30 June 2023</w:t>
            </w:r>
          </w:p>
        </w:tc>
        <w:tc>
          <w:tcPr>
            <w:tcW w:w="1559" w:type="dxa"/>
          </w:tcPr>
          <w:p w14:paraId="24B85314" w14:textId="77777777" w:rsidR="00964B88" w:rsidRDefault="00964B88">
            <w:pPr>
              <w:cnfStyle w:val="010000000000" w:firstRow="0" w:lastRow="1" w:firstColumn="0" w:lastColumn="0" w:oddVBand="0" w:evenVBand="0" w:oddHBand="0" w:evenHBand="0" w:firstRowFirstColumn="0" w:firstRowLastColumn="0" w:lastRowFirstColumn="0" w:lastRowLastColumn="0"/>
            </w:pPr>
            <w:r>
              <w:t>(16 744)</w:t>
            </w:r>
          </w:p>
        </w:tc>
        <w:tc>
          <w:tcPr>
            <w:tcW w:w="1502" w:type="dxa"/>
          </w:tcPr>
          <w:p w14:paraId="4E57E774" w14:textId="77777777" w:rsidR="00964B88" w:rsidRDefault="00964B88">
            <w:pPr>
              <w:cnfStyle w:val="010000000000" w:firstRow="0" w:lastRow="1" w:firstColumn="0" w:lastColumn="0" w:oddVBand="0" w:evenVBand="0" w:oddHBand="0" w:evenHBand="0" w:firstRowFirstColumn="0" w:firstRowLastColumn="0" w:lastRowFirstColumn="0" w:lastRowLastColumn="0"/>
            </w:pPr>
            <w:r>
              <w:t>29</w:t>
            </w:r>
          </w:p>
        </w:tc>
      </w:tr>
    </w:tbl>
    <w:p w14:paraId="33A77B0C" w14:textId="77777777" w:rsidR="00964B88" w:rsidRPr="00AF04C7" w:rsidRDefault="00964B88" w:rsidP="00F53820">
      <w:pPr>
        <w:pStyle w:val="Note"/>
      </w:pPr>
      <w:r w:rsidRPr="00AF04C7">
        <w:t>Note:</w:t>
      </w:r>
    </w:p>
    <w:p w14:paraId="3B28416B" w14:textId="77777777" w:rsidR="00964B88" w:rsidRPr="00AF04C7" w:rsidRDefault="00964B88" w:rsidP="00F53820">
      <w:pPr>
        <w:pStyle w:val="Note"/>
      </w:pPr>
      <w:r w:rsidRPr="00AF04C7">
        <w:t>(a)</w:t>
      </w:r>
      <w:r w:rsidRPr="00AF04C7">
        <w:tab/>
        <w:t>Balances represent actual opening balances at 1 July 201</w:t>
      </w:r>
      <w:r>
        <w:t>9</w:t>
      </w:r>
      <w:r w:rsidRPr="00AF04C7">
        <w:t xml:space="preserve"> plus 201</w:t>
      </w:r>
      <w:r>
        <w:t>9</w:t>
      </w:r>
      <w:r w:rsidRPr="00AF04C7">
        <w:t>-</w:t>
      </w:r>
      <w:r>
        <w:t>20</w:t>
      </w:r>
      <w:r w:rsidRPr="00AF04C7">
        <w:t xml:space="preserve"> budgeted movements.</w:t>
      </w:r>
    </w:p>
    <w:p w14:paraId="12627958" w14:textId="77777777" w:rsidR="00964B88" w:rsidRDefault="00964B88" w:rsidP="00F53820">
      <w:pPr>
        <w:pStyle w:val="TableHeading"/>
        <w:ind w:left="0" w:firstLine="0"/>
      </w:pPr>
      <w:r>
        <w:lastRenderedPageBreak/>
        <w:br/>
      </w:r>
    </w:p>
    <w:tbl>
      <w:tblPr>
        <w:tblStyle w:val="DTFTable"/>
        <w:tblW w:w="7768" w:type="dxa"/>
        <w:tblLayout w:type="fixed"/>
        <w:tblLook w:val="0660" w:firstRow="1" w:lastRow="1" w:firstColumn="0" w:lastColumn="0" w:noHBand="1" w:noVBand="1"/>
      </w:tblPr>
      <w:tblGrid>
        <w:gridCol w:w="2588"/>
        <w:gridCol w:w="2590"/>
        <w:gridCol w:w="2590"/>
      </w:tblGrid>
      <w:tr w:rsidR="00964B88" w14:paraId="727949EB" w14:textId="77777777" w:rsidTr="00F53820">
        <w:trPr>
          <w:cnfStyle w:val="100000000000" w:firstRow="1" w:lastRow="0" w:firstColumn="0" w:lastColumn="0" w:oddVBand="0" w:evenVBand="0" w:oddHBand="0" w:evenHBand="0" w:firstRowFirstColumn="0" w:firstRowLastColumn="0" w:lastRowFirstColumn="0" w:lastRowLastColumn="0"/>
          <w:tblHeader/>
        </w:trPr>
        <w:tc>
          <w:tcPr>
            <w:tcW w:w="2586" w:type="dxa"/>
          </w:tcPr>
          <w:p w14:paraId="66D5E5C8" w14:textId="77777777" w:rsidR="00964B88" w:rsidRDefault="00964B88">
            <w:r>
              <w:t>Non</w:t>
            </w:r>
            <w:r>
              <w:noBreakHyphen/>
              <w:t>financial assets</w:t>
            </w:r>
            <w:r>
              <w:br/>
              <w:t>revaluation surplus</w:t>
            </w:r>
          </w:p>
        </w:tc>
        <w:tc>
          <w:tcPr>
            <w:tcW w:w="2587" w:type="dxa"/>
          </w:tcPr>
          <w:p w14:paraId="36DD0811" w14:textId="77777777" w:rsidR="00964B88" w:rsidRDefault="00964B88">
            <w:r>
              <w:t>Other</w:t>
            </w:r>
            <w:r>
              <w:br/>
              <w:t>reserves</w:t>
            </w:r>
          </w:p>
        </w:tc>
        <w:tc>
          <w:tcPr>
            <w:tcW w:w="2587" w:type="dxa"/>
          </w:tcPr>
          <w:p w14:paraId="588B48EB" w14:textId="77777777" w:rsidR="00964B88" w:rsidRDefault="00964B88">
            <w:r>
              <w:t>Total</w:t>
            </w:r>
          </w:p>
        </w:tc>
      </w:tr>
      <w:tr w:rsidR="00964B88" w14:paraId="6172C2F6" w14:textId="77777777">
        <w:tc>
          <w:tcPr>
            <w:tcW w:w="2586" w:type="dxa"/>
          </w:tcPr>
          <w:p w14:paraId="3215A173" w14:textId="77777777" w:rsidR="00964B88" w:rsidRDefault="00964B88"/>
        </w:tc>
        <w:tc>
          <w:tcPr>
            <w:tcW w:w="2587" w:type="dxa"/>
          </w:tcPr>
          <w:p w14:paraId="02DF93F8" w14:textId="77777777" w:rsidR="00964B88" w:rsidRDefault="00964B88"/>
        </w:tc>
        <w:tc>
          <w:tcPr>
            <w:tcW w:w="2587" w:type="dxa"/>
          </w:tcPr>
          <w:p w14:paraId="563C46BE" w14:textId="77777777" w:rsidR="00964B88" w:rsidRDefault="00964B88"/>
        </w:tc>
      </w:tr>
      <w:tr w:rsidR="00964B88" w14:paraId="4AD86AB4" w14:textId="77777777">
        <w:tc>
          <w:tcPr>
            <w:tcW w:w="2586" w:type="dxa"/>
          </w:tcPr>
          <w:p w14:paraId="0AAE4358" w14:textId="77777777" w:rsidR="00964B88" w:rsidRDefault="00964B88">
            <w:r>
              <w:t>2</w:t>
            </w:r>
          </w:p>
        </w:tc>
        <w:tc>
          <w:tcPr>
            <w:tcW w:w="2587" w:type="dxa"/>
          </w:tcPr>
          <w:p w14:paraId="5A5A30A1" w14:textId="77777777" w:rsidR="00964B88" w:rsidRDefault="00964B88">
            <w:r>
              <w:t>37</w:t>
            </w:r>
          </w:p>
        </w:tc>
        <w:tc>
          <w:tcPr>
            <w:tcW w:w="2587" w:type="dxa"/>
          </w:tcPr>
          <w:p w14:paraId="51086A07" w14:textId="77777777" w:rsidR="00964B88" w:rsidRDefault="00964B88">
            <w:r>
              <w:t>(6 152)</w:t>
            </w:r>
          </w:p>
        </w:tc>
      </w:tr>
      <w:tr w:rsidR="00964B88" w14:paraId="07BB0926" w14:textId="77777777">
        <w:tc>
          <w:tcPr>
            <w:tcW w:w="2586" w:type="dxa"/>
          </w:tcPr>
          <w:p w14:paraId="6B826543" w14:textId="77777777" w:rsidR="00964B88" w:rsidRDefault="00964B88">
            <w:r>
              <w:t>..</w:t>
            </w:r>
          </w:p>
        </w:tc>
        <w:tc>
          <w:tcPr>
            <w:tcW w:w="2587" w:type="dxa"/>
          </w:tcPr>
          <w:p w14:paraId="0473AE6F" w14:textId="77777777" w:rsidR="00964B88" w:rsidRDefault="00964B88">
            <w:r>
              <w:t>..</w:t>
            </w:r>
          </w:p>
        </w:tc>
        <w:tc>
          <w:tcPr>
            <w:tcW w:w="2587" w:type="dxa"/>
          </w:tcPr>
          <w:p w14:paraId="64F78BCC" w14:textId="77777777" w:rsidR="00964B88" w:rsidRDefault="00964B88">
            <w:r>
              <w:t>(1 429)</w:t>
            </w:r>
          </w:p>
        </w:tc>
      </w:tr>
      <w:tr w:rsidR="00964B88" w14:paraId="3388EDCA" w14:textId="77777777">
        <w:tc>
          <w:tcPr>
            <w:tcW w:w="2586" w:type="dxa"/>
          </w:tcPr>
          <w:p w14:paraId="2D5AA9D5" w14:textId="77777777" w:rsidR="00964B88" w:rsidRDefault="00964B88">
            <w:r>
              <w:t>..</w:t>
            </w:r>
          </w:p>
        </w:tc>
        <w:tc>
          <w:tcPr>
            <w:tcW w:w="2587" w:type="dxa"/>
          </w:tcPr>
          <w:p w14:paraId="0A321E9C" w14:textId="77777777" w:rsidR="00964B88" w:rsidRDefault="00964B88">
            <w:r>
              <w:t>..</w:t>
            </w:r>
          </w:p>
        </w:tc>
        <w:tc>
          <w:tcPr>
            <w:tcW w:w="2587" w:type="dxa"/>
          </w:tcPr>
          <w:p w14:paraId="3FCCEC10" w14:textId="77777777" w:rsidR="00964B88" w:rsidRDefault="00964B88">
            <w:r>
              <w:t>5</w:t>
            </w:r>
          </w:p>
        </w:tc>
      </w:tr>
      <w:tr w:rsidR="00964B88" w14:paraId="768E4FC5" w14:textId="77777777">
        <w:tc>
          <w:tcPr>
            <w:tcW w:w="2586" w:type="dxa"/>
          </w:tcPr>
          <w:p w14:paraId="27173F44" w14:textId="77777777" w:rsidR="00964B88" w:rsidRDefault="00964B88">
            <w:r>
              <w:t>..</w:t>
            </w:r>
          </w:p>
        </w:tc>
        <w:tc>
          <w:tcPr>
            <w:tcW w:w="2587" w:type="dxa"/>
          </w:tcPr>
          <w:p w14:paraId="41E2E839" w14:textId="77777777" w:rsidR="00964B88" w:rsidRDefault="00964B88">
            <w:r>
              <w:t>..</w:t>
            </w:r>
          </w:p>
        </w:tc>
        <w:tc>
          <w:tcPr>
            <w:tcW w:w="2587" w:type="dxa"/>
          </w:tcPr>
          <w:p w14:paraId="38F3A85A" w14:textId="77777777" w:rsidR="00964B88" w:rsidRDefault="00964B88">
            <w:r>
              <w:t>(132)</w:t>
            </w:r>
          </w:p>
        </w:tc>
      </w:tr>
      <w:tr w:rsidR="00964B88" w14:paraId="74B949BE" w14:textId="77777777">
        <w:tc>
          <w:tcPr>
            <w:tcW w:w="2586" w:type="dxa"/>
          </w:tcPr>
          <w:p w14:paraId="4C9738EB" w14:textId="77777777" w:rsidR="00964B88" w:rsidRDefault="00964B88">
            <w:r>
              <w:t>..</w:t>
            </w:r>
          </w:p>
        </w:tc>
        <w:tc>
          <w:tcPr>
            <w:tcW w:w="2587" w:type="dxa"/>
          </w:tcPr>
          <w:p w14:paraId="606F6F0E" w14:textId="77777777" w:rsidR="00964B88" w:rsidRDefault="00964B88">
            <w:r>
              <w:t>..</w:t>
            </w:r>
          </w:p>
        </w:tc>
        <w:tc>
          <w:tcPr>
            <w:tcW w:w="2587" w:type="dxa"/>
          </w:tcPr>
          <w:p w14:paraId="2E044434" w14:textId="77777777" w:rsidR="00964B88" w:rsidRDefault="00964B88">
            <w:r>
              <w:t>..</w:t>
            </w:r>
          </w:p>
        </w:tc>
      </w:tr>
      <w:tr w:rsidR="00964B88" w14:paraId="2A1DA558" w14:textId="77777777" w:rsidTr="00F53820">
        <w:tc>
          <w:tcPr>
            <w:tcW w:w="2586" w:type="dxa"/>
            <w:tcBorders>
              <w:bottom w:val="single" w:sz="6" w:space="0" w:color="auto"/>
            </w:tcBorders>
          </w:tcPr>
          <w:p w14:paraId="034EE97A" w14:textId="77777777" w:rsidR="00964B88" w:rsidRDefault="00964B88">
            <w:r>
              <w:t>..</w:t>
            </w:r>
          </w:p>
        </w:tc>
        <w:tc>
          <w:tcPr>
            <w:tcW w:w="2587" w:type="dxa"/>
            <w:tcBorders>
              <w:bottom w:val="single" w:sz="6" w:space="0" w:color="auto"/>
            </w:tcBorders>
          </w:tcPr>
          <w:p w14:paraId="055F8CB8" w14:textId="77777777" w:rsidR="00964B88" w:rsidRDefault="00964B88">
            <w:r>
              <w:t>..</w:t>
            </w:r>
          </w:p>
        </w:tc>
        <w:tc>
          <w:tcPr>
            <w:tcW w:w="2587" w:type="dxa"/>
            <w:tcBorders>
              <w:bottom w:val="single" w:sz="6" w:space="0" w:color="auto"/>
            </w:tcBorders>
          </w:tcPr>
          <w:p w14:paraId="3DA62671" w14:textId="77777777" w:rsidR="00964B88" w:rsidRDefault="00964B88">
            <w:r>
              <w:t>(1 223)</w:t>
            </w:r>
          </w:p>
        </w:tc>
      </w:tr>
      <w:tr w:rsidR="00964B88" w14:paraId="45E3E00F" w14:textId="77777777" w:rsidTr="00F53820">
        <w:tc>
          <w:tcPr>
            <w:tcW w:w="2586" w:type="dxa"/>
            <w:tcBorders>
              <w:top w:val="single" w:sz="6" w:space="0" w:color="auto"/>
              <w:bottom w:val="single" w:sz="6" w:space="0" w:color="auto"/>
            </w:tcBorders>
          </w:tcPr>
          <w:p w14:paraId="4E5CE587" w14:textId="77777777" w:rsidR="00964B88" w:rsidRDefault="00964B88">
            <w:r>
              <w:rPr>
                <w:b/>
              </w:rPr>
              <w:t>2</w:t>
            </w:r>
          </w:p>
        </w:tc>
        <w:tc>
          <w:tcPr>
            <w:tcW w:w="2587" w:type="dxa"/>
            <w:tcBorders>
              <w:top w:val="single" w:sz="6" w:space="0" w:color="auto"/>
              <w:bottom w:val="single" w:sz="6" w:space="0" w:color="auto"/>
            </w:tcBorders>
          </w:tcPr>
          <w:p w14:paraId="5CDE4D99" w14:textId="77777777" w:rsidR="00964B88" w:rsidRDefault="00964B88">
            <w:r>
              <w:rPr>
                <w:b/>
              </w:rPr>
              <w:t>37</w:t>
            </w:r>
          </w:p>
        </w:tc>
        <w:tc>
          <w:tcPr>
            <w:tcW w:w="2587" w:type="dxa"/>
            <w:tcBorders>
              <w:top w:val="single" w:sz="6" w:space="0" w:color="auto"/>
              <w:bottom w:val="single" w:sz="6" w:space="0" w:color="auto"/>
            </w:tcBorders>
          </w:tcPr>
          <w:p w14:paraId="5753D374" w14:textId="77777777" w:rsidR="00964B88" w:rsidRDefault="00964B88">
            <w:r>
              <w:rPr>
                <w:b/>
              </w:rPr>
              <w:t>(8 931)</w:t>
            </w:r>
          </w:p>
        </w:tc>
      </w:tr>
      <w:tr w:rsidR="00964B88" w14:paraId="4212CB3A" w14:textId="77777777" w:rsidTr="00F53820">
        <w:tc>
          <w:tcPr>
            <w:tcW w:w="2586" w:type="dxa"/>
            <w:tcBorders>
              <w:top w:val="single" w:sz="6" w:space="0" w:color="auto"/>
            </w:tcBorders>
          </w:tcPr>
          <w:p w14:paraId="52176DE6" w14:textId="77777777" w:rsidR="00964B88" w:rsidRDefault="00964B88"/>
        </w:tc>
        <w:tc>
          <w:tcPr>
            <w:tcW w:w="2587" w:type="dxa"/>
            <w:tcBorders>
              <w:top w:val="single" w:sz="6" w:space="0" w:color="auto"/>
            </w:tcBorders>
          </w:tcPr>
          <w:p w14:paraId="67DFF136" w14:textId="77777777" w:rsidR="00964B88" w:rsidRDefault="00964B88"/>
        </w:tc>
        <w:tc>
          <w:tcPr>
            <w:tcW w:w="2587" w:type="dxa"/>
            <w:tcBorders>
              <w:top w:val="single" w:sz="6" w:space="0" w:color="auto"/>
            </w:tcBorders>
          </w:tcPr>
          <w:p w14:paraId="15358A99" w14:textId="77777777" w:rsidR="00964B88" w:rsidRDefault="00964B88"/>
        </w:tc>
      </w:tr>
      <w:tr w:rsidR="00964B88" w14:paraId="41FC4A2A" w14:textId="77777777">
        <w:tc>
          <w:tcPr>
            <w:tcW w:w="2586" w:type="dxa"/>
          </w:tcPr>
          <w:p w14:paraId="660B3A06" w14:textId="77777777" w:rsidR="00964B88" w:rsidRDefault="00964B88">
            <w:r>
              <w:t>2</w:t>
            </w:r>
          </w:p>
        </w:tc>
        <w:tc>
          <w:tcPr>
            <w:tcW w:w="2587" w:type="dxa"/>
          </w:tcPr>
          <w:p w14:paraId="57BDDCBB" w14:textId="77777777" w:rsidR="00964B88" w:rsidRDefault="00964B88">
            <w:r>
              <w:t>37</w:t>
            </w:r>
          </w:p>
        </w:tc>
        <w:tc>
          <w:tcPr>
            <w:tcW w:w="2587" w:type="dxa"/>
          </w:tcPr>
          <w:p w14:paraId="29C9E8FF" w14:textId="77777777" w:rsidR="00964B88" w:rsidRDefault="00964B88">
            <w:r>
              <w:t>(6 152)</w:t>
            </w:r>
          </w:p>
        </w:tc>
      </w:tr>
      <w:tr w:rsidR="00964B88" w14:paraId="5130F0D2" w14:textId="77777777">
        <w:tc>
          <w:tcPr>
            <w:tcW w:w="2586" w:type="dxa"/>
          </w:tcPr>
          <w:p w14:paraId="06B60AB2" w14:textId="77777777" w:rsidR="00964B88" w:rsidRDefault="00964B88">
            <w:r>
              <w:t>..</w:t>
            </w:r>
          </w:p>
        </w:tc>
        <w:tc>
          <w:tcPr>
            <w:tcW w:w="2587" w:type="dxa"/>
          </w:tcPr>
          <w:p w14:paraId="10C5158D" w14:textId="77777777" w:rsidR="00964B88" w:rsidRDefault="00964B88">
            <w:r>
              <w:t>..</w:t>
            </w:r>
          </w:p>
        </w:tc>
        <w:tc>
          <w:tcPr>
            <w:tcW w:w="2587" w:type="dxa"/>
          </w:tcPr>
          <w:p w14:paraId="73D86F40" w14:textId="77777777" w:rsidR="00964B88" w:rsidRDefault="00964B88">
            <w:r>
              <w:t>(3 486)</w:t>
            </w:r>
          </w:p>
        </w:tc>
      </w:tr>
      <w:tr w:rsidR="00964B88" w14:paraId="337FE5C5" w14:textId="77777777">
        <w:tc>
          <w:tcPr>
            <w:tcW w:w="2586" w:type="dxa"/>
          </w:tcPr>
          <w:p w14:paraId="5D938AD1" w14:textId="77777777" w:rsidR="00964B88" w:rsidRDefault="00964B88">
            <w:r>
              <w:t>..</w:t>
            </w:r>
          </w:p>
        </w:tc>
        <w:tc>
          <w:tcPr>
            <w:tcW w:w="2587" w:type="dxa"/>
          </w:tcPr>
          <w:p w14:paraId="00416EAA" w14:textId="77777777" w:rsidR="00964B88" w:rsidRDefault="00964B88">
            <w:r>
              <w:t>..</w:t>
            </w:r>
          </w:p>
        </w:tc>
        <w:tc>
          <w:tcPr>
            <w:tcW w:w="2587" w:type="dxa"/>
          </w:tcPr>
          <w:p w14:paraId="693F1119" w14:textId="77777777" w:rsidR="00964B88" w:rsidRDefault="00964B88">
            <w:r>
              <w:t>10</w:t>
            </w:r>
          </w:p>
        </w:tc>
      </w:tr>
      <w:tr w:rsidR="00964B88" w14:paraId="62088B32" w14:textId="77777777">
        <w:tc>
          <w:tcPr>
            <w:tcW w:w="2586" w:type="dxa"/>
          </w:tcPr>
          <w:p w14:paraId="4C9E77D4" w14:textId="77777777" w:rsidR="00964B88" w:rsidRDefault="00964B88">
            <w:r>
              <w:t>..</w:t>
            </w:r>
          </w:p>
        </w:tc>
        <w:tc>
          <w:tcPr>
            <w:tcW w:w="2587" w:type="dxa"/>
          </w:tcPr>
          <w:p w14:paraId="7667E1DE" w14:textId="77777777" w:rsidR="00964B88" w:rsidRDefault="00964B88">
            <w:r>
              <w:t>..</w:t>
            </w:r>
          </w:p>
        </w:tc>
        <w:tc>
          <w:tcPr>
            <w:tcW w:w="2587" w:type="dxa"/>
          </w:tcPr>
          <w:p w14:paraId="0A510A65" w14:textId="77777777" w:rsidR="00964B88" w:rsidRDefault="00964B88">
            <w:r>
              <w:t>(111)</w:t>
            </w:r>
          </w:p>
        </w:tc>
      </w:tr>
      <w:tr w:rsidR="00964B88" w14:paraId="48104679" w14:textId="77777777">
        <w:tc>
          <w:tcPr>
            <w:tcW w:w="2586" w:type="dxa"/>
          </w:tcPr>
          <w:p w14:paraId="7CD0FA71" w14:textId="77777777" w:rsidR="00964B88" w:rsidRDefault="00964B88">
            <w:r>
              <w:t>..</w:t>
            </w:r>
          </w:p>
        </w:tc>
        <w:tc>
          <w:tcPr>
            <w:tcW w:w="2587" w:type="dxa"/>
          </w:tcPr>
          <w:p w14:paraId="7824B5DC" w14:textId="77777777" w:rsidR="00964B88" w:rsidRDefault="00964B88">
            <w:r>
              <w:t>..</w:t>
            </w:r>
          </w:p>
        </w:tc>
        <w:tc>
          <w:tcPr>
            <w:tcW w:w="2587" w:type="dxa"/>
          </w:tcPr>
          <w:p w14:paraId="3361C005" w14:textId="77777777" w:rsidR="00964B88" w:rsidRDefault="00964B88">
            <w:r>
              <w:t>..</w:t>
            </w:r>
          </w:p>
        </w:tc>
      </w:tr>
      <w:tr w:rsidR="00964B88" w14:paraId="31E8BA64" w14:textId="77777777" w:rsidTr="00F53820">
        <w:tc>
          <w:tcPr>
            <w:tcW w:w="2586" w:type="dxa"/>
            <w:tcBorders>
              <w:bottom w:val="single" w:sz="6" w:space="0" w:color="auto"/>
            </w:tcBorders>
          </w:tcPr>
          <w:p w14:paraId="336C74D0" w14:textId="77777777" w:rsidR="00964B88" w:rsidRDefault="00964B88">
            <w:r>
              <w:t>..</w:t>
            </w:r>
          </w:p>
        </w:tc>
        <w:tc>
          <w:tcPr>
            <w:tcW w:w="2587" w:type="dxa"/>
            <w:tcBorders>
              <w:bottom w:val="single" w:sz="6" w:space="0" w:color="auto"/>
            </w:tcBorders>
          </w:tcPr>
          <w:p w14:paraId="62CA15C5" w14:textId="77777777" w:rsidR="00964B88" w:rsidRDefault="00964B88">
            <w:r>
              <w:t>..</w:t>
            </w:r>
          </w:p>
        </w:tc>
        <w:tc>
          <w:tcPr>
            <w:tcW w:w="2587" w:type="dxa"/>
            <w:tcBorders>
              <w:bottom w:val="single" w:sz="6" w:space="0" w:color="auto"/>
            </w:tcBorders>
          </w:tcPr>
          <w:p w14:paraId="7DB207F8" w14:textId="77777777" w:rsidR="00964B88" w:rsidRDefault="00964B88">
            <w:r>
              <w:t>(1 223)</w:t>
            </w:r>
          </w:p>
        </w:tc>
      </w:tr>
      <w:tr w:rsidR="00964B88" w14:paraId="35C76B0A" w14:textId="77777777" w:rsidTr="00F53820">
        <w:tc>
          <w:tcPr>
            <w:tcW w:w="2586" w:type="dxa"/>
            <w:tcBorders>
              <w:top w:val="single" w:sz="6" w:space="0" w:color="auto"/>
              <w:bottom w:val="single" w:sz="6" w:space="0" w:color="auto"/>
            </w:tcBorders>
          </w:tcPr>
          <w:p w14:paraId="48436D90" w14:textId="77777777" w:rsidR="00964B88" w:rsidRDefault="00964B88">
            <w:r>
              <w:rPr>
                <w:b/>
              </w:rPr>
              <w:t>2</w:t>
            </w:r>
          </w:p>
        </w:tc>
        <w:tc>
          <w:tcPr>
            <w:tcW w:w="2587" w:type="dxa"/>
            <w:tcBorders>
              <w:top w:val="single" w:sz="6" w:space="0" w:color="auto"/>
              <w:bottom w:val="single" w:sz="6" w:space="0" w:color="auto"/>
            </w:tcBorders>
          </w:tcPr>
          <w:p w14:paraId="5DCF01FB" w14:textId="77777777" w:rsidR="00964B88" w:rsidRDefault="00964B88">
            <w:r>
              <w:rPr>
                <w:b/>
              </w:rPr>
              <w:t>37</w:t>
            </w:r>
          </w:p>
        </w:tc>
        <w:tc>
          <w:tcPr>
            <w:tcW w:w="2587" w:type="dxa"/>
            <w:tcBorders>
              <w:top w:val="single" w:sz="6" w:space="0" w:color="auto"/>
              <w:bottom w:val="single" w:sz="6" w:space="0" w:color="auto"/>
            </w:tcBorders>
          </w:tcPr>
          <w:p w14:paraId="698BDDC3" w14:textId="77777777" w:rsidR="00964B88" w:rsidRDefault="00964B88">
            <w:r>
              <w:rPr>
                <w:b/>
              </w:rPr>
              <w:t>(10 963)</w:t>
            </w:r>
          </w:p>
        </w:tc>
      </w:tr>
      <w:tr w:rsidR="00964B88" w14:paraId="2985A066" w14:textId="77777777" w:rsidTr="00F53820">
        <w:tc>
          <w:tcPr>
            <w:tcW w:w="2586" w:type="dxa"/>
            <w:tcBorders>
              <w:top w:val="single" w:sz="6" w:space="0" w:color="auto"/>
            </w:tcBorders>
          </w:tcPr>
          <w:p w14:paraId="3E62395F" w14:textId="77777777" w:rsidR="00964B88" w:rsidRDefault="00964B88"/>
        </w:tc>
        <w:tc>
          <w:tcPr>
            <w:tcW w:w="2587" w:type="dxa"/>
            <w:tcBorders>
              <w:top w:val="single" w:sz="6" w:space="0" w:color="auto"/>
            </w:tcBorders>
          </w:tcPr>
          <w:p w14:paraId="593FCA13" w14:textId="77777777" w:rsidR="00964B88" w:rsidRDefault="00964B88"/>
        </w:tc>
        <w:tc>
          <w:tcPr>
            <w:tcW w:w="2587" w:type="dxa"/>
            <w:tcBorders>
              <w:top w:val="single" w:sz="6" w:space="0" w:color="auto"/>
            </w:tcBorders>
          </w:tcPr>
          <w:p w14:paraId="7F382F90" w14:textId="77777777" w:rsidR="00964B88" w:rsidRDefault="00964B88"/>
        </w:tc>
      </w:tr>
      <w:tr w:rsidR="00964B88" w14:paraId="69A84168" w14:textId="77777777">
        <w:tc>
          <w:tcPr>
            <w:tcW w:w="2586" w:type="dxa"/>
          </w:tcPr>
          <w:p w14:paraId="066730EA" w14:textId="77777777" w:rsidR="00964B88" w:rsidRDefault="00964B88">
            <w:r>
              <w:t>2</w:t>
            </w:r>
          </w:p>
        </w:tc>
        <w:tc>
          <w:tcPr>
            <w:tcW w:w="2587" w:type="dxa"/>
          </w:tcPr>
          <w:p w14:paraId="3FCC3BE7" w14:textId="77777777" w:rsidR="00964B88" w:rsidRDefault="00964B88">
            <w:r>
              <w:t>37</w:t>
            </w:r>
          </w:p>
        </w:tc>
        <w:tc>
          <w:tcPr>
            <w:tcW w:w="2587" w:type="dxa"/>
          </w:tcPr>
          <w:p w14:paraId="1922DDEB" w14:textId="77777777" w:rsidR="00964B88" w:rsidRDefault="00964B88">
            <w:r>
              <w:t>(10 963)</w:t>
            </w:r>
          </w:p>
        </w:tc>
      </w:tr>
      <w:tr w:rsidR="00964B88" w14:paraId="7EE0F762" w14:textId="77777777">
        <w:tc>
          <w:tcPr>
            <w:tcW w:w="2586" w:type="dxa"/>
          </w:tcPr>
          <w:p w14:paraId="76E22618" w14:textId="77777777" w:rsidR="00964B88" w:rsidRDefault="00964B88">
            <w:r>
              <w:t>..</w:t>
            </w:r>
          </w:p>
        </w:tc>
        <w:tc>
          <w:tcPr>
            <w:tcW w:w="2587" w:type="dxa"/>
          </w:tcPr>
          <w:p w14:paraId="5CDC5576" w14:textId="77777777" w:rsidR="00964B88" w:rsidRDefault="00964B88">
            <w:r>
              <w:t>..</w:t>
            </w:r>
          </w:p>
        </w:tc>
        <w:tc>
          <w:tcPr>
            <w:tcW w:w="2587" w:type="dxa"/>
          </w:tcPr>
          <w:p w14:paraId="0BC77BB1" w14:textId="77777777" w:rsidR="00964B88" w:rsidRDefault="00964B88">
            <w:r>
              <w:t>(1 770)</w:t>
            </w:r>
          </w:p>
        </w:tc>
      </w:tr>
      <w:tr w:rsidR="00964B88" w14:paraId="52C4E102" w14:textId="77777777">
        <w:tc>
          <w:tcPr>
            <w:tcW w:w="2586" w:type="dxa"/>
          </w:tcPr>
          <w:p w14:paraId="177F72C0" w14:textId="77777777" w:rsidR="00964B88" w:rsidRDefault="00964B88">
            <w:r>
              <w:t>..</w:t>
            </w:r>
          </w:p>
        </w:tc>
        <w:tc>
          <w:tcPr>
            <w:tcW w:w="2587" w:type="dxa"/>
          </w:tcPr>
          <w:p w14:paraId="0F61E4E1" w14:textId="77777777" w:rsidR="00964B88" w:rsidRDefault="00964B88">
            <w:r>
              <w:t>..</w:t>
            </w:r>
          </w:p>
        </w:tc>
        <w:tc>
          <w:tcPr>
            <w:tcW w:w="2587" w:type="dxa"/>
          </w:tcPr>
          <w:p w14:paraId="399636E6" w14:textId="77777777" w:rsidR="00964B88" w:rsidRDefault="00964B88">
            <w:r>
              <w:t>..</w:t>
            </w:r>
          </w:p>
        </w:tc>
      </w:tr>
      <w:tr w:rsidR="00964B88" w14:paraId="0DEBDC50" w14:textId="77777777">
        <w:tc>
          <w:tcPr>
            <w:tcW w:w="2586" w:type="dxa"/>
          </w:tcPr>
          <w:p w14:paraId="65F8E031" w14:textId="77777777" w:rsidR="00964B88" w:rsidRDefault="00964B88">
            <w:r>
              <w:t>..</w:t>
            </w:r>
          </w:p>
        </w:tc>
        <w:tc>
          <w:tcPr>
            <w:tcW w:w="2587" w:type="dxa"/>
          </w:tcPr>
          <w:p w14:paraId="17BDA92C" w14:textId="77777777" w:rsidR="00964B88" w:rsidRDefault="00964B88">
            <w:r>
              <w:t>..</w:t>
            </w:r>
          </w:p>
        </w:tc>
        <w:tc>
          <w:tcPr>
            <w:tcW w:w="2587" w:type="dxa"/>
          </w:tcPr>
          <w:p w14:paraId="620FA9A4" w14:textId="77777777" w:rsidR="00964B88" w:rsidRDefault="00964B88">
            <w:r>
              <w:t>(39)</w:t>
            </w:r>
          </w:p>
        </w:tc>
      </w:tr>
      <w:tr w:rsidR="00964B88" w14:paraId="555331C2" w14:textId="77777777">
        <w:tc>
          <w:tcPr>
            <w:tcW w:w="2586" w:type="dxa"/>
          </w:tcPr>
          <w:p w14:paraId="2C6F9379" w14:textId="77777777" w:rsidR="00964B88" w:rsidRDefault="00964B88">
            <w:r>
              <w:t>..</w:t>
            </w:r>
          </w:p>
        </w:tc>
        <w:tc>
          <w:tcPr>
            <w:tcW w:w="2587" w:type="dxa"/>
          </w:tcPr>
          <w:p w14:paraId="4F795B74" w14:textId="77777777" w:rsidR="00964B88" w:rsidRDefault="00964B88">
            <w:r>
              <w:t>..</w:t>
            </w:r>
          </w:p>
        </w:tc>
        <w:tc>
          <w:tcPr>
            <w:tcW w:w="2587" w:type="dxa"/>
          </w:tcPr>
          <w:p w14:paraId="7DB64A74" w14:textId="77777777" w:rsidR="00964B88" w:rsidRDefault="00964B88">
            <w:r>
              <w:t>..</w:t>
            </w:r>
          </w:p>
        </w:tc>
      </w:tr>
      <w:tr w:rsidR="00964B88" w14:paraId="584FEEF9" w14:textId="77777777" w:rsidTr="00F53820">
        <w:tc>
          <w:tcPr>
            <w:tcW w:w="2586" w:type="dxa"/>
            <w:tcBorders>
              <w:bottom w:val="single" w:sz="6" w:space="0" w:color="auto"/>
            </w:tcBorders>
          </w:tcPr>
          <w:p w14:paraId="73A8D5C9" w14:textId="77777777" w:rsidR="00964B88" w:rsidRDefault="00964B88">
            <w:r>
              <w:t>..</w:t>
            </w:r>
          </w:p>
        </w:tc>
        <w:tc>
          <w:tcPr>
            <w:tcW w:w="2587" w:type="dxa"/>
            <w:tcBorders>
              <w:bottom w:val="single" w:sz="6" w:space="0" w:color="auto"/>
            </w:tcBorders>
          </w:tcPr>
          <w:p w14:paraId="2F1E78F5" w14:textId="77777777" w:rsidR="00964B88" w:rsidRDefault="00964B88">
            <w:r>
              <w:t>..</w:t>
            </w:r>
          </w:p>
        </w:tc>
        <w:tc>
          <w:tcPr>
            <w:tcW w:w="2587" w:type="dxa"/>
            <w:tcBorders>
              <w:bottom w:val="single" w:sz="6" w:space="0" w:color="auto"/>
            </w:tcBorders>
          </w:tcPr>
          <w:p w14:paraId="3F130913" w14:textId="77777777" w:rsidR="00964B88" w:rsidRDefault="00964B88">
            <w:r>
              <w:t>(1 020)</w:t>
            </w:r>
          </w:p>
        </w:tc>
      </w:tr>
      <w:tr w:rsidR="00964B88" w14:paraId="058894A5" w14:textId="77777777" w:rsidTr="00F53820">
        <w:tc>
          <w:tcPr>
            <w:tcW w:w="2586" w:type="dxa"/>
            <w:tcBorders>
              <w:top w:val="single" w:sz="6" w:space="0" w:color="auto"/>
              <w:bottom w:val="single" w:sz="6" w:space="0" w:color="auto"/>
            </w:tcBorders>
          </w:tcPr>
          <w:p w14:paraId="0D8FB4D4" w14:textId="77777777" w:rsidR="00964B88" w:rsidRDefault="00964B88">
            <w:r>
              <w:rPr>
                <w:b/>
              </w:rPr>
              <w:t>2</w:t>
            </w:r>
          </w:p>
        </w:tc>
        <w:tc>
          <w:tcPr>
            <w:tcW w:w="2587" w:type="dxa"/>
            <w:tcBorders>
              <w:top w:val="single" w:sz="6" w:space="0" w:color="auto"/>
              <w:bottom w:val="single" w:sz="6" w:space="0" w:color="auto"/>
            </w:tcBorders>
          </w:tcPr>
          <w:p w14:paraId="5D18F1D8" w14:textId="77777777" w:rsidR="00964B88" w:rsidRDefault="00964B88">
            <w:r>
              <w:rPr>
                <w:b/>
              </w:rPr>
              <w:t>37</w:t>
            </w:r>
          </w:p>
        </w:tc>
        <w:tc>
          <w:tcPr>
            <w:tcW w:w="2587" w:type="dxa"/>
            <w:tcBorders>
              <w:top w:val="single" w:sz="6" w:space="0" w:color="auto"/>
              <w:bottom w:val="single" w:sz="6" w:space="0" w:color="auto"/>
            </w:tcBorders>
          </w:tcPr>
          <w:p w14:paraId="2102DA97" w14:textId="77777777" w:rsidR="00964B88" w:rsidRDefault="00964B88">
            <w:r>
              <w:rPr>
                <w:b/>
              </w:rPr>
              <w:t>(13 791)</w:t>
            </w:r>
          </w:p>
        </w:tc>
      </w:tr>
      <w:tr w:rsidR="00964B88" w14:paraId="71F6DC91" w14:textId="77777777" w:rsidTr="00F53820">
        <w:tc>
          <w:tcPr>
            <w:tcW w:w="2586" w:type="dxa"/>
            <w:tcBorders>
              <w:top w:val="single" w:sz="6" w:space="0" w:color="auto"/>
            </w:tcBorders>
          </w:tcPr>
          <w:p w14:paraId="63BB43D9" w14:textId="77777777" w:rsidR="00964B88" w:rsidRDefault="00964B88"/>
        </w:tc>
        <w:tc>
          <w:tcPr>
            <w:tcW w:w="2587" w:type="dxa"/>
            <w:tcBorders>
              <w:top w:val="single" w:sz="6" w:space="0" w:color="auto"/>
            </w:tcBorders>
          </w:tcPr>
          <w:p w14:paraId="2226C7BB" w14:textId="77777777" w:rsidR="00964B88" w:rsidRDefault="00964B88"/>
        </w:tc>
        <w:tc>
          <w:tcPr>
            <w:tcW w:w="2587" w:type="dxa"/>
            <w:tcBorders>
              <w:top w:val="single" w:sz="6" w:space="0" w:color="auto"/>
            </w:tcBorders>
          </w:tcPr>
          <w:p w14:paraId="44C919FD" w14:textId="77777777" w:rsidR="00964B88" w:rsidRDefault="00964B88"/>
        </w:tc>
      </w:tr>
      <w:tr w:rsidR="00964B88" w14:paraId="3461D529" w14:textId="77777777">
        <w:tc>
          <w:tcPr>
            <w:tcW w:w="2586" w:type="dxa"/>
          </w:tcPr>
          <w:p w14:paraId="2678A8D4" w14:textId="77777777" w:rsidR="00964B88" w:rsidRDefault="00964B88">
            <w:r>
              <w:t>2</w:t>
            </w:r>
          </w:p>
        </w:tc>
        <w:tc>
          <w:tcPr>
            <w:tcW w:w="2587" w:type="dxa"/>
          </w:tcPr>
          <w:p w14:paraId="7DF1941E" w14:textId="77777777" w:rsidR="00964B88" w:rsidRDefault="00964B88">
            <w:r>
              <w:t>37</w:t>
            </w:r>
          </w:p>
        </w:tc>
        <w:tc>
          <w:tcPr>
            <w:tcW w:w="2587" w:type="dxa"/>
          </w:tcPr>
          <w:p w14:paraId="37CC5190" w14:textId="77777777" w:rsidR="00964B88" w:rsidRDefault="00964B88">
            <w:r>
              <w:t>(13 791)</w:t>
            </w:r>
          </w:p>
        </w:tc>
      </w:tr>
      <w:tr w:rsidR="00964B88" w14:paraId="51819D04" w14:textId="77777777">
        <w:tc>
          <w:tcPr>
            <w:tcW w:w="2586" w:type="dxa"/>
          </w:tcPr>
          <w:p w14:paraId="283B4330" w14:textId="77777777" w:rsidR="00964B88" w:rsidRDefault="00964B88">
            <w:r>
              <w:t>..</w:t>
            </w:r>
          </w:p>
        </w:tc>
        <w:tc>
          <w:tcPr>
            <w:tcW w:w="2587" w:type="dxa"/>
          </w:tcPr>
          <w:p w14:paraId="048D523F" w14:textId="77777777" w:rsidR="00964B88" w:rsidRDefault="00964B88">
            <w:r>
              <w:t>..</w:t>
            </w:r>
          </w:p>
        </w:tc>
        <w:tc>
          <w:tcPr>
            <w:tcW w:w="2587" w:type="dxa"/>
          </w:tcPr>
          <w:p w14:paraId="3C98EB24" w14:textId="77777777" w:rsidR="00964B88" w:rsidRDefault="00964B88">
            <w:r>
              <w:t>(1 740)</w:t>
            </w:r>
          </w:p>
        </w:tc>
      </w:tr>
      <w:tr w:rsidR="00964B88" w14:paraId="3D088FFF" w14:textId="77777777">
        <w:tc>
          <w:tcPr>
            <w:tcW w:w="2586" w:type="dxa"/>
          </w:tcPr>
          <w:p w14:paraId="74719398" w14:textId="77777777" w:rsidR="00964B88" w:rsidRDefault="00964B88">
            <w:r>
              <w:t>..</w:t>
            </w:r>
          </w:p>
        </w:tc>
        <w:tc>
          <w:tcPr>
            <w:tcW w:w="2587" w:type="dxa"/>
          </w:tcPr>
          <w:p w14:paraId="443812B3" w14:textId="77777777" w:rsidR="00964B88" w:rsidRDefault="00964B88">
            <w:r>
              <w:t>..</w:t>
            </w:r>
          </w:p>
        </w:tc>
        <w:tc>
          <w:tcPr>
            <w:tcW w:w="2587" w:type="dxa"/>
          </w:tcPr>
          <w:p w14:paraId="363226D5" w14:textId="77777777" w:rsidR="00964B88" w:rsidRDefault="00964B88">
            <w:r>
              <w:t>..</w:t>
            </w:r>
          </w:p>
        </w:tc>
      </w:tr>
      <w:tr w:rsidR="00964B88" w14:paraId="0D8BDAA1" w14:textId="77777777">
        <w:tc>
          <w:tcPr>
            <w:tcW w:w="2586" w:type="dxa"/>
          </w:tcPr>
          <w:p w14:paraId="0C890294" w14:textId="77777777" w:rsidR="00964B88" w:rsidRDefault="00964B88">
            <w:r>
              <w:t>..</w:t>
            </w:r>
          </w:p>
        </w:tc>
        <w:tc>
          <w:tcPr>
            <w:tcW w:w="2587" w:type="dxa"/>
          </w:tcPr>
          <w:p w14:paraId="7F34B28A" w14:textId="77777777" w:rsidR="00964B88" w:rsidRDefault="00964B88">
            <w:r>
              <w:t>..</w:t>
            </w:r>
          </w:p>
        </w:tc>
        <w:tc>
          <w:tcPr>
            <w:tcW w:w="2587" w:type="dxa"/>
          </w:tcPr>
          <w:p w14:paraId="23B262FA" w14:textId="77777777" w:rsidR="00964B88" w:rsidRDefault="00964B88">
            <w:r>
              <w:t>(45)</w:t>
            </w:r>
          </w:p>
        </w:tc>
      </w:tr>
      <w:tr w:rsidR="00964B88" w14:paraId="7224D8DA" w14:textId="77777777">
        <w:tc>
          <w:tcPr>
            <w:tcW w:w="2586" w:type="dxa"/>
          </w:tcPr>
          <w:p w14:paraId="494F02BE" w14:textId="77777777" w:rsidR="00964B88" w:rsidRDefault="00964B88">
            <w:r>
              <w:t>..</w:t>
            </w:r>
          </w:p>
        </w:tc>
        <w:tc>
          <w:tcPr>
            <w:tcW w:w="2587" w:type="dxa"/>
          </w:tcPr>
          <w:p w14:paraId="77290BF6" w14:textId="77777777" w:rsidR="00964B88" w:rsidRDefault="00964B88">
            <w:r>
              <w:t>..</w:t>
            </w:r>
          </w:p>
        </w:tc>
        <w:tc>
          <w:tcPr>
            <w:tcW w:w="2587" w:type="dxa"/>
          </w:tcPr>
          <w:p w14:paraId="7CBCCD81" w14:textId="77777777" w:rsidR="00964B88" w:rsidRDefault="00964B88">
            <w:r>
              <w:t>..</w:t>
            </w:r>
          </w:p>
        </w:tc>
      </w:tr>
      <w:tr w:rsidR="00964B88" w14:paraId="2DF540CF" w14:textId="77777777" w:rsidTr="00F53820">
        <w:tc>
          <w:tcPr>
            <w:tcW w:w="2586" w:type="dxa"/>
            <w:tcBorders>
              <w:bottom w:val="single" w:sz="6" w:space="0" w:color="auto"/>
            </w:tcBorders>
          </w:tcPr>
          <w:p w14:paraId="0AA0214E" w14:textId="77777777" w:rsidR="00964B88" w:rsidRDefault="00964B88">
            <w:r>
              <w:t>..</w:t>
            </w:r>
          </w:p>
        </w:tc>
        <w:tc>
          <w:tcPr>
            <w:tcW w:w="2587" w:type="dxa"/>
            <w:tcBorders>
              <w:bottom w:val="single" w:sz="6" w:space="0" w:color="auto"/>
            </w:tcBorders>
          </w:tcPr>
          <w:p w14:paraId="3C2A556C" w14:textId="77777777" w:rsidR="00964B88" w:rsidRDefault="00964B88">
            <w:r>
              <w:t>..</w:t>
            </w:r>
          </w:p>
        </w:tc>
        <w:tc>
          <w:tcPr>
            <w:tcW w:w="2587" w:type="dxa"/>
            <w:tcBorders>
              <w:bottom w:val="single" w:sz="6" w:space="0" w:color="auto"/>
            </w:tcBorders>
          </w:tcPr>
          <w:p w14:paraId="3F1BF0E4" w14:textId="77777777" w:rsidR="00964B88" w:rsidRDefault="00964B88">
            <w:r>
              <w:t>..</w:t>
            </w:r>
          </w:p>
        </w:tc>
      </w:tr>
      <w:tr w:rsidR="00964B88" w14:paraId="725D6514" w14:textId="77777777" w:rsidTr="00F53820">
        <w:tc>
          <w:tcPr>
            <w:tcW w:w="2586" w:type="dxa"/>
            <w:tcBorders>
              <w:top w:val="single" w:sz="6" w:space="0" w:color="auto"/>
              <w:bottom w:val="single" w:sz="6" w:space="0" w:color="auto"/>
            </w:tcBorders>
          </w:tcPr>
          <w:p w14:paraId="34C400D8" w14:textId="77777777" w:rsidR="00964B88" w:rsidRDefault="00964B88">
            <w:r>
              <w:rPr>
                <w:b/>
              </w:rPr>
              <w:t>2</w:t>
            </w:r>
          </w:p>
        </w:tc>
        <w:tc>
          <w:tcPr>
            <w:tcW w:w="2587" w:type="dxa"/>
            <w:tcBorders>
              <w:top w:val="single" w:sz="6" w:space="0" w:color="auto"/>
              <w:bottom w:val="single" w:sz="6" w:space="0" w:color="auto"/>
            </w:tcBorders>
          </w:tcPr>
          <w:p w14:paraId="5E61286C" w14:textId="77777777" w:rsidR="00964B88" w:rsidRDefault="00964B88">
            <w:r>
              <w:rPr>
                <w:b/>
              </w:rPr>
              <w:t>37</w:t>
            </w:r>
          </w:p>
        </w:tc>
        <w:tc>
          <w:tcPr>
            <w:tcW w:w="2587" w:type="dxa"/>
            <w:tcBorders>
              <w:top w:val="single" w:sz="6" w:space="0" w:color="auto"/>
              <w:bottom w:val="single" w:sz="6" w:space="0" w:color="auto"/>
            </w:tcBorders>
          </w:tcPr>
          <w:p w14:paraId="50589BCA" w14:textId="77777777" w:rsidR="00964B88" w:rsidRDefault="00964B88">
            <w:r>
              <w:rPr>
                <w:b/>
              </w:rPr>
              <w:t>(15 576)</w:t>
            </w:r>
          </w:p>
        </w:tc>
      </w:tr>
      <w:tr w:rsidR="00964B88" w14:paraId="28ED9738" w14:textId="77777777" w:rsidTr="00F53820">
        <w:tc>
          <w:tcPr>
            <w:tcW w:w="2586" w:type="dxa"/>
            <w:tcBorders>
              <w:top w:val="single" w:sz="6" w:space="0" w:color="auto"/>
            </w:tcBorders>
          </w:tcPr>
          <w:p w14:paraId="03FBA229" w14:textId="77777777" w:rsidR="00964B88" w:rsidRDefault="00964B88"/>
        </w:tc>
        <w:tc>
          <w:tcPr>
            <w:tcW w:w="2587" w:type="dxa"/>
            <w:tcBorders>
              <w:top w:val="single" w:sz="6" w:space="0" w:color="auto"/>
            </w:tcBorders>
          </w:tcPr>
          <w:p w14:paraId="6788B5F7" w14:textId="77777777" w:rsidR="00964B88" w:rsidRDefault="00964B88"/>
        </w:tc>
        <w:tc>
          <w:tcPr>
            <w:tcW w:w="2587" w:type="dxa"/>
            <w:tcBorders>
              <w:top w:val="single" w:sz="6" w:space="0" w:color="auto"/>
            </w:tcBorders>
          </w:tcPr>
          <w:p w14:paraId="02B9B1FB" w14:textId="77777777" w:rsidR="00964B88" w:rsidRDefault="00964B88"/>
        </w:tc>
      </w:tr>
      <w:tr w:rsidR="00964B88" w14:paraId="0AC9A760" w14:textId="77777777">
        <w:tc>
          <w:tcPr>
            <w:tcW w:w="2586" w:type="dxa"/>
          </w:tcPr>
          <w:p w14:paraId="3DCEF931" w14:textId="77777777" w:rsidR="00964B88" w:rsidRDefault="00964B88">
            <w:r>
              <w:t>2</w:t>
            </w:r>
          </w:p>
        </w:tc>
        <w:tc>
          <w:tcPr>
            <w:tcW w:w="2587" w:type="dxa"/>
          </w:tcPr>
          <w:p w14:paraId="483A9FF9" w14:textId="77777777" w:rsidR="00964B88" w:rsidRDefault="00964B88">
            <w:r>
              <w:t>37</w:t>
            </w:r>
          </w:p>
        </w:tc>
        <w:tc>
          <w:tcPr>
            <w:tcW w:w="2587" w:type="dxa"/>
          </w:tcPr>
          <w:p w14:paraId="0C17DEC3" w14:textId="77777777" w:rsidR="00964B88" w:rsidRDefault="00964B88">
            <w:r>
              <w:t>(15 576)</w:t>
            </w:r>
          </w:p>
        </w:tc>
      </w:tr>
      <w:tr w:rsidR="00964B88" w14:paraId="59F58041" w14:textId="77777777">
        <w:tc>
          <w:tcPr>
            <w:tcW w:w="2586" w:type="dxa"/>
          </w:tcPr>
          <w:p w14:paraId="7526BAC1" w14:textId="77777777" w:rsidR="00964B88" w:rsidRDefault="00964B88">
            <w:r>
              <w:t>..</w:t>
            </w:r>
          </w:p>
        </w:tc>
        <w:tc>
          <w:tcPr>
            <w:tcW w:w="2587" w:type="dxa"/>
          </w:tcPr>
          <w:p w14:paraId="69D776BF" w14:textId="77777777" w:rsidR="00964B88" w:rsidRDefault="00964B88">
            <w:r>
              <w:t>..</w:t>
            </w:r>
          </w:p>
        </w:tc>
        <w:tc>
          <w:tcPr>
            <w:tcW w:w="2587" w:type="dxa"/>
          </w:tcPr>
          <w:p w14:paraId="09F36850" w14:textId="77777777" w:rsidR="00964B88" w:rsidRDefault="00964B88">
            <w:r>
              <w:t>(1 063)</w:t>
            </w:r>
          </w:p>
        </w:tc>
      </w:tr>
      <w:tr w:rsidR="00964B88" w14:paraId="4631E45E" w14:textId="77777777">
        <w:tc>
          <w:tcPr>
            <w:tcW w:w="2586" w:type="dxa"/>
          </w:tcPr>
          <w:p w14:paraId="3A462A7C" w14:textId="77777777" w:rsidR="00964B88" w:rsidRDefault="00964B88">
            <w:r>
              <w:t>..</w:t>
            </w:r>
          </w:p>
        </w:tc>
        <w:tc>
          <w:tcPr>
            <w:tcW w:w="2587" w:type="dxa"/>
          </w:tcPr>
          <w:p w14:paraId="30D8ADF7" w14:textId="77777777" w:rsidR="00964B88" w:rsidRDefault="00964B88">
            <w:r>
              <w:t>..</w:t>
            </w:r>
          </w:p>
        </w:tc>
        <w:tc>
          <w:tcPr>
            <w:tcW w:w="2587" w:type="dxa"/>
          </w:tcPr>
          <w:p w14:paraId="0396AB2F" w14:textId="77777777" w:rsidR="00964B88" w:rsidRDefault="00964B88">
            <w:r>
              <w:t>..</w:t>
            </w:r>
          </w:p>
        </w:tc>
      </w:tr>
      <w:tr w:rsidR="00964B88" w14:paraId="0A7A8F63" w14:textId="77777777">
        <w:tc>
          <w:tcPr>
            <w:tcW w:w="2586" w:type="dxa"/>
          </w:tcPr>
          <w:p w14:paraId="0312D021" w14:textId="77777777" w:rsidR="00964B88" w:rsidRDefault="00964B88">
            <w:r>
              <w:t>..</w:t>
            </w:r>
          </w:p>
        </w:tc>
        <w:tc>
          <w:tcPr>
            <w:tcW w:w="2587" w:type="dxa"/>
          </w:tcPr>
          <w:p w14:paraId="03C73DA3" w14:textId="77777777" w:rsidR="00964B88" w:rsidRDefault="00964B88">
            <w:r>
              <w:t>..</w:t>
            </w:r>
          </w:p>
        </w:tc>
        <w:tc>
          <w:tcPr>
            <w:tcW w:w="2587" w:type="dxa"/>
          </w:tcPr>
          <w:p w14:paraId="0D9439D0" w14:textId="77777777" w:rsidR="00964B88" w:rsidRDefault="00964B88">
            <w:r>
              <w:t>(37)</w:t>
            </w:r>
          </w:p>
        </w:tc>
      </w:tr>
      <w:tr w:rsidR="00964B88" w14:paraId="4AD87733" w14:textId="77777777">
        <w:tc>
          <w:tcPr>
            <w:tcW w:w="2586" w:type="dxa"/>
          </w:tcPr>
          <w:p w14:paraId="1ADB815A" w14:textId="77777777" w:rsidR="00964B88" w:rsidRDefault="00964B88">
            <w:r>
              <w:t>..</w:t>
            </w:r>
          </w:p>
        </w:tc>
        <w:tc>
          <w:tcPr>
            <w:tcW w:w="2587" w:type="dxa"/>
          </w:tcPr>
          <w:p w14:paraId="71FE1440" w14:textId="77777777" w:rsidR="00964B88" w:rsidRDefault="00964B88">
            <w:r>
              <w:t>..</w:t>
            </w:r>
          </w:p>
        </w:tc>
        <w:tc>
          <w:tcPr>
            <w:tcW w:w="2587" w:type="dxa"/>
          </w:tcPr>
          <w:p w14:paraId="3B5BC66F" w14:textId="77777777" w:rsidR="00964B88" w:rsidRDefault="00964B88">
            <w:r>
              <w:t>..</w:t>
            </w:r>
          </w:p>
        </w:tc>
      </w:tr>
      <w:tr w:rsidR="00964B88" w14:paraId="194F2311" w14:textId="77777777" w:rsidTr="00F53820">
        <w:tc>
          <w:tcPr>
            <w:tcW w:w="2586" w:type="dxa"/>
            <w:tcBorders>
              <w:bottom w:val="single" w:sz="6" w:space="0" w:color="auto"/>
            </w:tcBorders>
          </w:tcPr>
          <w:p w14:paraId="6D61C86D" w14:textId="77777777" w:rsidR="00964B88" w:rsidRDefault="00964B88">
            <w:r>
              <w:t>..</w:t>
            </w:r>
          </w:p>
        </w:tc>
        <w:tc>
          <w:tcPr>
            <w:tcW w:w="2587" w:type="dxa"/>
            <w:tcBorders>
              <w:bottom w:val="single" w:sz="6" w:space="0" w:color="auto"/>
            </w:tcBorders>
          </w:tcPr>
          <w:p w14:paraId="5B52E2D3" w14:textId="77777777" w:rsidR="00964B88" w:rsidRDefault="00964B88">
            <w:r>
              <w:t>..</w:t>
            </w:r>
          </w:p>
        </w:tc>
        <w:tc>
          <w:tcPr>
            <w:tcW w:w="2587" w:type="dxa"/>
            <w:tcBorders>
              <w:bottom w:val="single" w:sz="6" w:space="0" w:color="auto"/>
            </w:tcBorders>
          </w:tcPr>
          <w:p w14:paraId="15D4A1C8" w14:textId="77777777" w:rsidR="00964B88" w:rsidRDefault="00964B88">
            <w:r>
              <w:t>..</w:t>
            </w:r>
          </w:p>
        </w:tc>
      </w:tr>
      <w:tr w:rsidR="00964B88" w14:paraId="6FDD6C90" w14:textId="77777777">
        <w:trPr>
          <w:cnfStyle w:val="010000000000" w:firstRow="0" w:lastRow="1" w:firstColumn="0" w:lastColumn="0" w:oddVBand="0" w:evenVBand="0" w:oddHBand="0" w:evenHBand="0" w:firstRowFirstColumn="0" w:firstRowLastColumn="0" w:lastRowFirstColumn="0" w:lastRowLastColumn="0"/>
        </w:trPr>
        <w:tc>
          <w:tcPr>
            <w:tcW w:w="2586" w:type="dxa"/>
          </w:tcPr>
          <w:p w14:paraId="0C00F981" w14:textId="77777777" w:rsidR="00964B88" w:rsidRDefault="00964B88">
            <w:r>
              <w:t>2</w:t>
            </w:r>
          </w:p>
        </w:tc>
        <w:tc>
          <w:tcPr>
            <w:tcW w:w="2587" w:type="dxa"/>
          </w:tcPr>
          <w:p w14:paraId="1C70716E" w14:textId="77777777" w:rsidR="00964B88" w:rsidRDefault="00964B88">
            <w:r>
              <w:t>37</w:t>
            </w:r>
          </w:p>
        </w:tc>
        <w:tc>
          <w:tcPr>
            <w:tcW w:w="2587" w:type="dxa"/>
          </w:tcPr>
          <w:p w14:paraId="20BC38D8" w14:textId="77777777" w:rsidR="00964B88" w:rsidRDefault="00964B88">
            <w:r>
              <w:t>(16 676)</w:t>
            </w:r>
          </w:p>
        </w:tc>
      </w:tr>
    </w:tbl>
    <w:p w14:paraId="1C9AD610" w14:textId="77777777" w:rsidR="00964B88" w:rsidRPr="003951F6" w:rsidRDefault="00964B88" w:rsidP="003951F6">
      <w:r w:rsidRPr="003951F6">
        <w:br w:type="page"/>
      </w:r>
    </w:p>
    <w:p w14:paraId="7B12E020" w14:textId="77777777" w:rsidR="00964B88" w:rsidRDefault="00964B88" w:rsidP="00F53820">
      <w:pPr>
        <w:pStyle w:val="TableHeading"/>
      </w:pPr>
      <w:r>
        <w:lastRenderedPageBreak/>
        <w:t>Table 5.15</w:t>
      </w:r>
      <w:r w:rsidR="009C1504">
        <w:t>:</w:t>
      </w:r>
      <w:r>
        <w:tab/>
        <w:t xml:space="preserve">Net acquisition of non-financial assets – </w:t>
      </w:r>
      <w:r w:rsidR="00506B7C">
        <w:br/>
      </w:r>
      <w:r>
        <w:t>public financial corporations sector</w:t>
      </w:r>
      <w:r>
        <w:tab/>
        <w:t>($ million)</w:t>
      </w:r>
    </w:p>
    <w:tbl>
      <w:tblPr>
        <w:tblStyle w:val="DTFTable"/>
        <w:tblW w:w="7768" w:type="dxa"/>
        <w:tblLayout w:type="fixed"/>
        <w:tblLook w:val="06E0" w:firstRow="1" w:lastRow="1" w:firstColumn="1" w:lastColumn="0" w:noHBand="1" w:noVBand="1"/>
      </w:tblPr>
      <w:tblGrid>
        <w:gridCol w:w="3573"/>
        <w:gridCol w:w="839"/>
        <w:gridCol w:w="839"/>
        <w:gridCol w:w="839"/>
        <w:gridCol w:w="839"/>
        <w:gridCol w:w="839"/>
      </w:tblGrid>
      <w:tr w:rsidR="00964B88" w14:paraId="5B256167" w14:textId="77777777" w:rsidTr="003951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73" w:type="dxa"/>
          </w:tcPr>
          <w:p w14:paraId="1E2D344C" w14:textId="77777777" w:rsidR="00964B88" w:rsidRDefault="00964B88"/>
        </w:tc>
        <w:tc>
          <w:tcPr>
            <w:tcW w:w="839" w:type="dxa"/>
          </w:tcPr>
          <w:p w14:paraId="473C0713"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39" w:type="dxa"/>
          </w:tcPr>
          <w:p w14:paraId="64E837F8"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39" w:type="dxa"/>
          </w:tcPr>
          <w:p w14:paraId="3BB81DA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39" w:type="dxa"/>
          </w:tcPr>
          <w:p w14:paraId="2156737A"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39" w:type="dxa"/>
          </w:tcPr>
          <w:p w14:paraId="0C98C0B4"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013F2442" w14:textId="77777777" w:rsidTr="003951F6">
        <w:tc>
          <w:tcPr>
            <w:cnfStyle w:val="001000000000" w:firstRow="0" w:lastRow="0" w:firstColumn="1" w:lastColumn="0" w:oddVBand="0" w:evenVBand="0" w:oddHBand="0" w:evenHBand="0" w:firstRowFirstColumn="0" w:firstRowLastColumn="0" w:lastRowFirstColumn="0" w:lastRowLastColumn="0"/>
            <w:tcW w:w="3573" w:type="dxa"/>
          </w:tcPr>
          <w:p w14:paraId="4416861B" w14:textId="77777777" w:rsidR="00964B88" w:rsidRDefault="00964B88">
            <w:r>
              <w:t>Purchases of non</w:t>
            </w:r>
            <w:r>
              <w:noBreakHyphen/>
              <w:t>financial assets less sale of non</w:t>
            </w:r>
            <w:r>
              <w:noBreakHyphen/>
              <w:t>financial asset (including change in inventories)</w:t>
            </w:r>
          </w:p>
        </w:tc>
        <w:tc>
          <w:tcPr>
            <w:tcW w:w="839" w:type="dxa"/>
          </w:tcPr>
          <w:p w14:paraId="2F23A3E9" w14:textId="77777777" w:rsidR="00964B88" w:rsidRDefault="00964B88">
            <w:pPr>
              <w:cnfStyle w:val="000000000000" w:firstRow="0" w:lastRow="0" w:firstColumn="0" w:lastColumn="0" w:oddVBand="0" w:evenVBand="0" w:oddHBand="0" w:evenHBand="0" w:firstRowFirstColumn="0" w:firstRowLastColumn="0" w:lastRowFirstColumn="0" w:lastRowLastColumn="0"/>
            </w:pPr>
            <w:r>
              <w:t>171</w:t>
            </w:r>
          </w:p>
        </w:tc>
        <w:tc>
          <w:tcPr>
            <w:tcW w:w="839" w:type="dxa"/>
          </w:tcPr>
          <w:p w14:paraId="0553DCEB" w14:textId="77777777" w:rsidR="00964B88" w:rsidRDefault="00964B88">
            <w:pPr>
              <w:cnfStyle w:val="000000000000" w:firstRow="0" w:lastRow="0" w:firstColumn="0" w:lastColumn="0" w:oddVBand="0" w:evenVBand="0" w:oddHBand="0" w:evenHBand="0" w:firstRowFirstColumn="0" w:firstRowLastColumn="0" w:lastRowFirstColumn="0" w:lastRowLastColumn="0"/>
            </w:pPr>
            <w:r>
              <w:t>217</w:t>
            </w:r>
          </w:p>
        </w:tc>
        <w:tc>
          <w:tcPr>
            <w:tcW w:w="839" w:type="dxa"/>
          </w:tcPr>
          <w:p w14:paraId="7D4ECA7B" w14:textId="77777777" w:rsidR="00964B88" w:rsidRDefault="00964B88">
            <w:pPr>
              <w:cnfStyle w:val="000000000000" w:firstRow="0" w:lastRow="0" w:firstColumn="0" w:lastColumn="0" w:oddVBand="0" w:evenVBand="0" w:oddHBand="0" w:evenHBand="0" w:firstRowFirstColumn="0" w:firstRowLastColumn="0" w:lastRowFirstColumn="0" w:lastRowLastColumn="0"/>
            </w:pPr>
            <w:r>
              <w:t>204</w:t>
            </w:r>
          </w:p>
        </w:tc>
        <w:tc>
          <w:tcPr>
            <w:tcW w:w="839" w:type="dxa"/>
          </w:tcPr>
          <w:p w14:paraId="52BAC9D8" w14:textId="77777777" w:rsidR="00964B88" w:rsidRDefault="00964B88">
            <w:pPr>
              <w:cnfStyle w:val="000000000000" w:firstRow="0" w:lastRow="0" w:firstColumn="0" w:lastColumn="0" w:oddVBand="0" w:evenVBand="0" w:oddHBand="0" w:evenHBand="0" w:firstRowFirstColumn="0" w:firstRowLastColumn="0" w:lastRowFirstColumn="0" w:lastRowLastColumn="0"/>
            </w:pPr>
            <w:r>
              <w:t>140</w:t>
            </w:r>
          </w:p>
        </w:tc>
        <w:tc>
          <w:tcPr>
            <w:tcW w:w="839" w:type="dxa"/>
          </w:tcPr>
          <w:p w14:paraId="62DE325E" w14:textId="77777777" w:rsidR="00964B88" w:rsidRDefault="00964B88">
            <w:pPr>
              <w:cnfStyle w:val="000000000000" w:firstRow="0" w:lastRow="0" w:firstColumn="0" w:lastColumn="0" w:oddVBand="0" w:evenVBand="0" w:oddHBand="0" w:evenHBand="0" w:firstRowFirstColumn="0" w:firstRowLastColumn="0" w:lastRowFirstColumn="0" w:lastRowLastColumn="0"/>
            </w:pPr>
            <w:r>
              <w:t>132</w:t>
            </w:r>
          </w:p>
        </w:tc>
      </w:tr>
      <w:tr w:rsidR="00964B88" w14:paraId="18C77B74" w14:textId="77777777" w:rsidTr="003951F6">
        <w:tc>
          <w:tcPr>
            <w:cnfStyle w:val="001000000000" w:firstRow="0" w:lastRow="0" w:firstColumn="1" w:lastColumn="0" w:oddVBand="0" w:evenVBand="0" w:oddHBand="0" w:evenHBand="0" w:firstRowFirstColumn="0" w:firstRowLastColumn="0" w:lastRowFirstColumn="0" w:lastRowLastColumn="0"/>
            <w:tcW w:w="3573" w:type="dxa"/>
          </w:tcPr>
          <w:p w14:paraId="6E5E9EDD" w14:textId="77777777" w:rsidR="00964B88" w:rsidRDefault="00964B88">
            <w:r>
              <w:t>Less: Depreciation and amortisation</w:t>
            </w:r>
          </w:p>
        </w:tc>
        <w:tc>
          <w:tcPr>
            <w:tcW w:w="839" w:type="dxa"/>
          </w:tcPr>
          <w:p w14:paraId="3F01688A" w14:textId="77777777" w:rsidR="00964B88" w:rsidRDefault="00964B88">
            <w:pPr>
              <w:cnfStyle w:val="000000000000" w:firstRow="0" w:lastRow="0" w:firstColumn="0" w:lastColumn="0" w:oddVBand="0" w:evenVBand="0" w:oddHBand="0" w:evenHBand="0" w:firstRowFirstColumn="0" w:firstRowLastColumn="0" w:lastRowFirstColumn="0" w:lastRowLastColumn="0"/>
            </w:pPr>
            <w:r>
              <w:t>(89)</w:t>
            </w:r>
          </w:p>
        </w:tc>
        <w:tc>
          <w:tcPr>
            <w:tcW w:w="839" w:type="dxa"/>
          </w:tcPr>
          <w:p w14:paraId="34145CDC" w14:textId="77777777" w:rsidR="00964B88" w:rsidRDefault="00964B88">
            <w:pPr>
              <w:cnfStyle w:val="000000000000" w:firstRow="0" w:lastRow="0" w:firstColumn="0" w:lastColumn="0" w:oddVBand="0" w:evenVBand="0" w:oddHBand="0" w:evenHBand="0" w:firstRowFirstColumn="0" w:firstRowLastColumn="0" w:lastRowFirstColumn="0" w:lastRowLastColumn="0"/>
            </w:pPr>
            <w:r>
              <w:t>(80)</w:t>
            </w:r>
          </w:p>
        </w:tc>
        <w:tc>
          <w:tcPr>
            <w:tcW w:w="839" w:type="dxa"/>
          </w:tcPr>
          <w:p w14:paraId="0C3B3EE3" w14:textId="77777777" w:rsidR="00964B88" w:rsidRDefault="00964B88">
            <w:pPr>
              <w:cnfStyle w:val="000000000000" w:firstRow="0" w:lastRow="0" w:firstColumn="0" w:lastColumn="0" w:oddVBand="0" w:evenVBand="0" w:oddHBand="0" w:evenHBand="0" w:firstRowFirstColumn="0" w:firstRowLastColumn="0" w:lastRowFirstColumn="0" w:lastRowLastColumn="0"/>
            </w:pPr>
            <w:r>
              <w:t>(100)</w:t>
            </w:r>
          </w:p>
        </w:tc>
        <w:tc>
          <w:tcPr>
            <w:tcW w:w="839" w:type="dxa"/>
          </w:tcPr>
          <w:p w14:paraId="57E85192" w14:textId="77777777" w:rsidR="00964B88" w:rsidRDefault="00964B88">
            <w:pPr>
              <w:cnfStyle w:val="000000000000" w:firstRow="0" w:lastRow="0" w:firstColumn="0" w:lastColumn="0" w:oddVBand="0" w:evenVBand="0" w:oddHBand="0" w:evenHBand="0" w:firstRowFirstColumn="0" w:firstRowLastColumn="0" w:lastRowFirstColumn="0" w:lastRowLastColumn="0"/>
            </w:pPr>
            <w:r>
              <w:t>(125)</w:t>
            </w:r>
          </w:p>
        </w:tc>
        <w:tc>
          <w:tcPr>
            <w:tcW w:w="839" w:type="dxa"/>
          </w:tcPr>
          <w:p w14:paraId="068E3658" w14:textId="77777777" w:rsidR="00964B88" w:rsidRDefault="00964B88">
            <w:pPr>
              <w:cnfStyle w:val="000000000000" w:firstRow="0" w:lastRow="0" w:firstColumn="0" w:lastColumn="0" w:oddVBand="0" w:evenVBand="0" w:oddHBand="0" w:evenHBand="0" w:firstRowFirstColumn="0" w:firstRowLastColumn="0" w:lastRowFirstColumn="0" w:lastRowLastColumn="0"/>
            </w:pPr>
            <w:r>
              <w:t>(141)</w:t>
            </w:r>
          </w:p>
        </w:tc>
      </w:tr>
      <w:tr w:rsidR="00964B88" w14:paraId="7959EFE8" w14:textId="77777777" w:rsidTr="003951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14:paraId="37D7CE6F" w14:textId="77777777" w:rsidR="00964B88" w:rsidRDefault="00964B88">
            <w:r>
              <w:t>Total net acquisition of non</w:t>
            </w:r>
            <w:r>
              <w:noBreakHyphen/>
              <w:t xml:space="preserve">financial assets </w:t>
            </w:r>
            <w:r w:rsidR="003951F6">
              <w:br/>
            </w:r>
            <w:r>
              <w:t>from transactions</w:t>
            </w:r>
          </w:p>
        </w:tc>
        <w:tc>
          <w:tcPr>
            <w:tcW w:w="839" w:type="dxa"/>
          </w:tcPr>
          <w:p w14:paraId="6D174220" w14:textId="77777777" w:rsidR="00964B88" w:rsidRDefault="00964B88">
            <w:pPr>
              <w:cnfStyle w:val="010000000000" w:firstRow="0" w:lastRow="1" w:firstColumn="0" w:lastColumn="0" w:oddVBand="0" w:evenVBand="0" w:oddHBand="0" w:evenHBand="0" w:firstRowFirstColumn="0" w:firstRowLastColumn="0" w:lastRowFirstColumn="0" w:lastRowLastColumn="0"/>
            </w:pPr>
            <w:r>
              <w:t>82</w:t>
            </w:r>
          </w:p>
        </w:tc>
        <w:tc>
          <w:tcPr>
            <w:tcW w:w="839" w:type="dxa"/>
          </w:tcPr>
          <w:p w14:paraId="3050C29B" w14:textId="77777777" w:rsidR="00964B88" w:rsidRDefault="00964B88">
            <w:pPr>
              <w:cnfStyle w:val="010000000000" w:firstRow="0" w:lastRow="1" w:firstColumn="0" w:lastColumn="0" w:oddVBand="0" w:evenVBand="0" w:oddHBand="0" w:evenHBand="0" w:firstRowFirstColumn="0" w:firstRowLastColumn="0" w:lastRowFirstColumn="0" w:lastRowLastColumn="0"/>
            </w:pPr>
            <w:r>
              <w:t>138</w:t>
            </w:r>
          </w:p>
        </w:tc>
        <w:tc>
          <w:tcPr>
            <w:tcW w:w="839" w:type="dxa"/>
          </w:tcPr>
          <w:p w14:paraId="25468D40" w14:textId="77777777" w:rsidR="00964B88" w:rsidRDefault="00964B88">
            <w:pPr>
              <w:cnfStyle w:val="010000000000" w:firstRow="0" w:lastRow="1" w:firstColumn="0" w:lastColumn="0" w:oddVBand="0" w:evenVBand="0" w:oddHBand="0" w:evenHBand="0" w:firstRowFirstColumn="0" w:firstRowLastColumn="0" w:lastRowFirstColumn="0" w:lastRowLastColumn="0"/>
            </w:pPr>
            <w:r>
              <w:t>104</w:t>
            </w:r>
          </w:p>
        </w:tc>
        <w:tc>
          <w:tcPr>
            <w:tcW w:w="839" w:type="dxa"/>
          </w:tcPr>
          <w:p w14:paraId="1EA59B08" w14:textId="77777777" w:rsidR="00964B88" w:rsidRDefault="00964B88">
            <w:pPr>
              <w:cnfStyle w:val="010000000000" w:firstRow="0" w:lastRow="1" w:firstColumn="0" w:lastColumn="0" w:oddVBand="0" w:evenVBand="0" w:oddHBand="0" w:evenHBand="0" w:firstRowFirstColumn="0" w:firstRowLastColumn="0" w:lastRowFirstColumn="0" w:lastRowLastColumn="0"/>
            </w:pPr>
            <w:r>
              <w:t>15</w:t>
            </w:r>
          </w:p>
        </w:tc>
        <w:tc>
          <w:tcPr>
            <w:tcW w:w="839" w:type="dxa"/>
          </w:tcPr>
          <w:p w14:paraId="52394005" w14:textId="77777777" w:rsidR="00964B88" w:rsidRDefault="00964B88">
            <w:pPr>
              <w:cnfStyle w:val="010000000000" w:firstRow="0" w:lastRow="1" w:firstColumn="0" w:lastColumn="0" w:oddVBand="0" w:evenVBand="0" w:oddHBand="0" w:evenHBand="0" w:firstRowFirstColumn="0" w:firstRowLastColumn="0" w:lastRowFirstColumn="0" w:lastRowLastColumn="0"/>
            </w:pPr>
            <w:r>
              <w:t>(9)</w:t>
            </w:r>
          </w:p>
        </w:tc>
      </w:tr>
    </w:tbl>
    <w:p w14:paraId="0A558D4C" w14:textId="77777777" w:rsidR="00964B88" w:rsidRDefault="00964B88" w:rsidP="00F53820">
      <w:pPr>
        <w:pStyle w:val="Heading10"/>
      </w:pPr>
      <w:r>
        <w:br w:type="page"/>
      </w:r>
    </w:p>
    <w:p w14:paraId="0F1A5363" w14:textId="77777777" w:rsidR="00964B88" w:rsidRDefault="00964B88" w:rsidP="003951F6">
      <w:pPr>
        <w:pStyle w:val="TableHeading"/>
      </w:pPr>
      <w:r>
        <w:lastRenderedPageBreak/>
        <w:t>Table 5.16</w:t>
      </w:r>
      <w:r w:rsidR="009C1504">
        <w:t>:</w:t>
      </w:r>
      <w:r w:rsidRPr="009E7C4B">
        <w:tab/>
        <w:t xml:space="preserve">State of Victoria </w:t>
      </w:r>
      <w:r>
        <w:t xml:space="preserve">comprehensive </w:t>
      </w:r>
      <w:r w:rsidRPr="009E7C4B">
        <w:t xml:space="preserve">operating statement </w:t>
      </w:r>
      <w:r w:rsidR="00506B7C">
        <w:br/>
      </w:r>
      <w:r w:rsidRPr="009E7C4B">
        <w:t>for t</w:t>
      </w:r>
      <w:r>
        <w:t>he financial year ended 30 June</w:t>
      </w:r>
      <w:r w:rsidR="003951F6">
        <w:tab/>
      </w:r>
      <w:r>
        <w:t xml:space="preserve">($ </w:t>
      </w:r>
      <w:r w:rsidRPr="009E7C4B">
        <w:t>million</w:t>
      </w:r>
      <w:r>
        <w:t>)</w:t>
      </w:r>
    </w:p>
    <w:tbl>
      <w:tblPr>
        <w:tblStyle w:val="DTFTable"/>
        <w:tblW w:w="7768" w:type="dxa"/>
        <w:tblLayout w:type="fixed"/>
        <w:tblLook w:val="06E0" w:firstRow="1" w:lastRow="1" w:firstColumn="1" w:lastColumn="0" w:noHBand="1" w:noVBand="1"/>
      </w:tblPr>
      <w:tblGrid>
        <w:gridCol w:w="3998"/>
        <w:gridCol w:w="142"/>
        <w:gridCol w:w="612"/>
        <w:gridCol w:w="754"/>
        <w:gridCol w:w="754"/>
        <w:gridCol w:w="754"/>
        <w:gridCol w:w="754"/>
      </w:tblGrid>
      <w:tr w:rsidR="00964B88" w14:paraId="34221932" w14:textId="77777777" w:rsidTr="003951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14:paraId="7FFDA7F8" w14:textId="77777777" w:rsidR="00964B88" w:rsidRDefault="00964B88">
            <w:pPr>
              <w:spacing w:after="0"/>
            </w:pPr>
          </w:p>
        </w:tc>
        <w:tc>
          <w:tcPr>
            <w:tcW w:w="754" w:type="dxa"/>
            <w:gridSpan w:val="2"/>
          </w:tcPr>
          <w:p w14:paraId="4121DF56"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754" w:type="dxa"/>
          </w:tcPr>
          <w:p w14:paraId="4B81C507"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754" w:type="dxa"/>
          </w:tcPr>
          <w:p w14:paraId="4C706EC4"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754" w:type="dxa"/>
          </w:tcPr>
          <w:p w14:paraId="10562B26"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754" w:type="dxa"/>
          </w:tcPr>
          <w:p w14:paraId="54C21164"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4C354C53"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1B2D7446" w14:textId="77777777" w:rsidR="00964B88" w:rsidRDefault="00964B88">
            <w:pPr>
              <w:spacing w:after="0"/>
            </w:pPr>
            <w:r>
              <w:rPr>
                <w:b/>
              </w:rPr>
              <w:t>Revenue from transactions</w:t>
            </w:r>
          </w:p>
        </w:tc>
        <w:tc>
          <w:tcPr>
            <w:tcW w:w="754" w:type="dxa"/>
            <w:gridSpan w:val="2"/>
          </w:tcPr>
          <w:p w14:paraId="39D2647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5765FF0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7EF6884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52D74E4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28E3F4D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115058CD"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33BDF308" w14:textId="77777777" w:rsidR="00964B88" w:rsidRDefault="00964B88">
            <w:pPr>
              <w:spacing w:after="0"/>
            </w:pPr>
            <w:r>
              <w:t>Taxation revenue</w:t>
            </w:r>
          </w:p>
        </w:tc>
        <w:tc>
          <w:tcPr>
            <w:tcW w:w="754" w:type="dxa"/>
            <w:gridSpan w:val="2"/>
          </w:tcPr>
          <w:p w14:paraId="19213C7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23 875</w:t>
            </w:r>
          </w:p>
        </w:tc>
        <w:tc>
          <w:tcPr>
            <w:tcW w:w="754" w:type="dxa"/>
          </w:tcPr>
          <w:p w14:paraId="2B18A04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23 941</w:t>
            </w:r>
          </w:p>
        </w:tc>
        <w:tc>
          <w:tcPr>
            <w:tcW w:w="754" w:type="dxa"/>
          </w:tcPr>
          <w:p w14:paraId="6AC9ACD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25 133</w:t>
            </w:r>
          </w:p>
        </w:tc>
        <w:tc>
          <w:tcPr>
            <w:tcW w:w="754" w:type="dxa"/>
          </w:tcPr>
          <w:p w14:paraId="55F8A74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26 483</w:t>
            </w:r>
          </w:p>
        </w:tc>
        <w:tc>
          <w:tcPr>
            <w:tcW w:w="754" w:type="dxa"/>
          </w:tcPr>
          <w:p w14:paraId="3F35E2F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28 042</w:t>
            </w:r>
          </w:p>
        </w:tc>
      </w:tr>
      <w:tr w:rsidR="00964B88" w14:paraId="2186829B"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526B5FC0" w14:textId="77777777" w:rsidR="00964B88" w:rsidRDefault="00964B88">
            <w:pPr>
              <w:spacing w:after="0"/>
            </w:pPr>
            <w:r>
              <w:t>Interest revenue</w:t>
            </w:r>
          </w:p>
        </w:tc>
        <w:tc>
          <w:tcPr>
            <w:tcW w:w="754" w:type="dxa"/>
            <w:gridSpan w:val="2"/>
          </w:tcPr>
          <w:p w14:paraId="7C453A3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489</w:t>
            </w:r>
          </w:p>
        </w:tc>
        <w:tc>
          <w:tcPr>
            <w:tcW w:w="754" w:type="dxa"/>
          </w:tcPr>
          <w:p w14:paraId="06D643C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457</w:t>
            </w:r>
          </w:p>
        </w:tc>
        <w:tc>
          <w:tcPr>
            <w:tcW w:w="754" w:type="dxa"/>
          </w:tcPr>
          <w:p w14:paraId="64F37C1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422</w:t>
            </w:r>
          </w:p>
        </w:tc>
        <w:tc>
          <w:tcPr>
            <w:tcW w:w="754" w:type="dxa"/>
          </w:tcPr>
          <w:p w14:paraId="6BEB704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484</w:t>
            </w:r>
          </w:p>
        </w:tc>
        <w:tc>
          <w:tcPr>
            <w:tcW w:w="754" w:type="dxa"/>
          </w:tcPr>
          <w:p w14:paraId="423FB81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488</w:t>
            </w:r>
          </w:p>
        </w:tc>
      </w:tr>
      <w:tr w:rsidR="00964B88" w14:paraId="0B43AE9F"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404D40E3" w14:textId="77777777" w:rsidR="00964B88" w:rsidRDefault="00964B88">
            <w:pPr>
              <w:spacing w:after="0"/>
            </w:pPr>
            <w:r>
              <w:t>Dividend revenue</w:t>
            </w:r>
          </w:p>
        </w:tc>
        <w:tc>
          <w:tcPr>
            <w:tcW w:w="754" w:type="dxa"/>
            <w:gridSpan w:val="2"/>
          </w:tcPr>
          <w:p w14:paraId="6EBF105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1 666</w:t>
            </w:r>
          </w:p>
        </w:tc>
        <w:tc>
          <w:tcPr>
            <w:tcW w:w="754" w:type="dxa"/>
          </w:tcPr>
          <w:p w14:paraId="32E3C01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1 876</w:t>
            </w:r>
          </w:p>
        </w:tc>
        <w:tc>
          <w:tcPr>
            <w:tcW w:w="754" w:type="dxa"/>
          </w:tcPr>
          <w:p w14:paraId="664BFE7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1 824</w:t>
            </w:r>
          </w:p>
        </w:tc>
        <w:tc>
          <w:tcPr>
            <w:tcW w:w="754" w:type="dxa"/>
          </w:tcPr>
          <w:p w14:paraId="0C6D7D6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1 830</w:t>
            </w:r>
          </w:p>
        </w:tc>
        <w:tc>
          <w:tcPr>
            <w:tcW w:w="754" w:type="dxa"/>
          </w:tcPr>
          <w:p w14:paraId="5F70F3B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1 882</w:t>
            </w:r>
          </w:p>
        </w:tc>
      </w:tr>
      <w:tr w:rsidR="00964B88" w14:paraId="2E6D1B63"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3E8EC122" w14:textId="77777777" w:rsidR="00964B88" w:rsidRDefault="00964B88">
            <w:pPr>
              <w:spacing w:after="0"/>
            </w:pPr>
            <w:r>
              <w:t>Sales of goods and services</w:t>
            </w:r>
          </w:p>
        </w:tc>
        <w:tc>
          <w:tcPr>
            <w:tcW w:w="754" w:type="dxa"/>
            <w:gridSpan w:val="2"/>
          </w:tcPr>
          <w:p w14:paraId="0594181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16 199</w:t>
            </w:r>
          </w:p>
        </w:tc>
        <w:tc>
          <w:tcPr>
            <w:tcW w:w="754" w:type="dxa"/>
          </w:tcPr>
          <w:p w14:paraId="1D6DAD1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16 263</w:t>
            </w:r>
          </w:p>
        </w:tc>
        <w:tc>
          <w:tcPr>
            <w:tcW w:w="754" w:type="dxa"/>
          </w:tcPr>
          <w:p w14:paraId="1395E05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17 163</w:t>
            </w:r>
          </w:p>
        </w:tc>
        <w:tc>
          <w:tcPr>
            <w:tcW w:w="754" w:type="dxa"/>
          </w:tcPr>
          <w:p w14:paraId="77CC17A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17 519</w:t>
            </w:r>
          </w:p>
        </w:tc>
        <w:tc>
          <w:tcPr>
            <w:tcW w:w="754" w:type="dxa"/>
          </w:tcPr>
          <w:p w14:paraId="6BB5899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18 279</w:t>
            </w:r>
          </w:p>
        </w:tc>
      </w:tr>
      <w:tr w:rsidR="00964B88" w14:paraId="1616A335"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2AC0663B" w14:textId="77777777" w:rsidR="00964B88" w:rsidRDefault="00964B88">
            <w:pPr>
              <w:spacing w:after="0"/>
            </w:pPr>
            <w:r>
              <w:t>Grant revenue</w:t>
            </w:r>
          </w:p>
        </w:tc>
        <w:tc>
          <w:tcPr>
            <w:tcW w:w="754" w:type="dxa"/>
            <w:gridSpan w:val="2"/>
          </w:tcPr>
          <w:p w14:paraId="321EA0E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32 520</w:t>
            </w:r>
          </w:p>
        </w:tc>
        <w:tc>
          <w:tcPr>
            <w:tcW w:w="754" w:type="dxa"/>
          </w:tcPr>
          <w:p w14:paraId="5C10867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32 342</w:t>
            </w:r>
          </w:p>
        </w:tc>
        <w:tc>
          <w:tcPr>
            <w:tcW w:w="754" w:type="dxa"/>
          </w:tcPr>
          <w:p w14:paraId="0103E31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34 508</w:t>
            </w:r>
          </w:p>
        </w:tc>
        <w:tc>
          <w:tcPr>
            <w:tcW w:w="754" w:type="dxa"/>
          </w:tcPr>
          <w:p w14:paraId="0D2CC5D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36 555</w:t>
            </w:r>
          </w:p>
        </w:tc>
        <w:tc>
          <w:tcPr>
            <w:tcW w:w="754" w:type="dxa"/>
          </w:tcPr>
          <w:p w14:paraId="09AEE86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39 649</w:t>
            </w:r>
          </w:p>
        </w:tc>
      </w:tr>
      <w:tr w:rsidR="00964B88" w14:paraId="56B8FFF5"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7D7FD3AC" w14:textId="77777777" w:rsidR="00964B88" w:rsidRDefault="00964B88">
            <w:pPr>
              <w:spacing w:after="0"/>
            </w:pPr>
            <w:r>
              <w:t>Other revenue</w:t>
            </w:r>
          </w:p>
        </w:tc>
        <w:tc>
          <w:tcPr>
            <w:tcW w:w="754" w:type="dxa"/>
            <w:gridSpan w:val="2"/>
            <w:tcBorders>
              <w:bottom w:val="single" w:sz="6" w:space="0" w:color="auto"/>
            </w:tcBorders>
          </w:tcPr>
          <w:p w14:paraId="2BE8648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3 561</w:t>
            </w:r>
          </w:p>
        </w:tc>
        <w:tc>
          <w:tcPr>
            <w:tcW w:w="754" w:type="dxa"/>
            <w:tcBorders>
              <w:bottom w:val="single" w:sz="6" w:space="0" w:color="auto"/>
            </w:tcBorders>
          </w:tcPr>
          <w:p w14:paraId="0D64AA9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3 659</w:t>
            </w:r>
          </w:p>
        </w:tc>
        <w:tc>
          <w:tcPr>
            <w:tcW w:w="754" w:type="dxa"/>
            <w:tcBorders>
              <w:bottom w:val="single" w:sz="6" w:space="0" w:color="auto"/>
            </w:tcBorders>
          </w:tcPr>
          <w:p w14:paraId="69F0404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3 805</w:t>
            </w:r>
          </w:p>
        </w:tc>
        <w:tc>
          <w:tcPr>
            <w:tcW w:w="754" w:type="dxa"/>
            <w:tcBorders>
              <w:bottom w:val="single" w:sz="6" w:space="0" w:color="auto"/>
            </w:tcBorders>
          </w:tcPr>
          <w:p w14:paraId="40DE1E0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3 892</w:t>
            </w:r>
          </w:p>
        </w:tc>
        <w:tc>
          <w:tcPr>
            <w:tcW w:w="754" w:type="dxa"/>
            <w:tcBorders>
              <w:bottom w:val="single" w:sz="6" w:space="0" w:color="auto"/>
            </w:tcBorders>
          </w:tcPr>
          <w:p w14:paraId="243314F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4 013</w:t>
            </w:r>
          </w:p>
        </w:tc>
      </w:tr>
      <w:tr w:rsidR="00964B88" w14:paraId="3223D027"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12402FE0" w14:textId="77777777" w:rsidR="00964B88" w:rsidRDefault="00964B88">
            <w:pPr>
              <w:spacing w:after="0"/>
            </w:pPr>
            <w:r>
              <w:rPr>
                <w:b/>
              </w:rPr>
              <w:t>Total revenue from transactions</w:t>
            </w:r>
          </w:p>
        </w:tc>
        <w:tc>
          <w:tcPr>
            <w:tcW w:w="754" w:type="dxa"/>
            <w:gridSpan w:val="2"/>
            <w:tcBorders>
              <w:top w:val="single" w:sz="6" w:space="0" w:color="auto"/>
            </w:tcBorders>
          </w:tcPr>
          <w:p w14:paraId="43795DF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78 309</w:t>
            </w:r>
          </w:p>
        </w:tc>
        <w:tc>
          <w:tcPr>
            <w:tcW w:w="754" w:type="dxa"/>
            <w:tcBorders>
              <w:top w:val="single" w:sz="6" w:space="0" w:color="auto"/>
            </w:tcBorders>
          </w:tcPr>
          <w:p w14:paraId="2217CD4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78 539</w:t>
            </w:r>
          </w:p>
        </w:tc>
        <w:tc>
          <w:tcPr>
            <w:tcW w:w="754" w:type="dxa"/>
            <w:tcBorders>
              <w:top w:val="single" w:sz="6" w:space="0" w:color="auto"/>
            </w:tcBorders>
          </w:tcPr>
          <w:p w14:paraId="062A641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82 855</w:t>
            </w:r>
          </w:p>
        </w:tc>
        <w:tc>
          <w:tcPr>
            <w:tcW w:w="754" w:type="dxa"/>
            <w:tcBorders>
              <w:top w:val="single" w:sz="6" w:space="0" w:color="auto"/>
            </w:tcBorders>
          </w:tcPr>
          <w:p w14:paraId="234DF37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86 764</w:t>
            </w:r>
          </w:p>
        </w:tc>
        <w:tc>
          <w:tcPr>
            <w:tcW w:w="754" w:type="dxa"/>
            <w:tcBorders>
              <w:top w:val="single" w:sz="6" w:space="0" w:color="auto"/>
            </w:tcBorders>
          </w:tcPr>
          <w:p w14:paraId="0082B9F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92 354</w:t>
            </w:r>
          </w:p>
        </w:tc>
      </w:tr>
      <w:tr w:rsidR="00964B88" w14:paraId="6DC1233C"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22F54934" w14:textId="77777777" w:rsidR="00964B88" w:rsidRDefault="00964B88">
            <w:pPr>
              <w:spacing w:after="0"/>
            </w:pPr>
            <w:r>
              <w:rPr>
                <w:b/>
              </w:rPr>
              <w:t>Expenses from transactions</w:t>
            </w:r>
          </w:p>
        </w:tc>
        <w:tc>
          <w:tcPr>
            <w:tcW w:w="754" w:type="dxa"/>
            <w:gridSpan w:val="2"/>
          </w:tcPr>
          <w:p w14:paraId="3706177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7FBFCC1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7C05A75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7FF24AF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0D32B7C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4A794702"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25719BC0" w14:textId="77777777" w:rsidR="00964B88" w:rsidRDefault="00964B88">
            <w:pPr>
              <w:spacing w:after="0"/>
            </w:pPr>
            <w:r>
              <w:t>Employee expenses</w:t>
            </w:r>
          </w:p>
        </w:tc>
        <w:tc>
          <w:tcPr>
            <w:tcW w:w="754" w:type="dxa"/>
            <w:gridSpan w:val="2"/>
          </w:tcPr>
          <w:p w14:paraId="1270DE6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27 526</w:t>
            </w:r>
          </w:p>
        </w:tc>
        <w:tc>
          <w:tcPr>
            <w:tcW w:w="754" w:type="dxa"/>
          </w:tcPr>
          <w:p w14:paraId="0F11047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27 457</w:t>
            </w:r>
          </w:p>
        </w:tc>
        <w:tc>
          <w:tcPr>
            <w:tcW w:w="754" w:type="dxa"/>
          </w:tcPr>
          <w:p w14:paraId="1AE5040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28 915</w:t>
            </w:r>
          </w:p>
        </w:tc>
        <w:tc>
          <w:tcPr>
            <w:tcW w:w="754" w:type="dxa"/>
          </w:tcPr>
          <w:p w14:paraId="5ED930C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29 825</w:t>
            </w:r>
          </w:p>
        </w:tc>
        <w:tc>
          <w:tcPr>
            <w:tcW w:w="754" w:type="dxa"/>
          </w:tcPr>
          <w:p w14:paraId="4D30214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31 196</w:t>
            </w:r>
          </w:p>
        </w:tc>
      </w:tr>
      <w:tr w:rsidR="00964B88" w14:paraId="0D1BA676"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29A5E3A1" w14:textId="77777777" w:rsidR="00964B88" w:rsidRDefault="00964B88">
            <w:pPr>
              <w:spacing w:after="0"/>
            </w:pPr>
            <w:r>
              <w:t>Net superannuation interest expense</w:t>
            </w:r>
          </w:p>
        </w:tc>
        <w:tc>
          <w:tcPr>
            <w:tcW w:w="754" w:type="dxa"/>
            <w:gridSpan w:val="2"/>
          </w:tcPr>
          <w:p w14:paraId="5C1A716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570</w:t>
            </w:r>
          </w:p>
        </w:tc>
        <w:tc>
          <w:tcPr>
            <w:tcW w:w="754" w:type="dxa"/>
          </w:tcPr>
          <w:p w14:paraId="7D7D550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411</w:t>
            </w:r>
          </w:p>
        </w:tc>
        <w:tc>
          <w:tcPr>
            <w:tcW w:w="754" w:type="dxa"/>
          </w:tcPr>
          <w:p w14:paraId="4C34F5B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332</w:t>
            </w:r>
          </w:p>
        </w:tc>
        <w:tc>
          <w:tcPr>
            <w:tcW w:w="754" w:type="dxa"/>
          </w:tcPr>
          <w:p w14:paraId="26C3629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316</w:t>
            </w:r>
          </w:p>
        </w:tc>
        <w:tc>
          <w:tcPr>
            <w:tcW w:w="754" w:type="dxa"/>
          </w:tcPr>
          <w:p w14:paraId="30AA376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301</w:t>
            </w:r>
          </w:p>
        </w:tc>
      </w:tr>
      <w:tr w:rsidR="00964B88" w14:paraId="60FE6C22"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78CDBA01" w14:textId="77777777" w:rsidR="00964B88" w:rsidRDefault="00964B88">
            <w:pPr>
              <w:spacing w:after="0"/>
            </w:pPr>
            <w:r>
              <w:t>Other superannuation</w:t>
            </w:r>
          </w:p>
        </w:tc>
        <w:tc>
          <w:tcPr>
            <w:tcW w:w="754" w:type="dxa"/>
            <w:gridSpan w:val="2"/>
          </w:tcPr>
          <w:p w14:paraId="0765C0F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3 125</w:t>
            </w:r>
          </w:p>
        </w:tc>
        <w:tc>
          <w:tcPr>
            <w:tcW w:w="754" w:type="dxa"/>
          </w:tcPr>
          <w:p w14:paraId="65A855F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3 134</w:t>
            </w:r>
          </w:p>
        </w:tc>
        <w:tc>
          <w:tcPr>
            <w:tcW w:w="754" w:type="dxa"/>
          </w:tcPr>
          <w:p w14:paraId="05F5B75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3 219</w:t>
            </w:r>
          </w:p>
        </w:tc>
        <w:tc>
          <w:tcPr>
            <w:tcW w:w="754" w:type="dxa"/>
          </w:tcPr>
          <w:p w14:paraId="3E879F0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3 326</w:t>
            </w:r>
          </w:p>
        </w:tc>
        <w:tc>
          <w:tcPr>
            <w:tcW w:w="754" w:type="dxa"/>
          </w:tcPr>
          <w:p w14:paraId="73ECDD9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3 425</w:t>
            </w:r>
          </w:p>
        </w:tc>
      </w:tr>
      <w:tr w:rsidR="00964B88" w14:paraId="15E0644D"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1B8732B0" w14:textId="77777777" w:rsidR="00964B88" w:rsidRDefault="00964B88">
            <w:pPr>
              <w:spacing w:after="0"/>
            </w:pPr>
            <w:r>
              <w:t>Depreciation</w:t>
            </w:r>
          </w:p>
        </w:tc>
        <w:tc>
          <w:tcPr>
            <w:tcW w:w="754" w:type="dxa"/>
            <w:gridSpan w:val="2"/>
          </w:tcPr>
          <w:p w14:paraId="2CB057B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6 306</w:t>
            </w:r>
          </w:p>
        </w:tc>
        <w:tc>
          <w:tcPr>
            <w:tcW w:w="754" w:type="dxa"/>
          </w:tcPr>
          <w:p w14:paraId="0421CFC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6 345</w:t>
            </w:r>
          </w:p>
        </w:tc>
        <w:tc>
          <w:tcPr>
            <w:tcW w:w="754" w:type="dxa"/>
          </w:tcPr>
          <w:p w14:paraId="202D36B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6 896</w:t>
            </w:r>
          </w:p>
        </w:tc>
        <w:tc>
          <w:tcPr>
            <w:tcW w:w="754" w:type="dxa"/>
          </w:tcPr>
          <w:p w14:paraId="019935D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7 315</w:t>
            </w:r>
          </w:p>
        </w:tc>
        <w:tc>
          <w:tcPr>
            <w:tcW w:w="754" w:type="dxa"/>
          </w:tcPr>
          <w:p w14:paraId="6DB362C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7 797</w:t>
            </w:r>
          </w:p>
        </w:tc>
      </w:tr>
      <w:tr w:rsidR="00964B88" w14:paraId="3682DA69"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5C74A96D" w14:textId="77777777" w:rsidR="00964B88" w:rsidRDefault="00964B88">
            <w:pPr>
              <w:spacing w:after="0"/>
            </w:pPr>
            <w:r>
              <w:t>Interest expense</w:t>
            </w:r>
          </w:p>
        </w:tc>
        <w:tc>
          <w:tcPr>
            <w:tcW w:w="754" w:type="dxa"/>
            <w:gridSpan w:val="2"/>
          </w:tcPr>
          <w:p w14:paraId="0294911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3 183</w:t>
            </w:r>
          </w:p>
        </w:tc>
        <w:tc>
          <w:tcPr>
            <w:tcW w:w="754" w:type="dxa"/>
          </w:tcPr>
          <w:p w14:paraId="188E042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3 093</w:t>
            </w:r>
          </w:p>
        </w:tc>
        <w:tc>
          <w:tcPr>
            <w:tcW w:w="754" w:type="dxa"/>
          </w:tcPr>
          <w:p w14:paraId="1B432BB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3 178</w:t>
            </w:r>
          </w:p>
        </w:tc>
        <w:tc>
          <w:tcPr>
            <w:tcW w:w="754" w:type="dxa"/>
          </w:tcPr>
          <w:p w14:paraId="7AF19FA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3 340</w:t>
            </w:r>
          </w:p>
        </w:tc>
        <w:tc>
          <w:tcPr>
            <w:tcW w:w="754" w:type="dxa"/>
          </w:tcPr>
          <w:p w14:paraId="22872AD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3 484</w:t>
            </w:r>
          </w:p>
        </w:tc>
      </w:tr>
      <w:tr w:rsidR="00964B88" w14:paraId="7F4C1CFB"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5501CE5A" w14:textId="77777777" w:rsidR="00964B88" w:rsidRDefault="00964B88">
            <w:pPr>
              <w:spacing w:after="0"/>
            </w:pPr>
            <w:r>
              <w:t>Grant expense</w:t>
            </w:r>
          </w:p>
        </w:tc>
        <w:tc>
          <w:tcPr>
            <w:tcW w:w="754" w:type="dxa"/>
            <w:gridSpan w:val="2"/>
          </w:tcPr>
          <w:p w14:paraId="4156353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9 181</w:t>
            </w:r>
          </w:p>
        </w:tc>
        <w:tc>
          <w:tcPr>
            <w:tcW w:w="754" w:type="dxa"/>
          </w:tcPr>
          <w:p w14:paraId="2344C67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9 168</w:t>
            </w:r>
          </w:p>
        </w:tc>
        <w:tc>
          <w:tcPr>
            <w:tcW w:w="754" w:type="dxa"/>
          </w:tcPr>
          <w:p w14:paraId="207DA4C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11 057</w:t>
            </w:r>
          </w:p>
        </w:tc>
        <w:tc>
          <w:tcPr>
            <w:tcW w:w="754" w:type="dxa"/>
          </w:tcPr>
          <w:p w14:paraId="0F2679C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11 417</w:t>
            </w:r>
          </w:p>
        </w:tc>
        <w:tc>
          <w:tcPr>
            <w:tcW w:w="754" w:type="dxa"/>
          </w:tcPr>
          <w:p w14:paraId="521B605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11 914</w:t>
            </w:r>
          </w:p>
        </w:tc>
      </w:tr>
      <w:tr w:rsidR="00964B88" w14:paraId="5209D9C6"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2600C38B" w14:textId="77777777" w:rsidR="00964B88" w:rsidRDefault="00964B88">
            <w:pPr>
              <w:spacing w:after="0"/>
            </w:pPr>
            <w:r>
              <w:t>Other operating expenses</w:t>
            </w:r>
          </w:p>
        </w:tc>
        <w:tc>
          <w:tcPr>
            <w:tcW w:w="754" w:type="dxa"/>
            <w:gridSpan w:val="2"/>
          </w:tcPr>
          <w:p w14:paraId="065A76C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31 350</w:t>
            </w:r>
          </w:p>
        </w:tc>
        <w:tc>
          <w:tcPr>
            <w:tcW w:w="754" w:type="dxa"/>
          </w:tcPr>
          <w:p w14:paraId="578C5F0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33 095</w:t>
            </w:r>
          </w:p>
        </w:tc>
        <w:tc>
          <w:tcPr>
            <w:tcW w:w="754" w:type="dxa"/>
          </w:tcPr>
          <w:p w14:paraId="3F257C9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32 479</w:t>
            </w:r>
          </w:p>
        </w:tc>
        <w:tc>
          <w:tcPr>
            <w:tcW w:w="754" w:type="dxa"/>
          </w:tcPr>
          <w:p w14:paraId="1C2A3EF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32 025</w:t>
            </w:r>
          </w:p>
        </w:tc>
        <w:tc>
          <w:tcPr>
            <w:tcW w:w="754" w:type="dxa"/>
          </w:tcPr>
          <w:p w14:paraId="1BBD8E5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33 350</w:t>
            </w:r>
          </w:p>
        </w:tc>
      </w:tr>
      <w:tr w:rsidR="00964B88" w14:paraId="77C9DE9F"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5EF44FAE" w14:textId="77777777" w:rsidR="00964B88" w:rsidRDefault="00964B88">
            <w:pPr>
              <w:spacing w:after="0"/>
            </w:pPr>
            <w:r>
              <w:rPr>
                <w:b/>
              </w:rPr>
              <w:t>Total expenses from transactions</w:t>
            </w:r>
          </w:p>
        </w:tc>
        <w:tc>
          <w:tcPr>
            <w:tcW w:w="754" w:type="dxa"/>
            <w:gridSpan w:val="2"/>
            <w:tcBorders>
              <w:top w:val="single" w:sz="6" w:space="0" w:color="auto"/>
              <w:bottom w:val="single" w:sz="6" w:space="0" w:color="auto"/>
            </w:tcBorders>
          </w:tcPr>
          <w:p w14:paraId="5DA19C6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81 240</w:t>
            </w:r>
          </w:p>
        </w:tc>
        <w:tc>
          <w:tcPr>
            <w:tcW w:w="754" w:type="dxa"/>
            <w:tcBorders>
              <w:top w:val="single" w:sz="6" w:space="0" w:color="auto"/>
              <w:bottom w:val="single" w:sz="6" w:space="0" w:color="auto"/>
            </w:tcBorders>
          </w:tcPr>
          <w:p w14:paraId="1BF90AB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82 704</w:t>
            </w:r>
          </w:p>
        </w:tc>
        <w:tc>
          <w:tcPr>
            <w:tcW w:w="754" w:type="dxa"/>
            <w:tcBorders>
              <w:top w:val="single" w:sz="6" w:space="0" w:color="auto"/>
              <w:bottom w:val="single" w:sz="6" w:space="0" w:color="auto"/>
            </w:tcBorders>
          </w:tcPr>
          <w:p w14:paraId="3C1D8B7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86 077</w:t>
            </w:r>
          </w:p>
        </w:tc>
        <w:tc>
          <w:tcPr>
            <w:tcW w:w="754" w:type="dxa"/>
            <w:tcBorders>
              <w:top w:val="single" w:sz="6" w:space="0" w:color="auto"/>
              <w:bottom w:val="single" w:sz="6" w:space="0" w:color="auto"/>
            </w:tcBorders>
          </w:tcPr>
          <w:p w14:paraId="547B29E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87 564</w:t>
            </w:r>
          </w:p>
        </w:tc>
        <w:tc>
          <w:tcPr>
            <w:tcW w:w="754" w:type="dxa"/>
            <w:tcBorders>
              <w:top w:val="single" w:sz="6" w:space="0" w:color="auto"/>
              <w:bottom w:val="single" w:sz="6" w:space="0" w:color="auto"/>
            </w:tcBorders>
          </w:tcPr>
          <w:p w14:paraId="1403FB3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91 466</w:t>
            </w:r>
          </w:p>
        </w:tc>
      </w:tr>
      <w:tr w:rsidR="00964B88" w14:paraId="5F5C50D7"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12" w:space="0" w:color="auto"/>
            </w:tcBorders>
          </w:tcPr>
          <w:p w14:paraId="166E71F3" w14:textId="77777777" w:rsidR="00964B88" w:rsidRDefault="00964B88">
            <w:pPr>
              <w:spacing w:after="0"/>
            </w:pPr>
            <w:r>
              <w:rPr>
                <w:b/>
              </w:rPr>
              <w:t>Net result from transactions – net operating balance</w:t>
            </w:r>
          </w:p>
        </w:tc>
        <w:tc>
          <w:tcPr>
            <w:tcW w:w="754" w:type="dxa"/>
            <w:gridSpan w:val="2"/>
            <w:tcBorders>
              <w:top w:val="single" w:sz="6" w:space="0" w:color="auto"/>
              <w:bottom w:val="single" w:sz="12" w:space="0" w:color="auto"/>
            </w:tcBorders>
          </w:tcPr>
          <w:p w14:paraId="2616383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(2 932)</w:t>
            </w:r>
          </w:p>
        </w:tc>
        <w:tc>
          <w:tcPr>
            <w:tcW w:w="754" w:type="dxa"/>
            <w:tcBorders>
              <w:top w:val="single" w:sz="6" w:space="0" w:color="auto"/>
              <w:bottom w:val="single" w:sz="12" w:space="0" w:color="auto"/>
            </w:tcBorders>
          </w:tcPr>
          <w:p w14:paraId="3D78688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(4 165)</w:t>
            </w:r>
          </w:p>
        </w:tc>
        <w:tc>
          <w:tcPr>
            <w:tcW w:w="754" w:type="dxa"/>
            <w:tcBorders>
              <w:top w:val="single" w:sz="6" w:space="0" w:color="auto"/>
              <w:bottom w:val="single" w:sz="12" w:space="0" w:color="auto"/>
            </w:tcBorders>
          </w:tcPr>
          <w:p w14:paraId="4F4E0FB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(3 222)</w:t>
            </w:r>
          </w:p>
        </w:tc>
        <w:tc>
          <w:tcPr>
            <w:tcW w:w="754" w:type="dxa"/>
            <w:tcBorders>
              <w:top w:val="single" w:sz="6" w:space="0" w:color="auto"/>
              <w:bottom w:val="single" w:sz="12" w:space="0" w:color="auto"/>
            </w:tcBorders>
          </w:tcPr>
          <w:p w14:paraId="00BE3DD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(800)</w:t>
            </w:r>
          </w:p>
        </w:tc>
        <w:tc>
          <w:tcPr>
            <w:tcW w:w="754" w:type="dxa"/>
            <w:tcBorders>
              <w:top w:val="single" w:sz="6" w:space="0" w:color="auto"/>
              <w:bottom w:val="single" w:sz="12" w:space="0" w:color="auto"/>
            </w:tcBorders>
          </w:tcPr>
          <w:p w14:paraId="1D584BB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887</w:t>
            </w:r>
          </w:p>
        </w:tc>
      </w:tr>
      <w:tr w:rsidR="00964B88" w14:paraId="21CFAFC0"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0" w:space="0" w:color="auto"/>
            </w:tcBorders>
          </w:tcPr>
          <w:p w14:paraId="73962C65" w14:textId="77777777" w:rsidR="00964B88" w:rsidRDefault="00964B88">
            <w:pPr>
              <w:spacing w:after="0"/>
            </w:pPr>
            <w:r>
              <w:rPr>
                <w:b/>
              </w:rPr>
              <w:t>Other economic flows included in net result</w:t>
            </w:r>
          </w:p>
        </w:tc>
        <w:tc>
          <w:tcPr>
            <w:tcW w:w="754" w:type="dxa"/>
            <w:gridSpan w:val="2"/>
            <w:tcBorders>
              <w:top w:val="single" w:sz="0" w:space="0" w:color="auto"/>
            </w:tcBorders>
          </w:tcPr>
          <w:p w14:paraId="6332109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12B3019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784FDE8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2B19E75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1BCCFB4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34AB9539"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37962900" w14:textId="77777777" w:rsidR="00964B88" w:rsidRDefault="00964B88">
            <w:pPr>
              <w:spacing w:after="0"/>
            </w:pPr>
            <w:r>
              <w:t>Net gain/(loss) on disposal of non</w:t>
            </w:r>
            <w:r>
              <w:noBreakHyphen/>
              <w:t>financial assets</w:t>
            </w:r>
          </w:p>
        </w:tc>
        <w:tc>
          <w:tcPr>
            <w:tcW w:w="754" w:type="dxa"/>
            <w:gridSpan w:val="2"/>
          </w:tcPr>
          <w:p w14:paraId="16AFAD1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55</w:t>
            </w:r>
          </w:p>
        </w:tc>
        <w:tc>
          <w:tcPr>
            <w:tcW w:w="754" w:type="dxa"/>
          </w:tcPr>
          <w:p w14:paraId="6C8FCE6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552</w:t>
            </w:r>
          </w:p>
        </w:tc>
        <w:tc>
          <w:tcPr>
            <w:tcW w:w="754" w:type="dxa"/>
          </w:tcPr>
          <w:p w14:paraId="63EF169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28</w:t>
            </w:r>
          </w:p>
        </w:tc>
        <w:tc>
          <w:tcPr>
            <w:tcW w:w="754" w:type="dxa"/>
          </w:tcPr>
          <w:p w14:paraId="6642ADB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70</w:t>
            </w:r>
          </w:p>
        </w:tc>
        <w:tc>
          <w:tcPr>
            <w:tcW w:w="754" w:type="dxa"/>
          </w:tcPr>
          <w:p w14:paraId="27103AC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84</w:t>
            </w:r>
          </w:p>
        </w:tc>
      </w:tr>
      <w:tr w:rsidR="00964B88" w14:paraId="1744742F" w14:textId="77777777" w:rsidTr="003951F6">
        <w:tc>
          <w:tcPr>
            <w:cnfStyle w:val="001000000000" w:firstRow="0" w:lastRow="0" w:firstColumn="1" w:lastColumn="0" w:oddVBand="0" w:evenVBand="0" w:oddHBand="0" w:evenHBand="0" w:firstRowFirstColumn="0" w:firstRowLastColumn="0" w:lastRowFirstColumn="0" w:lastRowLastColumn="0"/>
            <w:tcW w:w="4140" w:type="dxa"/>
            <w:gridSpan w:val="2"/>
          </w:tcPr>
          <w:p w14:paraId="358876A3" w14:textId="77777777" w:rsidR="00964B88" w:rsidRDefault="00964B88">
            <w:pPr>
              <w:spacing w:after="0"/>
            </w:pPr>
            <w:r>
              <w:t>Net gain/(loss) on financial assets or liabilities at</w:t>
            </w:r>
            <w:r w:rsidR="003951F6">
              <w:t xml:space="preserve"> </w:t>
            </w:r>
            <w:r>
              <w:t>fair value</w:t>
            </w:r>
          </w:p>
        </w:tc>
        <w:tc>
          <w:tcPr>
            <w:tcW w:w="612" w:type="dxa"/>
          </w:tcPr>
          <w:p w14:paraId="4F3C174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565</w:t>
            </w:r>
          </w:p>
        </w:tc>
        <w:tc>
          <w:tcPr>
            <w:tcW w:w="754" w:type="dxa"/>
          </w:tcPr>
          <w:p w14:paraId="4F55738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86</w:t>
            </w:r>
          </w:p>
        </w:tc>
        <w:tc>
          <w:tcPr>
            <w:tcW w:w="754" w:type="dxa"/>
          </w:tcPr>
          <w:p w14:paraId="1C3EDEF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549</w:t>
            </w:r>
          </w:p>
        </w:tc>
        <w:tc>
          <w:tcPr>
            <w:tcW w:w="754" w:type="dxa"/>
          </w:tcPr>
          <w:p w14:paraId="32FD3F9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647</w:t>
            </w:r>
          </w:p>
        </w:tc>
        <w:tc>
          <w:tcPr>
            <w:tcW w:w="754" w:type="dxa"/>
          </w:tcPr>
          <w:p w14:paraId="387C653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669</w:t>
            </w:r>
          </w:p>
        </w:tc>
      </w:tr>
      <w:tr w:rsidR="00964B88" w14:paraId="498247C5"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3829EA32" w14:textId="77777777" w:rsidR="00964B88" w:rsidRDefault="00964B88">
            <w:pPr>
              <w:spacing w:after="0"/>
            </w:pPr>
            <w:r>
              <w:t>Other gains/(losses) from other economic flows</w:t>
            </w:r>
          </w:p>
        </w:tc>
        <w:tc>
          <w:tcPr>
            <w:tcW w:w="754" w:type="dxa"/>
            <w:gridSpan w:val="2"/>
            <w:tcBorders>
              <w:bottom w:val="single" w:sz="6" w:space="0" w:color="auto"/>
            </w:tcBorders>
          </w:tcPr>
          <w:p w14:paraId="3B0A3FB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430</w:t>
            </w:r>
          </w:p>
        </w:tc>
        <w:tc>
          <w:tcPr>
            <w:tcW w:w="754" w:type="dxa"/>
            <w:tcBorders>
              <w:bottom w:val="single" w:sz="6" w:space="0" w:color="auto"/>
            </w:tcBorders>
          </w:tcPr>
          <w:p w14:paraId="133AB76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(1 049)</w:t>
            </w:r>
          </w:p>
        </w:tc>
        <w:tc>
          <w:tcPr>
            <w:tcW w:w="754" w:type="dxa"/>
            <w:tcBorders>
              <w:bottom w:val="single" w:sz="6" w:space="0" w:color="auto"/>
            </w:tcBorders>
          </w:tcPr>
          <w:p w14:paraId="4E9BC50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523</w:t>
            </w:r>
          </w:p>
        </w:tc>
        <w:tc>
          <w:tcPr>
            <w:tcW w:w="754" w:type="dxa"/>
            <w:tcBorders>
              <w:bottom w:val="single" w:sz="6" w:space="0" w:color="auto"/>
            </w:tcBorders>
          </w:tcPr>
          <w:p w14:paraId="48E2CE7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548</w:t>
            </w:r>
          </w:p>
        </w:tc>
        <w:tc>
          <w:tcPr>
            <w:tcW w:w="754" w:type="dxa"/>
            <w:tcBorders>
              <w:bottom w:val="single" w:sz="6" w:space="0" w:color="auto"/>
            </w:tcBorders>
          </w:tcPr>
          <w:p w14:paraId="4016E5F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536</w:t>
            </w:r>
          </w:p>
        </w:tc>
      </w:tr>
      <w:tr w:rsidR="00964B88" w14:paraId="7BF8EFF3"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26082C21" w14:textId="77777777" w:rsidR="00964B88" w:rsidRDefault="00964B88">
            <w:pPr>
              <w:spacing w:after="0"/>
            </w:pPr>
            <w:r>
              <w:rPr>
                <w:b/>
              </w:rPr>
              <w:t>Total other economic flows included in net result</w:t>
            </w:r>
          </w:p>
        </w:tc>
        <w:tc>
          <w:tcPr>
            <w:tcW w:w="754" w:type="dxa"/>
            <w:gridSpan w:val="2"/>
            <w:tcBorders>
              <w:top w:val="single" w:sz="6" w:space="0" w:color="auto"/>
              <w:bottom w:val="single" w:sz="6" w:space="0" w:color="auto"/>
            </w:tcBorders>
          </w:tcPr>
          <w:p w14:paraId="2291C67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1 051</w:t>
            </w:r>
          </w:p>
        </w:tc>
        <w:tc>
          <w:tcPr>
            <w:tcW w:w="754" w:type="dxa"/>
            <w:tcBorders>
              <w:top w:val="single" w:sz="6" w:space="0" w:color="auto"/>
              <w:bottom w:val="single" w:sz="6" w:space="0" w:color="auto"/>
            </w:tcBorders>
          </w:tcPr>
          <w:p w14:paraId="4D78240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(411)</w:t>
            </w:r>
          </w:p>
        </w:tc>
        <w:tc>
          <w:tcPr>
            <w:tcW w:w="754" w:type="dxa"/>
            <w:tcBorders>
              <w:top w:val="single" w:sz="6" w:space="0" w:color="auto"/>
              <w:bottom w:val="single" w:sz="6" w:space="0" w:color="auto"/>
            </w:tcBorders>
          </w:tcPr>
          <w:p w14:paraId="150A844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1 100</w:t>
            </w:r>
          </w:p>
        </w:tc>
        <w:tc>
          <w:tcPr>
            <w:tcW w:w="754" w:type="dxa"/>
            <w:tcBorders>
              <w:top w:val="single" w:sz="6" w:space="0" w:color="auto"/>
              <w:bottom w:val="single" w:sz="6" w:space="0" w:color="auto"/>
            </w:tcBorders>
          </w:tcPr>
          <w:p w14:paraId="4F821F1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1 264</w:t>
            </w:r>
          </w:p>
        </w:tc>
        <w:tc>
          <w:tcPr>
            <w:tcW w:w="754" w:type="dxa"/>
            <w:tcBorders>
              <w:top w:val="single" w:sz="6" w:space="0" w:color="auto"/>
              <w:bottom w:val="single" w:sz="6" w:space="0" w:color="auto"/>
            </w:tcBorders>
          </w:tcPr>
          <w:p w14:paraId="4DEF9A2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1 289</w:t>
            </w:r>
          </w:p>
        </w:tc>
      </w:tr>
      <w:tr w:rsidR="00964B88" w14:paraId="16495443"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12" w:space="0" w:color="auto"/>
            </w:tcBorders>
          </w:tcPr>
          <w:p w14:paraId="181A492C" w14:textId="77777777" w:rsidR="00964B88" w:rsidRDefault="00964B88">
            <w:pPr>
              <w:spacing w:after="0"/>
            </w:pPr>
            <w:r>
              <w:rPr>
                <w:b/>
              </w:rPr>
              <w:t>Net result</w:t>
            </w:r>
          </w:p>
        </w:tc>
        <w:tc>
          <w:tcPr>
            <w:tcW w:w="754" w:type="dxa"/>
            <w:gridSpan w:val="2"/>
            <w:tcBorders>
              <w:top w:val="single" w:sz="6" w:space="0" w:color="auto"/>
              <w:bottom w:val="single" w:sz="12" w:space="0" w:color="auto"/>
            </w:tcBorders>
          </w:tcPr>
          <w:p w14:paraId="4375D54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(1 881)</w:t>
            </w:r>
          </w:p>
        </w:tc>
        <w:tc>
          <w:tcPr>
            <w:tcW w:w="754" w:type="dxa"/>
            <w:tcBorders>
              <w:top w:val="single" w:sz="6" w:space="0" w:color="auto"/>
              <w:bottom w:val="single" w:sz="12" w:space="0" w:color="auto"/>
            </w:tcBorders>
          </w:tcPr>
          <w:p w14:paraId="1A83084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(4 576)</w:t>
            </w:r>
          </w:p>
        </w:tc>
        <w:tc>
          <w:tcPr>
            <w:tcW w:w="754" w:type="dxa"/>
            <w:tcBorders>
              <w:top w:val="single" w:sz="6" w:space="0" w:color="auto"/>
              <w:bottom w:val="single" w:sz="12" w:space="0" w:color="auto"/>
            </w:tcBorders>
          </w:tcPr>
          <w:p w14:paraId="2FE0D08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(2 122)</w:t>
            </w:r>
          </w:p>
        </w:tc>
        <w:tc>
          <w:tcPr>
            <w:tcW w:w="754" w:type="dxa"/>
            <w:tcBorders>
              <w:top w:val="single" w:sz="6" w:space="0" w:color="auto"/>
              <w:bottom w:val="single" w:sz="12" w:space="0" w:color="auto"/>
            </w:tcBorders>
          </w:tcPr>
          <w:p w14:paraId="5EAC8AE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465</w:t>
            </w:r>
          </w:p>
        </w:tc>
        <w:tc>
          <w:tcPr>
            <w:tcW w:w="754" w:type="dxa"/>
            <w:tcBorders>
              <w:top w:val="single" w:sz="6" w:space="0" w:color="auto"/>
              <w:bottom w:val="single" w:sz="12" w:space="0" w:color="auto"/>
            </w:tcBorders>
          </w:tcPr>
          <w:p w14:paraId="1C58D0A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2 176</w:t>
            </w:r>
          </w:p>
        </w:tc>
      </w:tr>
      <w:tr w:rsidR="00964B88" w14:paraId="6098DE0F"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0" w:space="0" w:color="auto"/>
            </w:tcBorders>
          </w:tcPr>
          <w:p w14:paraId="16324DA8" w14:textId="77777777" w:rsidR="00964B88" w:rsidRDefault="00964B88">
            <w:pPr>
              <w:spacing w:after="0"/>
            </w:pPr>
            <w:r>
              <w:rPr>
                <w:b/>
              </w:rPr>
              <w:t>Other economic flows – other comprehensive income</w:t>
            </w:r>
          </w:p>
        </w:tc>
        <w:tc>
          <w:tcPr>
            <w:tcW w:w="754" w:type="dxa"/>
            <w:gridSpan w:val="2"/>
            <w:tcBorders>
              <w:top w:val="single" w:sz="0" w:space="0" w:color="auto"/>
            </w:tcBorders>
          </w:tcPr>
          <w:p w14:paraId="22D9EC2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1D45E1B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1CF04CB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49BC0DA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4E63AAB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6C863180"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638BCC66" w14:textId="77777777" w:rsidR="00964B88" w:rsidRDefault="00964B88">
            <w:pPr>
              <w:spacing w:after="0"/>
            </w:pPr>
            <w:r>
              <w:rPr>
                <w:b/>
              </w:rPr>
              <w:t>Items that will not be reclassified to net result</w:t>
            </w:r>
          </w:p>
        </w:tc>
        <w:tc>
          <w:tcPr>
            <w:tcW w:w="754" w:type="dxa"/>
            <w:gridSpan w:val="2"/>
          </w:tcPr>
          <w:p w14:paraId="052D54E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371FC2D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58829B8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259579B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726A212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3001A694"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7325EA04" w14:textId="77777777" w:rsidR="00964B88" w:rsidRDefault="00964B88">
            <w:pPr>
              <w:spacing w:after="0"/>
            </w:pPr>
            <w:r>
              <w:t>Changes in non</w:t>
            </w:r>
            <w:r>
              <w:noBreakHyphen/>
              <w:t>financial assets revaluation surplus</w:t>
            </w:r>
          </w:p>
        </w:tc>
        <w:tc>
          <w:tcPr>
            <w:tcW w:w="754" w:type="dxa"/>
            <w:gridSpan w:val="2"/>
          </w:tcPr>
          <w:p w14:paraId="108F98A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4 671</w:t>
            </w:r>
          </w:p>
        </w:tc>
        <w:tc>
          <w:tcPr>
            <w:tcW w:w="754" w:type="dxa"/>
          </w:tcPr>
          <w:p w14:paraId="6FE052F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4 467</w:t>
            </w:r>
          </w:p>
        </w:tc>
        <w:tc>
          <w:tcPr>
            <w:tcW w:w="754" w:type="dxa"/>
          </w:tcPr>
          <w:p w14:paraId="0BDB200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6 735</w:t>
            </w:r>
          </w:p>
        </w:tc>
        <w:tc>
          <w:tcPr>
            <w:tcW w:w="754" w:type="dxa"/>
          </w:tcPr>
          <w:p w14:paraId="706867C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3 736</w:t>
            </w:r>
          </w:p>
        </w:tc>
        <w:tc>
          <w:tcPr>
            <w:tcW w:w="754" w:type="dxa"/>
          </w:tcPr>
          <w:p w14:paraId="7063640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4 804</w:t>
            </w:r>
          </w:p>
        </w:tc>
      </w:tr>
      <w:tr w:rsidR="00964B88" w14:paraId="5F2114A7" w14:textId="77777777" w:rsidTr="003951F6">
        <w:tc>
          <w:tcPr>
            <w:cnfStyle w:val="001000000000" w:firstRow="0" w:lastRow="0" w:firstColumn="1" w:lastColumn="0" w:oddVBand="0" w:evenVBand="0" w:oddHBand="0" w:evenHBand="0" w:firstRowFirstColumn="0" w:firstRowLastColumn="0" w:lastRowFirstColumn="0" w:lastRowLastColumn="0"/>
            <w:tcW w:w="4140" w:type="dxa"/>
            <w:gridSpan w:val="2"/>
          </w:tcPr>
          <w:p w14:paraId="4A60589A" w14:textId="77777777" w:rsidR="00964B88" w:rsidRDefault="00964B88">
            <w:pPr>
              <w:spacing w:after="0"/>
            </w:pPr>
            <w:r>
              <w:t>Remeasurement of superannuation defined benefit plans</w:t>
            </w:r>
          </w:p>
        </w:tc>
        <w:tc>
          <w:tcPr>
            <w:tcW w:w="612" w:type="dxa"/>
          </w:tcPr>
          <w:p w14:paraId="6D33E7C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1 109</w:t>
            </w:r>
          </w:p>
        </w:tc>
        <w:tc>
          <w:tcPr>
            <w:tcW w:w="754" w:type="dxa"/>
          </w:tcPr>
          <w:p w14:paraId="7B50BE3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56</w:t>
            </w:r>
          </w:p>
        </w:tc>
        <w:tc>
          <w:tcPr>
            <w:tcW w:w="754" w:type="dxa"/>
          </w:tcPr>
          <w:p w14:paraId="639D87D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1 424</w:t>
            </w:r>
          </w:p>
        </w:tc>
        <w:tc>
          <w:tcPr>
            <w:tcW w:w="754" w:type="dxa"/>
          </w:tcPr>
          <w:p w14:paraId="2D7015F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1 454</w:t>
            </w:r>
          </w:p>
        </w:tc>
        <w:tc>
          <w:tcPr>
            <w:tcW w:w="754" w:type="dxa"/>
          </w:tcPr>
          <w:p w14:paraId="4006C78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1 481</w:t>
            </w:r>
          </w:p>
        </w:tc>
      </w:tr>
      <w:tr w:rsidR="00964B88" w14:paraId="2410040B"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1322349F" w14:textId="77777777" w:rsidR="00964B88" w:rsidRDefault="00964B88">
            <w:pPr>
              <w:spacing w:after="0"/>
            </w:pPr>
            <w:r>
              <w:t>Other movements in equity</w:t>
            </w:r>
          </w:p>
        </w:tc>
        <w:tc>
          <w:tcPr>
            <w:tcW w:w="754" w:type="dxa"/>
            <w:gridSpan w:val="2"/>
          </w:tcPr>
          <w:p w14:paraId="2249651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(84)</w:t>
            </w:r>
          </w:p>
        </w:tc>
        <w:tc>
          <w:tcPr>
            <w:tcW w:w="754" w:type="dxa"/>
          </w:tcPr>
          <w:p w14:paraId="74B81F6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(13)</w:t>
            </w:r>
          </w:p>
        </w:tc>
        <w:tc>
          <w:tcPr>
            <w:tcW w:w="754" w:type="dxa"/>
          </w:tcPr>
          <w:p w14:paraId="569ADDB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w:t>
            </w:r>
          </w:p>
        </w:tc>
        <w:tc>
          <w:tcPr>
            <w:tcW w:w="754" w:type="dxa"/>
          </w:tcPr>
          <w:p w14:paraId="0E394B3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12</w:t>
            </w:r>
          </w:p>
        </w:tc>
        <w:tc>
          <w:tcPr>
            <w:tcW w:w="754" w:type="dxa"/>
          </w:tcPr>
          <w:p w14:paraId="47084A1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12</w:t>
            </w:r>
          </w:p>
        </w:tc>
      </w:tr>
      <w:tr w:rsidR="00964B88" w14:paraId="6A32380B" w14:textId="77777777" w:rsidTr="003951F6">
        <w:tc>
          <w:tcPr>
            <w:cnfStyle w:val="001000000000" w:firstRow="0" w:lastRow="0" w:firstColumn="1" w:lastColumn="0" w:oddVBand="0" w:evenVBand="0" w:oddHBand="0" w:evenHBand="0" w:firstRowFirstColumn="0" w:firstRowLastColumn="0" w:lastRowFirstColumn="0" w:lastRowLastColumn="0"/>
            <w:tcW w:w="4140" w:type="dxa"/>
            <w:gridSpan w:val="2"/>
          </w:tcPr>
          <w:p w14:paraId="1577D4BE" w14:textId="77777777" w:rsidR="00964B88" w:rsidRDefault="00964B88">
            <w:pPr>
              <w:spacing w:after="0"/>
            </w:pPr>
            <w:r>
              <w:rPr>
                <w:b/>
              </w:rPr>
              <w:t>Items that may be reclassified subsequently to</w:t>
            </w:r>
            <w:r w:rsidR="003951F6">
              <w:rPr>
                <w:b/>
              </w:rPr>
              <w:t xml:space="preserve"> </w:t>
            </w:r>
            <w:r>
              <w:rPr>
                <w:b/>
              </w:rPr>
              <w:t>net result</w:t>
            </w:r>
          </w:p>
        </w:tc>
        <w:tc>
          <w:tcPr>
            <w:tcW w:w="612" w:type="dxa"/>
          </w:tcPr>
          <w:p w14:paraId="3129401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168C554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20B02AA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2160584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082763F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67CA9704"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239CE4E0" w14:textId="77777777" w:rsidR="00964B88" w:rsidRDefault="00964B88">
            <w:pPr>
              <w:spacing w:after="0"/>
            </w:pPr>
            <w:r>
              <w:t>Net gain/(loss) on financial assets at fair value</w:t>
            </w:r>
          </w:p>
        </w:tc>
        <w:tc>
          <w:tcPr>
            <w:tcW w:w="754" w:type="dxa"/>
            <w:gridSpan w:val="2"/>
          </w:tcPr>
          <w:p w14:paraId="550527E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16</w:t>
            </w:r>
          </w:p>
        </w:tc>
        <w:tc>
          <w:tcPr>
            <w:tcW w:w="754" w:type="dxa"/>
          </w:tcPr>
          <w:p w14:paraId="41D8FAD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w:t>
            </w:r>
          </w:p>
        </w:tc>
        <w:tc>
          <w:tcPr>
            <w:tcW w:w="754" w:type="dxa"/>
          </w:tcPr>
          <w:p w14:paraId="3C1D261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w:t>
            </w:r>
          </w:p>
        </w:tc>
        <w:tc>
          <w:tcPr>
            <w:tcW w:w="754" w:type="dxa"/>
          </w:tcPr>
          <w:p w14:paraId="454A009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w:t>
            </w:r>
          </w:p>
        </w:tc>
        <w:tc>
          <w:tcPr>
            <w:tcW w:w="754" w:type="dxa"/>
          </w:tcPr>
          <w:p w14:paraId="430667D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3</w:t>
            </w:r>
          </w:p>
        </w:tc>
      </w:tr>
      <w:tr w:rsidR="00964B88" w14:paraId="1E6A2C93"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62107494" w14:textId="77777777" w:rsidR="00964B88" w:rsidRDefault="00964B88">
            <w:pPr>
              <w:spacing w:after="0"/>
            </w:pPr>
            <w:r>
              <w:rPr>
                <w:b/>
              </w:rPr>
              <w:t>Total other economic flows –</w:t>
            </w:r>
            <w:r w:rsidR="003951F6">
              <w:rPr>
                <w:b/>
              </w:rPr>
              <w:t xml:space="preserve"> </w:t>
            </w:r>
            <w:r>
              <w:rPr>
                <w:b/>
              </w:rPr>
              <w:t>other comprehensive income</w:t>
            </w:r>
          </w:p>
        </w:tc>
        <w:tc>
          <w:tcPr>
            <w:tcW w:w="754" w:type="dxa"/>
            <w:gridSpan w:val="2"/>
            <w:tcBorders>
              <w:top w:val="single" w:sz="6" w:space="0" w:color="auto"/>
              <w:bottom w:val="single" w:sz="6" w:space="0" w:color="auto"/>
            </w:tcBorders>
          </w:tcPr>
          <w:p w14:paraId="2C5542D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5 712</w:t>
            </w:r>
          </w:p>
        </w:tc>
        <w:tc>
          <w:tcPr>
            <w:tcW w:w="754" w:type="dxa"/>
            <w:tcBorders>
              <w:top w:val="single" w:sz="6" w:space="0" w:color="auto"/>
              <w:bottom w:val="single" w:sz="6" w:space="0" w:color="auto"/>
            </w:tcBorders>
          </w:tcPr>
          <w:p w14:paraId="5DF1C2E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4 513</w:t>
            </w:r>
          </w:p>
        </w:tc>
        <w:tc>
          <w:tcPr>
            <w:tcW w:w="754" w:type="dxa"/>
            <w:tcBorders>
              <w:top w:val="single" w:sz="6" w:space="0" w:color="auto"/>
              <w:bottom w:val="single" w:sz="6" w:space="0" w:color="auto"/>
            </w:tcBorders>
          </w:tcPr>
          <w:p w14:paraId="1ECE72A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8 162</w:t>
            </w:r>
          </w:p>
        </w:tc>
        <w:tc>
          <w:tcPr>
            <w:tcW w:w="754" w:type="dxa"/>
            <w:tcBorders>
              <w:top w:val="single" w:sz="6" w:space="0" w:color="auto"/>
              <w:bottom w:val="single" w:sz="6" w:space="0" w:color="auto"/>
            </w:tcBorders>
          </w:tcPr>
          <w:p w14:paraId="71124C7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5 204</w:t>
            </w:r>
          </w:p>
        </w:tc>
        <w:tc>
          <w:tcPr>
            <w:tcW w:w="754" w:type="dxa"/>
            <w:tcBorders>
              <w:top w:val="single" w:sz="6" w:space="0" w:color="auto"/>
              <w:bottom w:val="single" w:sz="6" w:space="0" w:color="auto"/>
            </w:tcBorders>
          </w:tcPr>
          <w:p w14:paraId="660D11A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6 299</w:t>
            </w:r>
          </w:p>
        </w:tc>
      </w:tr>
      <w:tr w:rsidR="00964B88" w14:paraId="3F119BEA"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12" w:space="0" w:color="auto"/>
            </w:tcBorders>
          </w:tcPr>
          <w:p w14:paraId="6A3CCA22" w14:textId="77777777" w:rsidR="00964B88" w:rsidRDefault="00964B88">
            <w:pPr>
              <w:spacing w:after="0"/>
            </w:pPr>
            <w:r>
              <w:rPr>
                <w:b/>
              </w:rPr>
              <w:t>Comprehensive result – total change in net worth</w:t>
            </w:r>
          </w:p>
        </w:tc>
        <w:tc>
          <w:tcPr>
            <w:tcW w:w="754" w:type="dxa"/>
            <w:gridSpan w:val="2"/>
            <w:tcBorders>
              <w:top w:val="single" w:sz="6" w:space="0" w:color="auto"/>
              <w:bottom w:val="single" w:sz="12" w:space="0" w:color="auto"/>
            </w:tcBorders>
          </w:tcPr>
          <w:p w14:paraId="3923662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3 831</w:t>
            </w:r>
          </w:p>
        </w:tc>
        <w:tc>
          <w:tcPr>
            <w:tcW w:w="754" w:type="dxa"/>
            <w:tcBorders>
              <w:top w:val="single" w:sz="6" w:space="0" w:color="auto"/>
              <w:bottom w:val="single" w:sz="12" w:space="0" w:color="auto"/>
            </w:tcBorders>
          </w:tcPr>
          <w:p w14:paraId="1E138E7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(63)</w:t>
            </w:r>
          </w:p>
        </w:tc>
        <w:tc>
          <w:tcPr>
            <w:tcW w:w="754" w:type="dxa"/>
            <w:tcBorders>
              <w:top w:val="single" w:sz="6" w:space="0" w:color="auto"/>
              <w:bottom w:val="single" w:sz="12" w:space="0" w:color="auto"/>
            </w:tcBorders>
          </w:tcPr>
          <w:p w14:paraId="6F4C1A1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6 040</w:t>
            </w:r>
          </w:p>
        </w:tc>
        <w:tc>
          <w:tcPr>
            <w:tcW w:w="754" w:type="dxa"/>
            <w:tcBorders>
              <w:top w:val="single" w:sz="6" w:space="0" w:color="auto"/>
              <w:bottom w:val="single" w:sz="12" w:space="0" w:color="auto"/>
            </w:tcBorders>
          </w:tcPr>
          <w:p w14:paraId="5592593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5 669</w:t>
            </w:r>
          </w:p>
        </w:tc>
        <w:tc>
          <w:tcPr>
            <w:tcW w:w="754" w:type="dxa"/>
            <w:tcBorders>
              <w:top w:val="single" w:sz="6" w:space="0" w:color="auto"/>
              <w:bottom w:val="single" w:sz="12" w:space="0" w:color="auto"/>
            </w:tcBorders>
          </w:tcPr>
          <w:p w14:paraId="6A75AA4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8 475</w:t>
            </w:r>
          </w:p>
        </w:tc>
      </w:tr>
      <w:tr w:rsidR="00964B88" w14:paraId="424776B7" w14:textId="77777777" w:rsidTr="003951F6">
        <w:trPr>
          <w:trHeight w:hRule="exact" w:val="113"/>
        </w:trPr>
        <w:tc>
          <w:tcPr>
            <w:cnfStyle w:val="001000000000" w:firstRow="0" w:lastRow="0" w:firstColumn="1" w:lastColumn="0" w:oddVBand="0" w:evenVBand="0" w:oddHBand="0" w:evenHBand="0" w:firstRowFirstColumn="0" w:firstRowLastColumn="0" w:lastRowFirstColumn="0" w:lastRowLastColumn="0"/>
            <w:tcW w:w="3998" w:type="dxa"/>
            <w:tcBorders>
              <w:top w:val="single" w:sz="0" w:space="0" w:color="auto"/>
            </w:tcBorders>
          </w:tcPr>
          <w:p w14:paraId="2197361A" w14:textId="77777777" w:rsidR="00964B88" w:rsidRDefault="00964B88">
            <w:pPr>
              <w:spacing w:after="0"/>
            </w:pPr>
          </w:p>
        </w:tc>
        <w:tc>
          <w:tcPr>
            <w:tcW w:w="754" w:type="dxa"/>
            <w:gridSpan w:val="2"/>
            <w:tcBorders>
              <w:top w:val="single" w:sz="0" w:space="0" w:color="auto"/>
            </w:tcBorders>
          </w:tcPr>
          <w:p w14:paraId="410351F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376C7EB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58463AB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1946C76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Borders>
              <w:top w:val="single" w:sz="0" w:space="0" w:color="auto"/>
            </w:tcBorders>
          </w:tcPr>
          <w:p w14:paraId="4B5CCD9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46EE2503"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4AA21D0D" w14:textId="77777777" w:rsidR="00964B88" w:rsidRDefault="00964B88">
            <w:pPr>
              <w:spacing w:after="0"/>
            </w:pPr>
            <w:r>
              <w:rPr>
                <w:b/>
              </w:rPr>
              <w:t>KEY FISCAL AGGREGATES</w:t>
            </w:r>
          </w:p>
        </w:tc>
        <w:tc>
          <w:tcPr>
            <w:tcW w:w="754" w:type="dxa"/>
            <w:gridSpan w:val="2"/>
          </w:tcPr>
          <w:p w14:paraId="48415C0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0E737BD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7F639D8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2B9F58D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c>
          <w:tcPr>
            <w:tcW w:w="754" w:type="dxa"/>
          </w:tcPr>
          <w:p w14:paraId="1B20732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p>
        </w:tc>
      </w:tr>
      <w:tr w:rsidR="00964B88" w14:paraId="42C0558D"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390EC460" w14:textId="77777777" w:rsidR="00964B88" w:rsidRDefault="00964B88">
            <w:pPr>
              <w:spacing w:after="0"/>
            </w:pPr>
            <w:r>
              <w:rPr>
                <w:b/>
              </w:rPr>
              <w:t>Net operating balance</w:t>
            </w:r>
          </w:p>
        </w:tc>
        <w:tc>
          <w:tcPr>
            <w:tcW w:w="754" w:type="dxa"/>
            <w:gridSpan w:val="2"/>
          </w:tcPr>
          <w:p w14:paraId="06905A0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(2 932)</w:t>
            </w:r>
          </w:p>
        </w:tc>
        <w:tc>
          <w:tcPr>
            <w:tcW w:w="754" w:type="dxa"/>
          </w:tcPr>
          <w:p w14:paraId="6AD9F55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(4 165)</w:t>
            </w:r>
          </w:p>
        </w:tc>
        <w:tc>
          <w:tcPr>
            <w:tcW w:w="754" w:type="dxa"/>
          </w:tcPr>
          <w:p w14:paraId="46A5D2B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(3 222)</w:t>
            </w:r>
          </w:p>
        </w:tc>
        <w:tc>
          <w:tcPr>
            <w:tcW w:w="754" w:type="dxa"/>
          </w:tcPr>
          <w:p w14:paraId="629079E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(800)</w:t>
            </w:r>
          </w:p>
        </w:tc>
        <w:tc>
          <w:tcPr>
            <w:tcW w:w="754" w:type="dxa"/>
          </w:tcPr>
          <w:p w14:paraId="5BA0CC0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rPr>
                <w:b/>
              </w:rPr>
              <w:t>887</w:t>
            </w:r>
          </w:p>
        </w:tc>
      </w:tr>
      <w:tr w:rsidR="00964B88" w14:paraId="6F1C324D"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679EEBB8" w14:textId="77777777" w:rsidR="00964B88" w:rsidRDefault="00964B88">
            <w:pPr>
              <w:spacing w:after="0"/>
            </w:pPr>
            <w:r>
              <w:t>Less: Net acquisition of non</w:t>
            </w:r>
            <w:r>
              <w:noBreakHyphen/>
              <w:t>financial assets from transactions</w:t>
            </w:r>
          </w:p>
        </w:tc>
        <w:tc>
          <w:tcPr>
            <w:tcW w:w="754" w:type="dxa"/>
            <w:gridSpan w:val="2"/>
            <w:tcBorders>
              <w:bottom w:val="single" w:sz="6" w:space="0" w:color="auto"/>
            </w:tcBorders>
          </w:tcPr>
          <w:p w14:paraId="56C5E87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10 724</w:t>
            </w:r>
          </w:p>
        </w:tc>
        <w:tc>
          <w:tcPr>
            <w:tcW w:w="754" w:type="dxa"/>
            <w:tcBorders>
              <w:bottom w:val="single" w:sz="6" w:space="0" w:color="auto"/>
            </w:tcBorders>
          </w:tcPr>
          <w:p w14:paraId="0173989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12 595</w:t>
            </w:r>
          </w:p>
        </w:tc>
        <w:tc>
          <w:tcPr>
            <w:tcW w:w="754" w:type="dxa"/>
            <w:tcBorders>
              <w:bottom w:val="single" w:sz="6" w:space="0" w:color="auto"/>
            </w:tcBorders>
          </w:tcPr>
          <w:p w14:paraId="4AB1824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10 500</w:t>
            </w:r>
          </w:p>
        </w:tc>
        <w:tc>
          <w:tcPr>
            <w:tcW w:w="754" w:type="dxa"/>
            <w:tcBorders>
              <w:bottom w:val="single" w:sz="6" w:space="0" w:color="auto"/>
            </w:tcBorders>
          </w:tcPr>
          <w:p w14:paraId="16E03BE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7 744</w:t>
            </w:r>
          </w:p>
        </w:tc>
        <w:tc>
          <w:tcPr>
            <w:tcW w:w="754" w:type="dxa"/>
            <w:tcBorders>
              <w:bottom w:val="single" w:sz="6" w:space="0" w:color="auto"/>
            </w:tcBorders>
          </w:tcPr>
          <w:p w14:paraId="33661AB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pPr>
            <w:r>
              <w:t>7 264</w:t>
            </w:r>
          </w:p>
        </w:tc>
      </w:tr>
      <w:tr w:rsidR="00964B88" w14:paraId="3F2C6F2A" w14:textId="77777777" w:rsidTr="003951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8" w:type="dxa"/>
          </w:tcPr>
          <w:p w14:paraId="27C2A0EC" w14:textId="77777777" w:rsidR="00964B88" w:rsidRDefault="00964B88">
            <w:pPr>
              <w:spacing w:after="0"/>
            </w:pPr>
            <w:r>
              <w:t>Net lending/(borrowing)</w:t>
            </w:r>
          </w:p>
        </w:tc>
        <w:tc>
          <w:tcPr>
            <w:tcW w:w="754" w:type="dxa"/>
            <w:gridSpan w:val="2"/>
          </w:tcPr>
          <w:p w14:paraId="70A43567"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(13 655)</w:t>
            </w:r>
          </w:p>
        </w:tc>
        <w:tc>
          <w:tcPr>
            <w:tcW w:w="754" w:type="dxa"/>
          </w:tcPr>
          <w:p w14:paraId="66A1AF0B"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(16 760)</w:t>
            </w:r>
          </w:p>
        </w:tc>
        <w:tc>
          <w:tcPr>
            <w:tcW w:w="754" w:type="dxa"/>
          </w:tcPr>
          <w:p w14:paraId="63C5384C"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(13 721)</w:t>
            </w:r>
          </w:p>
        </w:tc>
        <w:tc>
          <w:tcPr>
            <w:tcW w:w="754" w:type="dxa"/>
          </w:tcPr>
          <w:p w14:paraId="200DACC1"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(8 544)</w:t>
            </w:r>
          </w:p>
        </w:tc>
        <w:tc>
          <w:tcPr>
            <w:tcW w:w="754" w:type="dxa"/>
          </w:tcPr>
          <w:p w14:paraId="47A9263B"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pPr>
            <w:r>
              <w:t>(6 376)</w:t>
            </w:r>
          </w:p>
        </w:tc>
      </w:tr>
    </w:tbl>
    <w:p w14:paraId="26B16DE9" w14:textId="77777777" w:rsidR="00964B88" w:rsidRDefault="00964B88">
      <w:pPr>
        <w:keepLines w:val="0"/>
        <w:rPr>
          <w:rFonts w:asciiTheme="majorHAnsi" w:hAnsiTheme="majorHAnsi"/>
          <w:b/>
          <w:sz w:val="20"/>
          <w:szCs w:val="20"/>
        </w:rPr>
      </w:pPr>
      <w:r>
        <w:br w:type="page"/>
      </w:r>
    </w:p>
    <w:p w14:paraId="7FD23A57" w14:textId="77777777" w:rsidR="00964B88" w:rsidRDefault="00964B88" w:rsidP="00F53820">
      <w:pPr>
        <w:pStyle w:val="TableHeading"/>
      </w:pPr>
      <w:r>
        <w:lastRenderedPageBreak/>
        <w:t>Table 5.17</w:t>
      </w:r>
      <w:r w:rsidR="009C1504">
        <w:t>:</w:t>
      </w:r>
      <w:r>
        <w:tab/>
        <w:t>State of Victoria balance sheet as at 30 June</w:t>
      </w:r>
      <w:r>
        <w:tab/>
        <w:t>($ million)</w:t>
      </w:r>
    </w:p>
    <w:tbl>
      <w:tblPr>
        <w:tblStyle w:val="DTFTable"/>
        <w:tblW w:w="7768" w:type="dxa"/>
        <w:tblLayout w:type="fixed"/>
        <w:tblLook w:val="06A0" w:firstRow="1" w:lastRow="0" w:firstColumn="1" w:lastColumn="0" w:noHBand="1" w:noVBand="1"/>
      </w:tblPr>
      <w:tblGrid>
        <w:gridCol w:w="3857"/>
        <w:gridCol w:w="782"/>
        <w:gridCol w:w="782"/>
        <w:gridCol w:w="782"/>
        <w:gridCol w:w="782"/>
        <w:gridCol w:w="783"/>
      </w:tblGrid>
      <w:tr w:rsidR="00964B88" w14:paraId="21743EA2" w14:textId="77777777" w:rsidTr="003951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57" w:type="dxa"/>
          </w:tcPr>
          <w:p w14:paraId="3F150C5F" w14:textId="77777777" w:rsidR="00964B88" w:rsidRDefault="00964B88"/>
        </w:tc>
        <w:tc>
          <w:tcPr>
            <w:tcW w:w="782" w:type="dxa"/>
          </w:tcPr>
          <w:p w14:paraId="2588809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budget</w:t>
            </w:r>
            <w:r>
              <w:rPr>
                <w:vertAlign w:val="superscript"/>
              </w:rPr>
              <w:t xml:space="preserve"> (a)</w:t>
            </w:r>
          </w:p>
        </w:tc>
        <w:tc>
          <w:tcPr>
            <w:tcW w:w="782" w:type="dxa"/>
          </w:tcPr>
          <w:p w14:paraId="00B9DFCD"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br/>
              <w:t>revised</w:t>
            </w:r>
          </w:p>
        </w:tc>
        <w:tc>
          <w:tcPr>
            <w:tcW w:w="782" w:type="dxa"/>
          </w:tcPr>
          <w:p w14:paraId="75CB5EC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br/>
              <w:t>estimate</w:t>
            </w:r>
          </w:p>
        </w:tc>
        <w:tc>
          <w:tcPr>
            <w:tcW w:w="782" w:type="dxa"/>
          </w:tcPr>
          <w:p w14:paraId="15FF4DE3"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br/>
              <w:t>estimate</w:t>
            </w:r>
          </w:p>
        </w:tc>
        <w:tc>
          <w:tcPr>
            <w:tcW w:w="783" w:type="dxa"/>
          </w:tcPr>
          <w:p w14:paraId="7E5BC3D2" w14:textId="77777777" w:rsidR="00964B88" w:rsidRDefault="00964B88">
            <w:pPr>
              <w:cnfStyle w:val="100000000000" w:firstRow="1" w:lastRow="0" w:firstColumn="0" w:lastColumn="0" w:oddVBand="0" w:evenVBand="0" w:oddHBand="0" w:evenHBand="0" w:firstRowFirstColumn="0" w:firstRowLastColumn="0" w:lastRowFirstColumn="0" w:lastRowLastColumn="0"/>
            </w:pPr>
            <w:r>
              <w:t>2023</w:t>
            </w:r>
            <w:r>
              <w:br/>
              <w:t>estimate</w:t>
            </w:r>
          </w:p>
        </w:tc>
      </w:tr>
      <w:tr w:rsidR="00964B88" w14:paraId="6767F939"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0393A3B3" w14:textId="77777777" w:rsidR="00964B88" w:rsidRDefault="00964B88">
            <w:r>
              <w:rPr>
                <w:b/>
              </w:rPr>
              <w:t>Assets</w:t>
            </w:r>
          </w:p>
        </w:tc>
        <w:tc>
          <w:tcPr>
            <w:tcW w:w="782" w:type="dxa"/>
          </w:tcPr>
          <w:p w14:paraId="51FBAB2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3EE18F3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6E403CF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316EF57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Pr>
          <w:p w14:paraId="08CACEB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73698FE0"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1AD0DDE5" w14:textId="77777777" w:rsidR="00964B88" w:rsidRDefault="00964B88">
            <w:r>
              <w:rPr>
                <w:b/>
              </w:rPr>
              <w:t>Financial assets</w:t>
            </w:r>
          </w:p>
        </w:tc>
        <w:tc>
          <w:tcPr>
            <w:tcW w:w="782" w:type="dxa"/>
          </w:tcPr>
          <w:p w14:paraId="59DD5A0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1BD3B57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23E5071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244E096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Pr>
          <w:p w14:paraId="60CB543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5099C481"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33C1676E" w14:textId="77777777" w:rsidR="00964B88" w:rsidRDefault="00964B88">
            <w:r>
              <w:t>Cash and deposits</w:t>
            </w:r>
          </w:p>
        </w:tc>
        <w:tc>
          <w:tcPr>
            <w:tcW w:w="782" w:type="dxa"/>
          </w:tcPr>
          <w:p w14:paraId="1DA9C5E6" w14:textId="77777777" w:rsidR="00964B88" w:rsidRDefault="00964B88">
            <w:pPr>
              <w:cnfStyle w:val="000000000000" w:firstRow="0" w:lastRow="0" w:firstColumn="0" w:lastColumn="0" w:oddVBand="0" w:evenVBand="0" w:oddHBand="0" w:evenHBand="0" w:firstRowFirstColumn="0" w:firstRowLastColumn="0" w:lastRowFirstColumn="0" w:lastRowLastColumn="0"/>
            </w:pPr>
            <w:r>
              <w:t>13 247</w:t>
            </w:r>
          </w:p>
        </w:tc>
        <w:tc>
          <w:tcPr>
            <w:tcW w:w="782" w:type="dxa"/>
          </w:tcPr>
          <w:p w14:paraId="1519C15A" w14:textId="77777777" w:rsidR="00964B88" w:rsidRDefault="00964B88">
            <w:pPr>
              <w:cnfStyle w:val="000000000000" w:firstRow="0" w:lastRow="0" w:firstColumn="0" w:lastColumn="0" w:oddVBand="0" w:evenVBand="0" w:oddHBand="0" w:evenHBand="0" w:firstRowFirstColumn="0" w:firstRowLastColumn="0" w:lastRowFirstColumn="0" w:lastRowLastColumn="0"/>
            </w:pPr>
            <w:r>
              <w:t>10 165</w:t>
            </w:r>
          </w:p>
        </w:tc>
        <w:tc>
          <w:tcPr>
            <w:tcW w:w="782" w:type="dxa"/>
          </w:tcPr>
          <w:p w14:paraId="181B6766" w14:textId="77777777" w:rsidR="00964B88" w:rsidRDefault="00964B88">
            <w:pPr>
              <w:cnfStyle w:val="000000000000" w:firstRow="0" w:lastRow="0" w:firstColumn="0" w:lastColumn="0" w:oddVBand="0" w:evenVBand="0" w:oddHBand="0" w:evenHBand="0" w:firstRowFirstColumn="0" w:firstRowLastColumn="0" w:lastRowFirstColumn="0" w:lastRowLastColumn="0"/>
            </w:pPr>
            <w:r>
              <w:t>9 975</w:t>
            </w:r>
          </w:p>
        </w:tc>
        <w:tc>
          <w:tcPr>
            <w:tcW w:w="782" w:type="dxa"/>
          </w:tcPr>
          <w:p w14:paraId="6E5A7564" w14:textId="77777777" w:rsidR="00964B88" w:rsidRDefault="00964B88">
            <w:pPr>
              <w:cnfStyle w:val="000000000000" w:firstRow="0" w:lastRow="0" w:firstColumn="0" w:lastColumn="0" w:oddVBand="0" w:evenVBand="0" w:oddHBand="0" w:evenHBand="0" w:firstRowFirstColumn="0" w:firstRowLastColumn="0" w:lastRowFirstColumn="0" w:lastRowLastColumn="0"/>
            </w:pPr>
            <w:r>
              <w:t>9 920</w:t>
            </w:r>
          </w:p>
        </w:tc>
        <w:tc>
          <w:tcPr>
            <w:tcW w:w="783" w:type="dxa"/>
          </w:tcPr>
          <w:p w14:paraId="1F566628" w14:textId="77777777" w:rsidR="00964B88" w:rsidRDefault="00964B88">
            <w:pPr>
              <w:cnfStyle w:val="000000000000" w:firstRow="0" w:lastRow="0" w:firstColumn="0" w:lastColumn="0" w:oddVBand="0" w:evenVBand="0" w:oddHBand="0" w:evenHBand="0" w:firstRowFirstColumn="0" w:firstRowLastColumn="0" w:lastRowFirstColumn="0" w:lastRowLastColumn="0"/>
            </w:pPr>
            <w:r>
              <w:t>10 083</w:t>
            </w:r>
          </w:p>
        </w:tc>
      </w:tr>
      <w:tr w:rsidR="00964B88" w14:paraId="537A12F5"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361456A4" w14:textId="77777777" w:rsidR="00964B88" w:rsidRDefault="00964B88">
            <w:r>
              <w:t>Advances paid</w:t>
            </w:r>
          </w:p>
        </w:tc>
        <w:tc>
          <w:tcPr>
            <w:tcW w:w="782" w:type="dxa"/>
          </w:tcPr>
          <w:p w14:paraId="454C99E2" w14:textId="77777777" w:rsidR="00964B88" w:rsidRDefault="00964B88">
            <w:pPr>
              <w:cnfStyle w:val="000000000000" w:firstRow="0" w:lastRow="0" w:firstColumn="0" w:lastColumn="0" w:oddVBand="0" w:evenVBand="0" w:oddHBand="0" w:evenHBand="0" w:firstRowFirstColumn="0" w:firstRowLastColumn="0" w:lastRowFirstColumn="0" w:lastRowLastColumn="0"/>
            </w:pPr>
            <w:r>
              <w:t>341</w:t>
            </w:r>
          </w:p>
        </w:tc>
        <w:tc>
          <w:tcPr>
            <w:tcW w:w="782" w:type="dxa"/>
          </w:tcPr>
          <w:p w14:paraId="26B857CF" w14:textId="77777777" w:rsidR="00964B88" w:rsidRDefault="00964B88">
            <w:pPr>
              <w:cnfStyle w:val="000000000000" w:firstRow="0" w:lastRow="0" w:firstColumn="0" w:lastColumn="0" w:oddVBand="0" w:evenVBand="0" w:oddHBand="0" w:evenHBand="0" w:firstRowFirstColumn="0" w:firstRowLastColumn="0" w:lastRowFirstColumn="0" w:lastRowLastColumn="0"/>
            </w:pPr>
            <w:r>
              <w:t>499</w:t>
            </w:r>
          </w:p>
        </w:tc>
        <w:tc>
          <w:tcPr>
            <w:tcW w:w="782" w:type="dxa"/>
          </w:tcPr>
          <w:p w14:paraId="090D5879" w14:textId="77777777" w:rsidR="00964B88" w:rsidRDefault="00964B88">
            <w:pPr>
              <w:cnfStyle w:val="000000000000" w:firstRow="0" w:lastRow="0" w:firstColumn="0" w:lastColumn="0" w:oddVBand="0" w:evenVBand="0" w:oddHBand="0" w:evenHBand="0" w:firstRowFirstColumn="0" w:firstRowLastColumn="0" w:lastRowFirstColumn="0" w:lastRowLastColumn="0"/>
            </w:pPr>
            <w:r>
              <w:t>518</w:t>
            </w:r>
          </w:p>
        </w:tc>
        <w:tc>
          <w:tcPr>
            <w:tcW w:w="782" w:type="dxa"/>
          </w:tcPr>
          <w:p w14:paraId="6007DD3E" w14:textId="77777777" w:rsidR="00964B88" w:rsidRDefault="00964B88">
            <w:pPr>
              <w:cnfStyle w:val="000000000000" w:firstRow="0" w:lastRow="0" w:firstColumn="0" w:lastColumn="0" w:oddVBand="0" w:evenVBand="0" w:oddHBand="0" w:evenHBand="0" w:firstRowFirstColumn="0" w:firstRowLastColumn="0" w:lastRowFirstColumn="0" w:lastRowLastColumn="0"/>
            </w:pPr>
            <w:r>
              <w:t>570</w:t>
            </w:r>
          </w:p>
        </w:tc>
        <w:tc>
          <w:tcPr>
            <w:tcW w:w="783" w:type="dxa"/>
          </w:tcPr>
          <w:p w14:paraId="28BF71B6" w14:textId="77777777" w:rsidR="00964B88" w:rsidRDefault="00964B88">
            <w:pPr>
              <w:cnfStyle w:val="000000000000" w:firstRow="0" w:lastRow="0" w:firstColumn="0" w:lastColumn="0" w:oddVBand="0" w:evenVBand="0" w:oddHBand="0" w:evenHBand="0" w:firstRowFirstColumn="0" w:firstRowLastColumn="0" w:lastRowFirstColumn="0" w:lastRowLastColumn="0"/>
            </w:pPr>
            <w:r>
              <w:t>493</w:t>
            </w:r>
          </w:p>
        </w:tc>
      </w:tr>
      <w:tr w:rsidR="00964B88" w14:paraId="51A8CE48"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0D36118E" w14:textId="77777777" w:rsidR="00964B88" w:rsidRDefault="00964B88">
            <w:r>
              <w:t>Receivables</w:t>
            </w:r>
          </w:p>
        </w:tc>
        <w:tc>
          <w:tcPr>
            <w:tcW w:w="782" w:type="dxa"/>
          </w:tcPr>
          <w:p w14:paraId="6E4C322D" w14:textId="77777777" w:rsidR="00964B88" w:rsidRDefault="00964B88">
            <w:pPr>
              <w:cnfStyle w:val="000000000000" w:firstRow="0" w:lastRow="0" w:firstColumn="0" w:lastColumn="0" w:oddVBand="0" w:evenVBand="0" w:oddHBand="0" w:evenHBand="0" w:firstRowFirstColumn="0" w:firstRowLastColumn="0" w:lastRowFirstColumn="0" w:lastRowLastColumn="0"/>
            </w:pPr>
            <w:r>
              <w:t>10 114</w:t>
            </w:r>
          </w:p>
        </w:tc>
        <w:tc>
          <w:tcPr>
            <w:tcW w:w="782" w:type="dxa"/>
          </w:tcPr>
          <w:p w14:paraId="7C2DCE06" w14:textId="77777777" w:rsidR="00964B88" w:rsidRDefault="00964B88">
            <w:pPr>
              <w:cnfStyle w:val="000000000000" w:firstRow="0" w:lastRow="0" w:firstColumn="0" w:lastColumn="0" w:oddVBand="0" w:evenVBand="0" w:oddHBand="0" w:evenHBand="0" w:firstRowFirstColumn="0" w:firstRowLastColumn="0" w:lastRowFirstColumn="0" w:lastRowLastColumn="0"/>
            </w:pPr>
            <w:r>
              <w:t>9 915</w:t>
            </w:r>
          </w:p>
        </w:tc>
        <w:tc>
          <w:tcPr>
            <w:tcW w:w="782" w:type="dxa"/>
          </w:tcPr>
          <w:p w14:paraId="0445A8C1" w14:textId="77777777" w:rsidR="00964B88" w:rsidRDefault="00964B88">
            <w:pPr>
              <w:cnfStyle w:val="000000000000" w:firstRow="0" w:lastRow="0" w:firstColumn="0" w:lastColumn="0" w:oddVBand="0" w:evenVBand="0" w:oddHBand="0" w:evenHBand="0" w:firstRowFirstColumn="0" w:firstRowLastColumn="0" w:lastRowFirstColumn="0" w:lastRowLastColumn="0"/>
            </w:pPr>
            <w:r>
              <w:t>10 283</w:t>
            </w:r>
          </w:p>
        </w:tc>
        <w:tc>
          <w:tcPr>
            <w:tcW w:w="782" w:type="dxa"/>
          </w:tcPr>
          <w:p w14:paraId="7F67AF3A" w14:textId="77777777" w:rsidR="00964B88" w:rsidRDefault="00964B88">
            <w:pPr>
              <w:cnfStyle w:val="000000000000" w:firstRow="0" w:lastRow="0" w:firstColumn="0" w:lastColumn="0" w:oddVBand="0" w:evenVBand="0" w:oddHBand="0" w:evenHBand="0" w:firstRowFirstColumn="0" w:firstRowLastColumn="0" w:lastRowFirstColumn="0" w:lastRowLastColumn="0"/>
            </w:pPr>
            <w:r>
              <w:t>10 780</w:t>
            </w:r>
          </w:p>
        </w:tc>
        <w:tc>
          <w:tcPr>
            <w:tcW w:w="783" w:type="dxa"/>
          </w:tcPr>
          <w:p w14:paraId="47BA5056" w14:textId="77777777" w:rsidR="00964B88" w:rsidRDefault="00964B88">
            <w:pPr>
              <w:cnfStyle w:val="000000000000" w:firstRow="0" w:lastRow="0" w:firstColumn="0" w:lastColumn="0" w:oddVBand="0" w:evenVBand="0" w:oddHBand="0" w:evenHBand="0" w:firstRowFirstColumn="0" w:firstRowLastColumn="0" w:lastRowFirstColumn="0" w:lastRowLastColumn="0"/>
            </w:pPr>
            <w:r>
              <w:t>11 576</w:t>
            </w:r>
          </w:p>
        </w:tc>
      </w:tr>
      <w:tr w:rsidR="00964B88" w14:paraId="3C8D49E6"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53FE6E3B" w14:textId="77777777" w:rsidR="00964B88" w:rsidRDefault="00964B88">
            <w:r>
              <w:t>Investments, loans and placements</w:t>
            </w:r>
          </w:p>
        </w:tc>
        <w:tc>
          <w:tcPr>
            <w:tcW w:w="782" w:type="dxa"/>
          </w:tcPr>
          <w:p w14:paraId="62D7B19C" w14:textId="77777777" w:rsidR="00964B88" w:rsidRDefault="00964B88">
            <w:pPr>
              <w:cnfStyle w:val="000000000000" w:firstRow="0" w:lastRow="0" w:firstColumn="0" w:lastColumn="0" w:oddVBand="0" w:evenVBand="0" w:oddHBand="0" w:evenHBand="0" w:firstRowFirstColumn="0" w:firstRowLastColumn="0" w:lastRowFirstColumn="0" w:lastRowLastColumn="0"/>
            </w:pPr>
            <w:r>
              <w:t>38 569</w:t>
            </w:r>
          </w:p>
        </w:tc>
        <w:tc>
          <w:tcPr>
            <w:tcW w:w="782" w:type="dxa"/>
          </w:tcPr>
          <w:p w14:paraId="07C5A842" w14:textId="77777777" w:rsidR="00964B88" w:rsidRDefault="00964B88">
            <w:pPr>
              <w:cnfStyle w:val="000000000000" w:firstRow="0" w:lastRow="0" w:firstColumn="0" w:lastColumn="0" w:oddVBand="0" w:evenVBand="0" w:oddHBand="0" w:evenHBand="0" w:firstRowFirstColumn="0" w:firstRowLastColumn="0" w:lastRowFirstColumn="0" w:lastRowLastColumn="0"/>
            </w:pPr>
            <w:r>
              <w:t>41 011</w:t>
            </w:r>
          </w:p>
        </w:tc>
        <w:tc>
          <w:tcPr>
            <w:tcW w:w="782" w:type="dxa"/>
          </w:tcPr>
          <w:p w14:paraId="44D4A5BF" w14:textId="77777777" w:rsidR="00964B88" w:rsidRDefault="00964B88">
            <w:pPr>
              <w:cnfStyle w:val="000000000000" w:firstRow="0" w:lastRow="0" w:firstColumn="0" w:lastColumn="0" w:oddVBand="0" w:evenVBand="0" w:oddHBand="0" w:evenHBand="0" w:firstRowFirstColumn="0" w:firstRowLastColumn="0" w:lastRowFirstColumn="0" w:lastRowLastColumn="0"/>
            </w:pPr>
            <w:r>
              <w:t>40 498</w:t>
            </w:r>
          </w:p>
        </w:tc>
        <w:tc>
          <w:tcPr>
            <w:tcW w:w="782" w:type="dxa"/>
          </w:tcPr>
          <w:p w14:paraId="2CE76BF3" w14:textId="77777777" w:rsidR="00964B88" w:rsidRDefault="00964B88">
            <w:pPr>
              <w:cnfStyle w:val="000000000000" w:firstRow="0" w:lastRow="0" w:firstColumn="0" w:lastColumn="0" w:oddVBand="0" w:evenVBand="0" w:oddHBand="0" w:evenHBand="0" w:firstRowFirstColumn="0" w:firstRowLastColumn="0" w:lastRowFirstColumn="0" w:lastRowLastColumn="0"/>
            </w:pPr>
            <w:r>
              <w:t>41 375</w:t>
            </w:r>
          </w:p>
        </w:tc>
        <w:tc>
          <w:tcPr>
            <w:tcW w:w="783" w:type="dxa"/>
          </w:tcPr>
          <w:p w14:paraId="452521C5" w14:textId="77777777" w:rsidR="00964B88" w:rsidRDefault="00964B88">
            <w:pPr>
              <w:cnfStyle w:val="000000000000" w:firstRow="0" w:lastRow="0" w:firstColumn="0" w:lastColumn="0" w:oddVBand="0" w:evenVBand="0" w:oddHBand="0" w:evenHBand="0" w:firstRowFirstColumn="0" w:firstRowLastColumn="0" w:lastRowFirstColumn="0" w:lastRowLastColumn="0"/>
            </w:pPr>
            <w:r>
              <w:t>42 931</w:t>
            </w:r>
          </w:p>
        </w:tc>
      </w:tr>
      <w:tr w:rsidR="00964B88" w14:paraId="60ED01EE"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1358D366" w14:textId="77777777" w:rsidR="00964B88" w:rsidRDefault="00964B88">
            <w:r>
              <w:t>Investments accounted for using equity method</w:t>
            </w:r>
          </w:p>
        </w:tc>
        <w:tc>
          <w:tcPr>
            <w:tcW w:w="782" w:type="dxa"/>
          </w:tcPr>
          <w:p w14:paraId="51B2B789"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782" w:type="dxa"/>
          </w:tcPr>
          <w:p w14:paraId="5037E78C"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782" w:type="dxa"/>
          </w:tcPr>
          <w:p w14:paraId="0BBACB77"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782" w:type="dxa"/>
          </w:tcPr>
          <w:p w14:paraId="181C5366"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c>
          <w:tcPr>
            <w:tcW w:w="783" w:type="dxa"/>
          </w:tcPr>
          <w:p w14:paraId="11B82841" w14:textId="77777777" w:rsidR="00964B88" w:rsidRDefault="00964B88">
            <w:pPr>
              <w:cnfStyle w:val="000000000000" w:firstRow="0" w:lastRow="0" w:firstColumn="0" w:lastColumn="0" w:oddVBand="0" w:evenVBand="0" w:oddHBand="0" w:evenHBand="0" w:firstRowFirstColumn="0" w:firstRowLastColumn="0" w:lastRowFirstColumn="0" w:lastRowLastColumn="0"/>
            </w:pPr>
            <w:r>
              <w:t>45</w:t>
            </w:r>
          </w:p>
        </w:tc>
      </w:tr>
      <w:tr w:rsidR="00964B88" w14:paraId="489C2175" w14:textId="77777777" w:rsidTr="003951F6">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bottom w:val="single" w:sz="6" w:space="0" w:color="auto"/>
            </w:tcBorders>
          </w:tcPr>
          <w:p w14:paraId="7F6FE9C3" w14:textId="77777777" w:rsidR="00964B88" w:rsidRDefault="00964B88">
            <w:r>
              <w:rPr>
                <w:b/>
              </w:rPr>
              <w:t>Total financial assets</w:t>
            </w:r>
          </w:p>
        </w:tc>
        <w:tc>
          <w:tcPr>
            <w:tcW w:w="782" w:type="dxa"/>
            <w:tcBorders>
              <w:top w:val="single" w:sz="6" w:space="0" w:color="auto"/>
              <w:bottom w:val="single" w:sz="6" w:space="0" w:color="auto"/>
            </w:tcBorders>
          </w:tcPr>
          <w:p w14:paraId="0367EA0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62 316</w:t>
            </w:r>
          </w:p>
        </w:tc>
        <w:tc>
          <w:tcPr>
            <w:tcW w:w="782" w:type="dxa"/>
            <w:tcBorders>
              <w:top w:val="single" w:sz="6" w:space="0" w:color="auto"/>
              <w:bottom w:val="single" w:sz="6" w:space="0" w:color="auto"/>
            </w:tcBorders>
          </w:tcPr>
          <w:p w14:paraId="448A090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61 635</w:t>
            </w:r>
          </w:p>
        </w:tc>
        <w:tc>
          <w:tcPr>
            <w:tcW w:w="782" w:type="dxa"/>
            <w:tcBorders>
              <w:top w:val="single" w:sz="6" w:space="0" w:color="auto"/>
              <w:bottom w:val="single" w:sz="6" w:space="0" w:color="auto"/>
            </w:tcBorders>
          </w:tcPr>
          <w:p w14:paraId="7E8A10E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61 320</w:t>
            </w:r>
          </w:p>
        </w:tc>
        <w:tc>
          <w:tcPr>
            <w:tcW w:w="782" w:type="dxa"/>
            <w:tcBorders>
              <w:top w:val="single" w:sz="6" w:space="0" w:color="auto"/>
              <w:bottom w:val="single" w:sz="6" w:space="0" w:color="auto"/>
            </w:tcBorders>
          </w:tcPr>
          <w:p w14:paraId="11B6B42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62 691</w:t>
            </w:r>
          </w:p>
        </w:tc>
        <w:tc>
          <w:tcPr>
            <w:tcW w:w="783" w:type="dxa"/>
            <w:tcBorders>
              <w:top w:val="single" w:sz="6" w:space="0" w:color="auto"/>
              <w:bottom w:val="single" w:sz="6" w:space="0" w:color="auto"/>
            </w:tcBorders>
          </w:tcPr>
          <w:p w14:paraId="2929EDF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65 129</w:t>
            </w:r>
          </w:p>
        </w:tc>
      </w:tr>
      <w:tr w:rsidR="00964B88" w14:paraId="66FEF3A4" w14:textId="77777777" w:rsidTr="003951F6">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tcBorders>
          </w:tcPr>
          <w:p w14:paraId="28BC6CD5" w14:textId="77777777" w:rsidR="00964B88" w:rsidRDefault="00964B88">
            <w:r>
              <w:rPr>
                <w:b/>
              </w:rPr>
              <w:t>Non</w:t>
            </w:r>
            <w:r>
              <w:rPr>
                <w:b/>
              </w:rPr>
              <w:noBreakHyphen/>
              <w:t>financial assets</w:t>
            </w:r>
          </w:p>
        </w:tc>
        <w:tc>
          <w:tcPr>
            <w:tcW w:w="782" w:type="dxa"/>
            <w:tcBorders>
              <w:top w:val="single" w:sz="6" w:space="0" w:color="auto"/>
            </w:tcBorders>
          </w:tcPr>
          <w:p w14:paraId="5FA7ED5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6" w:space="0" w:color="auto"/>
            </w:tcBorders>
          </w:tcPr>
          <w:p w14:paraId="4849D54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6" w:space="0" w:color="auto"/>
            </w:tcBorders>
          </w:tcPr>
          <w:p w14:paraId="53883CD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6" w:space="0" w:color="auto"/>
            </w:tcBorders>
          </w:tcPr>
          <w:p w14:paraId="2C91FBF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Borders>
              <w:top w:val="single" w:sz="6" w:space="0" w:color="auto"/>
            </w:tcBorders>
          </w:tcPr>
          <w:p w14:paraId="777BE4A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F683A1B"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5DD5BDDB" w14:textId="77777777" w:rsidR="00964B88" w:rsidRDefault="00964B88">
            <w:r>
              <w:t>Inventories</w:t>
            </w:r>
          </w:p>
        </w:tc>
        <w:tc>
          <w:tcPr>
            <w:tcW w:w="782" w:type="dxa"/>
          </w:tcPr>
          <w:p w14:paraId="6BE16E3F" w14:textId="77777777" w:rsidR="00964B88" w:rsidRDefault="00964B88">
            <w:pPr>
              <w:cnfStyle w:val="000000000000" w:firstRow="0" w:lastRow="0" w:firstColumn="0" w:lastColumn="0" w:oddVBand="0" w:evenVBand="0" w:oddHBand="0" w:evenHBand="0" w:firstRowFirstColumn="0" w:firstRowLastColumn="0" w:lastRowFirstColumn="0" w:lastRowLastColumn="0"/>
            </w:pPr>
            <w:r>
              <w:t>1 175</w:t>
            </w:r>
          </w:p>
        </w:tc>
        <w:tc>
          <w:tcPr>
            <w:tcW w:w="782" w:type="dxa"/>
          </w:tcPr>
          <w:p w14:paraId="424F521C" w14:textId="77777777" w:rsidR="00964B88" w:rsidRDefault="00964B88">
            <w:pPr>
              <w:cnfStyle w:val="000000000000" w:firstRow="0" w:lastRow="0" w:firstColumn="0" w:lastColumn="0" w:oddVBand="0" w:evenVBand="0" w:oddHBand="0" w:evenHBand="0" w:firstRowFirstColumn="0" w:firstRowLastColumn="0" w:lastRowFirstColumn="0" w:lastRowLastColumn="0"/>
            </w:pPr>
            <w:r>
              <w:t>1 483</w:t>
            </w:r>
          </w:p>
        </w:tc>
        <w:tc>
          <w:tcPr>
            <w:tcW w:w="782" w:type="dxa"/>
          </w:tcPr>
          <w:p w14:paraId="780DD34F" w14:textId="77777777" w:rsidR="00964B88" w:rsidRDefault="00964B88">
            <w:pPr>
              <w:cnfStyle w:val="000000000000" w:firstRow="0" w:lastRow="0" w:firstColumn="0" w:lastColumn="0" w:oddVBand="0" w:evenVBand="0" w:oddHBand="0" w:evenHBand="0" w:firstRowFirstColumn="0" w:firstRowLastColumn="0" w:lastRowFirstColumn="0" w:lastRowLastColumn="0"/>
            </w:pPr>
            <w:r>
              <w:t>1 376</w:t>
            </w:r>
          </w:p>
        </w:tc>
        <w:tc>
          <w:tcPr>
            <w:tcW w:w="782" w:type="dxa"/>
          </w:tcPr>
          <w:p w14:paraId="4570876B" w14:textId="77777777" w:rsidR="00964B88" w:rsidRDefault="00964B88">
            <w:pPr>
              <w:cnfStyle w:val="000000000000" w:firstRow="0" w:lastRow="0" w:firstColumn="0" w:lastColumn="0" w:oddVBand="0" w:evenVBand="0" w:oddHBand="0" w:evenHBand="0" w:firstRowFirstColumn="0" w:firstRowLastColumn="0" w:lastRowFirstColumn="0" w:lastRowLastColumn="0"/>
            </w:pPr>
            <w:r>
              <w:t>1 642</w:t>
            </w:r>
          </w:p>
        </w:tc>
        <w:tc>
          <w:tcPr>
            <w:tcW w:w="783" w:type="dxa"/>
          </w:tcPr>
          <w:p w14:paraId="0907E852" w14:textId="77777777" w:rsidR="00964B88" w:rsidRDefault="00964B88">
            <w:pPr>
              <w:cnfStyle w:val="000000000000" w:firstRow="0" w:lastRow="0" w:firstColumn="0" w:lastColumn="0" w:oddVBand="0" w:evenVBand="0" w:oddHBand="0" w:evenHBand="0" w:firstRowFirstColumn="0" w:firstRowLastColumn="0" w:lastRowFirstColumn="0" w:lastRowLastColumn="0"/>
            </w:pPr>
            <w:r>
              <w:t>1 349</w:t>
            </w:r>
          </w:p>
        </w:tc>
      </w:tr>
      <w:tr w:rsidR="00964B88" w14:paraId="7D4DE617"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2C89C6A5" w14:textId="77777777" w:rsidR="00964B88" w:rsidRDefault="00964B88">
            <w:r>
              <w:t>Non</w:t>
            </w:r>
            <w:r>
              <w:noBreakHyphen/>
              <w:t>financial assets held for sale</w:t>
            </w:r>
          </w:p>
        </w:tc>
        <w:tc>
          <w:tcPr>
            <w:tcW w:w="782" w:type="dxa"/>
          </w:tcPr>
          <w:p w14:paraId="3C96818E" w14:textId="77777777" w:rsidR="00964B88" w:rsidRDefault="00964B88">
            <w:pPr>
              <w:cnfStyle w:val="000000000000" w:firstRow="0" w:lastRow="0" w:firstColumn="0" w:lastColumn="0" w:oddVBand="0" w:evenVBand="0" w:oddHBand="0" w:evenHBand="0" w:firstRowFirstColumn="0" w:firstRowLastColumn="0" w:lastRowFirstColumn="0" w:lastRowLastColumn="0"/>
            </w:pPr>
            <w:r>
              <w:t>296</w:t>
            </w:r>
          </w:p>
        </w:tc>
        <w:tc>
          <w:tcPr>
            <w:tcW w:w="782" w:type="dxa"/>
          </w:tcPr>
          <w:p w14:paraId="74F507B7" w14:textId="77777777" w:rsidR="00964B88" w:rsidRDefault="00964B88">
            <w:pPr>
              <w:cnfStyle w:val="000000000000" w:firstRow="0" w:lastRow="0" w:firstColumn="0" w:lastColumn="0" w:oddVBand="0" w:evenVBand="0" w:oddHBand="0" w:evenHBand="0" w:firstRowFirstColumn="0" w:firstRowLastColumn="0" w:lastRowFirstColumn="0" w:lastRowLastColumn="0"/>
            </w:pPr>
            <w:r>
              <w:t>267</w:t>
            </w:r>
          </w:p>
        </w:tc>
        <w:tc>
          <w:tcPr>
            <w:tcW w:w="782" w:type="dxa"/>
          </w:tcPr>
          <w:p w14:paraId="7735DD3B" w14:textId="77777777" w:rsidR="00964B88" w:rsidRDefault="00964B88">
            <w:pPr>
              <w:cnfStyle w:val="000000000000" w:firstRow="0" w:lastRow="0" w:firstColumn="0" w:lastColumn="0" w:oddVBand="0" w:evenVBand="0" w:oddHBand="0" w:evenHBand="0" w:firstRowFirstColumn="0" w:firstRowLastColumn="0" w:lastRowFirstColumn="0" w:lastRowLastColumn="0"/>
            </w:pPr>
            <w:r>
              <w:t>261</w:t>
            </w:r>
          </w:p>
        </w:tc>
        <w:tc>
          <w:tcPr>
            <w:tcW w:w="782" w:type="dxa"/>
          </w:tcPr>
          <w:p w14:paraId="6875140C" w14:textId="77777777" w:rsidR="00964B88" w:rsidRDefault="00964B88">
            <w:pPr>
              <w:cnfStyle w:val="000000000000" w:firstRow="0" w:lastRow="0" w:firstColumn="0" w:lastColumn="0" w:oddVBand="0" w:evenVBand="0" w:oddHBand="0" w:evenHBand="0" w:firstRowFirstColumn="0" w:firstRowLastColumn="0" w:lastRowFirstColumn="0" w:lastRowLastColumn="0"/>
            </w:pPr>
            <w:r>
              <w:t>272</w:t>
            </w:r>
          </w:p>
        </w:tc>
        <w:tc>
          <w:tcPr>
            <w:tcW w:w="783" w:type="dxa"/>
          </w:tcPr>
          <w:p w14:paraId="6E8EF4B0" w14:textId="77777777" w:rsidR="00964B88" w:rsidRDefault="00964B88">
            <w:pPr>
              <w:cnfStyle w:val="000000000000" w:firstRow="0" w:lastRow="0" w:firstColumn="0" w:lastColumn="0" w:oddVBand="0" w:evenVBand="0" w:oddHBand="0" w:evenHBand="0" w:firstRowFirstColumn="0" w:firstRowLastColumn="0" w:lastRowFirstColumn="0" w:lastRowLastColumn="0"/>
            </w:pPr>
            <w:r>
              <w:t>274</w:t>
            </w:r>
          </w:p>
        </w:tc>
      </w:tr>
      <w:tr w:rsidR="00964B88" w14:paraId="359F8569"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3080FEC3" w14:textId="77777777" w:rsidR="00964B88" w:rsidRDefault="00964B88">
            <w:r>
              <w:t>Land, buildings, infrastructure, plant and equipment</w:t>
            </w:r>
          </w:p>
        </w:tc>
        <w:tc>
          <w:tcPr>
            <w:tcW w:w="782" w:type="dxa"/>
          </w:tcPr>
          <w:p w14:paraId="5FBA42CC" w14:textId="77777777" w:rsidR="00964B88" w:rsidRDefault="00964B88">
            <w:pPr>
              <w:cnfStyle w:val="000000000000" w:firstRow="0" w:lastRow="0" w:firstColumn="0" w:lastColumn="0" w:oddVBand="0" w:evenVBand="0" w:oddHBand="0" w:evenHBand="0" w:firstRowFirstColumn="0" w:firstRowLastColumn="0" w:lastRowFirstColumn="0" w:lastRowLastColumn="0"/>
            </w:pPr>
            <w:r>
              <w:t>302 325</w:t>
            </w:r>
          </w:p>
        </w:tc>
        <w:tc>
          <w:tcPr>
            <w:tcW w:w="782" w:type="dxa"/>
          </w:tcPr>
          <w:p w14:paraId="07A182A6" w14:textId="77777777" w:rsidR="00964B88" w:rsidRDefault="00964B88">
            <w:pPr>
              <w:cnfStyle w:val="000000000000" w:firstRow="0" w:lastRow="0" w:firstColumn="0" w:lastColumn="0" w:oddVBand="0" w:evenVBand="0" w:oddHBand="0" w:evenHBand="0" w:firstRowFirstColumn="0" w:firstRowLastColumn="0" w:lastRowFirstColumn="0" w:lastRowLastColumn="0"/>
            </w:pPr>
            <w:r>
              <w:t>304 601</w:t>
            </w:r>
          </w:p>
        </w:tc>
        <w:tc>
          <w:tcPr>
            <w:tcW w:w="782" w:type="dxa"/>
          </w:tcPr>
          <w:p w14:paraId="5A1DDB6B" w14:textId="77777777" w:rsidR="00964B88" w:rsidRDefault="00964B88">
            <w:pPr>
              <w:cnfStyle w:val="000000000000" w:firstRow="0" w:lastRow="0" w:firstColumn="0" w:lastColumn="0" w:oddVBand="0" w:evenVBand="0" w:oddHBand="0" w:evenHBand="0" w:firstRowFirstColumn="0" w:firstRowLastColumn="0" w:lastRowFirstColumn="0" w:lastRowLastColumn="0"/>
            </w:pPr>
            <w:r>
              <w:t>322 657</w:t>
            </w:r>
          </w:p>
        </w:tc>
        <w:tc>
          <w:tcPr>
            <w:tcW w:w="782" w:type="dxa"/>
          </w:tcPr>
          <w:p w14:paraId="46776BCA" w14:textId="77777777" w:rsidR="00964B88" w:rsidRDefault="00964B88">
            <w:pPr>
              <w:cnfStyle w:val="000000000000" w:firstRow="0" w:lastRow="0" w:firstColumn="0" w:lastColumn="0" w:oddVBand="0" w:evenVBand="0" w:oddHBand="0" w:evenHBand="0" w:firstRowFirstColumn="0" w:firstRowLastColumn="0" w:lastRowFirstColumn="0" w:lastRowLastColumn="0"/>
            </w:pPr>
            <w:r>
              <w:t>334 359</w:t>
            </w:r>
          </w:p>
        </w:tc>
        <w:tc>
          <w:tcPr>
            <w:tcW w:w="783" w:type="dxa"/>
          </w:tcPr>
          <w:p w14:paraId="6E6F0F01" w14:textId="77777777" w:rsidR="00964B88" w:rsidRDefault="00964B88">
            <w:pPr>
              <w:cnfStyle w:val="000000000000" w:firstRow="0" w:lastRow="0" w:firstColumn="0" w:lastColumn="0" w:oddVBand="0" w:evenVBand="0" w:oddHBand="0" w:evenHBand="0" w:firstRowFirstColumn="0" w:firstRowLastColumn="0" w:lastRowFirstColumn="0" w:lastRowLastColumn="0"/>
            </w:pPr>
            <w:r>
              <w:t>346 217</w:t>
            </w:r>
          </w:p>
        </w:tc>
      </w:tr>
      <w:tr w:rsidR="00964B88" w14:paraId="189C514C" w14:textId="77777777" w:rsidTr="003951F6">
        <w:tc>
          <w:tcPr>
            <w:cnfStyle w:val="001000000000" w:firstRow="0" w:lastRow="0" w:firstColumn="1" w:lastColumn="0" w:oddVBand="0" w:evenVBand="0" w:oddHBand="0" w:evenHBand="0" w:firstRowFirstColumn="0" w:firstRowLastColumn="0" w:lastRowFirstColumn="0" w:lastRowLastColumn="0"/>
            <w:tcW w:w="3857" w:type="dxa"/>
            <w:tcBorders>
              <w:bottom w:val="single" w:sz="6" w:space="0" w:color="auto"/>
            </w:tcBorders>
          </w:tcPr>
          <w:p w14:paraId="43CDE449" w14:textId="77777777" w:rsidR="00964B88" w:rsidRDefault="00964B88">
            <w:r>
              <w:t>Other non</w:t>
            </w:r>
            <w:r>
              <w:noBreakHyphen/>
              <w:t>financial assets</w:t>
            </w:r>
          </w:p>
        </w:tc>
        <w:tc>
          <w:tcPr>
            <w:tcW w:w="782" w:type="dxa"/>
            <w:tcBorders>
              <w:bottom w:val="single" w:sz="6" w:space="0" w:color="auto"/>
            </w:tcBorders>
          </w:tcPr>
          <w:p w14:paraId="4CBBA7E0" w14:textId="77777777" w:rsidR="00964B88" w:rsidRDefault="00964B88">
            <w:pPr>
              <w:cnfStyle w:val="000000000000" w:firstRow="0" w:lastRow="0" w:firstColumn="0" w:lastColumn="0" w:oddVBand="0" w:evenVBand="0" w:oddHBand="0" w:evenHBand="0" w:firstRowFirstColumn="0" w:firstRowLastColumn="0" w:lastRowFirstColumn="0" w:lastRowLastColumn="0"/>
            </w:pPr>
            <w:r>
              <w:t>3 336</w:t>
            </w:r>
          </w:p>
        </w:tc>
        <w:tc>
          <w:tcPr>
            <w:tcW w:w="782" w:type="dxa"/>
            <w:tcBorders>
              <w:bottom w:val="single" w:sz="6" w:space="0" w:color="auto"/>
            </w:tcBorders>
          </w:tcPr>
          <w:p w14:paraId="562410AB" w14:textId="77777777" w:rsidR="00964B88" w:rsidRDefault="00964B88">
            <w:pPr>
              <w:cnfStyle w:val="000000000000" w:firstRow="0" w:lastRow="0" w:firstColumn="0" w:lastColumn="0" w:oddVBand="0" w:evenVBand="0" w:oddHBand="0" w:evenHBand="0" w:firstRowFirstColumn="0" w:firstRowLastColumn="0" w:lastRowFirstColumn="0" w:lastRowLastColumn="0"/>
            </w:pPr>
            <w:r>
              <w:t>3 453</w:t>
            </w:r>
          </w:p>
        </w:tc>
        <w:tc>
          <w:tcPr>
            <w:tcW w:w="782" w:type="dxa"/>
            <w:tcBorders>
              <w:bottom w:val="single" w:sz="6" w:space="0" w:color="auto"/>
            </w:tcBorders>
          </w:tcPr>
          <w:p w14:paraId="40A05739" w14:textId="77777777" w:rsidR="00964B88" w:rsidRDefault="00964B88">
            <w:pPr>
              <w:cnfStyle w:val="000000000000" w:firstRow="0" w:lastRow="0" w:firstColumn="0" w:lastColumn="0" w:oddVBand="0" w:evenVBand="0" w:oddHBand="0" w:evenHBand="0" w:firstRowFirstColumn="0" w:firstRowLastColumn="0" w:lastRowFirstColumn="0" w:lastRowLastColumn="0"/>
            </w:pPr>
            <w:r>
              <w:t>3 412</w:t>
            </w:r>
          </w:p>
        </w:tc>
        <w:tc>
          <w:tcPr>
            <w:tcW w:w="782" w:type="dxa"/>
            <w:tcBorders>
              <w:bottom w:val="single" w:sz="6" w:space="0" w:color="auto"/>
            </w:tcBorders>
          </w:tcPr>
          <w:p w14:paraId="623EFD26" w14:textId="77777777" w:rsidR="00964B88" w:rsidRDefault="00964B88">
            <w:pPr>
              <w:cnfStyle w:val="000000000000" w:firstRow="0" w:lastRow="0" w:firstColumn="0" w:lastColumn="0" w:oddVBand="0" w:evenVBand="0" w:oddHBand="0" w:evenHBand="0" w:firstRowFirstColumn="0" w:firstRowLastColumn="0" w:lastRowFirstColumn="0" w:lastRowLastColumn="0"/>
            </w:pPr>
            <w:r>
              <w:t>3 288</w:t>
            </w:r>
          </w:p>
        </w:tc>
        <w:tc>
          <w:tcPr>
            <w:tcW w:w="783" w:type="dxa"/>
            <w:tcBorders>
              <w:bottom w:val="single" w:sz="6" w:space="0" w:color="auto"/>
            </w:tcBorders>
          </w:tcPr>
          <w:p w14:paraId="258273AC" w14:textId="77777777" w:rsidR="00964B88" w:rsidRDefault="00964B88">
            <w:pPr>
              <w:cnfStyle w:val="000000000000" w:firstRow="0" w:lastRow="0" w:firstColumn="0" w:lastColumn="0" w:oddVBand="0" w:evenVBand="0" w:oddHBand="0" w:evenHBand="0" w:firstRowFirstColumn="0" w:firstRowLastColumn="0" w:lastRowFirstColumn="0" w:lastRowLastColumn="0"/>
            </w:pPr>
            <w:r>
              <w:t>3 114</w:t>
            </w:r>
          </w:p>
        </w:tc>
      </w:tr>
      <w:tr w:rsidR="00964B88" w14:paraId="6326ACD2" w14:textId="77777777" w:rsidTr="003951F6">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bottom w:val="single" w:sz="6" w:space="0" w:color="auto"/>
            </w:tcBorders>
          </w:tcPr>
          <w:p w14:paraId="3FE792D9" w14:textId="77777777" w:rsidR="00964B88" w:rsidRDefault="00964B88">
            <w:r>
              <w:rPr>
                <w:b/>
              </w:rPr>
              <w:t>Total non</w:t>
            </w:r>
            <w:r>
              <w:rPr>
                <w:b/>
              </w:rPr>
              <w:noBreakHyphen/>
              <w:t>financial assets</w:t>
            </w:r>
          </w:p>
        </w:tc>
        <w:tc>
          <w:tcPr>
            <w:tcW w:w="782" w:type="dxa"/>
            <w:tcBorders>
              <w:top w:val="single" w:sz="6" w:space="0" w:color="auto"/>
              <w:bottom w:val="single" w:sz="6" w:space="0" w:color="auto"/>
            </w:tcBorders>
          </w:tcPr>
          <w:p w14:paraId="31F9583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307 131</w:t>
            </w:r>
          </w:p>
        </w:tc>
        <w:tc>
          <w:tcPr>
            <w:tcW w:w="782" w:type="dxa"/>
            <w:tcBorders>
              <w:top w:val="single" w:sz="6" w:space="0" w:color="auto"/>
              <w:bottom w:val="single" w:sz="6" w:space="0" w:color="auto"/>
            </w:tcBorders>
          </w:tcPr>
          <w:p w14:paraId="45B8FC9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309 805</w:t>
            </w:r>
          </w:p>
        </w:tc>
        <w:tc>
          <w:tcPr>
            <w:tcW w:w="782" w:type="dxa"/>
            <w:tcBorders>
              <w:top w:val="single" w:sz="6" w:space="0" w:color="auto"/>
              <w:bottom w:val="single" w:sz="6" w:space="0" w:color="auto"/>
            </w:tcBorders>
          </w:tcPr>
          <w:p w14:paraId="64BFB7F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327 706</w:t>
            </w:r>
          </w:p>
        </w:tc>
        <w:tc>
          <w:tcPr>
            <w:tcW w:w="782" w:type="dxa"/>
            <w:tcBorders>
              <w:top w:val="single" w:sz="6" w:space="0" w:color="auto"/>
              <w:bottom w:val="single" w:sz="6" w:space="0" w:color="auto"/>
            </w:tcBorders>
          </w:tcPr>
          <w:p w14:paraId="2A01BA5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339 561</w:t>
            </w:r>
          </w:p>
        </w:tc>
        <w:tc>
          <w:tcPr>
            <w:tcW w:w="783" w:type="dxa"/>
            <w:tcBorders>
              <w:top w:val="single" w:sz="6" w:space="0" w:color="auto"/>
              <w:bottom w:val="single" w:sz="6" w:space="0" w:color="auto"/>
            </w:tcBorders>
          </w:tcPr>
          <w:p w14:paraId="1F56E1F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350 954</w:t>
            </w:r>
          </w:p>
        </w:tc>
      </w:tr>
      <w:tr w:rsidR="00964B88" w14:paraId="06989C61" w14:textId="77777777" w:rsidTr="003951F6">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tcBorders>
          </w:tcPr>
          <w:p w14:paraId="5DC0DF0F" w14:textId="77777777" w:rsidR="00964B88" w:rsidRDefault="00964B88">
            <w:r>
              <w:rPr>
                <w:b/>
              </w:rPr>
              <w:t>Total assets</w:t>
            </w:r>
          </w:p>
        </w:tc>
        <w:tc>
          <w:tcPr>
            <w:tcW w:w="782" w:type="dxa"/>
            <w:tcBorders>
              <w:top w:val="single" w:sz="6" w:space="0" w:color="auto"/>
            </w:tcBorders>
          </w:tcPr>
          <w:p w14:paraId="4B3A3C6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369 448</w:t>
            </w:r>
          </w:p>
        </w:tc>
        <w:tc>
          <w:tcPr>
            <w:tcW w:w="782" w:type="dxa"/>
            <w:tcBorders>
              <w:top w:val="single" w:sz="6" w:space="0" w:color="auto"/>
            </w:tcBorders>
          </w:tcPr>
          <w:p w14:paraId="142D3D14"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371 439</w:t>
            </w:r>
          </w:p>
        </w:tc>
        <w:tc>
          <w:tcPr>
            <w:tcW w:w="782" w:type="dxa"/>
            <w:tcBorders>
              <w:top w:val="single" w:sz="6" w:space="0" w:color="auto"/>
            </w:tcBorders>
          </w:tcPr>
          <w:p w14:paraId="268CD812"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389 026</w:t>
            </w:r>
          </w:p>
        </w:tc>
        <w:tc>
          <w:tcPr>
            <w:tcW w:w="782" w:type="dxa"/>
            <w:tcBorders>
              <w:top w:val="single" w:sz="6" w:space="0" w:color="auto"/>
            </w:tcBorders>
          </w:tcPr>
          <w:p w14:paraId="044A000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402 251</w:t>
            </w:r>
          </w:p>
        </w:tc>
        <w:tc>
          <w:tcPr>
            <w:tcW w:w="783" w:type="dxa"/>
            <w:tcBorders>
              <w:top w:val="single" w:sz="6" w:space="0" w:color="auto"/>
            </w:tcBorders>
          </w:tcPr>
          <w:p w14:paraId="25F0166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416 083</w:t>
            </w:r>
          </w:p>
        </w:tc>
      </w:tr>
      <w:tr w:rsidR="00964B88" w14:paraId="2AFABC78"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27B3EDBC" w14:textId="77777777" w:rsidR="00964B88" w:rsidRDefault="00964B88">
            <w:r>
              <w:rPr>
                <w:b/>
              </w:rPr>
              <w:t>Liabilities</w:t>
            </w:r>
          </w:p>
        </w:tc>
        <w:tc>
          <w:tcPr>
            <w:tcW w:w="782" w:type="dxa"/>
          </w:tcPr>
          <w:p w14:paraId="3CB41D7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64DC163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6A4DBCC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434F4AD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Pr>
          <w:p w14:paraId="53F64D27"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6CCBE463"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701CFF43" w14:textId="77777777" w:rsidR="00964B88" w:rsidRDefault="00964B88">
            <w:r>
              <w:t>Deposits held and advances received</w:t>
            </w:r>
          </w:p>
        </w:tc>
        <w:tc>
          <w:tcPr>
            <w:tcW w:w="782" w:type="dxa"/>
          </w:tcPr>
          <w:p w14:paraId="2379ABF9" w14:textId="77777777" w:rsidR="00964B88" w:rsidRDefault="00964B88">
            <w:pPr>
              <w:cnfStyle w:val="000000000000" w:firstRow="0" w:lastRow="0" w:firstColumn="0" w:lastColumn="0" w:oddVBand="0" w:evenVBand="0" w:oddHBand="0" w:evenHBand="0" w:firstRowFirstColumn="0" w:firstRowLastColumn="0" w:lastRowFirstColumn="0" w:lastRowLastColumn="0"/>
            </w:pPr>
            <w:r>
              <w:t>1 589</w:t>
            </w:r>
          </w:p>
        </w:tc>
        <w:tc>
          <w:tcPr>
            <w:tcW w:w="782" w:type="dxa"/>
          </w:tcPr>
          <w:p w14:paraId="0DC72209" w14:textId="77777777" w:rsidR="00964B88" w:rsidRDefault="00964B88">
            <w:pPr>
              <w:cnfStyle w:val="000000000000" w:firstRow="0" w:lastRow="0" w:firstColumn="0" w:lastColumn="0" w:oddVBand="0" w:evenVBand="0" w:oddHBand="0" w:evenHBand="0" w:firstRowFirstColumn="0" w:firstRowLastColumn="0" w:lastRowFirstColumn="0" w:lastRowLastColumn="0"/>
            </w:pPr>
            <w:r>
              <w:t>1 579</w:t>
            </w:r>
          </w:p>
        </w:tc>
        <w:tc>
          <w:tcPr>
            <w:tcW w:w="782" w:type="dxa"/>
          </w:tcPr>
          <w:p w14:paraId="2B717E0D" w14:textId="77777777" w:rsidR="00964B88" w:rsidRDefault="00964B88">
            <w:pPr>
              <w:cnfStyle w:val="000000000000" w:firstRow="0" w:lastRow="0" w:firstColumn="0" w:lastColumn="0" w:oddVBand="0" w:evenVBand="0" w:oddHBand="0" w:evenHBand="0" w:firstRowFirstColumn="0" w:firstRowLastColumn="0" w:lastRowFirstColumn="0" w:lastRowLastColumn="0"/>
            </w:pPr>
            <w:r>
              <w:t>1 578</w:t>
            </w:r>
          </w:p>
        </w:tc>
        <w:tc>
          <w:tcPr>
            <w:tcW w:w="782" w:type="dxa"/>
          </w:tcPr>
          <w:p w14:paraId="3BFD76D7" w14:textId="77777777" w:rsidR="00964B88" w:rsidRDefault="00964B88">
            <w:pPr>
              <w:cnfStyle w:val="000000000000" w:firstRow="0" w:lastRow="0" w:firstColumn="0" w:lastColumn="0" w:oddVBand="0" w:evenVBand="0" w:oddHBand="0" w:evenHBand="0" w:firstRowFirstColumn="0" w:firstRowLastColumn="0" w:lastRowFirstColumn="0" w:lastRowLastColumn="0"/>
            </w:pPr>
            <w:r>
              <w:t>1 459</w:t>
            </w:r>
          </w:p>
        </w:tc>
        <w:tc>
          <w:tcPr>
            <w:tcW w:w="783" w:type="dxa"/>
          </w:tcPr>
          <w:p w14:paraId="05C4DFD7" w14:textId="77777777" w:rsidR="00964B88" w:rsidRDefault="00964B88">
            <w:pPr>
              <w:cnfStyle w:val="000000000000" w:firstRow="0" w:lastRow="0" w:firstColumn="0" w:lastColumn="0" w:oddVBand="0" w:evenVBand="0" w:oddHBand="0" w:evenHBand="0" w:firstRowFirstColumn="0" w:firstRowLastColumn="0" w:lastRowFirstColumn="0" w:lastRowLastColumn="0"/>
            </w:pPr>
            <w:r>
              <w:t>1 452</w:t>
            </w:r>
          </w:p>
        </w:tc>
      </w:tr>
      <w:tr w:rsidR="00964B88" w14:paraId="0D4362E7"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6505AD63" w14:textId="77777777" w:rsidR="00964B88" w:rsidRDefault="00964B88">
            <w:r>
              <w:t>Payables</w:t>
            </w:r>
          </w:p>
        </w:tc>
        <w:tc>
          <w:tcPr>
            <w:tcW w:w="782" w:type="dxa"/>
          </w:tcPr>
          <w:p w14:paraId="25D99FE2" w14:textId="77777777" w:rsidR="00964B88" w:rsidRDefault="00964B88">
            <w:pPr>
              <w:cnfStyle w:val="000000000000" w:firstRow="0" w:lastRow="0" w:firstColumn="0" w:lastColumn="0" w:oddVBand="0" w:evenVBand="0" w:oddHBand="0" w:evenHBand="0" w:firstRowFirstColumn="0" w:firstRowLastColumn="0" w:lastRowFirstColumn="0" w:lastRowLastColumn="0"/>
            </w:pPr>
            <w:r>
              <w:t>27 576</w:t>
            </w:r>
          </w:p>
        </w:tc>
        <w:tc>
          <w:tcPr>
            <w:tcW w:w="782" w:type="dxa"/>
          </w:tcPr>
          <w:p w14:paraId="28D770AD" w14:textId="77777777" w:rsidR="00964B88" w:rsidRDefault="00964B88">
            <w:pPr>
              <w:cnfStyle w:val="000000000000" w:firstRow="0" w:lastRow="0" w:firstColumn="0" w:lastColumn="0" w:oddVBand="0" w:evenVBand="0" w:oddHBand="0" w:evenHBand="0" w:firstRowFirstColumn="0" w:firstRowLastColumn="0" w:lastRowFirstColumn="0" w:lastRowLastColumn="0"/>
            </w:pPr>
            <w:r>
              <w:t>26 956</w:t>
            </w:r>
          </w:p>
        </w:tc>
        <w:tc>
          <w:tcPr>
            <w:tcW w:w="782" w:type="dxa"/>
          </w:tcPr>
          <w:p w14:paraId="6C0A72F0" w14:textId="77777777" w:rsidR="00964B88" w:rsidRDefault="00964B88">
            <w:pPr>
              <w:cnfStyle w:val="000000000000" w:firstRow="0" w:lastRow="0" w:firstColumn="0" w:lastColumn="0" w:oddVBand="0" w:evenVBand="0" w:oddHBand="0" w:evenHBand="0" w:firstRowFirstColumn="0" w:firstRowLastColumn="0" w:lastRowFirstColumn="0" w:lastRowLastColumn="0"/>
            </w:pPr>
            <w:r>
              <w:t>27 340</w:t>
            </w:r>
          </w:p>
        </w:tc>
        <w:tc>
          <w:tcPr>
            <w:tcW w:w="782" w:type="dxa"/>
          </w:tcPr>
          <w:p w14:paraId="67E85613" w14:textId="77777777" w:rsidR="00964B88" w:rsidRDefault="00964B88">
            <w:pPr>
              <w:cnfStyle w:val="000000000000" w:firstRow="0" w:lastRow="0" w:firstColumn="0" w:lastColumn="0" w:oddVBand="0" w:evenVBand="0" w:oddHBand="0" w:evenHBand="0" w:firstRowFirstColumn="0" w:firstRowLastColumn="0" w:lastRowFirstColumn="0" w:lastRowLastColumn="0"/>
            </w:pPr>
            <w:r>
              <w:t>27 441</w:t>
            </w:r>
          </w:p>
        </w:tc>
        <w:tc>
          <w:tcPr>
            <w:tcW w:w="783" w:type="dxa"/>
          </w:tcPr>
          <w:p w14:paraId="573AFE87" w14:textId="77777777" w:rsidR="00964B88" w:rsidRDefault="00964B88">
            <w:pPr>
              <w:cnfStyle w:val="000000000000" w:firstRow="0" w:lastRow="0" w:firstColumn="0" w:lastColumn="0" w:oddVBand="0" w:evenVBand="0" w:oddHBand="0" w:evenHBand="0" w:firstRowFirstColumn="0" w:firstRowLastColumn="0" w:lastRowFirstColumn="0" w:lastRowLastColumn="0"/>
            </w:pPr>
            <w:r>
              <w:t>26 588</w:t>
            </w:r>
          </w:p>
        </w:tc>
      </w:tr>
      <w:tr w:rsidR="00964B88" w14:paraId="3C0FA6B8"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6D35F3EF" w14:textId="77777777" w:rsidR="00964B88" w:rsidRDefault="00964B88">
            <w:r>
              <w:t>Borrowings</w:t>
            </w:r>
          </w:p>
        </w:tc>
        <w:tc>
          <w:tcPr>
            <w:tcW w:w="782" w:type="dxa"/>
          </w:tcPr>
          <w:p w14:paraId="49DC049F" w14:textId="77777777" w:rsidR="00964B88" w:rsidRDefault="00964B88">
            <w:pPr>
              <w:cnfStyle w:val="000000000000" w:firstRow="0" w:lastRow="0" w:firstColumn="0" w:lastColumn="0" w:oddVBand="0" w:evenVBand="0" w:oddHBand="0" w:evenHBand="0" w:firstRowFirstColumn="0" w:firstRowLastColumn="0" w:lastRowFirstColumn="0" w:lastRowLastColumn="0"/>
            </w:pPr>
            <w:r>
              <w:t>74 755</w:t>
            </w:r>
          </w:p>
        </w:tc>
        <w:tc>
          <w:tcPr>
            <w:tcW w:w="782" w:type="dxa"/>
          </w:tcPr>
          <w:p w14:paraId="18AA17B7" w14:textId="77777777" w:rsidR="00964B88" w:rsidRDefault="00964B88">
            <w:pPr>
              <w:cnfStyle w:val="000000000000" w:firstRow="0" w:lastRow="0" w:firstColumn="0" w:lastColumn="0" w:oddVBand="0" w:evenVBand="0" w:oddHBand="0" w:evenHBand="0" w:firstRowFirstColumn="0" w:firstRowLastColumn="0" w:lastRowFirstColumn="0" w:lastRowLastColumn="0"/>
            </w:pPr>
            <w:r>
              <w:t>77 998</w:t>
            </w:r>
          </w:p>
        </w:tc>
        <w:tc>
          <w:tcPr>
            <w:tcW w:w="782" w:type="dxa"/>
          </w:tcPr>
          <w:p w14:paraId="505C73B0" w14:textId="77777777" w:rsidR="00964B88" w:rsidRDefault="00964B88">
            <w:pPr>
              <w:cnfStyle w:val="000000000000" w:firstRow="0" w:lastRow="0" w:firstColumn="0" w:lastColumn="0" w:oddVBand="0" w:evenVBand="0" w:oddHBand="0" w:evenHBand="0" w:firstRowFirstColumn="0" w:firstRowLastColumn="0" w:lastRowFirstColumn="0" w:lastRowLastColumn="0"/>
            </w:pPr>
            <w:r>
              <w:t>87 679</w:t>
            </w:r>
          </w:p>
        </w:tc>
        <w:tc>
          <w:tcPr>
            <w:tcW w:w="782" w:type="dxa"/>
          </w:tcPr>
          <w:p w14:paraId="05CF0739" w14:textId="77777777" w:rsidR="00964B88" w:rsidRDefault="00964B88">
            <w:pPr>
              <w:cnfStyle w:val="000000000000" w:firstRow="0" w:lastRow="0" w:firstColumn="0" w:lastColumn="0" w:oddVBand="0" w:evenVBand="0" w:oddHBand="0" w:evenHBand="0" w:firstRowFirstColumn="0" w:firstRowLastColumn="0" w:lastRowFirstColumn="0" w:lastRowLastColumn="0"/>
            </w:pPr>
            <w:r>
              <w:t>93 544</w:t>
            </w:r>
          </w:p>
        </w:tc>
        <w:tc>
          <w:tcPr>
            <w:tcW w:w="783" w:type="dxa"/>
          </w:tcPr>
          <w:p w14:paraId="7254D8D7" w14:textId="77777777" w:rsidR="00964B88" w:rsidRDefault="00964B88">
            <w:pPr>
              <w:cnfStyle w:val="000000000000" w:firstRow="0" w:lastRow="0" w:firstColumn="0" w:lastColumn="0" w:oddVBand="0" w:evenVBand="0" w:oddHBand="0" w:evenHBand="0" w:firstRowFirstColumn="0" w:firstRowLastColumn="0" w:lastRowFirstColumn="0" w:lastRowLastColumn="0"/>
            </w:pPr>
            <w:r>
              <w:t>98 125</w:t>
            </w:r>
          </w:p>
        </w:tc>
      </w:tr>
      <w:tr w:rsidR="00964B88" w14:paraId="60604EE2"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3F7BA900" w14:textId="77777777" w:rsidR="00964B88" w:rsidRDefault="00964B88">
            <w:r>
              <w:t>Employee benefits</w:t>
            </w:r>
          </w:p>
        </w:tc>
        <w:tc>
          <w:tcPr>
            <w:tcW w:w="782" w:type="dxa"/>
          </w:tcPr>
          <w:p w14:paraId="060F3BC5" w14:textId="77777777" w:rsidR="00964B88" w:rsidRDefault="00964B88">
            <w:pPr>
              <w:cnfStyle w:val="000000000000" w:firstRow="0" w:lastRow="0" w:firstColumn="0" w:lastColumn="0" w:oddVBand="0" w:evenVBand="0" w:oddHBand="0" w:evenHBand="0" w:firstRowFirstColumn="0" w:firstRowLastColumn="0" w:lastRowFirstColumn="0" w:lastRowLastColumn="0"/>
            </w:pPr>
            <w:r>
              <w:t>8 927</w:t>
            </w:r>
          </w:p>
        </w:tc>
        <w:tc>
          <w:tcPr>
            <w:tcW w:w="782" w:type="dxa"/>
          </w:tcPr>
          <w:p w14:paraId="1174B515" w14:textId="77777777" w:rsidR="00964B88" w:rsidRDefault="00964B88">
            <w:pPr>
              <w:cnfStyle w:val="000000000000" w:firstRow="0" w:lastRow="0" w:firstColumn="0" w:lastColumn="0" w:oddVBand="0" w:evenVBand="0" w:oddHBand="0" w:evenHBand="0" w:firstRowFirstColumn="0" w:firstRowLastColumn="0" w:lastRowFirstColumn="0" w:lastRowLastColumn="0"/>
            </w:pPr>
            <w:r>
              <w:t>8 894</w:t>
            </w:r>
          </w:p>
        </w:tc>
        <w:tc>
          <w:tcPr>
            <w:tcW w:w="782" w:type="dxa"/>
          </w:tcPr>
          <w:p w14:paraId="4553A92A" w14:textId="77777777" w:rsidR="00964B88" w:rsidRDefault="00964B88">
            <w:pPr>
              <w:cnfStyle w:val="000000000000" w:firstRow="0" w:lastRow="0" w:firstColumn="0" w:lastColumn="0" w:oddVBand="0" w:evenVBand="0" w:oddHBand="0" w:evenHBand="0" w:firstRowFirstColumn="0" w:firstRowLastColumn="0" w:lastRowFirstColumn="0" w:lastRowLastColumn="0"/>
            </w:pPr>
            <w:r>
              <w:t>9 190</w:t>
            </w:r>
          </w:p>
        </w:tc>
        <w:tc>
          <w:tcPr>
            <w:tcW w:w="782" w:type="dxa"/>
          </w:tcPr>
          <w:p w14:paraId="358D957D" w14:textId="77777777" w:rsidR="00964B88" w:rsidRDefault="00964B88">
            <w:pPr>
              <w:cnfStyle w:val="000000000000" w:firstRow="0" w:lastRow="0" w:firstColumn="0" w:lastColumn="0" w:oddVBand="0" w:evenVBand="0" w:oddHBand="0" w:evenHBand="0" w:firstRowFirstColumn="0" w:firstRowLastColumn="0" w:lastRowFirstColumn="0" w:lastRowLastColumn="0"/>
            </w:pPr>
            <w:r>
              <w:t>9 490</w:t>
            </w:r>
          </w:p>
        </w:tc>
        <w:tc>
          <w:tcPr>
            <w:tcW w:w="783" w:type="dxa"/>
          </w:tcPr>
          <w:p w14:paraId="13AC9F19" w14:textId="77777777" w:rsidR="00964B88" w:rsidRDefault="00964B88">
            <w:pPr>
              <w:cnfStyle w:val="000000000000" w:firstRow="0" w:lastRow="0" w:firstColumn="0" w:lastColumn="0" w:oddVBand="0" w:evenVBand="0" w:oddHBand="0" w:evenHBand="0" w:firstRowFirstColumn="0" w:firstRowLastColumn="0" w:lastRowFirstColumn="0" w:lastRowLastColumn="0"/>
            </w:pPr>
            <w:r>
              <w:t>9 795</w:t>
            </w:r>
          </w:p>
        </w:tc>
      </w:tr>
      <w:tr w:rsidR="00964B88" w14:paraId="3B8E0325"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69BF14E8" w14:textId="77777777" w:rsidR="00964B88" w:rsidRDefault="00964B88">
            <w:r>
              <w:t>Superannuation</w:t>
            </w:r>
          </w:p>
        </w:tc>
        <w:tc>
          <w:tcPr>
            <w:tcW w:w="782" w:type="dxa"/>
          </w:tcPr>
          <w:p w14:paraId="6291FC32" w14:textId="77777777" w:rsidR="00964B88" w:rsidRDefault="00964B88">
            <w:pPr>
              <w:cnfStyle w:val="000000000000" w:firstRow="0" w:lastRow="0" w:firstColumn="0" w:lastColumn="0" w:oddVBand="0" w:evenVBand="0" w:oddHBand="0" w:evenHBand="0" w:firstRowFirstColumn="0" w:firstRowLastColumn="0" w:lastRowFirstColumn="0" w:lastRowLastColumn="0"/>
            </w:pPr>
            <w:r>
              <w:t>27 602</w:t>
            </w:r>
          </w:p>
        </w:tc>
        <w:tc>
          <w:tcPr>
            <w:tcW w:w="782" w:type="dxa"/>
          </w:tcPr>
          <w:p w14:paraId="1584E3EE" w14:textId="77777777" w:rsidR="00964B88" w:rsidRDefault="00964B88">
            <w:pPr>
              <w:cnfStyle w:val="000000000000" w:firstRow="0" w:lastRow="0" w:firstColumn="0" w:lastColumn="0" w:oddVBand="0" w:evenVBand="0" w:oddHBand="0" w:evenHBand="0" w:firstRowFirstColumn="0" w:firstRowLastColumn="0" w:lastRowFirstColumn="0" w:lastRowLastColumn="0"/>
            </w:pPr>
            <w:r>
              <w:t>28 487</w:t>
            </w:r>
          </w:p>
        </w:tc>
        <w:tc>
          <w:tcPr>
            <w:tcW w:w="782" w:type="dxa"/>
          </w:tcPr>
          <w:p w14:paraId="2628EC2B" w14:textId="77777777" w:rsidR="00964B88" w:rsidRDefault="00964B88">
            <w:pPr>
              <w:cnfStyle w:val="000000000000" w:firstRow="0" w:lastRow="0" w:firstColumn="0" w:lastColumn="0" w:oddVBand="0" w:evenVBand="0" w:oddHBand="0" w:evenHBand="0" w:firstRowFirstColumn="0" w:firstRowLastColumn="0" w:lastRowFirstColumn="0" w:lastRowLastColumn="0"/>
            </w:pPr>
            <w:r>
              <w:t>26 895</w:t>
            </w:r>
          </w:p>
        </w:tc>
        <w:tc>
          <w:tcPr>
            <w:tcW w:w="782" w:type="dxa"/>
          </w:tcPr>
          <w:p w14:paraId="0AF8E4C6" w14:textId="77777777" w:rsidR="00964B88" w:rsidRDefault="00964B88">
            <w:pPr>
              <w:cnfStyle w:val="000000000000" w:firstRow="0" w:lastRow="0" w:firstColumn="0" w:lastColumn="0" w:oddVBand="0" w:evenVBand="0" w:oddHBand="0" w:evenHBand="0" w:firstRowFirstColumn="0" w:firstRowLastColumn="0" w:lastRowFirstColumn="0" w:lastRowLastColumn="0"/>
            </w:pPr>
            <w:r>
              <w:t>25 381</w:t>
            </w:r>
          </w:p>
        </w:tc>
        <w:tc>
          <w:tcPr>
            <w:tcW w:w="783" w:type="dxa"/>
          </w:tcPr>
          <w:p w14:paraId="096D276C" w14:textId="77777777" w:rsidR="00964B88" w:rsidRDefault="00964B88">
            <w:pPr>
              <w:cnfStyle w:val="000000000000" w:firstRow="0" w:lastRow="0" w:firstColumn="0" w:lastColumn="0" w:oddVBand="0" w:evenVBand="0" w:oddHBand="0" w:evenHBand="0" w:firstRowFirstColumn="0" w:firstRowLastColumn="0" w:lastRowFirstColumn="0" w:lastRowLastColumn="0"/>
            </w:pPr>
            <w:r>
              <w:t>23 867</w:t>
            </w:r>
          </w:p>
        </w:tc>
      </w:tr>
      <w:tr w:rsidR="00964B88" w14:paraId="18BD0D1D" w14:textId="77777777" w:rsidTr="003951F6">
        <w:tc>
          <w:tcPr>
            <w:cnfStyle w:val="001000000000" w:firstRow="0" w:lastRow="0" w:firstColumn="1" w:lastColumn="0" w:oddVBand="0" w:evenVBand="0" w:oddHBand="0" w:evenHBand="0" w:firstRowFirstColumn="0" w:firstRowLastColumn="0" w:lastRowFirstColumn="0" w:lastRowLastColumn="0"/>
            <w:tcW w:w="3857" w:type="dxa"/>
            <w:tcBorders>
              <w:bottom w:val="single" w:sz="6" w:space="0" w:color="auto"/>
            </w:tcBorders>
          </w:tcPr>
          <w:p w14:paraId="521B8306" w14:textId="77777777" w:rsidR="00964B88" w:rsidRDefault="00964B88">
            <w:r>
              <w:t>Other provisions</w:t>
            </w:r>
          </w:p>
        </w:tc>
        <w:tc>
          <w:tcPr>
            <w:tcW w:w="782" w:type="dxa"/>
            <w:tcBorders>
              <w:bottom w:val="single" w:sz="6" w:space="0" w:color="auto"/>
            </w:tcBorders>
          </w:tcPr>
          <w:p w14:paraId="047E5C31" w14:textId="77777777" w:rsidR="00964B88" w:rsidRDefault="00964B88">
            <w:pPr>
              <w:cnfStyle w:val="000000000000" w:firstRow="0" w:lastRow="0" w:firstColumn="0" w:lastColumn="0" w:oddVBand="0" w:evenVBand="0" w:oddHBand="0" w:evenHBand="0" w:firstRowFirstColumn="0" w:firstRowLastColumn="0" w:lastRowFirstColumn="0" w:lastRowLastColumn="0"/>
            </w:pPr>
            <w:r>
              <w:t>43 175</w:t>
            </w:r>
          </w:p>
        </w:tc>
        <w:tc>
          <w:tcPr>
            <w:tcW w:w="782" w:type="dxa"/>
            <w:tcBorders>
              <w:bottom w:val="single" w:sz="6" w:space="0" w:color="auto"/>
            </w:tcBorders>
          </w:tcPr>
          <w:p w14:paraId="7EA38390" w14:textId="77777777" w:rsidR="00964B88" w:rsidRDefault="00964B88">
            <w:pPr>
              <w:cnfStyle w:val="000000000000" w:firstRow="0" w:lastRow="0" w:firstColumn="0" w:lastColumn="0" w:oddVBand="0" w:evenVBand="0" w:oddHBand="0" w:evenHBand="0" w:firstRowFirstColumn="0" w:firstRowLastColumn="0" w:lastRowFirstColumn="0" w:lastRowLastColumn="0"/>
            </w:pPr>
            <w:r>
              <w:t>45 596</w:t>
            </w:r>
          </w:p>
        </w:tc>
        <w:tc>
          <w:tcPr>
            <w:tcW w:w="782" w:type="dxa"/>
            <w:tcBorders>
              <w:bottom w:val="single" w:sz="6" w:space="0" w:color="auto"/>
            </w:tcBorders>
          </w:tcPr>
          <w:p w14:paraId="61FB1B41" w14:textId="77777777" w:rsidR="00964B88" w:rsidRDefault="00964B88">
            <w:pPr>
              <w:cnfStyle w:val="000000000000" w:firstRow="0" w:lastRow="0" w:firstColumn="0" w:lastColumn="0" w:oddVBand="0" w:evenVBand="0" w:oddHBand="0" w:evenHBand="0" w:firstRowFirstColumn="0" w:firstRowLastColumn="0" w:lastRowFirstColumn="0" w:lastRowLastColumn="0"/>
            </w:pPr>
            <w:r>
              <w:t>48 376</w:t>
            </w:r>
          </w:p>
        </w:tc>
        <w:tc>
          <w:tcPr>
            <w:tcW w:w="782" w:type="dxa"/>
            <w:tcBorders>
              <w:bottom w:val="single" w:sz="6" w:space="0" w:color="auto"/>
            </w:tcBorders>
          </w:tcPr>
          <w:p w14:paraId="795174D6" w14:textId="77777777" w:rsidR="00964B88" w:rsidRDefault="00964B88">
            <w:pPr>
              <w:cnfStyle w:val="000000000000" w:firstRow="0" w:lastRow="0" w:firstColumn="0" w:lastColumn="0" w:oddVBand="0" w:evenVBand="0" w:oddHBand="0" w:evenHBand="0" w:firstRowFirstColumn="0" w:firstRowLastColumn="0" w:lastRowFirstColumn="0" w:lastRowLastColumn="0"/>
            </w:pPr>
            <w:r>
              <w:t>51 298</w:t>
            </w:r>
          </w:p>
        </w:tc>
        <w:tc>
          <w:tcPr>
            <w:tcW w:w="783" w:type="dxa"/>
            <w:tcBorders>
              <w:bottom w:val="single" w:sz="6" w:space="0" w:color="auto"/>
            </w:tcBorders>
          </w:tcPr>
          <w:p w14:paraId="44FC28FB" w14:textId="77777777" w:rsidR="00964B88" w:rsidRDefault="00964B88">
            <w:pPr>
              <w:cnfStyle w:val="000000000000" w:firstRow="0" w:lastRow="0" w:firstColumn="0" w:lastColumn="0" w:oddVBand="0" w:evenVBand="0" w:oddHBand="0" w:evenHBand="0" w:firstRowFirstColumn="0" w:firstRowLastColumn="0" w:lastRowFirstColumn="0" w:lastRowLastColumn="0"/>
            </w:pPr>
            <w:r>
              <w:t>54 142</w:t>
            </w:r>
          </w:p>
        </w:tc>
      </w:tr>
      <w:tr w:rsidR="00964B88" w14:paraId="4CA6F071" w14:textId="77777777" w:rsidTr="003951F6">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bottom w:val="single" w:sz="6" w:space="0" w:color="auto"/>
            </w:tcBorders>
          </w:tcPr>
          <w:p w14:paraId="27ACC28A" w14:textId="77777777" w:rsidR="00964B88" w:rsidRDefault="00964B88">
            <w:r>
              <w:rPr>
                <w:b/>
              </w:rPr>
              <w:t>Total liabilities</w:t>
            </w:r>
          </w:p>
        </w:tc>
        <w:tc>
          <w:tcPr>
            <w:tcW w:w="782" w:type="dxa"/>
            <w:tcBorders>
              <w:top w:val="single" w:sz="6" w:space="0" w:color="auto"/>
              <w:bottom w:val="single" w:sz="6" w:space="0" w:color="auto"/>
            </w:tcBorders>
          </w:tcPr>
          <w:p w14:paraId="29AFFA0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183 624</w:t>
            </w:r>
          </w:p>
        </w:tc>
        <w:tc>
          <w:tcPr>
            <w:tcW w:w="782" w:type="dxa"/>
            <w:tcBorders>
              <w:top w:val="single" w:sz="6" w:space="0" w:color="auto"/>
              <w:bottom w:val="single" w:sz="6" w:space="0" w:color="auto"/>
            </w:tcBorders>
          </w:tcPr>
          <w:p w14:paraId="5F17CCD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189 510</w:t>
            </w:r>
          </w:p>
        </w:tc>
        <w:tc>
          <w:tcPr>
            <w:tcW w:w="782" w:type="dxa"/>
            <w:tcBorders>
              <w:top w:val="single" w:sz="6" w:space="0" w:color="auto"/>
              <w:bottom w:val="single" w:sz="6" w:space="0" w:color="auto"/>
            </w:tcBorders>
          </w:tcPr>
          <w:p w14:paraId="2F1A15F8"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201 057</w:t>
            </w:r>
          </w:p>
        </w:tc>
        <w:tc>
          <w:tcPr>
            <w:tcW w:w="782" w:type="dxa"/>
            <w:tcBorders>
              <w:top w:val="single" w:sz="6" w:space="0" w:color="auto"/>
              <w:bottom w:val="single" w:sz="6" w:space="0" w:color="auto"/>
            </w:tcBorders>
          </w:tcPr>
          <w:p w14:paraId="16C997F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208 613</w:t>
            </w:r>
          </w:p>
        </w:tc>
        <w:tc>
          <w:tcPr>
            <w:tcW w:w="783" w:type="dxa"/>
            <w:tcBorders>
              <w:top w:val="single" w:sz="6" w:space="0" w:color="auto"/>
              <w:bottom w:val="single" w:sz="6" w:space="0" w:color="auto"/>
            </w:tcBorders>
          </w:tcPr>
          <w:p w14:paraId="4ED7ECD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213 969</w:t>
            </w:r>
          </w:p>
        </w:tc>
      </w:tr>
      <w:tr w:rsidR="00964B88" w14:paraId="4D7D9747" w14:textId="77777777" w:rsidTr="003951F6">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bottom w:val="single" w:sz="12" w:space="0" w:color="auto"/>
            </w:tcBorders>
          </w:tcPr>
          <w:p w14:paraId="3B62F931" w14:textId="77777777" w:rsidR="00964B88" w:rsidRDefault="00964B88">
            <w:r>
              <w:rPr>
                <w:b/>
              </w:rPr>
              <w:t>Net assets</w:t>
            </w:r>
          </w:p>
        </w:tc>
        <w:tc>
          <w:tcPr>
            <w:tcW w:w="782" w:type="dxa"/>
            <w:tcBorders>
              <w:top w:val="single" w:sz="6" w:space="0" w:color="auto"/>
              <w:bottom w:val="single" w:sz="12" w:space="0" w:color="auto"/>
            </w:tcBorders>
          </w:tcPr>
          <w:p w14:paraId="5EFE93F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185 824</w:t>
            </w:r>
          </w:p>
        </w:tc>
        <w:tc>
          <w:tcPr>
            <w:tcW w:w="782" w:type="dxa"/>
            <w:tcBorders>
              <w:top w:val="single" w:sz="6" w:space="0" w:color="auto"/>
              <w:bottom w:val="single" w:sz="12" w:space="0" w:color="auto"/>
            </w:tcBorders>
          </w:tcPr>
          <w:p w14:paraId="677FF37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181 929</w:t>
            </w:r>
          </w:p>
        </w:tc>
        <w:tc>
          <w:tcPr>
            <w:tcW w:w="782" w:type="dxa"/>
            <w:tcBorders>
              <w:top w:val="single" w:sz="6" w:space="0" w:color="auto"/>
              <w:bottom w:val="single" w:sz="12" w:space="0" w:color="auto"/>
            </w:tcBorders>
          </w:tcPr>
          <w:p w14:paraId="32AB78D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187 969</w:t>
            </w:r>
          </w:p>
        </w:tc>
        <w:tc>
          <w:tcPr>
            <w:tcW w:w="782" w:type="dxa"/>
            <w:tcBorders>
              <w:top w:val="single" w:sz="6" w:space="0" w:color="auto"/>
              <w:bottom w:val="single" w:sz="12" w:space="0" w:color="auto"/>
            </w:tcBorders>
          </w:tcPr>
          <w:p w14:paraId="77489A50"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193 638</w:t>
            </w:r>
          </w:p>
        </w:tc>
        <w:tc>
          <w:tcPr>
            <w:tcW w:w="783" w:type="dxa"/>
            <w:tcBorders>
              <w:top w:val="single" w:sz="6" w:space="0" w:color="auto"/>
              <w:bottom w:val="single" w:sz="12" w:space="0" w:color="auto"/>
            </w:tcBorders>
          </w:tcPr>
          <w:p w14:paraId="3754DBB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202 114</w:t>
            </w:r>
          </w:p>
        </w:tc>
      </w:tr>
      <w:tr w:rsidR="00964B88" w14:paraId="0E63AECE" w14:textId="77777777" w:rsidTr="003951F6">
        <w:tc>
          <w:tcPr>
            <w:cnfStyle w:val="001000000000" w:firstRow="0" w:lastRow="0" w:firstColumn="1" w:lastColumn="0" w:oddVBand="0" w:evenVBand="0" w:oddHBand="0" w:evenHBand="0" w:firstRowFirstColumn="0" w:firstRowLastColumn="0" w:lastRowFirstColumn="0" w:lastRowLastColumn="0"/>
            <w:tcW w:w="3857" w:type="dxa"/>
            <w:tcBorders>
              <w:top w:val="single" w:sz="0" w:space="0" w:color="auto"/>
            </w:tcBorders>
          </w:tcPr>
          <w:p w14:paraId="6621678A" w14:textId="77777777" w:rsidR="00964B88" w:rsidRDefault="00964B88">
            <w:r>
              <w:t>Accumulated surplus/(deficit)</w:t>
            </w:r>
          </w:p>
        </w:tc>
        <w:tc>
          <w:tcPr>
            <w:tcW w:w="782" w:type="dxa"/>
            <w:tcBorders>
              <w:top w:val="single" w:sz="0" w:space="0" w:color="auto"/>
            </w:tcBorders>
          </w:tcPr>
          <w:p w14:paraId="2A8E16CA" w14:textId="77777777" w:rsidR="00964B88" w:rsidRDefault="00964B88">
            <w:pPr>
              <w:cnfStyle w:val="000000000000" w:firstRow="0" w:lastRow="0" w:firstColumn="0" w:lastColumn="0" w:oddVBand="0" w:evenVBand="0" w:oddHBand="0" w:evenHBand="0" w:firstRowFirstColumn="0" w:firstRowLastColumn="0" w:lastRowFirstColumn="0" w:lastRowLastColumn="0"/>
            </w:pPr>
            <w:r>
              <w:t>70 966</w:t>
            </w:r>
          </w:p>
        </w:tc>
        <w:tc>
          <w:tcPr>
            <w:tcW w:w="782" w:type="dxa"/>
            <w:tcBorders>
              <w:top w:val="single" w:sz="0" w:space="0" w:color="auto"/>
            </w:tcBorders>
          </w:tcPr>
          <w:p w14:paraId="280D0E50" w14:textId="77777777" w:rsidR="00964B88" w:rsidRDefault="00964B88">
            <w:pPr>
              <w:cnfStyle w:val="000000000000" w:firstRow="0" w:lastRow="0" w:firstColumn="0" w:lastColumn="0" w:oddVBand="0" w:evenVBand="0" w:oddHBand="0" w:evenHBand="0" w:firstRowFirstColumn="0" w:firstRowLastColumn="0" w:lastRowFirstColumn="0" w:lastRowLastColumn="0"/>
            </w:pPr>
            <w:r>
              <w:t>90 952</w:t>
            </w:r>
          </w:p>
        </w:tc>
        <w:tc>
          <w:tcPr>
            <w:tcW w:w="782" w:type="dxa"/>
            <w:tcBorders>
              <w:top w:val="single" w:sz="0" w:space="0" w:color="auto"/>
            </w:tcBorders>
          </w:tcPr>
          <w:p w14:paraId="17EADF1E" w14:textId="77777777" w:rsidR="00964B88" w:rsidRDefault="00964B88">
            <w:pPr>
              <w:cnfStyle w:val="000000000000" w:firstRow="0" w:lastRow="0" w:firstColumn="0" w:lastColumn="0" w:oddVBand="0" w:evenVBand="0" w:oddHBand="0" w:evenHBand="0" w:firstRowFirstColumn="0" w:firstRowLastColumn="0" w:lastRowFirstColumn="0" w:lastRowLastColumn="0"/>
            </w:pPr>
            <w:r>
              <w:t>90 222</w:t>
            </w:r>
          </w:p>
        </w:tc>
        <w:tc>
          <w:tcPr>
            <w:tcW w:w="782" w:type="dxa"/>
            <w:tcBorders>
              <w:top w:val="single" w:sz="0" w:space="0" w:color="auto"/>
            </w:tcBorders>
          </w:tcPr>
          <w:p w14:paraId="287E4363" w14:textId="77777777" w:rsidR="00964B88" w:rsidRDefault="00964B88">
            <w:pPr>
              <w:cnfStyle w:val="000000000000" w:firstRow="0" w:lastRow="0" w:firstColumn="0" w:lastColumn="0" w:oddVBand="0" w:evenVBand="0" w:oddHBand="0" w:evenHBand="0" w:firstRowFirstColumn="0" w:firstRowLastColumn="0" w:lastRowFirstColumn="0" w:lastRowLastColumn="0"/>
            </w:pPr>
            <w:r>
              <w:t>92 115</w:t>
            </w:r>
          </w:p>
        </w:tc>
        <w:tc>
          <w:tcPr>
            <w:tcW w:w="783" w:type="dxa"/>
            <w:tcBorders>
              <w:top w:val="single" w:sz="0" w:space="0" w:color="auto"/>
            </w:tcBorders>
          </w:tcPr>
          <w:p w14:paraId="0EEBFD5E" w14:textId="77777777" w:rsidR="00964B88" w:rsidRDefault="00964B88">
            <w:pPr>
              <w:cnfStyle w:val="000000000000" w:firstRow="0" w:lastRow="0" w:firstColumn="0" w:lastColumn="0" w:oddVBand="0" w:evenVBand="0" w:oddHBand="0" w:evenHBand="0" w:firstRowFirstColumn="0" w:firstRowLastColumn="0" w:lastRowFirstColumn="0" w:lastRowLastColumn="0"/>
            </w:pPr>
            <w:r>
              <w:t>95 744</w:t>
            </w:r>
          </w:p>
        </w:tc>
      </w:tr>
      <w:tr w:rsidR="00964B88" w14:paraId="481DC174" w14:textId="77777777" w:rsidTr="003951F6">
        <w:tc>
          <w:tcPr>
            <w:cnfStyle w:val="001000000000" w:firstRow="0" w:lastRow="0" w:firstColumn="1" w:lastColumn="0" w:oddVBand="0" w:evenVBand="0" w:oddHBand="0" w:evenHBand="0" w:firstRowFirstColumn="0" w:firstRowLastColumn="0" w:lastRowFirstColumn="0" w:lastRowLastColumn="0"/>
            <w:tcW w:w="3857" w:type="dxa"/>
            <w:tcBorders>
              <w:bottom w:val="single" w:sz="6" w:space="0" w:color="auto"/>
            </w:tcBorders>
          </w:tcPr>
          <w:p w14:paraId="2135DC65" w14:textId="77777777" w:rsidR="00964B88" w:rsidRDefault="00964B88">
            <w:r>
              <w:t>Reserves</w:t>
            </w:r>
          </w:p>
        </w:tc>
        <w:tc>
          <w:tcPr>
            <w:tcW w:w="782" w:type="dxa"/>
            <w:tcBorders>
              <w:bottom w:val="single" w:sz="6" w:space="0" w:color="auto"/>
            </w:tcBorders>
          </w:tcPr>
          <w:p w14:paraId="2A54D414" w14:textId="77777777" w:rsidR="00964B88" w:rsidRDefault="00964B88">
            <w:pPr>
              <w:cnfStyle w:val="000000000000" w:firstRow="0" w:lastRow="0" w:firstColumn="0" w:lastColumn="0" w:oddVBand="0" w:evenVBand="0" w:oddHBand="0" w:evenHBand="0" w:firstRowFirstColumn="0" w:firstRowLastColumn="0" w:lastRowFirstColumn="0" w:lastRowLastColumn="0"/>
            </w:pPr>
            <w:r>
              <w:t>114 858</w:t>
            </w:r>
          </w:p>
        </w:tc>
        <w:tc>
          <w:tcPr>
            <w:tcW w:w="782" w:type="dxa"/>
            <w:tcBorders>
              <w:bottom w:val="single" w:sz="6" w:space="0" w:color="auto"/>
            </w:tcBorders>
          </w:tcPr>
          <w:p w14:paraId="1358BE63" w14:textId="77777777" w:rsidR="00964B88" w:rsidRDefault="00964B88">
            <w:pPr>
              <w:cnfStyle w:val="000000000000" w:firstRow="0" w:lastRow="0" w:firstColumn="0" w:lastColumn="0" w:oddVBand="0" w:evenVBand="0" w:oddHBand="0" w:evenHBand="0" w:firstRowFirstColumn="0" w:firstRowLastColumn="0" w:lastRowFirstColumn="0" w:lastRowLastColumn="0"/>
            </w:pPr>
            <w:r>
              <w:t>90 977</w:t>
            </w:r>
          </w:p>
        </w:tc>
        <w:tc>
          <w:tcPr>
            <w:tcW w:w="782" w:type="dxa"/>
            <w:tcBorders>
              <w:bottom w:val="single" w:sz="6" w:space="0" w:color="auto"/>
            </w:tcBorders>
          </w:tcPr>
          <w:p w14:paraId="4E8C9B81" w14:textId="77777777" w:rsidR="00964B88" w:rsidRDefault="00964B88">
            <w:pPr>
              <w:cnfStyle w:val="000000000000" w:firstRow="0" w:lastRow="0" w:firstColumn="0" w:lastColumn="0" w:oddVBand="0" w:evenVBand="0" w:oddHBand="0" w:evenHBand="0" w:firstRowFirstColumn="0" w:firstRowLastColumn="0" w:lastRowFirstColumn="0" w:lastRowLastColumn="0"/>
            </w:pPr>
            <w:r>
              <w:t>97 747</w:t>
            </w:r>
          </w:p>
        </w:tc>
        <w:tc>
          <w:tcPr>
            <w:tcW w:w="782" w:type="dxa"/>
            <w:tcBorders>
              <w:bottom w:val="single" w:sz="6" w:space="0" w:color="auto"/>
            </w:tcBorders>
          </w:tcPr>
          <w:p w14:paraId="03367EE8" w14:textId="77777777" w:rsidR="00964B88" w:rsidRDefault="00964B88">
            <w:pPr>
              <w:cnfStyle w:val="000000000000" w:firstRow="0" w:lastRow="0" w:firstColumn="0" w:lastColumn="0" w:oddVBand="0" w:evenVBand="0" w:oddHBand="0" w:evenHBand="0" w:firstRowFirstColumn="0" w:firstRowLastColumn="0" w:lastRowFirstColumn="0" w:lastRowLastColumn="0"/>
            </w:pPr>
            <w:r>
              <w:t>101 524</w:t>
            </w:r>
          </w:p>
        </w:tc>
        <w:tc>
          <w:tcPr>
            <w:tcW w:w="783" w:type="dxa"/>
            <w:tcBorders>
              <w:bottom w:val="single" w:sz="6" w:space="0" w:color="auto"/>
            </w:tcBorders>
          </w:tcPr>
          <w:p w14:paraId="5CAF31FE" w14:textId="77777777" w:rsidR="00964B88" w:rsidRDefault="00964B88">
            <w:pPr>
              <w:cnfStyle w:val="000000000000" w:firstRow="0" w:lastRow="0" w:firstColumn="0" w:lastColumn="0" w:oddVBand="0" w:evenVBand="0" w:oddHBand="0" w:evenHBand="0" w:firstRowFirstColumn="0" w:firstRowLastColumn="0" w:lastRowFirstColumn="0" w:lastRowLastColumn="0"/>
            </w:pPr>
            <w:r>
              <w:t>106 369</w:t>
            </w:r>
          </w:p>
        </w:tc>
      </w:tr>
      <w:tr w:rsidR="00964B88" w14:paraId="33B7CC98" w14:textId="77777777" w:rsidTr="003951F6">
        <w:tc>
          <w:tcPr>
            <w:cnfStyle w:val="001000000000" w:firstRow="0" w:lastRow="0" w:firstColumn="1" w:lastColumn="0" w:oddVBand="0" w:evenVBand="0" w:oddHBand="0" w:evenHBand="0" w:firstRowFirstColumn="0" w:firstRowLastColumn="0" w:lastRowFirstColumn="0" w:lastRowLastColumn="0"/>
            <w:tcW w:w="3857" w:type="dxa"/>
            <w:tcBorders>
              <w:top w:val="single" w:sz="6" w:space="0" w:color="auto"/>
              <w:bottom w:val="single" w:sz="12" w:space="0" w:color="auto"/>
            </w:tcBorders>
          </w:tcPr>
          <w:p w14:paraId="38936A5D" w14:textId="77777777" w:rsidR="00964B88" w:rsidRDefault="00964B88">
            <w:r>
              <w:rPr>
                <w:b/>
              </w:rPr>
              <w:t>Net worth</w:t>
            </w:r>
          </w:p>
        </w:tc>
        <w:tc>
          <w:tcPr>
            <w:tcW w:w="782" w:type="dxa"/>
            <w:tcBorders>
              <w:top w:val="single" w:sz="6" w:space="0" w:color="auto"/>
              <w:bottom w:val="single" w:sz="12" w:space="0" w:color="auto"/>
            </w:tcBorders>
          </w:tcPr>
          <w:p w14:paraId="0A6448D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185 824</w:t>
            </w:r>
          </w:p>
        </w:tc>
        <w:tc>
          <w:tcPr>
            <w:tcW w:w="782" w:type="dxa"/>
            <w:tcBorders>
              <w:top w:val="single" w:sz="6" w:space="0" w:color="auto"/>
              <w:bottom w:val="single" w:sz="12" w:space="0" w:color="auto"/>
            </w:tcBorders>
          </w:tcPr>
          <w:p w14:paraId="444BAF9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181 929</w:t>
            </w:r>
          </w:p>
        </w:tc>
        <w:tc>
          <w:tcPr>
            <w:tcW w:w="782" w:type="dxa"/>
            <w:tcBorders>
              <w:top w:val="single" w:sz="6" w:space="0" w:color="auto"/>
              <w:bottom w:val="single" w:sz="12" w:space="0" w:color="auto"/>
            </w:tcBorders>
          </w:tcPr>
          <w:p w14:paraId="269BBF8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187 969</w:t>
            </w:r>
          </w:p>
        </w:tc>
        <w:tc>
          <w:tcPr>
            <w:tcW w:w="782" w:type="dxa"/>
            <w:tcBorders>
              <w:top w:val="single" w:sz="6" w:space="0" w:color="auto"/>
              <w:bottom w:val="single" w:sz="12" w:space="0" w:color="auto"/>
            </w:tcBorders>
          </w:tcPr>
          <w:p w14:paraId="40101E3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193 638</w:t>
            </w:r>
          </w:p>
        </w:tc>
        <w:tc>
          <w:tcPr>
            <w:tcW w:w="783" w:type="dxa"/>
            <w:tcBorders>
              <w:top w:val="single" w:sz="6" w:space="0" w:color="auto"/>
              <w:bottom w:val="single" w:sz="12" w:space="0" w:color="auto"/>
            </w:tcBorders>
          </w:tcPr>
          <w:p w14:paraId="45644BAC"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202 114</w:t>
            </w:r>
          </w:p>
        </w:tc>
      </w:tr>
      <w:tr w:rsidR="00964B88" w14:paraId="7D213D83" w14:textId="77777777" w:rsidTr="003951F6">
        <w:trPr>
          <w:trHeight w:hRule="exact" w:val="113"/>
        </w:trPr>
        <w:tc>
          <w:tcPr>
            <w:cnfStyle w:val="001000000000" w:firstRow="0" w:lastRow="0" w:firstColumn="1" w:lastColumn="0" w:oddVBand="0" w:evenVBand="0" w:oddHBand="0" w:evenHBand="0" w:firstRowFirstColumn="0" w:firstRowLastColumn="0" w:lastRowFirstColumn="0" w:lastRowLastColumn="0"/>
            <w:tcW w:w="3857" w:type="dxa"/>
            <w:tcBorders>
              <w:top w:val="single" w:sz="0" w:space="0" w:color="auto"/>
            </w:tcBorders>
          </w:tcPr>
          <w:p w14:paraId="2D30A528" w14:textId="77777777" w:rsidR="00964B88" w:rsidRDefault="00964B88"/>
        </w:tc>
        <w:tc>
          <w:tcPr>
            <w:tcW w:w="782" w:type="dxa"/>
            <w:tcBorders>
              <w:top w:val="single" w:sz="0" w:space="0" w:color="auto"/>
            </w:tcBorders>
          </w:tcPr>
          <w:p w14:paraId="3E3CC36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0" w:space="0" w:color="auto"/>
            </w:tcBorders>
          </w:tcPr>
          <w:p w14:paraId="3C201D88"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0" w:space="0" w:color="auto"/>
            </w:tcBorders>
          </w:tcPr>
          <w:p w14:paraId="3719B436"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Borders>
              <w:top w:val="single" w:sz="0" w:space="0" w:color="auto"/>
            </w:tcBorders>
          </w:tcPr>
          <w:p w14:paraId="7023523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Borders>
              <w:top w:val="single" w:sz="0" w:space="0" w:color="auto"/>
            </w:tcBorders>
          </w:tcPr>
          <w:p w14:paraId="1616A0B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17753878"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7F41B609" w14:textId="77777777" w:rsidR="00964B88" w:rsidRDefault="00964B88">
            <w:r>
              <w:rPr>
                <w:b/>
              </w:rPr>
              <w:t>FISCAL AGGREGATES</w:t>
            </w:r>
          </w:p>
        </w:tc>
        <w:tc>
          <w:tcPr>
            <w:tcW w:w="782" w:type="dxa"/>
          </w:tcPr>
          <w:p w14:paraId="16F1636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457ED15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2D32B50D"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2" w:type="dxa"/>
          </w:tcPr>
          <w:p w14:paraId="0D588C8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83" w:type="dxa"/>
          </w:tcPr>
          <w:p w14:paraId="191360C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1998514"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07041C94" w14:textId="77777777" w:rsidR="00964B88" w:rsidRDefault="00964B88">
            <w:r>
              <w:t>Net financial worth</w:t>
            </w:r>
          </w:p>
        </w:tc>
        <w:tc>
          <w:tcPr>
            <w:tcW w:w="782" w:type="dxa"/>
          </w:tcPr>
          <w:p w14:paraId="43C90A18" w14:textId="77777777" w:rsidR="00964B88" w:rsidRDefault="00964B88">
            <w:pPr>
              <w:cnfStyle w:val="000000000000" w:firstRow="0" w:lastRow="0" w:firstColumn="0" w:lastColumn="0" w:oddVBand="0" w:evenVBand="0" w:oddHBand="0" w:evenHBand="0" w:firstRowFirstColumn="0" w:firstRowLastColumn="0" w:lastRowFirstColumn="0" w:lastRowLastColumn="0"/>
            </w:pPr>
            <w:r>
              <w:t>(121 307)</w:t>
            </w:r>
          </w:p>
        </w:tc>
        <w:tc>
          <w:tcPr>
            <w:tcW w:w="782" w:type="dxa"/>
          </w:tcPr>
          <w:p w14:paraId="12951AA1" w14:textId="77777777" w:rsidR="00964B88" w:rsidRDefault="00964B88">
            <w:pPr>
              <w:cnfStyle w:val="000000000000" w:firstRow="0" w:lastRow="0" w:firstColumn="0" w:lastColumn="0" w:oddVBand="0" w:evenVBand="0" w:oddHBand="0" w:evenHBand="0" w:firstRowFirstColumn="0" w:firstRowLastColumn="0" w:lastRowFirstColumn="0" w:lastRowLastColumn="0"/>
            </w:pPr>
            <w:r>
              <w:t>(127 875)</w:t>
            </w:r>
          </w:p>
        </w:tc>
        <w:tc>
          <w:tcPr>
            <w:tcW w:w="782" w:type="dxa"/>
          </w:tcPr>
          <w:p w14:paraId="7D2B5924" w14:textId="77777777" w:rsidR="00964B88" w:rsidRDefault="00964B88">
            <w:pPr>
              <w:cnfStyle w:val="000000000000" w:firstRow="0" w:lastRow="0" w:firstColumn="0" w:lastColumn="0" w:oddVBand="0" w:evenVBand="0" w:oddHBand="0" w:evenHBand="0" w:firstRowFirstColumn="0" w:firstRowLastColumn="0" w:lastRowFirstColumn="0" w:lastRowLastColumn="0"/>
            </w:pPr>
            <w:r>
              <w:t>(139 737)</w:t>
            </w:r>
          </w:p>
        </w:tc>
        <w:tc>
          <w:tcPr>
            <w:tcW w:w="782" w:type="dxa"/>
          </w:tcPr>
          <w:p w14:paraId="0307C54D" w14:textId="77777777" w:rsidR="00964B88" w:rsidRDefault="00964B88">
            <w:pPr>
              <w:cnfStyle w:val="000000000000" w:firstRow="0" w:lastRow="0" w:firstColumn="0" w:lastColumn="0" w:oddVBand="0" w:evenVBand="0" w:oddHBand="0" w:evenHBand="0" w:firstRowFirstColumn="0" w:firstRowLastColumn="0" w:lastRowFirstColumn="0" w:lastRowLastColumn="0"/>
            </w:pPr>
            <w:r>
              <w:t>(145 923)</w:t>
            </w:r>
          </w:p>
        </w:tc>
        <w:tc>
          <w:tcPr>
            <w:tcW w:w="783" w:type="dxa"/>
          </w:tcPr>
          <w:p w14:paraId="5C28BAF7" w14:textId="77777777" w:rsidR="00964B88" w:rsidRDefault="00964B88">
            <w:pPr>
              <w:cnfStyle w:val="000000000000" w:firstRow="0" w:lastRow="0" w:firstColumn="0" w:lastColumn="0" w:oddVBand="0" w:evenVBand="0" w:oddHBand="0" w:evenHBand="0" w:firstRowFirstColumn="0" w:firstRowLastColumn="0" w:lastRowFirstColumn="0" w:lastRowLastColumn="0"/>
            </w:pPr>
            <w:r>
              <w:t>(148 840)</w:t>
            </w:r>
          </w:p>
        </w:tc>
      </w:tr>
      <w:tr w:rsidR="00964B88" w14:paraId="6069AEBB"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1993179A" w14:textId="77777777" w:rsidR="00964B88" w:rsidRDefault="00964B88">
            <w:r>
              <w:t>Net financial liabilities</w:t>
            </w:r>
          </w:p>
        </w:tc>
        <w:tc>
          <w:tcPr>
            <w:tcW w:w="782" w:type="dxa"/>
          </w:tcPr>
          <w:p w14:paraId="3AFD1F6D" w14:textId="77777777" w:rsidR="00964B88" w:rsidRDefault="00964B88">
            <w:pPr>
              <w:cnfStyle w:val="000000000000" w:firstRow="0" w:lastRow="0" w:firstColumn="0" w:lastColumn="0" w:oddVBand="0" w:evenVBand="0" w:oddHBand="0" w:evenHBand="0" w:firstRowFirstColumn="0" w:firstRowLastColumn="0" w:lastRowFirstColumn="0" w:lastRowLastColumn="0"/>
            </w:pPr>
            <w:r>
              <w:t>121 307</w:t>
            </w:r>
          </w:p>
        </w:tc>
        <w:tc>
          <w:tcPr>
            <w:tcW w:w="782" w:type="dxa"/>
          </w:tcPr>
          <w:p w14:paraId="1BAB6015" w14:textId="77777777" w:rsidR="00964B88" w:rsidRDefault="00964B88">
            <w:pPr>
              <w:cnfStyle w:val="000000000000" w:firstRow="0" w:lastRow="0" w:firstColumn="0" w:lastColumn="0" w:oddVBand="0" w:evenVBand="0" w:oddHBand="0" w:evenHBand="0" w:firstRowFirstColumn="0" w:firstRowLastColumn="0" w:lastRowFirstColumn="0" w:lastRowLastColumn="0"/>
            </w:pPr>
            <w:r>
              <w:t>127 875</w:t>
            </w:r>
          </w:p>
        </w:tc>
        <w:tc>
          <w:tcPr>
            <w:tcW w:w="782" w:type="dxa"/>
          </w:tcPr>
          <w:p w14:paraId="1891C40C" w14:textId="77777777" w:rsidR="00964B88" w:rsidRDefault="00964B88">
            <w:pPr>
              <w:cnfStyle w:val="000000000000" w:firstRow="0" w:lastRow="0" w:firstColumn="0" w:lastColumn="0" w:oddVBand="0" w:evenVBand="0" w:oddHBand="0" w:evenHBand="0" w:firstRowFirstColumn="0" w:firstRowLastColumn="0" w:lastRowFirstColumn="0" w:lastRowLastColumn="0"/>
            </w:pPr>
            <w:r>
              <w:t>139 737</w:t>
            </w:r>
          </w:p>
        </w:tc>
        <w:tc>
          <w:tcPr>
            <w:tcW w:w="782" w:type="dxa"/>
          </w:tcPr>
          <w:p w14:paraId="2B1ABF9A" w14:textId="77777777" w:rsidR="00964B88" w:rsidRDefault="00964B88">
            <w:pPr>
              <w:cnfStyle w:val="000000000000" w:firstRow="0" w:lastRow="0" w:firstColumn="0" w:lastColumn="0" w:oddVBand="0" w:evenVBand="0" w:oddHBand="0" w:evenHBand="0" w:firstRowFirstColumn="0" w:firstRowLastColumn="0" w:lastRowFirstColumn="0" w:lastRowLastColumn="0"/>
            </w:pPr>
            <w:r>
              <w:t>145 923</w:t>
            </w:r>
          </w:p>
        </w:tc>
        <w:tc>
          <w:tcPr>
            <w:tcW w:w="783" w:type="dxa"/>
          </w:tcPr>
          <w:p w14:paraId="3C35361C" w14:textId="77777777" w:rsidR="00964B88" w:rsidRDefault="00964B88">
            <w:pPr>
              <w:cnfStyle w:val="000000000000" w:firstRow="0" w:lastRow="0" w:firstColumn="0" w:lastColumn="0" w:oddVBand="0" w:evenVBand="0" w:oddHBand="0" w:evenHBand="0" w:firstRowFirstColumn="0" w:firstRowLastColumn="0" w:lastRowFirstColumn="0" w:lastRowLastColumn="0"/>
            </w:pPr>
            <w:r>
              <w:t>148 840</w:t>
            </w:r>
          </w:p>
        </w:tc>
      </w:tr>
      <w:tr w:rsidR="00964B88" w14:paraId="536D9ACE" w14:textId="77777777" w:rsidTr="003951F6">
        <w:tc>
          <w:tcPr>
            <w:cnfStyle w:val="001000000000" w:firstRow="0" w:lastRow="0" w:firstColumn="1" w:lastColumn="0" w:oddVBand="0" w:evenVBand="0" w:oddHBand="0" w:evenHBand="0" w:firstRowFirstColumn="0" w:firstRowLastColumn="0" w:lastRowFirstColumn="0" w:lastRowLastColumn="0"/>
            <w:tcW w:w="3857" w:type="dxa"/>
          </w:tcPr>
          <w:p w14:paraId="51611E9D" w14:textId="77777777" w:rsidR="00964B88" w:rsidRDefault="00964B88">
            <w:r>
              <w:t>Net debt</w:t>
            </w:r>
          </w:p>
        </w:tc>
        <w:tc>
          <w:tcPr>
            <w:tcW w:w="782" w:type="dxa"/>
          </w:tcPr>
          <w:p w14:paraId="15E04F58" w14:textId="77777777" w:rsidR="00964B88" w:rsidRDefault="00964B88">
            <w:pPr>
              <w:cnfStyle w:val="000000000000" w:firstRow="0" w:lastRow="0" w:firstColumn="0" w:lastColumn="0" w:oddVBand="0" w:evenVBand="0" w:oddHBand="0" w:evenHBand="0" w:firstRowFirstColumn="0" w:firstRowLastColumn="0" w:lastRowFirstColumn="0" w:lastRowLastColumn="0"/>
            </w:pPr>
            <w:r>
              <w:t>24 186</w:t>
            </w:r>
          </w:p>
        </w:tc>
        <w:tc>
          <w:tcPr>
            <w:tcW w:w="782" w:type="dxa"/>
          </w:tcPr>
          <w:p w14:paraId="5950A26F" w14:textId="77777777" w:rsidR="00964B88" w:rsidRDefault="00964B88">
            <w:pPr>
              <w:cnfStyle w:val="000000000000" w:firstRow="0" w:lastRow="0" w:firstColumn="0" w:lastColumn="0" w:oddVBand="0" w:evenVBand="0" w:oddHBand="0" w:evenHBand="0" w:firstRowFirstColumn="0" w:firstRowLastColumn="0" w:lastRowFirstColumn="0" w:lastRowLastColumn="0"/>
            </w:pPr>
            <w:r>
              <w:t>27 903</w:t>
            </w:r>
          </w:p>
        </w:tc>
        <w:tc>
          <w:tcPr>
            <w:tcW w:w="782" w:type="dxa"/>
          </w:tcPr>
          <w:p w14:paraId="05745066" w14:textId="77777777" w:rsidR="00964B88" w:rsidRDefault="00964B88">
            <w:pPr>
              <w:cnfStyle w:val="000000000000" w:firstRow="0" w:lastRow="0" w:firstColumn="0" w:lastColumn="0" w:oddVBand="0" w:evenVBand="0" w:oddHBand="0" w:evenHBand="0" w:firstRowFirstColumn="0" w:firstRowLastColumn="0" w:lastRowFirstColumn="0" w:lastRowLastColumn="0"/>
            </w:pPr>
            <w:r>
              <w:t>38 265</w:t>
            </w:r>
          </w:p>
        </w:tc>
        <w:tc>
          <w:tcPr>
            <w:tcW w:w="782" w:type="dxa"/>
          </w:tcPr>
          <w:p w14:paraId="5A3D04E3" w14:textId="77777777" w:rsidR="00964B88" w:rsidRDefault="00964B88">
            <w:pPr>
              <w:cnfStyle w:val="000000000000" w:firstRow="0" w:lastRow="0" w:firstColumn="0" w:lastColumn="0" w:oddVBand="0" w:evenVBand="0" w:oddHBand="0" w:evenHBand="0" w:firstRowFirstColumn="0" w:firstRowLastColumn="0" w:lastRowFirstColumn="0" w:lastRowLastColumn="0"/>
            </w:pPr>
            <w:r>
              <w:t>43 138</w:t>
            </w:r>
          </w:p>
        </w:tc>
        <w:tc>
          <w:tcPr>
            <w:tcW w:w="783" w:type="dxa"/>
          </w:tcPr>
          <w:p w14:paraId="71F15C44" w14:textId="77777777" w:rsidR="00964B88" w:rsidRDefault="00964B88">
            <w:pPr>
              <w:cnfStyle w:val="000000000000" w:firstRow="0" w:lastRow="0" w:firstColumn="0" w:lastColumn="0" w:oddVBand="0" w:evenVBand="0" w:oddHBand="0" w:evenHBand="0" w:firstRowFirstColumn="0" w:firstRowLastColumn="0" w:lastRowFirstColumn="0" w:lastRowLastColumn="0"/>
            </w:pPr>
            <w:r>
              <w:t>46 070</w:t>
            </w:r>
          </w:p>
        </w:tc>
      </w:tr>
    </w:tbl>
    <w:p w14:paraId="2ED8C5A7" w14:textId="77777777" w:rsidR="00964B88" w:rsidRPr="00AF04C7" w:rsidRDefault="00964B88" w:rsidP="00F53820">
      <w:pPr>
        <w:pStyle w:val="Note"/>
      </w:pPr>
      <w:r w:rsidRPr="00AF04C7">
        <w:t>Note:</w:t>
      </w:r>
    </w:p>
    <w:p w14:paraId="4D2351F6" w14:textId="77777777" w:rsidR="00964B88" w:rsidRPr="00AF04C7" w:rsidRDefault="00964B88" w:rsidP="00F53820">
      <w:pPr>
        <w:pStyle w:val="Note"/>
      </w:pPr>
      <w:r w:rsidRPr="00AF04C7">
        <w:t>(a)</w:t>
      </w:r>
      <w:r w:rsidRPr="00AF04C7">
        <w:tab/>
        <w:t>Balances represent actual opening balances at 1 July 201</w:t>
      </w:r>
      <w:r>
        <w:t>9</w:t>
      </w:r>
      <w:r w:rsidRPr="00AF04C7">
        <w:t xml:space="preserve"> plus 201</w:t>
      </w:r>
      <w:r>
        <w:t>9</w:t>
      </w:r>
      <w:r w:rsidRPr="00AF04C7">
        <w:t>-</w:t>
      </w:r>
      <w:r>
        <w:t>20</w:t>
      </w:r>
      <w:r w:rsidRPr="00AF04C7">
        <w:t xml:space="preserve"> budgeted movements.</w:t>
      </w:r>
    </w:p>
    <w:p w14:paraId="5F0C3058" w14:textId="77777777" w:rsidR="00964B88" w:rsidRDefault="00964B88" w:rsidP="00F53820"/>
    <w:p w14:paraId="71A781F9" w14:textId="77777777" w:rsidR="00964B88" w:rsidRDefault="00964B88" w:rsidP="00F53820">
      <w:pPr>
        <w:pStyle w:val="Heading10"/>
      </w:pPr>
      <w:r>
        <w:br w:type="page"/>
      </w:r>
    </w:p>
    <w:p w14:paraId="42321DC6" w14:textId="77777777" w:rsidR="00964B88" w:rsidRDefault="00964B88" w:rsidP="00F53820">
      <w:pPr>
        <w:pStyle w:val="TableHeading"/>
      </w:pPr>
      <w:r>
        <w:lastRenderedPageBreak/>
        <w:t>Table 5.18</w:t>
      </w:r>
      <w:r w:rsidR="009C1504">
        <w:t>:</w:t>
      </w:r>
      <w:r>
        <w:tab/>
        <w:t xml:space="preserve">State of Victoria cash flow statement </w:t>
      </w:r>
      <w:r w:rsidR="00506B7C">
        <w:br/>
      </w:r>
      <w:r>
        <w:t>for the financial year ended 30 June</w:t>
      </w:r>
      <w:r>
        <w:tab/>
        <w:t>($ million)</w:t>
      </w:r>
    </w:p>
    <w:tbl>
      <w:tblPr>
        <w:tblStyle w:val="DTFTable"/>
        <w:tblW w:w="7768" w:type="dxa"/>
        <w:tblLayout w:type="fixed"/>
        <w:tblLook w:val="06E0" w:firstRow="1" w:lastRow="1" w:firstColumn="1" w:lastColumn="0" w:noHBand="1" w:noVBand="1"/>
      </w:tblPr>
      <w:tblGrid>
        <w:gridCol w:w="3998"/>
        <w:gridCol w:w="142"/>
        <w:gridCol w:w="612"/>
        <w:gridCol w:w="754"/>
        <w:gridCol w:w="754"/>
        <w:gridCol w:w="754"/>
        <w:gridCol w:w="754"/>
      </w:tblGrid>
      <w:tr w:rsidR="00964B88" w14:paraId="7BBE9FBA" w14:textId="77777777" w:rsidTr="003951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14:paraId="17AD1990" w14:textId="77777777" w:rsidR="00964B88" w:rsidRDefault="00964B88">
            <w:pPr>
              <w:spacing w:after="0"/>
              <w:rPr>
                <w:sz w:val="16"/>
              </w:rPr>
            </w:pPr>
          </w:p>
        </w:tc>
        <w:tc>
          <w:tcPr>
            <w:tcW w:w="754" w:type="dxa"/>
            <w:gridSpan w:val="2"/>
          </w:tcPr>
          <w:p w14:paraId="66BA5A9D"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rPr>
                <w:sz w:val="16"/>
              </w:rPr>
            </w:pPr>
            <w:r>
              <w:rPr>
                <w:sz w:val="16"/>
              </w:rPr>
              <w:t>2019</w:t>
            </w:r>
            <w:r>
              <w:rPr>
                <w:sz w:val="16"/>
              </w:rPr>
              <w:noBreakHyphen/>
              <w:t>20</w:t>
            </w:r>
            <w:r>
              <w:rPr>
                <w:sz w:val="16"/>
              </w:rPr>
              <w:br/>
              <w:t>budget</w:t>
            </w:r>
          </w:p>
        </w:tc>
        <w:tc>
          <w:tcPr>
            <w:tcW w:w="754" w:type="dxa"/>
          </w:tcPr>
          <w:p w14:paraId="163326CF"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rPr>
                <w:sz w:val="16"/>
              </w:rPr>
            </w:pPr>
            <w:r>
              <w:rPr>
                <w:sz w:val="16"/>
              </w:rPr>
              <w:t>2019</w:t>
            </w:r>
            <w:r>
              <w:rPr>
                <w:sz w:val="16"/>
              </w:rPr>
              <w:noBreakHyphen/>
              <w:t>20</w:t>
            </w:r>
            <w:r>
              <w:rPr>
                <w:sz w:val="16"/>
              </w:rPr>
              <w:br/>
              <w:t>revised</w:t>
            </w:r>
          </w:p>
        </w:tc>
        <w:tc>
          <w:tcPr>
            <w:tcW w:w="754" w:type="dxa"/>
          </w:tcPr>
          <w:p w14:paraId="43648AA5"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rPr>
                <w:sz w:val="16"/>
              </w:rPr>
            </w:pPr>
            <w:r>
              <w:rPr>
                <w:sz w:val="16"/>
              </w:rPr>
              <w:t>2020</w:t>
            </w:r>
            <w:r>
              <w:rPr>
                <w:sz w:val="16"/>
              </w:rPr>
              <w:noBreakHyphen/>
              <w:t>21</w:t>
            </w:r>
            <w:r>
              <w:rPr>
                <w:sz w:val="16"/>
              </w:rPr>
              <w:br/>
              <w:t>estimate</w:t>
            </w:r>
          </w:p>
        </w:tc>
        <w:tc>
          <w:tcPr>
            <w:tcW w:w="754" w:type="dxa"/>
          </w:tcPr>
          <w:p w14:paraId="0327C5AB"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rPr>
                <w:sz w:val="16"/>
              </w:rPr>
            </w:pPr>
            <w:r>
              <w:rPr>
                <w:sz w:val="16"/>
              </w:rPr>
              <w:t>2021</w:t>
            </w:r>
            <w:r>
              <w:rPr>
                <w:sz w:val="16"/>
              </w:rPr>
              <w:noBreakHyphen/>
              <w:t>22</w:t>
            </w:r>
            <w:r>
              <w:rPr>
                <w:sz w:val="16"/>
              </w:rPr>
              <w:br/>
              <w:t>estimate</w:t>
            </w:r>
          </w:p>
        </w:tc>
        <w:tc>
          <w:tcPr>
            <w:tcW w:w="754" w:type="dxa"/>
          </w:tcPr>
          <w:p w14:paraId="27D6EFEA" w14:textId="77777777" w:rsidR="00964B88" w:rsidRDefault="00964B88">
            <w:pPr>
              <w:spacing w:after="0"/>
              <w:cnfStyle w:val="100000000000" w:firstRow="1" w:lastRow="0" w:firstColumn="0" w:lastColumn="0" w:oddVBand="0" w:evenVBand="0" w:oddHBand="0" w:evenHBand="0" w:firstRowFirstColumn="0" w:firstRowLastColumn="0" w:lastRowFirstColumn="0" w:lastRowLastColumn="0"/>
              <w:rPr>
                <w:sz w:val="16"/>
              </w:rPr>
            </w:pPr>
            <w:r>
              <w:rPr>
                <w:sz w:val="16"/>
              </w:rPr>
              <w:t>2022</w:t>
            </w:r>
            <w:r>
              <w:rPr>
                <w:sz w:val="16"/>
              </w:rPr>
              <w:noBreakHyphen/>
              <w:t>23</w:t>
            </w:r>
            <w:r>
              <w:rPr>
                <w:sz w:val="16"/>
              </w:rPr>
              <w:br/>
              <w:t>estimate</w:t>
            </w:r>
          </w:p>
        </w:tc>
      </w:tr>
      <w:tr w:rsidR="00964B88" w14:paraId="7C9D4855"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5B028A7F" w14:textId="77777777" w:rsidR="00964B88" w:rsidRDefault="00964B88">
            <w:pPr>
              <w:spacing w:after="0"/>
              <w:rPr>
                <w:sz w:val="16"/>
              </w:rPr>
            </w:pPr>
            <w:r>
              <w:rPr>
                <w:b/>
                <w:sz w:val="16"/>
              </w:rPr>
              <w:t>Cash flows from operating activities</w:t>
            </w:r>
          </w:p>
        </w:tc>
        <w:tc>
          <w:tcPr>
            <w:tcW w:w="754" w:type="dxa"/>
            <w:gridSpan w:val="2"/>
          </w:tcPr>
          <w:p w14:paraId="0B88019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7BB163A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F4801A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6874991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C2117D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2E12C053"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38ECD6EC" w14:textId="77777777" w:rsidR="00964B88" w:rsidRDefault="00964B88">
            <w:pPr>
              <w:spacing w:after="0"/>
              <w:rPr>
                <w:sz w:val="16"/>
              </w:rPr>
            </w:pPr>
            <w:r>
              <w:rPr>
                <w:b/>
                <w:sz w:val="16"/>
              </w:rPr>
              <w:t>Receipts</w:t>
            </w:r>
          </w:p>
        </w:tc>
        <w:tc>
          <w:tcPr>
            <w:tcW w:w="754" w:type="dxa"/>
            <w:gridSpan w:val="2"/>
          </w:tcPr>
          <w:p w14:paraId="70FDE0E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6A97DC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3F4ABA9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30E6274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87C92A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7AAE8C90"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2068F7B6" w14:textId="77777777" w:rsidR="00964B88" w:rsidRDefault="00964B88">
            <w:pPr>
              <w:spacing w:after="0"/>
              <w:rPr>
                <w:sz w:val="16"/>
              </w:rPr>
            </w:pPr>
            <w:r>
              <w:rPr>
                <w:sz w:val="16"/>
              </w:rPr>
              <w:t>Taxes received</w:t>
            </w:r>
          </w:p>
        </w:tc>
        <w:tc>
          <w:tcPr>
            <w:tcW w:w="754" w:type="dxa"/>
            <w:gridSpan w:val="2"/>
          </w:tcPr>
          <w:p w14:paraId="75F3C67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23 646</w:t>
            </w:r>
          </w:p>
        </w:tc>
        <w:tc>
          <w:tcPr>
            <w:tcW w:w="754" w:type="dxa"/>
          </w:tcPr>
          <w:p w14:paraId="2412FDF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23 743</w:t>
            </w:r>
          </w:p>
        </w:tc>
        <w:tc>
          <w:tcPr>
            <w:tcW w:w="754" w:type="dxa"/>
          </w:tcPr>
          <w:p w14:paraId="07A66C2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24 772</w:t>
            </w:r>
          </w:p>
        </w:tc>
        <w:tc>
          <w:tcPr>
            <w:tcW w:w="754" w:type="dxa"/>
          </w:tcPr>
          <w:p w14:paraId="169042E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26 089</w:t>
            </w:r>
          </w:p>
        </w:tc>
        <w:tc>
          <w:tcPr>
            <w:tcW w:w="754" w:type="dxa"/>
          </w:tcPr>
          <w:p w14:paraId="376361D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27 664</w:t>
            </w:r>
          </w:p>
        </w:tc>
      </w:tr>
      <w:tr w:rsidR="00964B88" w14:paraId="517AF533"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15536760" w14:textId="77777777" w:rsidR="00964B88" w:rsidRDefault="00964B88">
            <w:pPr>
              <w:spacing w:after="0"/>
              <w:rPr>
                <w:sz w:val="16"/>
              </w:rPr>
            </w:pPr>
            <w:r>
              <w:rPr>
                <w:sz w:val="16"/>
              </w:rPr>
              <w:t>Grants</w:t>
            </w:r>
          </w:p>
        </w:tc>
        <w:tc>
          <w:tcPr>
            <w:tcW w:w="754" w:type="dxa"/>
            <w:gridSpan w:val="2"/>
          </w:tcPr>
          <w:p w14:paraId="3BB1997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32 545</w:t>
            </w:r>
          </w:p>
        </w:tc>
        <w:tc>
          <w:tcPr>
            <w:tcW w:w="754" w:type="dxa"/>
          </w:tcPr>
          <w:p w14:paraId="2759C1B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32 320</w:t>
            </w:r>
          </w:p>
        </w:tc>
        <w:tc>
          <w:tcPr>
            <w:tcW w:w="754" w:type="dxa"/>
          </w:tcPr>
          <w:p w14:paraId="3969BF5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34 518</w:t>
            </w:r>
          </w:p>
        </w:tc>
        <w:tc>
          <w:tcPr>
            <w:tcW w:w="754" w:type="dxa"/>
          </w:tcPr>
          <w:p w14:paraId="28DDF3A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36 550</w:t>
            </w:r>
          </w:p>
        </w:tc>
        <w:tc>
          <w:tcPr>
            <w:tcW w:w="754" w:type="dxa"/>
          </w:tcPr>
          <w:p w14:paraId="65D903F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39 649</w:t>
            </w:r>
          </w:p>
        </w:tc>
      </w:tr>
      <w:tr w:rsidR="00964B88" w14:paraId="20675F9F"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751D7BC4" w14:textId="77777777" w:rsidR="00964B88" w:rsidRDefault="00964B88">
            <w:pPr>
              <w:spacing w:after="0"/>
              <w:rPr>
                <w:sz w:val="16"/>
              </w:rPr>
            </w:pPr>
            <w:r>
              <w:rPr>
                <w:sz w:val="16"/>
              </w:rPr>
              <w:t>Sales of goods and services</w:t>
            </w:r>
            <w:r>
              <w:rPr>
                <w:sz w:val="16"/>
                <w:vertAlign w:val="superscript"/>
              </w:rPr>
              <w:t xml:space="preserve"> (a)</w:t>
            </w:r>
          </w:p>
        </w:tc>
        <w:tc>
          <w:tcPr>
            <w:tcW w:w="754" w:type="dxa"/>
            <w:gridSpan w:val="2"/>
          </w:tcPr>
          <w:p w14:paraId="0722110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17 974</w:t>
            </w:r>
          </w:p>
        </w:tc>
        <w:tc>
          <w:tcPr>
            <w:tcW w:w="754" w:type="dxa"/>
          </w:tcPr>
          <w:p w14:paraId="40F4191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17 812</w:t>
            </w:r>
          </w:p>
        </w:tc>
        <w:tc>
          <w:tcPr>
            <w:tcW w:w="754" w:type="dxa"/>
          </w:tcPr>
          <w:p w14:paraId="6F72DE7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18 955</w:t>
            </w:r>
          </w:p>
        </w:tc>
        <w:tc>
          <w:tcPr>
            <w:tcW w:w="754" w:type="dxa"/>
          </w:tcPr>
          <w:p w14:paraId="24CC8E8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19 354</w:t>
            </w:r>
          </w:p>
        </w:tc>
        <w:tc>
          <w:tcPr>
            <w:tcW w:w="754" w:type="dxa"/>
          </w:tcPr>
          <w:p w14:paraId="5683FC0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20 237</w:t>
            </w:r>
          </w:p>
        </w:tc>
      </w:tr>
      <w:tr w:rsidR="00964B88" w14:paraId="6F43D06C"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38CC2583" w14:textId="77777777" w:rsidR="00964B88" w:rsidRDefault="00964B88">
            <w:pPr>
              <w:spacing w:after="0"/>
              <w:rPr>
                <w:sz w:val="16"/>
              </w:rPr>
            </w:pPr>
            <w:r>
              <w:rPr>
                <w:sz w:val="16"/>
              </w:rPr>
              <w:t>Interest received</w:t>
            </w:r>
          </w:p>
        </w:tc>
        <w:tc>
          <w:tcPr>
            <w:tcW w:w="754" w:type="dxa"/>
            <w:gridSpan w:val="2"/>
          </w:tcPr>
          <w:p w14:paraId="0AC7E8C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429</w:t>
            </w:r>
          </w:p>
        </w:tc>
        <w:tc>
          <w:tcPr>
            <w:tcW w:w="754" w:type="dxa"/>
          </w:tcPr>
          <w:p w14:paraId="32392FF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390</w:t>
            </w:r>
          </w:p>
        </w:tc>
        <w:tc>
          <w:tcPr>
            <w:tcW w:w="754" w:type="dxa"/>
          </w:tcPr>
          <w:p w14:paraId="56F2209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353</w:t>
            </w:r>
          </w:p>
        </w:tc>
        <w:tc>
          <w:tcPr>
            <w:tcW w:w="754" w:type="dxa"/>
          </w:tcPr>
          <w:p w14:paraId="21D96FD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413</w:t>
            </w:r>
          </w:p>
        </w:tc>
        <w:tc>
          <w:tcPr>
            <w:tcW w:w="754" w:type="dxa"/>
          </w:tcPr>
          <w:p w14:paraId="2DA35D6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417</w:t>
            </w:r>
          </w:p>
        </w:tc>
      </w:tr>
      <w:tr w:rsidR="00964B88" w14:paraId="097B69A9"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179FB76C" w14:textId="77777777" w:rsidR="00964B88" w:rsidRDefault="00964B88">
            <w:pPr>
              <w:spacing w:after="0"/>
              <w:rPr>
                <w:sz w:val="16"/>
              </w:rPr>
            </w:pPr>
            <w:r>
              <w:rPr>
                <w:sz w:val="16"/>
              </w:rPr>
              <w:t>Dividend receipts</w:t>
            </w:r>
          </w:p>
        </w:tc>
        <w:tc>
          <w:tcPr>
            <w:tcW w:w="754" w:type="dxa"/>
            <w:gridSpan w:val="2"/>
          </w:tcPr>
          <w:p w14:paraId="654C6B3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1 665</w:t>
            </w:r>
          </w:p>
        </w:tc>
        <w:tc>
          <w:tcPr>
            <w:tcW w:w="754" w:type="dxa"/>
          </w:tcPr>
          <w:p w14:paraId="3FB9498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1 876</w:t>
            </w:r>
          </w:p>
        </w:tc>
        <w:tc>
          <w:tcPr>
            <w:tcW w:w="754" w:type="dxa"/>
          </w:tcPr>
          <w:p w14:paraId="4245F31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1 823</w:t>
            </w:r>
          </w:p>
        </w:tc>
        <w:tc>
          <w:tcPr>
            <w:tcW w:w="754" w:type="dxa"/>
          </w:tcPr>
          <w:p w14:paraId="108BA4A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1 830</w:t>
            </w:r>
          </w:p>
        </w:tc>
        <w:tc>
          <w:tcPr>
            <w:tcW w:w="754" w:type="dxa"/>
          </w:tcPr>
          <w:p w14:paraId="583878B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1 882</w:t>
            </w:r>
          </w:p>
        </w:tc>
      </w:tr>
      <w:tr w:rsidR="00964B88" w14:paraId="5DCEFB4B"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5E912AD2" w14:textId="77777777" w:rsidR="00964B88" w:rsidRDefault="00964B88">
            <w:pPr>
              <w:spacing w:after="0"/>
              <w:rPr>
                <w:sz w:val="16"/>
              </w:rPr>
            </w:pPr>
            <w:r>
              <w:rPr>
                <w:sz w:val="16"/>
              </w:rPr>
              <w:t>Other receipts</w:t>
            </w:r>
          </w:p>
        </w:tc>
        <w:tc>
          <w:tcPr>
            <w:tcW w:w="754" w:type="dxa"/>
            <w:gridSpan w:val="2"/>
            <w:tcBorders>
              <w:bottom w:val="single" w:sz="6" w:space="0" w:color="auto"/>
            </w:tcBorders>
          </w:tcPr>
          <w:p w14:paraId="02249D8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2 576</w:t>
            </w:r>
          </w:p>
        </w:tc>
        <w:tc>
          <w:tcPr>
            <w:tcW w:w="754" w:type="dxa"/>
            <w:tcBorders>
              <w:bottom w:val="single" w:sz="6" w:space="0" w:color="auto"/>
            </w:tcBorders>
          </w:tcPr>
          <w:p w14:paraId="51BAD77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2 622</w:t>
            </w:r>
          </w:p>
        </w:tc>
        <w:tc>
          <w:tcPr>
            <w:tcW w:w="754" w:type="dxa"/>
            <w:tcBorders>
              <w:bottom w:val="single" w:sz="6" w:space="0" w:color="auto"/>
            </w:tcBorders>
          </w:tcPr>
          <w:p w14:paraId="07E9EC1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2 722</w:t>
            </w:r>
          </w:p>
        </w:tc>
        <w:tc>
          <w:tcPr>
            <w:tcW w:w="754" w:type="dxa"/>
            <w:tcBorders>
              <w:bottom w:val="single" w:sz="6" w:space="0" w:color="auto"/>
            </w:tcBorders>
          </w:tcPr>
          <w:p w14:paraId="3414289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2 757</w:t>
            </w:r>
          </w:p>
        </w:tc>
        <w:tc>
          <w:tcPr>
            <w:tcW w:w="754" w:type="dxa"/>
            <w:tcBorders>
              <w:bottom w:val="single" w:sz="6" w:space="0" w:color="auto"/>
            </w:tcBorders>
          </w:tcPr>
          <w:p w14:paraId="0466261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2 609</w:t>
            </w:r>
          </w:p>
        </w:tc>
      </w:tr>
      <w:tr w:rsidR="00964B88" w14:paraId="2DA256F2"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688B5106" w14:textId="77777777" w:rsidR="00964B88" w:rsidRDefault="00964B88">
            <w:pPr>
              <w:spacing w:after="0"/>
              <w:rPr>
                <w:sz w:val="16"/>
              </w:rPr>
            </w:pPr>
            <w:r>
              <w:rPr>
                <w:b/>
                <w:sz w:val="16"/>
              </w:rPr>
              <w:t>Total receipts</w:t>
            </w:r>
          </w:p>
        </w:tc>
        <w:tc>
          <w:tcPr>
            <w:tcW w:w="754" w:type="dxa"/>
            <w:gridSpan w:val="2"/>
            <w:tcBorders>
              <w:top w:val="single" w:sz="6" w:space="0" w:color="auto"/>
            </w:tcBorders>
          </w:tcPr>
          <w:p w14:paraId="43B038C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78 834</w:t>
            </w:r>
          </w:p>
        </w:tc>
        <w:tc>
          <w:tcPr>
            <w:tcW w:w="754" w:type="dxa"/>
            <w:tcBorders>
              <w:top w:val="single" w:sz="6" w:space="0" w:color="auto"/>
            </w:tcBorders>
          </w:tcPr>
          <w:p w14:paraId="5A7F362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78 762</w:t>
            </w:r>
          </w:p>
        </w:tc>
        <w:tc>
          <w:tcPr>
            <w:tcW w:w="754" w:type="dxa"/>
            <w:tcBorders>
              <w:top w:val="single" w:sz="6" w:space="0" w:color="auto"/>
            </w:tcBorders>
          </w:tcPr>
          <w:p w14:paraId="5D4E87A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83 142</w:t>
            </w:r>
          </w:p>
        </w:tc>
        <w:tc>
          <w:tcPr>
            <w:tcW w:w="754" w:type="dxa"/>
            <w:tcBorders>
              <w:top w:val="single" w:sz="6" w:space="0" w:color="auto"/>
            </w:tcBorders>
          </w:tcPr>
          <w:p w14:paraId="28B6348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86 994</w:t>
            </w:r>
          </w:p>
        </w:tc>
        <w:tc>
          <w:tcPr>
            <w:tcW w:w="754" w:type="dxa"/>
            <w:tcBorders>
              <w:top w:val="single" w:sz="6" w:space="0" w:color="auto"/>
            </w:tcBorders>
          </w:tcPr>
          <w:p w14:paraId="710A27B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92 458</w:t>
            </w:r>
          </w:p>
        </w:tc>
      </w:tr>
      <w:tr w:rsidR="00964B88" w14:paraId="49C2C25B"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47EE560F" w14:textId="77777777" w:rsidR="00964B88" w:rsidRDefault="00964B88">
            <w:pPr>
              <w:spacing w:after="0"/>
              <w:rPr>
                <w:sz w:val="16"/>
              </w:rPr>
            </w:pPr>
            <w:r>
              <w:rPr>
                <w:b/>
                <w:sz w:val="16"/>
              </w:rPr>
              <w:t>Payments</w:t>
            </w:r>
          </w:p>
        </w:tc>
        <w:tc>
          <w:tcPr>
            <w:tcW w:w="754" w:type="dxa"/>
            <w:gridSpan w:val="2"/>
          </w:tcPr>
          <w:p w14:paraId="1D68569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6CFA4B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6EEFEF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39B7EE3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603AC5C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2D9BB079"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4FA6ED15" w14:textId="77777777" w:rsidR="00964B88" w:rsidRDefault="00964B88">
            <w:pPr>
              <w:spacing w:after="0"/>
              <w:rPr>
                <w:sz w:val="16"/>
              </w:rPr>
            </w:pPr>
            <w:r>
              <w:rPr>
                <w:sz w:val="16"/>
              </w:rPr>
              <w:t>Payments for employees</w:t>
            </w:r>
          </w:p>
        </w:tc>
        <w:tc>
          <w:tcPr>
            <w:tcW w:w="754" w:type="dxa"/>
            <w:gridSpan w:val="2"/>
          </w:tcPr>
          <w:p w14:paraId="51E2182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(27 210)</w:t>
            </w:r>
          </w:p>
        </w:tc>
        <w:tc>
          <w:tcPr>
            <w:tcW w:w="754" w:type="dxa"/>
          </w:tcPr>
          <w:p w14:paraId="69C605C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(27 174)</w:t>
            </w:r>
          </w:p>
        </w:tc>
        <w:tc>
          <w:tcPr>
            <w:tcW w:w="754" w:type="dxa"/>
          </w:tcPr>
          <w:p w14:paraId="6CD8B38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(28 625)</w:t>
            </w:r>
          </w:p>
        </w:tc>
        <w:tc>
          <w:tcPr>
            <w:tcW w:w="754" w:type="dxa"/>
          </w:tcPr>
          <w:p w14:paraId="506C352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(29 531)</w:t>
            </w:r>
          </w:p>
        </w:tc>
        <w:tc>
          <w:tcPr>
            <w:tcW w:w="754" w:type="dxa"/>
          </w:tcPr>
          <w:p w14:paraId="623F333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(30 898)</w:t>
            </w:r>
          </w:p>
        </w:tc>
      </w:tr>
      <w:tr w:rsidR="00964B88" w14:paraId="46072E1C"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48CDEB59" w14:textId="77777777" w:rsidR="00964B88" w:rsidRDefault="00964B88">
            <w:pPr>
              <w:spacing w:after="0"/>
              <w:rPr>
                <w:sz w:val="16"/>
              </w:rPr>
            </w:pPr>
            <w:r>
              <w:rPr>
                <w:sz w:val="16"/>
              </w:rPr>
              <w:t>Superannuation</w:t>
            </w:r>
          </w:p>
        </w:tc>
        <w:tc>
          <w:tcPr>
            <w:tcW w:w="754" w:type="dxa"/>
            <w:gridSpan w:val="2"/>
          </w:tcPr>
          <w:p w14:paraId="1ECA838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(3 667)</w:t>
            </w:r>
          </w:p>
        </w:tc>
        <w:tc>
          <w:tcPr>
            <w:tcW w:w="754" w:type="dxa"/>
          </w:tcPr>
          <w:p w14:paraId="5A25D0B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(3 685)</w:t>
            </w:r>
          </w:p>
        </w:tc>
        <w:tc>
          <w:tcPr>
            <w:tcW w:w="754" w:type="dxa"/>
          </w:tcPr>
          <w:p w14:paraId="77C4555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(3 719)</w:t>
            </w:r>
          </w:p>
        </w:tc>
        <w:tc>
          <w:tcPr>
            <w:tcW w:w="754" w:type="dxa"/>
          </w:tcPr>
          <w:p w14:paraId="420BD80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(3 702)</w:t>
            </w:r>
          </w:p>
        </w:tc>
        <w:tc>
          <w:tcPr>
            <w:tcW w:w="754" w:type="dxa"/>
          </w:tcPr>
          <w:p w14:paraId="5B6B7F8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(3 759)</w:t>
            </w:r>
          </w:p>
        </w:tc>
      </w:tr>
      <w:tr w:rsidR="00964B88" w14:paraId="42AA92D9"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1C80D57F" w14:textId="77777777" w:rsidR="00964B88" w:rsidRDefault="00964B88">
            <w:pPr>
              <w:spacing w:after="0"/>
              <w:rPr>
                <w:sz w:val="16"/>
              </w:rPr>
            </w:pPr>
            <w:r>
              <w:rPr>
                <w:sz w:val="16"/>
              </w:rPr>
              <w:t>Interest paid</w:t>
            </w:r>
          </w:p>
        </w:tc>
        <w:tc>
          <w:tcPr>
            <w:tcW w:w="754" w:type="dxa"/>
            <w:gridSpan w:val="2"/>
          </w:tcPr>
          <w:p w14:paraId="158B1D2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(2 702)</w:t>
            </w:r>
          </w:p>
        </w:tc>
        <w:tc>
          <w:tcPr>
            <w:tcW w:w="754" w:type="dxa"/>
          </w:tcPr>
          <w:p w14:paraId="14E9A3C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(2 861)</w:t>
            </w:r>
          </w:p>
        </w:tc>
        <w:tc>
          <w:tcPr>
            <w:tcW w:w="754" w:type="dxa"/>
          </w:tcPr>
          <w:p w14:paraId="623DD26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(2 888)</w:t>
            </w:r>
          </w:p>
        </w:tc>
        <w:tc>
          <w:tcPr>
            <w:tcW w:w="754" w:type="dxa"/>
          </w:tcPr>
          <w:p w14:paraId="78BCA41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(2 987)</w:t>
            </w:r>
          </w:p>
        </w:tc>
        <w:tc>
          <w:tcPr>
            <w:tcW w:w="754" w:type="dxa"/>
          </w:tcPr>
          <w:p w14:paraId="77EFB97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(2 992)</w:t>
            </w:r>
          </w:p>
        </w:tc>
      </w:tr>
      <w:tr w:rsidR="00964B88" w14:paraId="1E0DD844"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24D0647A" w14:textId="77777777" w:rsidR="00964B88" w:rsidRDefault="00964B88">
            <w:pPr>
              <w:spacing w:after="0"/>
              <w:rPr>
                <w:sz w:val="16"/>
              </w:rPr>
            </w:pPr>
            <w:r>
              <w:rPr>
                <w:sz w:val="16"/>
              </w:rPr>
              <w:t>Grants and subsidies</w:t>
            </w:r>
          </w:p>
        </w:tc>
        <w:tc>
          <w:tcPr>
            <w:tcW w:w="754" w:type="dxa"/>
            <w:gridSpan w:val="2"/>
          </w:tcPr>
          <w:p w14:paraId="69AB676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(9 142)</w:t>
            </w:r>
          </w:p>
        </w:tc>
        <w:tc>
          <w:tcPr>
            <w:tcW w:w="754" w:type="dxa"/>
          </w:tcPr>
          <w:p w14:paraId="6FAA8E0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(9 097)</w:t>
            </w:r>
          </w:p>
        </w:tc>
        <w:tc>
          <w:tcPr>
            <w:tcW w:w="754" w:type="dxa"/>
          </w:tcPr>
          <w:p w14:paraId="7D181B9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(11 024)</w:t>
            </w:r>
          </w:p>
        </w:tc>
        <w:tc>
          <w:tcPr>
            <w:tcW w:w="754" w:type="dxa"/>
          </w:tcPr>
          <w:p w14:paraId="20E7DA7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(11 382)</w:t>
            </w:r>
          </w:p>
        </w:tc>
        <w:tc>
          <w:tcPr>
            <w:tcW w:w="754" w:type="dxa"/>
          </w:tcPr>
          <w:p w14:paraId="79B4898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(11 877)</w:t>
            </w:r>
          </w:p>
        </w:tc>
      </w:tr>
      <w:tr w:rsidR="00964B88" w14:paraId="52468D30"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142E6DDD" w14:textId="77777777" w:rsidR="00964B88" w:rsidRDefault="00964B88">
            <w:pPr>
              <w:spacing w:after="0"/>
              <w:rPr>
                <w:sz w:val="16"/>
              </w:rPr>
            </w:pPr>
            <w:r>
              <w:rPr>
                <w:sz w:val="16"/>
              </w:rPr>
              <w:t>Goods and services</w:t>
            </w:r>
            <w:r>
              <w:rPr>
                <w:sz w:val="16"/>
                <w:vertAlign w:val="superscript"/>
              </w:rPr>
              <w:t xml:space="preserve"> (a)</w:t>
            </w:r>
          </w:p>
        </w:tc>
        <w:tc>
          <w:tcPr>
            <w:tcW w:w="754" w:type="dxa"/>
            <w:gridSpan w:val="2"/>
          </w:tcPr>
          <w:p w14:paraId="543983D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(29 647)</w:t>
            </w:r>
          </w:p>
        </w:tc>
        <w:tc>
          <w:tcPr>
            <w:tcW w:w="754" w:type="dxa"/>
          </w:tcPr>
          <w:p w14:paraId="3D84813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(30 995)</w:t>
            </w:r>
          </w:p>
        </w:tc>
        <w:tc>
          <w:tcPr>
            <w:tcW w:w="754" w:type="dxa"/>
          </w:tcPr>
          <w:p w14:paraId="1F5CE85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(30 024)</w:t>
            </w:r>
          </w:p>
        </w:tc>
        <w:tc>
          <w:tcPr>
            <w:tcW w:w="754" w:type="dxa"/>
          </w:tcPr>
          <w:p w14:paraId="4A4A9D5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(29 529)</w:t>
            </w:r>
          </w:p>
        </w:tc>
        <w:tc>
          <w:tcPr>
            <w:tcW w:w="754" w:type="dxa"/>
          </w:tcPr>
          <w:p w14:paraId="2B82C18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(31 110)</w:t>
            </w:r>
          </w:p>
        </w:tc>
      </w:tr>
      <w:tr w:rsidR="00964B88" w14:paraId="1FC2F944"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77A35907" w14:textId="77777777" w:rsidR="00964B88" w:rsidRDefault="00964B88">
            <w:pPr>
              <w:spacing w:after="0"/>
              <w:rPr>
                <w:sz w:val="16"/>
              </w:rPr>
            </w:pPr>
            <w:r>
              <w:rPr>
                <w:sz w:val="16"/>
              </w:rPr>
              <w:t>Other payments</w:t>
            </w:r>
          </w:p>
        </w:tc>
        <w:tc>
          <w:tcPr>
            <w:tcW w:w="754" w:type="dxa"/>
            <w:gridSpan w:val="2"/>
            <w:tcBorders>
              <w:bottom w:val="single" w:sz="6" w:space="0" w:color="auto"/>
            </w:tcBorders>
          </w:tcPr>
          <w:p w14:paraId="509B65A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(807)</w:t>
            </w:r>
          </w:p>
        </w:tc>
        <w:tc>
          <w:tcPr>
            <w:tcW w:w="754" w:type="dxa"/>
            <w:tcBorders>
              <w:bottom w:val="single" w:sz="6" w:space="0" w:color="auto"/>
            </w:tcBorders>
          </w:tcPr>
          <w:p w14:paraId="7497276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(866)</w:t>
            </w:r>
          </w:p>
        </w:tc>
        <w:tc>
          <w:tcPr>
            <w:tcW w:w="754" w:type="dxa"/>
            <w:tcBorders>
              <w:bottom w:val="single" w:sz="6" w:space="0" w:color="auto"/>
            </w:tcBorders>
          </w:tcPr>
          <w:p w14:paraId="65CFB10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(820)</w:t>
            </w:r>
          </w:p>
        </w:tc>
        <w:tc>
          <w:tcPr>
            <w:tcW w:w="754" w:type="dxa"/>
            <w:tcBorders>
              <w:bottom w:val="single" w:sz="6" w:space="0" w:color="auto"/>
            </w:tcBorders>
          </w:tcPr>
          <w:p w14:paraId="6BC710E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(766)</w:t>
            </w:r>
          </w:p>
        </w:tc>
        <w:tc>
          <w:tcPr>
            <w:tcW w:w="754" w:type="dxa"/>
            <w:tcBorders>
              <w:bottom w:val="single" w:sz="6" w:space="0" w:color="auto"/>
            </w:tcBorders>
          </w:tcPr>
          <w:p w14:paraId="4EE0C3C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(784)</w:t>
            </w:r>
          </w:p>
        </w:tc>
      </w:tr>
      <w:tr w:rsidR="00964B88" w14:paraId="4CC68AAF"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15E16EFC" w14:textId="77777777" w:rsidR="00964B88" w:rsidRDefault="00964B88">
            <w:pPr>
              <w:spacing w:after="0"/>
              <w:rPr>
                <w:sz w:val="16"/>
              </w:rPr>
            </w:pPr>
            <w:r>
              <w:rPr>
                <w:b/>
                <w:sz w:val="16"/>
              </w:rPr>
              <w:t>Total payments</w:t>
            </w:r>
          </w:p>
        </w:tc>
        <w:tc>
          <w:tcPr>
            <w:tcW w:w="754" w:type="dxa"/>
            <w:gridSpan w:val="2"/>
            <w:tcBorders>
              <w:top w:val="single" w:sz="6" w:space="0" w:color="auto"/>
              <w:bottom w:val="single" w:sz="6" w:space="0" w:color="auto"/>
            </w:tcBorders>
          </w:tcPr>
          <w:p w14:paraId="046B85C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(73 176)</w:t>
            </w:r>
          </w:p>
        </w:tc>
        <w:tc>
          <w:tcPr>
            <w:tcW w:w="754" w:type="dxa"/>
            <w:tcBorders>
              <w:top w:val="single" w:sz="6" w:space="0" w:color="auto"/>
              <w:bottom w:val="single" w:sz="6" w:space="0" w:color="auto"/>
            </w:tcBorders>
          </w:tcPr>
          <w:p w14:paraId="2BF6E62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(74 677)</w:t>
            </w:r>
          </w:p>
        </w:tc>
        <w:tc>
          <w:tcPr>
            <w:tcW w:w="754" w:type="dxa"/>
            <w:tcBorders>
              <w:top w:val="single" w:sz="6" w:space="0" w:color="auto"/>
              <w:bottom w:val="single" w:sz="6" w:space="0" w:color="auto"/>
            </w:tcBorders>
          </w:tcPr>
          <w:p w14:paraId="39E9148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(77 100)</w:t>
            </w:r>
          </w:p>
        </w:tc>
        <w:tc>
          <w:tcPr>
            <w:tcW w:w="754" w:type="dxa"/>
            <w:tcBorders>
              <w:top w:val="single" w:sz="6" w:space="0" w:color="auto"/>
              <w:bottom w:val="single" w:sz="6" w:space="0" w:color="auto"/>
            </w:tcBorders>
          </w:tcPr>
          <w:p w14:paraId="3DC46FA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(77 898)</w:t>
            </w:r>
          </w:p>
        </w:tc>
        <w:tc>
          <w:tcPr>
            <w:tcW w:w="754" w:type="dxa"/>
            <w:tcBorders>
              <w:top w:val="single" w:sz="6" w:space="0" w:color="auto"/>
              <w:bottom w:val="single" w:sz="6" w:space="0" w:color="auto"/>
            </w:tcBorders>
          </w:tcPr>
          <w:p w14:paraId="33FB5A5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(81 420)</w:t>
            </w:r>
          </w:p>
        </w:tc>
      </w:tr>
      <w:tr w:rsidR="00964B88" w14:paraId="52EF25D0"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77C340CD" w14:textId="77777777" w:rsidR="00964B88" w:rsidRDefault="00964B88">
            <w:pPr>
              <w:spacing w:after="0"/>
              <w:rPr>
                <w:sz w:val="16"/>
              </w:rPr>
            </w:pPr>
            <w:r>
              <w:rPr>
                <w:b/>
                <w:sz w:val="16"/>
              </w:rPr>
              <w:t>Net cash flows from operating activities</w:t>
            </w:r>
          </w:p>
        </w:tc>
        <w:tc>
          <w:tcPr>
            <w:tcW w:w="754" w:type="dxa"/>
            <w:gridSpan w:val="2"/>
            <w:tcBorders>
              <w:top w:val="single" w:sz="6" w:space="0" w:color="auto"/>
            </w:tcBorders>
          </w:tcPr>
          <w:p w14:paraId="1899E18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5 658</w:t>
            </w:r>
          </w:p>
        </w:tc>
        <w:tc>
          <w:tcPr>
            <w:tcW w:w="754" w:type="dxa"/>
            <w:tcBorders>
              <w:top w:val="single" w:sz="6" w:space="0" w:color="auto"/>
            </w:tcBorders>
          </w:tcPr>
          <w:p w14:paraId="626D9EA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4 085</w:t>
            </w:r>
          </w:p>
        </w:tc>
        <w:tc>
          <w:tcPr>
            <w:tcW w:w="754" w:type="dxa"/>
            <w:tcBorders>
              <w:top w:val="single" w:sz="6" w:space="0" w:color="auto"/>
            </w:tcBorders>
          </w:tcPr>
          <w:p w14:paraId="226B753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6 042</w:t>
            </w:r>
          </w:p>
        </w:tc>
        <w:tc>
          <w:tcPr>
            <w:tcW w:w="754" w:type="dxa"/>
            <w:tcBorders>
              <w:top w:val="single" w:sz="6" w:space="0" w:color="auto"/>
            </w:tcBorders>
          </w:tcPr>
          <w:p w14:paraId="0F7D441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9 096</w:t>
            </w:r>
          </w:p>
        </w:tc>
        <w:tc>
          <w:tcPr>
            <w:tcW w:w="754" w:type="dxa"/>
            <w:tcBorders>
              <w:top w:val="single" w:sz="6" w:space="0" w:color="auto"/>
            </w:tcBorders>
          </w:tcPr>
          <w:p w14:paraId="53AA9A5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11 037</w:t>
            </w:r>
          </w:p>
        </w:tc>
      </w:tr>
      <w:tr w:rsidR="00964B88" w14:paraId="5DF38A00"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3B8A773A" w14:textId="77777777" w:rsidR="00964B88" w:rsidRDefault="00964B88">
            <w:pPr>
              <w:spacing w:after="0"/>
              <w:rPr>
                <w:sz w:val="16"/>
              </w:rPr>
            </w:pPr>
            <w:r>
              <w:rPr>
                <w:b/>
                <w:sz w:val="16"/>
              </w:rPr>
              <w:t>Cash flows from investing activities</w:t>
            </w:r>
          </w:p>
        </w:tc>
        <w:tc>
          <w:tcPr>
            <w:tcW w:w="754" w:type="dxa"/>
            <w:gridSpan w:val="2"/>
          </w:tcPr>
          <w:p w14:paraId="4A0CBDA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65D51B8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3B8E75D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634BAAD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68E6165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200E9080"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63021B02" w14:textId="77777777" w:rsidR="00964B88" w:rsidRDefault="00964B88">
            <w:pPr>
              <w:spacing w:after="0"/>
              <w:rPr>
                <w:sz w:val="16"/>
              </w:rPr>
            </w:pPr>
            <w:r>
              <w:rPr>
                <w:b/>
                <w:sz w:val="16"/>
              </w:rPr>
              <w:t>Cash flows from investments in non</w:t>
            </w:r>
            <w:r>
              <w:rPr>
                <w:b/>
                <w:sz w:val="16"/>
              </w:rPr>
              <w:noBreakHyphen/>
              <w:t>financial assets</w:t>
            </w:r>
          </w:p>
        </w:tc>
        <w:tc>
          <w:tcPr>
            <w:tcW w:w="754" w:type="dxa"/>
            <w:gridSpan w:val="2"/>
          </w:tcPr>
          <w:p w14:paraId="62D302F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426163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42E732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150463B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6472B82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37E5C3A4"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69CA2F0D" w14:textId="77777777" w:rsidR="00964B88" w:rsidRDefault="00964B88">
            <w:pPr>
              <w:spacing w:after="0"/>
              <w:rPr>
                <w:sz w:val="16"/>
              </w:rPr>
            </w:pPr>
            <w:r>
              <w:rPr>
                <w:sz w:val="16"/>
              </w:rPr>
              <w:t>Purchases of non</w:t>
            </w:r>
            <w:r>
              <w:rPr>
                <w:sz w:val="16"/>
              </w:rPr>
              <w:noBreakHyphen/>
              <w:t>financial assets</w:t>
            </w:r>
          </w:p>
        </w:tc>
        <w:tc>
          <w:tcPr>
            <w:tcW w:w="754" w:type="dxa"/>
            <w:gridSpan w:val="2"/>
          </w:tcPr>
          <w:p w14:paraId="0C7BFA8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(16 341)</w:t>
            </w:r>
          </w:p>
        </w:tc>
        <w:tc>
          <w:tcPr>
            <w:tcW w:w="754" w:type="dxa"/>
          </w:tcPr>
          <w:p w14:paraId="0B473A6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(16 818)</w:t>
            </w:r>
          </w:p>
        </w:tc>
        <w:tc>
          <w:tcPr>
            <w:tcW w:w="754" w:type="dxa"/>
          </w:tcPr>
          <w:p w14:paraId="46994D9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(14 649)</w:t>
            </w:r>
          </w:p>
        </w:tc>
        <w:tc>
          <w:tcPr>
            <w:tcW w:w="754" w:type="dxa"/>
          </w:tcPr>
          <w:p w14:paraId="0241E26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(11 715)</w:t>
            </w:r>
          </w:p>
        </w:tc>
        <w:tc>
          <w:tcPr>
            <w:tcW w:w="754" w:type="dxa"/>
          </w:tcPr>
          <w:p w14:paraId="3497A01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(12 795)</w:t>
            </w:r>
          </w:p>
        </w:tc>
      </w:tr>
      <w:tr w:rsidR="00964B88" w14:paraId="0BC39E15"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048F2BEB" w14:textId="77777777" w:rsidR="00964B88" w:rsidRDefault="00964B88">
            <w:pPr>
              <w:spacing w:after="0"/>
              <w:rPr>
                <w:sz w:val="16"/>
              </w:rPr>
            </w:pPr>
            <w:r>
              <w:rPr>
                <w:sz w:val="16"/>
              </w:rPr>
              <w:t>Sales of non</w:t>
            </w:r>
            <w:r>
              <w:rPr>
                <w:sz w:val="16"/>
              </w:rPr>
              <w:noBreakHyphen/>
              <w:t>financial assets</w:t>
            </w:r>
          </w:p>
        </w:tc>
        <w:tc>
          <w:tcPr>
            <w:tcW w:w="754" w:type="dxa"/>
            <w:gridSpan w:val="2"/>
            <w:tcBorders>
              <w:bottom w:val="single" w:sz="6" w:space="0" w:color="auto"/>
            </w:tcBorders>
          </w:tcPr>
          <w:p w14:paraId="039498D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1 120</w:t>
            </w:r>
          </w:p>
        </w:tc>
        <w:tc>
          <w:tcPr>
            <w:tcW w:w="754" w:type="dxa"/>
            <w:tcBorders>
              <w:bottom w:val="single" w:sz="6" w:space="0" w:color="auto"/>
            </w:tcBorders>
          </w:tcPr>
          <w:p w14:paraId="76B801A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1 118</w:t>
            </w:r>
          </w:p>
        </w:tc>
        <w:tc>
          <w:tcPr>
            <w:tcW w:w="754" w:type="dxa"/>
            <w:tcBorders>
              <w:bottom w:val="single" w:sz="6" w:space="0" w:color="auto"/>
            </w:tcBorders>
          </w:tcPr>
          <w:p w14:paraId="0C23B76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484</w:t>
            </w:r>
          </w:p>
        </w:tc>
        <w:tc>
          <w:tcPr>
            <w:tcW w:w="754" w:type="dxa"/>
            <w:tcBorders>
              <w:bottom w:val="single" w:sz="6" w:space="0" w:color="auto"/>
            </w:tcBorders>
          </w:tcPr>
          <w:p w14:paraId="513F1D7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906</w:t>
            </w:r>
          </w:p>
        </w:tc>
        <w:tc>
          <w:tcPr>
            <w:tcW w:w="754" w:type="dxa"/>
            <w:tcBorders>
              <w:bottom w:val="single" w:sz="6" w:space="0" w:color="auto"/>
            </w:tcBorders>
          </w:tcPr>
          <w:p w14:paraId="7D5A498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730</w:t>
            </w:r>
          </w:p>
        </w:tc>
      </w:tr>
      <w:tr w:rsidR="00964B88" w14:paraId="36FB1ECB"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6A943D9B" w14:textId="77777777" w:rsidR="00964B88" w:rsidRDefault="00964B88">
            <w:pPr>
              <w:spacing w:after="0"/>
              <w:rPr>
                <w:sz w:val="16"/>
              </w:rPr>
            </w:pPr>
            <w:r>
              <w:rPr>
                <w:b/>
                <w:sz w:val="16"/>
              </w:rPr>
              <w:t>Net cash flows from investments in non</w:t>
            </w:r>
            <w:r>
              <w:rPr>
                <w:b/>
                <w:sz w:val="16"/>
              </w:rPr>
              <w:noBreakHyphen/>
              <w:t>financial assets</w:t>
            </w:r>
          </w:p>
        </w:tc>
        <w:tc>
          <w:tcPr>
            <w:tcW w:w="754" w:type="dxa"/>
            <w:gridSpan w:val="2"/>
            <w:tcBorders>
              <w:top w:val="single" w:sz="6" w:space="0" w:color="auto"/>
            </w:tcBorders>
          </w:tcPr>
          <w:p w14:paraId="540C431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(15 220)</w:t>
            </w:r>
          </w:p>
        </w:tc>
        <w:tc>
          <w:tcPr>
            <w:tcW w:w="754" w:type="dxa"/>
            <w:tcBorders>
              <w:top w:val="single" w:sz="6" w:space="0" w:color="auto"/>
            </w:tcBorders>
          </w:tcPr>
          <w:p w14:paraId="7575C24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(15 700)</w:t>
            </w:r>
          </w:p>
        </w:tc>
        <w:tc>
          <w:tcPr>
            <w:tcW w:w="754" w:type="dxa"/>
            <w:tcBorders>
              <w:top w:val="single" w:sz="6" w:space="0" w:color="auto"/>
            </w:tcBorders>
          </w:tcPr>
          <w:p w14:paraId="41AA4B1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(14 165)</w:t>
            </w:r>
          </w:p>
        </w:tc>
        <w:tc>
          <w:tcPr>
            <w:tcW w:w="754" w:type="dxa"/>
            <w:tcBorders>
              <w:top w:val="single" w:sz="6" w:space="0" w:color="auto"/>
            </w:tcBorders>
          </w:tcPr>
          <w:p w14:paraId="3D0EDD5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(10 809)</w:t>
            </w:r>
          </w:p>
        </w:tc>
        <w:tc>
          <w:tcPr>
            <w:tcW w:w="754" w:type="dxa"/>
            <w:tcBorders>
              <w:top w:val="single" w:sz="6" w:space="0" w:color="auto"/>
            </w:tcBorders>
          </w:tcPr>
          <w:p w14:paraId="7E4EFAD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(12 065)</w:t>
            </w:r>
          </w:p>
        </w:tc>
      </w:tr>
      <w:tr w:rsidR="00964B88" w14:paraId="1BB58113"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5AD92D3B" w14:textId="77777777" w:rsidR="00964B88" w:rsidRDefault="00964B88">
            <w:pPr>
              <w:spacing w:after="0"/>
              <w:rPr>
                <w:sz w:val="16"/>
              </w:rPr>
            </w:pPr>
            <w:r>
              <w:rPr>
                <w:sz w:val="16"/>
              </w:rPr>
              <w:t>Net cash flows from investments in financial assets for policy purposes</w:t>
            </w:r>
          </w:p>
        </w:tc>
        <w:tc>
          <w:tcPr>
            <w:tcW w:w="754" w:type="dxa"/>
            <w:gridSpan w:val="2"/>
            <w:tcBorders>
              <w:bottom w:val="single" w:sz="6" w:space="0" w:color="auto"/>
            </w:tcBorders>
          </w:tcPr>
          <w:p w14:paraId="58A9285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31</w:t>
            </w:r>
          </w:p>
        </w:tc>
        <w:tc>
          <w:tcPr>
            <w:tcW w:w="754" w:type="dxa"/>
            <w:tcBorders>
              <w:bottom w:val="single" w:sz="6" w:space="0" w:color="auto"/>
            </w:tcBorders>
          </w:tcPr>
          <w:p w14:paraId="6C7C9D3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(110)</w:t>
            </w:r>
          </w:p>
        </w:tc>
        <w:tc>
          <w:tcPr>
            <w:tcW w:w="754" w:type="dxa"/>
            <w:tcBorders>
              <w:bottom w:val="single" w:sz="6" w:space="0" w:color="auto"/>
            </w:tcBorders>
          </w:tcPr>
          <w:p w14:paraId="03A929F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(19)</w:t>
            </w:r>
          </w:p>
        </w:tc>
        <w:tc>
          <w:tcPr>
            <w:tcW w:w="754" w:type="dxa"/>
            <w:tcBorders>
              <w:bottom w:val="single" w:sz="6" w:space="0" w:color="auto"/>
            </w:tcBorders>
          </w:tcPr>
          <w:p w14:paraId="0BBCC06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(40)</w:t>
            </w:r>
          </w:p>
        </w:tc>
        <w:tc>
          <w:tcPr>
            <w:tcW w:w="754" w:type="dxa"/>
            <w:tcBorders>
              <w:bottom w:val="single" w:sz="6" w:space="0" w:color="auto"/>
            </w:tcBorders>
          </w:tcPr>
          <w:p w14:paraId="632EF68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89</w:t>
            </w:r>
          </w:p>
        </w:tc>
      </w:tr>
      <w:tr w:rsidR="00964B88" w14:paraId="40FF20A8"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1D25876D" w14:textId="77777777" w:rsidR="00964B88" w:rsidRDefault="00964B88">
            <w:pPr>
              <w:spacing w:after="0"/>
              <w:rPr>
                <w:sz w:val="16"/>
              </w:rPr>
            </w:pPr>
            <w:r>
              <w:rPr>
                <w:b/>
                <w:sz w:val="16"/>
              </w:rPr>
              <w:t>Subtotal</w:t>
            </w:r>
          </w:p>
        </w:tc>
        <w:tc>
          <w:tcPr>
            <w:tcW w:w="754" w:type="dxa"/>
            <w:gridSpan w:val="2"/>
            <w:tcBorders>
              <w:top w:val="single" w:sz="6" w:space="0" w:color="auto"/>
            </w:tcBorders>
          </w:tcPr>
          <w:p w14:paraId="43C92C0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(15 189)</w:t>
            </w:r>
          </w:p>
        </w:tc>
        <w:tc>
          <w:tcPr>
            <w:tcW w:w="754" w:type="dxa"/>
            <w:tcBorders>
              <w:top w:val="single" w:sz="6" w:space="0" w:color="auto"/>
            </w:tcBorders>
          </w:tcPr>
          <w:p w14:paraId="17ABC53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(15 810)</w:t>
            </w:r>
          </w:p>
        </w:tc>
        <w:tc>
          <w:tcPr>
            <w:tcW w:w="754" w:type="dxa"/>
            <w:tcBorders>
              <w:top w:val="single" w:sz="6" w:space="0" w:color="auto"/>
            </w:tcBorders>
          </w:tcPr>
          <w:p w14:paraId="33B8B3C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(14 183)</w:t>
            </w:r>
          </w:p>
        </w:tc>
        <w:tc>
          <w:tcPr>
            <w:tcW w:w="754" w:type="dxa"/>
            <w:tcBorders>
              <w:top w:val="single" w:sz="6" w:space="0" w:color="auto"/>
            </w:tcBorders>
          </w:tcPr>
          <w:p w14:paraId="4FD6B8D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(10 849)</w:t>
            </w:r>
          </w:p>
        </w:tc>
        <w:tc>
          <w:tcPr>
            <w:tcW w:w="754" w:type="dxa"/>
            <w:tcBorders>
              <w:top w:val="single" w:sz="6" w:space="0" w:color="auto"/>
            </w:tcBorders>
          </w:tcPr>
          <w:p w14:paraId="7B7E8D4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(11 976)</w:t>
            </w:r>
          </w:p>
        </w:tc>
      </w:tr>
      <w:tr w:rsidR="00964B88" w14:paraId="65FF7531"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16949FAE" w14:textId="77777777" w:rsidR="00964B88" w:rsidRDefault="00964B88">
            <w:pPr>
              <w:spacing w:after="0"/>
              <w:rPr>
                <w:sz w:val="16"/>
              </w:rPr>
            </w:pPr>
            <w:r>
              <w:rPr>
                <w:sz w:val="16"/>
              </w:rPr>
              <w:t>Net cash flows from investment in financial assets for liquidity management purposes</w:t>
            </w:r>
          </w:p>
        </w:tc>
        <w:tc>
          <w:tcPr>
            <w:tcW w:w="754" w:type="dxa"/>
            <w:gridSpan w:val="2"/>
            <w:tcBorders>
              <w:bottom w:val="single" w:sz="6" w:space="0" w:color="auto"/>
            </w:tcBorders>
          </w:tcPr>
          <w:p w14:paraId="5EBE971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7 129</w:t>
            </w:r>
          </w:p>
        </w:tc>
        <w:tc>
          <w:tcPr>
            <w:tcW w:w="754" w:type="dxa"/>
            <w:tcBorders>
              <w:bottom w:val="single" w:sz="6" w:space="0" w:color="auto"/>
            </w:tcBorders>
          </w:tcPr>
          <w:p w14:paraId="50B77F7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4 876</w:t>
            </w:r>
          </w:p>
        </w:tc>
        <w:tc>
          <w:tcPr>
            <w:tcW w:w="754" w:type="dxa"/>
            <w:tcBorders>
              <w:bottom w:val="single" w:sz="6" w:space="0" w:color="auto"/>
            </w:tcBorders>
          </w:tcPr>
          <w:p w14:paraId="2AA1A27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1 129</w:t>
            </w:r>
          </w:p>
        </w:tc>
        <w:tc>
          <w:tcPr>
            <w:tcW w:w="754" w:type="dxa"/>
            <w:tcBorders>
              <w:bottom w:val="single" w:sz="6" w:space="0" w:color="auto"/>
            </w:tcBorders>
          </w:tcPr>
          <w:p w14:paraId="15E3805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(164)</w:t>
            </w:r>
          </w:p>
        </w:tc>
        <w:tc>
          <w:tcPr>
            <w:tcW w:w="754" w:type="dxa"/>
            <w:tcBorders>
              <w:bottom w:val="single" w:sz="6" w:space="0" w:color="auto"/>
            </w:tcBorders>
          </w:tcPr>
          <w:p w14:paraId="53BF1E6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(810)</w:t>
            </w:r>
          </w:p>
        </w:tc>
      </w:tr>
      <w:tr w:rsidR="00964B88" w14:paraId="449ACD9E"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143FD615" w14:textId="77777777" w:rsidR="00964B88" w:rsidRDefault="00964B88">
            <w:pPr>
              <w:spacing w:after="0"/>
              <w:rPr>
                <w:sz w:val="16"/>
              </w:rPr>
            </w:pPr>
            <w:r>
              <w:rPr>
                <w:b/>
                <w:sz w:val="16"/>
              </w:rPr>
              <w:t>Net cash flows from investing activities</w:t>
            </w:r>
          </w:p>
        </w:tc>
        <w:tc>
          <w:tcPr>
            <w:tcW w:w="754" w:type="dxa"/>
            <w:gridSpan w:val="2"/>
            <w:tcBorders>
              <w:top w:val="single" w:sz="6" w:space="0" w:color="auto"/>
            </w:tcBorders>
          </w:tcPr>
          <w:p w14:paraId="7004B21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(8 060)</w:t>
            </w:r>
          </w:p>
        </w:tc>
        <w:tc>
          <w:tcPr>
            <w:tcW w:w="754" w:type="dxa"/>
            <w:tcBorders>
              <w:top w:val="single" w:sz="6" w:space="0" w:color="auto"/>
            </w:tcBorders>
          </w:tcPr>
          <w:p w14:paraId="7F3089E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(10 934)</w:t>
            </w:r>
          </w:p>
        </w:tc>
        <w:tc>
          <w:tcPr>
            <w:tcW w:w="754" w:type="dxa"/>
            <w:tcBorders>
              <w:top w:val="single" w:sz="6" w:space="0" w:color="auto"/>
            </w:tcBorders>
          </w:tcPr>
          <w:p w14:paraId="042808D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(13 054)</w:t>
            </w:r>
          </w:p>
        </w:tc>
        <w:tc>
          <w:tcPr>
            <w:tcW w:w="754" w:type="dxa"/>
            <w:tcBorders>
              <w:top w:val="single" w:sz="6" w:space="0" w:color="auto"/>
            </w:tcBorders>
          </w:tcPr>
          <w:p w14:paraId="0EE8CFF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(11 014)</w:t>
            </w:r>
          </w:p>
        </w:tc>
        <w:tc>
          <w:tcPr>
            <w:tcW w:w="754" w:type="dxa"/>
            <w:tcBorders>
              <w:top w:val="single" w:sz="6" w:space="0" w:color="auto"/>
            </w:tcBorders>
          </w:tcPr>
          <w:p w14:paraId="147E193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(12 786)</w:t>
            </w:r>
          </w:p>
        </w:tc>
      </w:tr>
      <w:tr w:rsidR="00964B88" w14:paraId="4AA2BC10"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01CEF06F" w14:textId="77777777" w:rsidR="00964B88" w:rsidRDefault="00964B88">
            <w:pPr>
              <w:spacing w:after="0"/>
              <w:rPr>
                <w:sz w:val="16"/>
              </w:rPr>
            </w:pPr>
            <w:r>
              <w:rPr>
                <w:b/>
                <w:sz w:val="16"/>
              </w:rPr>
              <w:t>Cash flows from financing activities</w:t>
            </w:r>
          </w:p>
        </w:tc>
        <w:tc>
          <w:tcPr>
            <w:tcW w:w="754" w:type="dxa"/>
            <w:gridSpan w:val="2"/>
          </w:tcPr>
          <w:p w14:paraId="7AEA711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F027ED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6DC8E11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4E6FE0C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35103A8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6D26FDD7"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60159C49" w14:textId="77777777" w:rsidR="00964B88" w:rsidRDefault="00964B88">
            <w:pPr>
              <w:spacing w:after="0"/>
              <w:rPr>
                <w:sz w:val="16"/>
              </w:rPr>
            </w:pPr>
            <w:r>
              <w:rPr>
                <w:sz w:val="16"/>
              </w:rPr>
              <w:t>Advances received (net)</w:t>
            </w:r>
          </w:p>
        </w:tc>
        <w:tc>
          <w:tcPr>
            <w:tcW w:w="754" w:type="dxa"/>
            <w:gridSpan w:val="2"/>
          </w:tcPr>
          <w:p w14:paraId="38197AA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w:t>
            </w:r>
          </w:p>
        </w:tc>
        <w:tc>
          <w:tcPr>
            <w:tcW w:w="754" w:type="dxa"/>
          </w:tcPr>
          <w:p w14:paraId="448251B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(3)</w:t>
            </w:r>
          </w:p>
        </w:tc>
        <w:tc>
          <w:tcPr>
            <w:tcW w:w="754" w:type="dxa"/>
          </w:tcPr>
          <w:p w14:paraId="5685FAE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6</w:t>
            </w:r>
          </w:p>
        </w:tc>
        <w:tc>
          <w:tcPr>
            <w:tcW w:w="754" w:type="dxa"/>
          </w:tcPr>
          <w:p w14:paraId="6CF646F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(112)</w:t>
            </w:r>
          </w:p>
        </w:tc>
        <w:tc>
          <w:tcPr>
            <w:tcW w:w="754" w:type="dxa"/>
          </w:tcPr>
          <w:p w14:paraId="3F0CE7D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w:t>
            </w:r>
          </w:p>
        </w:tc>
      </w:tr>
      <w:tr w:rsidR="00964B88" w14:paraId="2D52DC8E"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0BE5200A" w14:textId="77777777" w:rsidR="00964B88" w:rsidRDefault="00964B88">
            <w:pPr>
              <w:spacing w:after="0"/>
              <w:rPr>
                <w:sz w:val="16"/>
              </w:rPr>
            </w:pPr>
            <w:r>
              <w:rPr>
                <w:sz w:val="16"/>
              </w:rPr>
              <w:t>Net borrowings</w:t>
            </w:r>
          </w:p>
        </w:tc>
        <w:tc>
          <w:tcPr>
            <w:tcW w:w="754" w:type="dxa"/>
            <w:gridSpan w:val="2"/>
          </w:tcPr>
          <w:p w14:paraId="700AC7B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2 952</w:t>
            </w:r>
          </w:p>
        </w:tc>
        <w:tc>
          <w:tcPr>
            <w:tcW w:w="754" w:type="dxa"/>
          </w:tcPr>
          <w:p w14:paraId="689CBE8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4 327</w:t>
            </w:r>
          </w:p>
        </w:tc>
        <w:tc>
          <w:tcPr>
            <w:tcW w:w="754" w:type="dxa"/>
          </w:tcPr>
          <w:p w14:paraId="60451AA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6 824</w:t>
            </w:r>
          </w:p>
        </w:tc>
        <w:tc>
          <w:tcPr>
            <w:tcW w:w="754" w:type="dxa"/>
          </w:tcPr>
          <w:p w14:paraId="561B5C1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1 981</w:t>
            </w:r>
          </w:p>
        </w:tc>
        <w:tc>
          <w:tcPr>
            <w:tcW w:w="754" w:type="dxa"/>
          </w:tcPr>
          <w:p w14:paraId="72A7E04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1 919</w:t>
            </w:r>
          </w:p>
        </w:tc>
      </w:tr>
      <w:tr w:rsidR="00964B88" w14:paraId="3A6C16BB"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5EE3FD3D" w14:textId="77777777" w:rsidR="00964B88" w:rsidRDefault="00964B88">
            <w:pPr>
              <w:spacing w:after="0"/>
              <w:rPr>
                <w:sz w:val="16"/>
              </w:rPr>
            </w:pPr>
            <w:r>
              <w:rPr>
                <w:sz w:val="16"/>
              </w:rPr>
              <w:t>Deposits received (net)</w:t>
            </w:r>
          </w:p>
        </w:tc>
        <w:tc>
          <w:tcPr>
            <w:tcW w:w="754" w:type="dxa"/>
            <w:gridSpan w:val="2"/>
          </w:tcPr>
          <w:p w14:paraId="6B76FC3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w:t>
            </w:r>
          </w:p>
        </w:tc>
        <w:tc>
          <w:tcPr>
            <w:tcW w:w="754" w:type="dxa"/>
          </w:tcPr>
          <w:p w14:paraId="4EB6381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w:t>
            </w:r>
          </w:p>
        </w:tc>
        <w:tc>
          <w:tcPr>
            <w:tcW w:w="754" w:type="dxa"/>
          </w:tcPr>
          <w:p w14:paraId="3F91FB0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(8)</w:t>
            </w:r>
          </w:p>
        </w:tc>
        <w:tc>
          <w:tcPr>
            <w:tcW w:w="754" w:type="dxa"/>
          </w:tcPr>
          <w:p w14:paraId="5E5747D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(7)</w:t>
            </w:r>
          </w:p>
        </w:tc>
        <w:tc>
          <w:tcPr>
            <w:tcW w:w="754" w:type="dxa"/>
          </w:tcPr>
          <w:p w14:paraId="556C650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(6)</w:t>
            </w:r>
          </w:p>
        </w:tc>
      </w:tr>
      <w:tr w:rsidR="00964B88" w14:paraId="1A6D097B"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5FB0DA53" w14:textId="77777777" w:rsidR="00964B88" w:rsidRDefault="00964B88">
            <w:pPr>
              <w:spacing w:after="0"/>
              <w:rPr>
                <w:sz w:val="16"/>
              </w:rPr>
            </w:pPr>
            <w:r>
              <w:rPr>
                <w:b/>
                <w:sz w:val="16"/>
              </w:rPr>
              <w:t>Net cash flows from financing activities</w:t>
            </w:r>
          </w:p>
        </w:tc>
        <w:tc>
          <w:tcPr>
            <w:tcW w:w="754" w:type="dxa"/>
            <w:gridSpan w:val="2"/>
            <w:tcBorders>
              <w:top w:val="single" w:sz="6" w:space="0" w:color="auto"/>
              <w:bottom w:val="single" w:sz="6" w:space="0" w:color="auto"/>
            </w:tcBorders>
          </w:tcPr>
          <w:p w14:paraId="1EB48C8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2 953</w:t>
            </w:r>
          </w:p>
        </w:tc>
        <w:tc>
          <w:tcPr>
            <w:tcW w:w="754" w:type="dxa"/>
            <w:tcBorders>
              <w:top w:val="single" w:sz="6" w:space="0" w:color="auto"/>
              <w:bottom w:val="single" w:sz="6" w:space="0" w:color="auto"/>
            </w:tcBorders>
          </w:tcPr>
          <w:p w14:paraId="0F80D45E"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4 319</w:t>
            </w:r>
          </w:p>
        </w:tc>
        <w:tc>
          <w:tcPr>
            <w:tcW w:w="754" w:type="dxa"/>
            <w:tcBorders>
              <w:top w:val="single" w:sz="6" w:space="0" w:color="auto"/>
              <w:bottom w:val="single" w:sz="6" w:space="0" w:color="auto"/>
            </w:tcBorders>
          </w:tcPr>
          <w:p w14:paraId="5C5FD72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6 822</w:t>
            </w:r>
          </w:p>
        </w:tc>
        <w:tc>
          <w:tcPr>
            <w:tcW w:w="754" w:type="dxa"/>
            <w:tcBorders>
              <w:top w:val="single" w:sz="6" w:space="0" w:color="auto"/>
              <w:bottom w:val="single" w:sz="6" w:space="0" w:color="auto"/>
            </w:tcBorders>
          </w:tcPr>
          <w:p w14:paraId="63CD545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1 862</w:t>
            </w:r>
          </w:p>
        </w:tc>
        <w:tc>
          <w:tcPr>
            <w:tcW w:w="754" w:type="dxa"/>
            <w:tcBorders>
              <w:top w:val="single" w:sz="6" w:space="0" w:color="auto"/>
              <w:bottom w:val="single" w:sz="6" w:space="0" w:color="auto"/>
            </w:tcBorders>
          </w:tcPr>
          <w:p w14:paraId="572AA79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1 912</w:t>
            </w:r>
          </w:p>
        </w:tc>
      </w:tr>
      <w:tr w:rsidR="00964B88" w14:paraId="07DD1323"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6411662F" w14:textId="77777777" w:rsidR="00964B88" w:rsidRDefault="00964B88">
            <w:pPr>
              <w:spacing w:after="0"/>
              <w:rPr>
                <w:sz w:val="16"/>
              </w:rPr>
            </w:pPr>
            <w:r>
              <w:rPr>
                <w:b/>
                <w:sz w:val="16"/>
              </w:rPr>
              <w:t>Net increase/(decrease) in cash and cash equivalents</w:t>
            </w:r>
          </w:p>
        </w:tc>
        <w:tc>
          <w:tcPr>
            <w:tcW w:w="754" w:type="dxa"/>
            <w:gridSpan w:val="2"/>
            <w:tcBorders>
              <w:top w:val="single" w:sz="6" w:space="0" w:color="auto"/>
            </w:tcBorders>
          </w:tcPr>
          <w:p w14:paraId="0A8A034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552</w:t>
            </w:r>
          </w:p>
        </w:tc>
        <w:tc>
          <w:tcPr>
            <w:tcW w:w="754" w:type="dxa"/>
            <w:tcBorders>
              <w:top w:val="single" w:sz="6" w:space="0" w:color="auto"/>
            </w:tcBorders>
          </w:tcPr>
          <w:p w14:paraId="6BAB707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(2 530)</w:t>
            </w:r>
          </w:p>
        </w:tc>
        <w:tc>
          <w:tcPr>
            <w:tcW w:w="754" w:type="dxa"/>
            <w:tcBorders>
              <w:top w:val="single" w:sz="6" w:space="0" w:color="auto"/>
            </w:tcBorders>
          </w:tcPr>
          <w:p w14:paraId="2B0734C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(190)</w:t>
            </w:r>
          </w:p>
        </w:tc>
        <w:tc>
          <w:tcPr>
            <w:tcW w:w="754" w:type="dxa"/>
            <w:tcBorders>
              <w:top w:val="single" w:sz="6" w:space="0" w:color="auto"/>
            </w:tcBorders>
          </w:tcPr>
          <w:p w14:paraId="4E80167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(56)</w:t>
            </w:r>
          </w:p>
        </w:tc>
        <w:tc>
          <w:tcPr>
            <w:tcW w:w="754" w:type="dxa"/>
            <w:tcBorders>
              <w:top w:val="single" w:sz="6" w:space="0" w:color="auto"/>
            </w:tcBorders>
          </w:tcPr>
          <w:p w14:paraId="22EA0C0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163</w:t>
            </w:r>
          </w:p>
        </w:tc>
      </w:tr>
      <w:tr w:rsidR="00964B88" w14:paraId="3B15C136" w14:textId="77777777" w:rsidTr="003951F6">
        <w:tc>
          <w:tcPr>
            <w:cnfStyle w:val="001000000000" w:firstRow="0" w:lastRow="0" w:firstColumn="1" w:lastColumn="0" w:oddVBand="0" w:evenVBand="0" w:oddHBand="0" w:evenHBand="0" w:firstRowFirstColumn="0" w:firstRowLastColumn="0" w:lastRowFirstColumn="0" w:lastRowLastColumn="0"/>
            <w:tcW w:w="4140" w:type="dxa"/>
            <w:gridSpan w:val="2"/>
            <w:tcBorders>
              <w:bottom w:val="single" w:sz="6" w:space="0" w:color="auto"/>
            </w:tcBorders>
          </w:tcPr>
          <w:p w14:paraId="4733D2F9" w14:textId="77777777" w:rsidR="00964B88" w:rsidRDefault="00964B88">
            <w:pPr>
              <w:spacing w:after="0"/>
              <w:rPr>
                <w:sz w:val="16"/>
              </w:rPr>
            </w:pPr>
            <w:r>
              <w:rPr>
                <w:sz w:val="16"/>
              </w:rPr>
              <w:t>Cash and cash equivalents at beginning of reporting period</w:t>
            </w:r>
            <w:r>
              <w:rPr>
                <w:sz w:val="16"/>
                <w:vertAlign w:val="superscript"/>
              </w:rPr>
              <w:t xml:space="preserve"> (b)</w:t>
            </w:r>
          </w:p>
        </w:tc>
        <w:tc>
          <w:tcPr>
            <w:tcW w:w="612" w:type="dxa"/>
            <w:tcBorders>
              <w:bottom w:val="single" w:sz="6" w:space="0" w:color="auto"/>
            </w:tcBorders>
          </w:tcPr>
          <w:p w14:paraId="2A31693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12 695</w:t>
            </w:r>
          </w:p>
        </w:tc>
        <w:tc>
          <w:tcPr>
            <w:tcW w:w="754" w:type="dxa"/>
            <w:tcBorders>
              <w:bottom w:val="single" w:sz="6" w:space="0" w:color="auto"/>
            </w:tcBorders>
          </w:tcPr>
          <w:p w14:paraId="449DEC6C"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12 695</w:t>
            </w:r>
          </w:p>
        </w:tc>
        <w:tc>
          <w:tcPr>
            <w:tcW w:w="754" w:type="dxa"/>
            <w:tcBorders>
              <w:bottom w:val="single" w:sz="6" w:space="0" w:color="auto"/>
            </w:tcBorders>
          </w:tcPr>
          <w:p w14:paraId="7983C0B9"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10 165</w:t>
            </w:r>
          </w:p>
        </w:tc>
        <w:tc>
          <w:tcPr>
            <w:tcW w:w="754" w:type="dxa"/>
            <w:tcBorders>
              <w:bottom w:val="single" w:sz="6" w:space="0" w:color="auto"/>
            </w:tcBorders>
          </w:tcPr>
          <w:p w14:paraId="4E85831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9 975</w:t>
            </w:r>
          </w:p>
        </w:tc>
        <w:tc>
          <w:tcPr>
            <w:tcW w:w="754" w:type="dxa"/>
            <w:tcBorders>
              <w:bottom w:val="single" w:sz="6" w:space="0" w:color="auto"/>
            </w:tcBorders>
          </w:tcPr>
          <w:p w14:paraId="7302522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9 920</w:t>
            </w:r>
          </w:p>
        </w:tc>
      </w:tr>
      <w:tr w:rsidR="00964B88" w14:paraId="77DBCEC8"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bottom w:val="single" w:sz="6" w:space="0" w:color="auto"/>
            </w:tcBorders>
          </w:tcPr>
          <w:p w14:paraId="4CA20CF5" w14:textId="77777777" w:rsidR="00964B88" w:rsidRDefault="00964B88">
            <w:pPr>
              <w:spacing w:after="0"/>
              <w:rPr>
                <w:sz w:val="16"/>
              </w:rPr>
            </w:pPr>
            <w:r>
              <w:rPr>
                <w:b/>
                <w:sz w:val="16"/>
              </w:rPr>
              <w:t>Cash and cash equivalents at end of reporting period</w:t>
            </w:r>
            <w:r>
              <w:rPr>
                <w:b/>
                <w:sz w:val="16"/>
                <w:vertAlign w:val="superscript"/>
              </w:rPr>
              <w:t xml:space="preserve"> (b)</w:t>
            </w:r>
          </w:p>
        </w:tc>
        <w:tc>
          <w:tcPr>
            <w:tcW w:w="754" w:type="dxa"/>
            <w:gridSpan w:val="2"/>
            <w:tcBorders>
              <w:top w:val="single" w:sz="6" w:space="0" w:color="auto"/>
              <w:bottom w:val="single" w:sz="6" w:space="0" w:color="auto"/>
            </w:tcBorders>
          </w:tcPr>
          <w:p w14:paraId="7FD7F2C2"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13 247</w:t>
            </w:r>
          </w:p>
        </w:tc>
        <w:tc>
          <w:tcPr>
            <w:tcW w:w="754" w:type="dxa"/>
            <w:tcBorders>
              <w:top w:val="single" w:sz="6" w:space="0" w:color="auto"/>
              <w:bottom w:val="single" w:sz="6" w:space="0" w:color="auto"/>
            </w:tcBorders>
          </w:tcPr>
          <w:p w14:paraId="1A8901ED"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10 165</w:t>
            </w:r>
          </w:p>
        </w:tc>
        <w:tc>
          <w:tcPr>
            <w:tcW w:w="754" w:type="dxa"/>
            <w:tcBorders>
              <w:top w:val="single" w:sz="6" w:space="0" w:color="auto"/>
              <w:bottom w:val="single" w:sz="6" w:space="0" w:color="auto"/>
            </w:tcBorders>
          </w:tcPr>
          <w:p w14:paraId="151BA7E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9 975</w:t>
            </w:r>
          </w:p>
        </w:tc>
        <w:tc>
          <w:tcPr>
            <w:tcW w:w="754" w:type="dxa"/>
            <w:tcBorders>
              <w:top w:val="single" w:sz="6" w:space="0" w:color="auto"/>
              <w:bottom w:val="single" w:sz="6" w:space="0" w:color="auto"/>
            </w:tcBorders>
          </w:tcPr>
          <w:p w14:paraId="61053BB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9 920</w:t>
            </w:r>
          </w:p>
        </w:tc>
        <w:tc>
          <w:tcPr>
            <w:tcW w:w="754" w:type="dxa"/>
            <w:tcBorders>
              <w:top w:val="single" w:sz="6" w:space="0" w:color="auto"/>
              <w:bottom w:val="single" w:sz="6" w:space="0" w:color="auto"/>
            </w:tcBorders>
          </w:tcPr>
          <w:p w14:paraId="20D0731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b/>
                <w:sz w:val="16"/>
              </w:rPr>
              <w:t>10 083</w:t>
            </w:r>
          </w:p>
        </w:tc>
      </w:tr>
      <w:tr w:rsidR="00964B88" w14:paraId="4968C63C" w14:textId="77777777" w:rsidTr="003951F6">
        <w:trPr>
          <w:trHeight w:hRule="exact" w:val="113"/>
        </w:trPr>
        <w:tc>
          <w:tcPr>
            <w:cnfStyle w:val="001000000000" w:firstRow="0" w:lastRow="0" w:firstColumn="1" w:lastColumn="0" w:oddVBand="0" w:evenVBand="0" w:oddHBand="0" w:evenHBand="0" w:firstRowFirstColumn="0" w:firstRowLastColumn="0" w:lastRowFirstColumn="0" w:lastRowLastColumn="0"/>
            <w:tcW w:w="3998" w:type="dxa"/>
            <w:tcBorders>
              <w:top w:val="single" w:sz="6" w:space="0" w:color="auto"/>
            </w:tcBorders>
          </w:tcPr>
          <w:p w14:paraId="4698CCE9" w14:textId="77777777" w:rsidR="00964B88" w:rsidRDefault="00964B88">
            <w:pPr>
              <w:spacing w:after="0"/>
              <w:rPr>
                <w:sz w:val="16"/>
              </w:rPr>
            </w:pPr>
          </w:p>
        </w:tc>
        <w:tc>
          <w:tcPr>
            <w:tcW w:w="754" w:type="dxa"/>
            <w:gridSpan w:val="2"/>
            <w:tcBorders>
              <w:top w:val="single" w:sz="6" w:space="0" w:color="auto"/>
            </w:tcBorders>
          </w:tcPr>
          <w:p w14:paraId="6EF9E30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0387825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009F6A8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7EC624EA"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Borders>
              <w:top w:val="single" w:sz="6" w:space="0" w:color="auto"/>
            </w:tcBorders>
          </w:tcPr>
          <w:p w14:paraId="1283127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5B760502"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5389C58F" w14:textId="77777777" w:rsidR="00964B88" w:rsidRDefault="00964B88">
            <w:pPr>
              <w:spacing w:after="0"/>
              <w:rPr>
                <w:sz w:val="16"/>
              </w:rPr>
            </w:pPr>
            <w:r>
              <w:rPr>
                <w:b/>
                <w:sz w:val="16"/>
              </w:rPr>
              <w:t>FISCAL AGGREGATES</w:t>
            </w:r>
          </w:p>
        </w:tc>
        <w:tc>
          <w:tcPr>
            <w:tcW w:w="754" w:type="dxa"/>
            <w:gridSpan w:val="2"/>
          </w:tcPr>
          <w:p w14:paraId="676CF00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940A6F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20521F95"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0992666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754" w:type="dxa"/>
          </w:tcPr>
          <w:p w14:paraId="506F5E0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p>
        </w:tc>
      </w:tr>
      <w:tr w:rsidR="00964B88" w14:paraId="5A4B1EBC" w14:textId="77777777" w:rsidTr="003951F6">
        <w:tc>
          <w:tcPr>
            <w:cnfStyle w:val="001000000000" w:firstRow="0" w:lastRow="0" w:firstColumn="1" w:lastColumn="0" w:oddVBand="0" w:evenVBand="0" w:oddHBand="0" w:evenHBand="0" w:firstRowFirstColumn="0" w:firstRowLastColumn="0" w:lastRowFirstColumn="0" w:lastRowLastColumn="0"/>
            <w:tcW w:w="3998" w:type="dxa"/>
          </w:tcPr>
          <w:p w14:paraId="59AB03DA" w14:textId="77777777" w:rsidR="00964B88" w:rsidRDefault="00964B88">
            <w:pPr>
              <w:spacing w:after="0"/>
              <w:rPr>
                <w:sz w:val="16"/>
              </w:rPr>
            </w:pPr>
            <w:r>
              <w:rPr>
                <w:sz w:val="16"/>
              </w:rPr>
              <w:t>Net cash flows from operating activities</w:t>
            </w:r>
          </w:p>
        </w:tc>
        <w:tc>
          <w:tcPr>
            <w:tcW w:w="754" w:type="dxa"/>
            <w:gridSpan w:val="2"/>
          </w:tcPr>
          <w:p w14:paraId="10BFB224"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5 658</w:t>
            </w:r>
          </w:p>
        </w:tc>
        <w:tc>
          <w:tcPr>
            <w:tcW w:w="754" w:type="dxa"/>
          </w:tcPr>
          <w:p w14:paraId="2521D0CB"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4 085</w:t>
            </w:r>
          </w:p>
        </w:tc>
        <w:tc>
          <w:tcPr>
            <w:tcW w:w="754" w:type="dxa"/>
          </w:tcPr>
          <w:p w14:paraId="1D53BAB0"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6 042</w:t>
            </w:r>
          </w:p>
        </w:tc>
        <w:tc>
          <w:tcPr>
            <w:tcW w:w="754" w:type="dxa"/>
          </w:tcPr>
          <w:p w14:paraId="302DBB98"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9 096</w:t>
            </w:r>
          </w:p>
        </w:tc>
        <w:tc>
          <w:tcPr>
            <w:tcW w:w="754" w:type="dxa"/>
          </w:tcPr>
          <w:p w14:paraId="65827EE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11 037</w:t>
            </w:r>
          </w:p>
        </w:tc>
      </w:tr>
      <w:tr w:rsidR="00964B88" w14:paraId="09D17629" w14:textId="77777777" w:rsidTr="003951F6">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14:paraId="0EE702B1" w14:textId="77777777" w:rsidR="00964B88" w:rsidRDefault="00964B88">
            <w:pPr>
              <w:spacing w:after="0"/>
              <w:rPr>
                <w:sz w:val="16"/>
              </w:rPr>
            </w:pPr>
            <w:r>
              <w:rPr>
                <w:sz w:val="16"/>
              </w:rPr>
              <w:t>Net cash flows from investments in non</w:t>
            </w:r>
            <w:r>
              <w:rPr>
                <w:sz w:val="16"/>
              </w:rPr>
              <w:noBreakHyphen/>
              <w:t>financial assets</w:t>
            </w:r>
          </w:p>
        </w:tc>
        <w:tc>
          <w:tcPr>
            <w:tcW w:w="754" w:type="dxa"/>
            <w:gridSpan w:val="2"/>
            <w:tcBorders>
              <w:bottom w:val="single" w:sz="6" w:space="0" w:color="auto"/>
            </w:tcBorders>
          </w:tcPr>
          <w:p w14:paraId="4F5F0576"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(15 220)</w:t>
            </w:r>
          </w:p>
        </w:tc>
        <w:tc>
          <w:tcPr>
            <w:tcW w:w="754" w:type="dxa"/>
            <w:tcBorders>
              <w:bottom w:val="single" w:sz="6" w:space="0" w:color="auto"/>
            </w:tcBorders>
          </w:tcPr>
          <w:p w14:paraId="0B614C73"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(15 700)</w:t>
            </w:r>
          </w:p>
        </w:tc>
        <w:tc>
          <w:tcPr>
            <w:tcW w:w="754" w:type="dxa"/>
            <w:tcBorders>
              <w:bottom w:val="single" w:sz="6" w:space="0" w:color="auto"/>
            </w:tcBorders>
          </w:tcPr>
          <w:p w14:paraId="2EBE7D51"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(14 165)</w:t>
            </w:r>
          </w:p>
        </w:tc>
        <w:tc>
          <w:tcPr>
            <w:tcW w:w="754" w:type="dxa"/>
            <w:tcBorders>
              <w:bottom w:val="single" w:sz="6" w:space="0" w:color="auto"/>
            </w:tcBorders>
          </w:tcPr>
          <w:p w14:paraId="5CDA6657"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(10 809)</w:t>
            </w:r>
          </w:p>
        </w:tc>
        <w:tc>
          <w:tcPr>
            <w:tcW w:w="754" w:type="dxa"/>
            <w:tcBorders>
              <w:bottom w:val="single" w:sz="6" w:space="0" w:color="auto"/>
            </w:tcBorders>
          </w:tcPr>
          <w:p w14:paraId="4194F03F" w14:textId="77777777" w:rsidR="00964B88" w:rsidRDefault="00964B88">
            <w:pPr>
              <w:spacing w:after="0"/>
              <w:cnfStyle w:val="000000000000" w:firstRow="0" w:lastRow="0" w:firstColumn="0" w:lastColumn="0" w:oddVBand="0" w:evenVBand="0" w:oddHBand="0" w:evenHBand="0" w:firstRowFirstColumn="0" w:firstRowLastColumn="0" w:lastRowFirstColumn="0" w:lastRowLastColumn="0"/>
              <w:rPr>
                <w:sz w:val="16"/>
              </w:rPr>
            </w:pPr>
            <w:r>
              <w:rPr>
                <w:sz w:val="16"/>
              </w:rPr>
              <w:t>(12 065)</w:t>
            </w:r>
          </w:p>
        </w:tc>
      </w:tr>
      <w:tr w:rsidR="00964B88" w14:paraId="1145503A" w14:textId="77777777" w:rsidTr="003951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8" w:type="dxa"/>
          </w:tcPr>
          <w:p w14:paraId="43AEAB22" w14:textId="77777777" w:rsidR="00964B88" w:rsidRDefault="00964B88">
            <w:pPr>
              <w:spacing w:after="0"/>
              <w:rPr>
                <w:sz w:val="16"/>
              </w:rPr>
            </w:pPr>
            <w:r>
              <w:rPr>
                <w:sz w:val="16"/>
              </w:rPr>
              <w:t>Cash surplus/(deficit)</w:t>
            </w:r>
          </w:p>
        </w:tc>
        <w:tc>
          <w:tcPr>
            <w:tcW w:w="754" w:type="dxa"/>
            <w:gridSpan w:val="2"/>
          </w:tcPr>
          <w:p w14:paraId="1EE7FF96"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rPr>
                <w:sz w:val="16"/>
              </w:rPr>
            </w:pPr>
            <w:r>
              <w:rPr>
                <w:sz w:val="16"/>
              </w:rPr>
              <w:t>(9 562)</w:t>
            </w:r>
          </w:p>
        </w:tc>
        <w:tc>
          <w:tcPr>
            <w:tcW w:w="754" w:type="dxa"/>
          </w:tcPr>
          <w:p w14:paraId="4544D4DD"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rPr>
                <w:sz w:val="16"/>
              </w:rPr>
            </w:pPr>
            <w:r>
              <w:rPr>
                <w:sz w:val="16"/>
              </w:rPr>
              <w:t>(11 615)</w:t>
            </w:r>
          </w:p>
        </w:tc>
        <w:tc>
          <w:tcPr>
            <w:tcW w:w="754" w:type="dxa"/>
          </w:tcPr>
          <w:p w14:paraId="7CA7050A"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rPr>
                <w:sz w:val="16"/>
              </w:rPr>
            </w:pPr>
            <w:r>
              <w:rPr>
                <w:sz w:val="16"/>
              </w:rPr>
              <w:t>(8 122)</w:t>
            </w:r>
          </w:p>
        </w:tc>
        <w:tc>
          <w:tcPr>
            <w:tcW w:w="754" w:type="dxa"/>
          </w:tcPr>
          <w:p w14:paraId="2E7939E9"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rPr>
                <w:sz w:val="16"/>
              </w:rPr>
            </w:pPr>
            <w:r>
              <w:rPr>
                <w:sz w:val="16"/>
              </w:rPr>
              <w:t>(1 713)</w:t>
            </w:r>
          </w:p>
        </w:tc>
        <w:tc>
          <w:tcPr>
            <w:tcW w:w="754" w:type="dxa"/>
          </w:tcPr>
          <w:p w14:paraId="7BAF5B0F" w14:textId="77777777" w:rsidR="00964B88" w:rsidRDefault="00964B88">
            <w:pPr>
              <w:spacing w:after="0"/>
              <w:cnfStyle w:val="010000000000" w:firstRow="0" w:lastRow="1" w:firstColumn="0" w:lastColumn="0" w:oddVBand="0" w:evenVBand="0" w:oddHBand="0" w:evenHBand="0" w:firstRowFirstColumn="0" w:firstRowLastColumn="0" w:lastRowFirstColumn="0" w:lastRowLastColumn="0"/>
              <w:rPr>
                <w:sz w:val="16"/>
              </w:rPr>
            </w:pPr>
            <w:r>
              <w:rPr>
                <w:sz w:val="16"/>
              </w:rPr>
              <w:t>(1 028)</w:t>
            </w:r>
          </w:p>
        </w:tc>
      </w:tr>
    </w:tbl>
    <w:p w14:paraId="2B238BA0" w14:textId="77777777" w:rsidR="00964B88" w:rsidRPr="00AF04C7" w:rsidRDefault="00964B88" w:rsidP="00F53820">
      <w:pPr>
        <w:pStyle w:val="Note"/>
      </w:pPr>
      <w:r w:rsidRPr="00AF04C7">
        <w:t>Notes:</w:t>
      </w:r>
    </w:p>
    <w:p w14:paraId="0DB048B4" w14:textId="77777777" w:rsidR="00964B88" w:rsidRPr="00AF04C7" w:rsidRDefault="00964B88" w:rsidP="00F53820">
      <w:pPr>
        <w:pStyle w:val="Note"/>
      </w:pPr>
      <w:r w:rsidRPr="00AF04C7">
        <w:t>(a)</w:t>
      </w:r>
      <w:r w:rsidRPr="00AF04C7">
        <w:tab/>
        <w:t>Inclusive of goods and services tax.</w:t>
      </w:r>
    </w:p>
    <w:p w14:paraId="3EE1D11F" w14:textId="77777777" w:rsidR="00964B88" w:rsidRDefault="00964B88" w:rsidP="00F53820">
      <w:pPr>
        <w:pStyle w:val="Note"/>
      </w:pPr>
      <w:r w:rsidRPr="00AF04C7">
        <w:t>(b)</w:t>
      </w:r>
      <w:r w:rsidRPr="00AF04C7">
        <w:tab/>
      </w:r>
      <w:r w:rsidRPr="00D51820">
        <w:rPr>
          <w:i w:val="0"/>
        </w:rPr>
        <w:t>201</w:t>
      </w:r>
      <w:r>
        <w:rPr>
          <w:i w:val="0"/>
        </w:rPr>
        <w:t>9</w:t>
      </w:r>
      <w:r w:rsidRPr="00D51820">
        <w:rPr>
          <w:i w:val="0"/>
        </w:rPr>
        <w:t>-</w:t>
      </w:r>
      <w:r>
        <w:rPr>
          <w:i w:val="0"/>
        </w:rPr>
        <w:t>20</w:t>
      </w:r>
      <w:r w:rsidRPr="00D51820">
        <w:rPr>
          <w:i w:val="0"/>
        </w:rPr>
        <w:t xml:space="preserve"> Budget</w:t>
      </w:r>
      <w:r w:rsidRPr="00AF04C7">
        <w:t xml:space="preserve"> figures have been restated to represent actual opening balances at 1 July 201</w:t>
      </w:r>
      <w:r>
        <w:t>9</w:t>
      </w:r>
      <w:r w:rsidRPr="00AF04C7">
        <w:t xml:space="preserve">. </w:t>
      </w:r>
    </w:p>
    <w:p w14:paraId="782060C9" w14:textId="77777777" w:rsidR="00964B88" w:rsidRPr="0045722A" w:rsidRDefault="00964B88" w:rsidP="00F53820">
      <w:pPr>
        <w:pStyle w:val="Heading10"/>
        <w:rPr>
          <w:sz w:val="14"/>
        </w:rPr>
      </w:pPr>
      <w:r>
        <w:br w:type="page"/>
      </w:r>
    </w:p>
    <w:p w14:paraId="0D2DE6A6" w14:textId="77777777" w:rsidR="00964B88" w:rsidRDefault="00964B88" w:rsidP="00F53820">
      <w:pPr>
        <w:pStyle w:val="TableHeading"/>
      </w:pPr>
      <w:r>
        <w:lastRenderedPageBreak/>
        <w:t>Table 5.19</w:t>
      </w:r>
      <w:r w:rsidR="009C1504">
        <w:t>:</w:t>
      </w:r>
      <w:r>
        <w:tab/>
        <w:t xml:space="preserve">State of Victoria statement of changes in equity </w:t>
      </w:r>
      <w:r w:rsidR="00506B7C">
        <w:br/>
      </w:r>
      <w:r>
        <w:t>for the financial year ended 30 June</w:t>
      </w:r>
      <w:r>
        <w:tab/>
        <w:t>($ million)</w:t>
      </w:r>
    </w:p>
    <w:tbl>
      <w:tblPr>
        <w:tblStyle w:val="DTFTable"/>
        <w:tblW w:w="7768" w:type="dxa"/>
        <w:tblLayout w:type="fixed"/>
        <w:tblLook w:val="06E0" w:firstRow="1" w:lastRow="1" w:firstColumn="1" w:lastColumn="0" w:noHBand="1" w:noVBand="1"/>
      </w:tblPr>
      <w:tblGrid>
        <w:gridCol w:w="3290"/>
        <w:gridCol w:w="1275"/>
        <w:gridCol w:w="1560"/>
        <w:gridCol w:w="850"/>
        <w:gridCol w:w="793"/>
      </w:tblGrid>
      <w:tr w:rsidR="00964B88" w14:paraId="6F1C550E"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90" w:type="dxa"/>
          </w:tcPr>
          <w:p w14:paraId="34F629E0" w14:textId="77777777" w:rsidR="00964B88" w:rsidRDefault="00964B88"/>
        </w:tc>
        <w:tc>
          <w:tcPr>
            <w:tcW w:w="1275" w:type="dxa"/>
          </w:tcPr>
          <w:p w14:paraId="62B1395C" w14:textId="77777777" w:rsidR="00964B88" w:rsidRDefault="00964B88">
            <w:pPr>
              <w:cnfStyle w:val="100000000000" w:firstRow="1" w:lastRow="0" w:firstColumn="0" w:lastColumn="0" w:oddVBand="0" w:evenVBand="0" w:oddHBand="0" w:evenHBand="0" w:firstRowFirstColumn="0" w:firstRowLastColumn="0" w:lastRowFirstColumn="0" w:lastRowLastColumn="0"/>
            </w:pPr>
            <w:r>
              <w:t>Accumulated surplus/(deficit)</w:t>
            </w:r>
          </w:p>
        </w:tc>
        <w:tc>
          <w:tcPr>
            <w:tcW w:w="1560" w:type="dxa"/>
          </w:tcPr>
          <w:p w14:paraId="43F26719" w14:textId="77777777" w:rsidR="00964B88" w:rsidRDefault="00964B88">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850" w:type="dxa"/>
          </w:tcPr>
          <w:p w14:paraId="4569FA68" w14:textId="77777777" w:rsidR="00964B88" w:rsidRDefault="00964B88">
            <w:pPr>
              <w:cnfStyle w:val="100000000000" w:firstRow="1" w:lastRow="0" w:firstColumn="0" w:lastColumn="0" w:oddVBand="0" w:evenVBand="0" w:oddHBand="0" w:evenHBand="0" w:firstRowFirstColumn="0" w:firstRowLastColumn="0" w:lastRowFirstColumn="0" w:lastRowLastColumn="0"/>
            </w:pPr>
            <w:r>
              <w:t>Other reserves</w:t>
            </w:r>
          </w:p>
        </w:tc>
        <w:tc>
          <w:tcPr>
            <w:tcW w:w="793" w:type="dxa"/>
          </w:tcPr>
          <w:p w14:paraId="0DB836D6" w14:textId="77777777" w:rsidR="00964B88" w:rsidRDefault="00964B88">
            <w:pPr>
              <w:cnfStyle w:val="100000000000" w:firstRow="1" w:lastRow="0" w:firstColumn="0" w:lastColumn="0" w:oddVBand="0" w:evenVBand="0" w:oddHBand="0" w:evenHBand="0" w:firstRowFirstColumn="0" w:firstRowLastColumn="0" w:lastRowFirstColumn="0" w:lastRowLastColumn="0"/>
            </w:pPr>
            <w:r>
              <w:t>Total</w:t>
            </w:r>
          </w:p>
        </w:tc>
      </w:tr>
      <w:tr w:rsidR="00964B88" w14:paraId="6A9D32E3" w14:textId="77777777">
        <w:tc>
          <w:tcPr>
            <w:cnfStyle w:val="001000000000" w:firstRow="0" w:lastRow="0" w:firstColumn="1" w:lastColumn="0" w:oddVBand="0" w:evenVBand="0" w:oddHBand="0" w:evenHBand="0" w:firstRowFirstColumn="0" w:firstRowLastColumn="0" w:lastRowFirstColumn="0" w:lastRowLastColumn="0"/>
            <w:tcW w:w="3290" w:type="dxa"/>
          </w:tcPr>
          <w:p w14:paraId="2CF7E576" w14:textId="77777777" w:rsidR="00964B88" w:rsidRDefault="00964B88">
            <w:r>
              <w:rPr>
                <w:b/>
              </w:rPr>
              <w:t>2019</w:t>
            </w:r>
            <w:r>
              <w:rPr>
                <w:b/>
              </w:rPr>
              <w:noBreakHyphen/>
              <w:t>20 budget</w:t>
            </w:r>
            <w:r>
              <w:rPr>
                <w:b/>
                <w:vertAlign w:val="superscript"/>
              </w:rPr>
              <w:t xml:space="preserve"> (a)</w:t>
            </w:r>
          </w:p>
        </w:tc>
        <w:tc>
          <w:tcPr>
            <w:tcW w:w="1275" w:type="dxa"/>
          </w:tcPr>
          <w:p w14:paraId="3D2A9E9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60" w:type="dxa"/>
          </w:tcPr>
          <w:p w14:paraId="2712953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Pr>
          <w:p w14:paraId="0EF44092"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93" w:type="dxa"/>
          </w:tcPr>
          <w:p w14:paraId="4B5DDAB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94C68DA" w14:textId="77777777">
        <w:tc>
          <w:tcPr>
            <w:cnfStyle w:val="001000000000" w:firstRow="0" w:lastRow="0" w:firstColumn="1" w:lastColumn="0" w:oddVBand="0" w:evenVBand="0" w:oddHBand="0" w:evenHBand="0" w:firstRowFirstColumn="0" w:firstRowLastColumn="0" w:lastRowFirstColumn="0" w:lastRowLastColumn="0"/>
            <w:tcW w:w="3290" w:type="dxa"/>
          </w:tcPr>
          <w:p w14:paraId="2BB63171" w14:textId="77777777" w:rsidR="00964B88" w:rsidRDefault="00964B88">
            <w:r>
              <w:t>Balance at 1 July 2019</w:t>
            </w:r>
          </w:p>
        </w:tc>
        <w:tc>
          <w:tcPr>
            <w:tcW w:w="1275" w:type="dxa"/>
          </w:tcPr>
          <w:p w14:paraId="07938303" w14:textId="77777777" w:rsidR="00964B88" w:rsidRDefault="00964B88">
            <w:pPr>
              <w:cnfStyle w:val="000000000000" w:firstRow="0" w:lastRow="0" w:firstColumn="0" w:lastColumn="0" w:oddVBand="0" w:evenVBand="0" w:oddHBand="0" w:evenHBand="0" w:firstRowFirstColumn="0" w:firstRowLastColumn="0" w:lastRowFirstColumn="0" w:lastRowLastColumn="0"/>
            </w:pPr>
            <w:r>
              <w:t>71 840</w:t>
            </w:r>
          </w:p>
        </w:tc>
        <w:tc>
          <w:tcPr>
            <w:tcW w:w="1560" w:type="dxa"/>
          </w:tcPr>
          <w:p w14:paraId="4115BE17" w14:textId="77777777" w:rsidR="00964B88" w:rsidRDefault="00964B88">
            <w:pPr>
              <w:cnfStyle w:val="000000000000" w:firstRow="0" w:lastRow="0" w:firstColumn="0" w:lastColumn="0" w:oddVBand="0" w:evenVBand="0" w:oddHBand="0" w:evenHBand="0" w:firstRowFirstColumn="0" w:firstRowLastColumn="0" w:lastRowFirstColumn="0" w:lastRowLastColumn="0"/>
            </w:pPr>
            <w:r>
              <w:t>108 510</w:t>
            </w:r>
          </w:p>
        </w:tc>
        <w:tc>
          <w:tcPr>
            <w:tcW w:w="850" w:type="dxa"/>
          </w:tcPr>
          <w:p w14:paraId="7A2A5470" w14:textId="77777777" w:rsidR="00964B88" w:rsidRDefault="00964B88">
            <w:pPr>
              <w:cnfStyle w:val="000000000000" w:firstRow="0" w:lastRow="0" w:firstColumn="0" w:lastColumn="0" w:oddVBand="0" w:evenVBand="0" w:oddHBand="0" w:evenHBand="0" w:firstRowFirstColumn="0" w:firstRowLastColumn="0" w:lastRowFirstColumn="0" w:lastRowLastColumn="0"/>
            </w:pPr>
            <w:r>
              <w:t>1 643</w:t>
            </w:r>
          </w:p>
        </w:tc>
        <w:tc>
          <w:tcPr>
            <w:tcW w:w="793" w:type="dxa"/>
          </w:tcPr>
          <w:p w14:paraId="44F655F5" w14:textId="77777777" w:rsidR="00964B88" w:rsidRDefault="00964B88">
            <w:pPr>
              <w:cnfStyle w:val="000000000000" w:firstRow="0" w:lastRow="0" w:firstColumn="0" w:lastColumn="0" w:oddVBand="0" w:evenVBand="0" w:oddHBand="0" w:evenHBand="0" w:firstRowFirstColumn="0" w:firstRowLastColumn="0" w:lastRowFirstColumn="0" w:lastRowLastColumn="0"/>
            </w:pPr>
            <w:r>
              <w:t>181 993</w:t>
            </w:r>
          </w:p>
        </w:tc>
      </w:tr>
      <w:tr w:rsidR="00964B88" w14:paraId="744793F4" w14:textId="77777777">
        <w:tc>
          <w:tcPr>
            <w:cnfStyle w:val="001000000000" w:firstRow="0" w:lastRow="0" w:firstColumn="1" w:lastColumn="0" w:oddVBand="0" w:evenVBand="0" w:oddHBand="0" w:evenHBand="0" w:firstRowFirstColumn="0" w:firstRowLastColumn="0" w:lastRowFirstColumn="0" w:lastRowLastColumn="0"/>
            <w:tcW w:w="3290" w:type="dxa"/>
          </w:tcPr>
          <w:p w14:paraId="435F4CA9" w14:textId="77777777" w:rsidR="00964B88" w:rsidRDefault="00964B88">
            <w:r>
              <w:t>Net result for the year</w:t>
            </w:r>
          </w:p>
        </w:tc>
        <w:tc>
          <w:tcPr>
            <w:tcW w:w="1275" w:type="dxa"/>
          </w:tcPr>
          <w:p w14:paraId="3A0CC497" w14:textId="77777777" w:rsidR="00964B88" w:rsidRDefault="00964B88">
            <w:pPr>
              <w:cnfStyle w:val="000000000000" w:firstRow="0" w:lastRow="0" w:firstColumn="0" w:lastColumn="0" w:oddVBand="0" w:evenVBand="0" w:oddHBand="0" w:evenHBand="0" w:firstRowFirstColumn="0" w:firstRowLastColumn="0" w:lastRowFirstColumn="0" w:lastRowLastColumn="0"/>
            </w:pPr>
            <w:r>
              <w:t>(1 881)</w:t>
            </w:r>
          </w:p>
        </w:tc>
        <w:tc>
          <w:tcPr>
            <w:tcW w:w="1560" w:type="dxa"/>
          </w:tcPr>
          <w:p w14:paraId="16DE9C7D"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752633C2"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93" w:type="dxa"/>
          </w:tcPr>
          <w:p w14:paraId="559C9D33" w14:textId="77777777" w:rsidR="00964B88" w:rsidRDefault="00964B88">
            <w:pPr>
              <w:cnfStyle w:val="000000000000" w:firstRow="0" w:lastRow="0" w:firstColumn="0" w:lastColumn="0" w:oddVBand="0" w:evenVBand="0" w:oddHBand="0" w:evenHBand="0" w:firstRowFirstColumn="0" w:firstRowLastColumn="0" w:lastRowFirstColumn="0" w:lastRowLastColumn="0"/>
            </w:pPr>
            <w:r>
              <w:t>(1 881)</w:t>
            </w:r>
          </w:p>
        </w:tc>
      </w:tr>
      <w:tr w:rsidR="00964B88" w14:paraId="36CDB964" w14:textId="77777777">
        <w:tc>
          <w:tcPr>
            <w:cnfStyle w:val="001000000000" w:firstRow="0" w:lastRow="0" w:firstColumn="1" w:lastColumn="0" w:oddVBand="0" w:evenVBand="0" w:oddHBand="0" w:evenHBand="0" w:firstRowFirstColumn="0" w:firstRowLastColumn="0" w:lastRowFirstColumn="0" w:lastRowLastColumn="0"/>
            <w:tcW w:w="3290" w:type="dxa"/>
          </w:tcPr>
          <w:p w14:paraId="7903DD17" w14:textId="77777777" w:rsidR="00964B88" w:rsidRDefault="00964B88">
            <w:r>
              <w:t>Other comprehensive income for the year</w:t>
            </w:r>
            <w:r>
              <w:rPr>
                <w:vertAlign w:val="superscript"/>
              </w:rPr>
              <w:t xml:space="preserve"> </w:t>
            </w:r>
          </w:p>
        </w:tc>
        <w:tc>
          <w:tcPr>
            <w:tcW w:w="1275" w:type="dxa"/>
          </w:tcPr>
          <w:p w14:paraId="2445B976" w14:textId="77777777" w:rsidR="00964B88" w:rsidRDefault="00964B88">
            <w:pPr>
              <w:cnfStyle w:val="000000000000" w:firstRow="0" w:lastRow="0" w:firstColumn="0" w:lastColumn="0" w:oddVBand="0" w:evenVBand="0" w:oddHBand="0" w:evenHBand="0" w:firstRowFirstColumn="0" w:firstRowLastColumn="0" w:lastRowFirstColumn="0" w:lastRowLastColumn="0"/>
            </w:pPr>
            <w:r>
              <w:t>1 007</w:t>
            </w:r>
          </w:p>
        </w:tc>
        <w:tc>
          <w:tcPr>
            <w:tcW w:w="1560" w:type="dxa"/>
          </w:tcPr>
          <w:p w14:paraId="21E8B252" w14:textId="77777777" w:rsidR="00964B88" w:rsidRDefault="00964B88">
            <w:pPr>
              <w:cnfStyle w:val="000000000000" w:firstRow="0" w:lastRow="0" w:firstColumn="0" w:lastColumn="0" w:oddVBand="0" w:evenVBand="0" w:oddHBand="0" w:evenHBand="0" w:firstRowFirstColumn="0" w:firstRowLastColumn="0" w:lastRowFirstColumn="0" w:lastRowLastColumn="0"/>
            </w:pPr>
            <w:r>
              <w:t>4 671</w:t>
            </w:r>
          </w:p>
        </w:tc>
        <w:tc>
          <w:tcPr>
            <w:tcW w:w="850" w:type="dxa"/>
          </w:tcPr>
          <w:p w14:paraId="770DAE15" w14:textId="77777777" w:rsidR="00964B88" w:rsidRDefault="00964B88">
            <w:pPr>
              <w:cnfStyle w:val="000000000000" w:firstRow="0" w:lastRow="0" w:firstColumn="0" w:lastColumn="0" w:oddVBand="0" w:evenVBand="0" w:oddHBand="0" w:evenHBand="0" w:firstRowFirstColumn="0" w:firstRowLastColumn="0" w:lastRowFirstColumn="0" w:lastRowLastColumn="0"/>
            </w:pPr>
            <w:r>
              <w:t>34</w:t>
            </w:r>
          </w:p>
        </w:tc>
        <w:tc>
          <w:tcPr>
            <w:tcW w:w="793" w:type="dxa"/>
          </w:tcPr>
          <w:p w14:paraId="62DC419B" w14:textId="77777777" w:rsidR="00964B88" w:rsidRDefault="00964B88">
            <w:pPr>
              <w:cnfStyle w:val="000000000000" w:firstRow="0" w:lastRow="0" w:firstColumn="0" w:lastColumn="0" w:oddVBand="0" w:evenVBand="0" w:oddHBand="0" w:evenHBand="0" w:firstRowFirstColumn="0" w:firstRowLastColumn="0" w:lastRowFirstColumn="0" w:lastRowLastColumn="0"/>
            </w:pPr>
            <w:r>
              <w:t>5 712</w:t>
            </w:r>
          </w:p>
        </w:tc>
      </w:tr>
      <w:tr w:rsidR="00964B88" w14:paraId="5980C5F2" w14:textId="77777777">
        <w:tc>
          <w:tcPr>
            <w:cnfStyle w:val="001000000000" w:firstRow="0" w:lastRow="0" w:firstColumn="1" w:lastColumn="0" w:oddVBand="0" w:evenVBand="0" w:oddHBand="0" w:evenHBand="0" w:firstRowFirstColumn="0" w:firstRowLastColumn="0" w:lastRowFirstColumn="0" w:lastRowLastColumn="0"/>
            <w:tcW w:w="3290" w:type="dxa"/>
          </w:tcPr>
          <w:p w14:paraId="0D4E0241" w14:textId="77777777" w:rsidR="00964B88" w:rsidRDefault="00964B88">
            <w:r>
              <w:t>Transfer to/(from) accumulated surplus</w:t>
            </w:r>
          </w:p>
        </w:tc>
        <w:tc>
          <w:tcPr>
            <w:tcW w:w="1275" w:type="dxa"/>
          </w:tcPr>
          <w:p w14:paraId="04B931B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4FB3D7A5"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4164C350"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93" w:type="dxa"/>
          </w:tcPr>
          <w:p w14:paraId="51A59CE4"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10CB64D0" w14:textId="77777777" w:rsidTr="00F53820">
        <w:tc>
          <w:tcPr>
            <w:cnfStyle w:val="001000000000" w:firstRow="0" w:lastRow="0" w:firstColumn="1" w:lastColumn="0" w:oddVBand="0" w:evenVBand="0" w:oddHBand="0" w:evenHBand="0" w:firstRowFirstColumn="0" w:firstRowLastColumn="0" w:lastRowFirstColumn="0" w:lastRowLastColumn="0"/>
            <w:tcW w:w="3290" w:type="dxa"/>
            <w:tcBorders>
              <w:top w:val="single" w:sz="6" w:space="0" w:color="auto"/>
              <w:bottom w:val="single" w:sz="6" w:space="0" w:color="auto"/>
            </w:tcBorders>
          </w:tcPr>
          <w:p w14:paraId="3C36BD11" w14:textId="77777777" w:rsidR="00964B88" w:rsidRDefault="00964B88">
            <w:r>
              <w:rPr>
                <w:b/>
              </w:rPr>
              <w:t>Total equity as at 30 June 2020</w:t>
            </w:r>
          </w:p>
        </w:tc>
        <w:tc>
          <w:tcPr>
            <w:tcW w:w="1275" w:type="dxa"/>
            <w:tcBorders>
              <w:top w:val="single" w:sz="6" w:space="0" w:color="auto"/>
              <w:bottom w:val="single" w:sz="6" w:space="0" w:color="auto"/>
            </w:tcBorders>
          </w:tcPr>
          <w:p w14:paraId="1AFFFB1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70 966</w:t>
            </w:r>
          </w:p>
        </w:tc>
        <w:tc>
          <w:tcPr>
            <w:tcW w:w="1560" w:type="dxa"/>
            <w:tcBorders>
              <w:top w:val="single" w:sz="6" w:space="0" w:color="auto"/>
              <w:bottom w:val="single" w:sz="6" w:space="0" w:color="auto"/>
            </w:tcBorders>
          </w:tcPr>
          <w:p w14:paraId="6950408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113 181</w:t>
            </w:r>
          </w:p>
        </w:tc>
        <w:tc>
          <w:tcPr>
            <w:tcW w:w="850" w:type="dxa"/>
            <w:tcBorders>
              <w:top w:val="single" w:sz="6" w:space="0" w:color="auto"/>
              <w:bottom w:val="single" w:sz="6" w:space="0" w:color="auto"/>
            </w:tcBorders>
          </w:tcPr>
          <w:p w14:paraId="46C84419"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1 677</w:t>
            </w:r>
          </w:p>
        </w:tc>
        <w:tc>
          <w:tcPr>
            <w:tcW w:w="793" w:type="dxa"/>
            <w:tcBorders>
              <w:top w:val="single" w:sz="6" w:space="0" w:color="auto"/>
              <w:bottom w:val="single" w:sz="6" w:space="0" w:color="auto"/>
            </w:tcBorders>
          </w:tcPr>
          <w:p w14:paraId="0BE950BF"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185 824</w:t>
            </w:r>
          </w:p>
        </w:tc>
      </w:tr>
      <w:tr w:rsidR="00964B88" w14:paraId="657C979F" w14:textId="77777777" w:rsidTr="00F53820">
        <w:tc>
          <w:tcPr>
            <w:cnfStyle w:val="001000000000" w:firstRow="0" w:lastRow="0" w:firstColumn="1" w:lastColumn="0" w:oddVBand="0" w:evenVBand="0" w:oddHBand="0" w:evenHBand="0" w:firstRowFirstColumn="0" w:firstRowLastColumn="0" w:lastRowFirstColumn="0" w:lastRowLastColumn="0"/>
            <w:tcW w:w="3290" w:type="dxa"/>
            <w:tcBorders>
              <w:top w:val="single" w:sz="6" w:space="0" w:color="auto"/>
            </w:tcBorders>
          </w:tcPr>
          <w:p w14:paraId="65E74698" w14:textId="77777777" w:rsidR="00964B88" w:rsidRDefault="00964B88">
            <w:r>
              <w:rPr>
                <w:b/>
              </w:rPr>
              <w:t>2019</w:t>
            </w:r>
            <w:r>
              <w:rPr>
                <w:b/>
              </w:rPr>
              <w:noBreakHyphen/>
              <w:t>20 revised</w:t>
            </w:r>
          </w:p>
        </w:tc>
        <w:tc>
          <w:tcPr>
            <w:tcW w:w="1275" w:type="dxa"/>
            <w:tcBorders>
              <w:top w:val="single" w:sz="6" w:space="0" w:color="auto"/>
            </w:tcBorders>
          </w:tcPr>
          <w:p w14:paraId="748C168C"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60" w:type="dxa"/>
            <w:tcBorders>
              <w:top w:val="single" w:sz="6" w:space="0" w:color="auto"/>
            </w:tcBorders>
          </w:tcPr>
          <w:p w14:paraId="3D49F730"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99CCFDE"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93" w:type="dxa"/>
            <w:tcBorders>
              <w:top w:val="single" w:sz="6" w:space="0" w:color="auto"/>
            </w:tcBorders>
          </w:tcPr>
          <w:p w14:paraId="6FDF52E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F77882F" w14:textId="77777777">
        <w:tc>
          <w:tcPr>
            <w:cnfStyle w:val="001000000000" w:firstRow="0" w:lastRow="0" w:firstColumn="1" w:lastColumn="0" w:oddVBand="0" w:evenVBand="0" w:oddHBand="0" w:evenHBand="0" w:firstRowFirstColumn="0" w:firstRowLastColumn="0" w:lastRowFirstColumn="0" w:lastRowLastColumn="0"/>
            <w:tcW w:w="3290" w:type="dxa"/>
          </w:tcPr>
          <w:p w14:paraId="77D1AD03" w14:textId="77777777" w:rsidR="00964B88" w:rsidRDefault="00964B88">
            <w:r>
              <w:t>Balance at 1 July 2019</w:t>
            </w:r>
          </w:p>
        </w:tc>
        <w:tc>
          <w:tcPr>
            <w:tcW w:w="1275" w:type="dxa"/>
          </w:tcPr>
          <w:p w14:paraId="41E74EC4" w14:textId="77777777" w:rsidR="00964B88" w:rsidRDefault="00964B88">
            <w:pPr>
              <w:cnfStyle w:val="000000000000" w:firstRow="0" w:lastRow="0" w:firstColumn="0" w:lastColumn="0" w:oddVBand="0" w:evenVBand="0" w:oddHBand="0" w:evenHBand="0" w:firstRowFirstColumn="0" w:firstRowLastColumn="0" w:lastRowFirstColumn="0" w:lastRowLastColumn="0"/>
            </w:pPr>
            <w:r>
              <w:t>71 840</w:t>
            </w:r>
          </w:p>
        </w:tc>
        <w:tc>
          <w:tcPr>
            <w:tcW w:w="1560" w:type="dxa"/>
          </w:tcPr>
          <w:p w14:paraId="61C586A6" w14:textId="77777777" w:rsidR="00964B88" w:rsidRDefault="00964B88">
            <w:pPr>
              <w:cnfStyle w:val="000000000000" w:firstRow="0" w:lastRow="0" w:firstColumn="0" w:lastColumn="0" w:oddVBand="0" w:evenVBand="0" w:oddHBand="0" w:evenHBand="0" w:firstRowFirstColumn="0" w:firstRowLastColumn="0" w:lastRowFirstColumn="0" w:lastRowLastColumn="0"/>
            </w:pPr>
            <w:r>
              <w:t>108 510</w:t>
            </w:r>
          </w:p>
        </w:tc>
        <w:tc>
          <w:tcPr>
            <w:tcW w:w="850" w:type="dxa"/>
          </w:tcPr>
          <w:p w14:paraId="71CB7926" w14:textId="77777777" w:rsidR="00964B88" w:rsidRDefault="00964B88">
            <w:pPr>
              <w:cnfStyle w:val="000000000000" w:firstRow="0" w:lastRow="0" w:firstColumn="0" w:lastColumn="0" w:oddVBand="0" w:evenVBand="0" w:oddHBand="0" w:evenHBand="0" w:firstRowFirstColumn="0" w:firstRowLastColumn="0" w:lastRowFirstColumn="0" w:lastRowLastColumn="0"/>
            </w:pPr>
            <w:r>
              <w:t>1 643</w:t>
            </w:r>
          </w:p>
        </w:tc>
        <w:tc>
          <w:tcPr>
            <w:tcW w:w="793" w:type="dxa"/>
          </w:tcPr>
          <w:p w14:paraId="25F3A7C2" w14:textId="77777777" w:rsidR="00964B88" w:rsidRDefault="00964B88">
            <w:pPr>
              <w:cnfStyle w:val="000000000000" w:firstRow="0" w:lastRow="0" w:firstColumn="0" w:lastColumn="0" w:oddVBand="0" w:evenVBand="0" w:oddHBand="0" w:evenHBand="0" w:firstRowFirstColumn="0" w:firstRowLastColumn="0" w:lastRowFirstColumn="0" w:lastRowLastColumn="0"/>
            </w:pPr>
            <w:r>
              <w:t>181 993</w:t>
            </w:r>
          </w:p>
        </w:tc>
      </w:tr>
      <w:tr w:rsidR="00964B88" w14:paraId="677A0FE6" w14:textId="77777777">
        <w:tc>
          <w:tcPr>
            <w:cnfStyle w:val="001000000000" w:firstRow="0" w:lastRow="0" w:firstColumn="1" w:lastColumn="0" w:oddVBand="0" w:evenVBand="0" w:oddHBand="0" w:evenHBand="0" w:firstRowFirstColumn="0" w:firstRowLastColumn="0" w:lastRowFirstColumn="0" w:lastRowLastColumn="0"/>
            <w:tcW w:w="3290" w:type="dxa"/>
          </w:tcPr>
          <w:p w14:paraId="77B02A38" w14:textId="77777777" w:rsidR="00964B88" w:rsidRDefault="00964B88">
            <w:r>
              <w:t>Net result for the year</w:t>
            </w:r>
          </w:p>
        </w:tc>
        <w:tc>
          <w:tcPr>
            <w:tcW w:w="1275" w:type="dxa"/>
          </w:tcPr>
          <w:p w14:paraId="3C509A8F" w14:textId="77777777" w:rsidR="00964B88" w:rsidRDefault="00964B88">
            <w:pPr>
              <w:cnfStyle w:val="000000000000" w:firstRow="0" w:lastRow="0" w:firstColumn="0" w:lastColumn="0" w:oddVBand="0" w:evenVBand="0" w:oddHBand="0" w:evenHBand="0" w:firstRowFirstColumn="0" w:firstRowLastColumn="0" w:lastRowFirstColumn="0" w:lastRowLastColumn="0"/>
            </w:pPr>
            <w:r>
              <w:t>(4 576)</w:t>
            </w:r>
          </w:p>
        </w:tc>
        <w:tc>
          <w:tcPr>
            <w:tcW w:w="1560" w:type="dxa"/>
          </w:tcPr>
          <w:p w14:paraId="7B462F4C"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4E915E29"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93" w:type="dxa"/>
          </w:tcPr>
          <w:p w14:paraId="39D625EF" w14:textId="77777777" w:rsidR="00964B88" w:rsidRDefault="00964B88">
            <w:pPr>
              <w:cnfStyle w:val="000000000000" w:firstRow="0" w:lastRow="0" w:firstColumn="0" w:lastColumn="0" w:oddVBand="0" w:evenVBand="0" w:oddHBand="0" w:evenHBand="0" w:firstRowFirstColumn="0" w:firstRowLastColumn="0" w:lastRowFirstColumn="0" w:lastRowLastColumn="0"/>
            </w:pPr>
            <w:r>
              <w:t>(4 576)</w:t>
            </w:r>
          </w:p>
        </w:tc>
      </w:tr>
      <w:tr w:rsidR="00964B88" w14:paraId="58D20F0F" w14:textId="77777777">
        <w:tc>
          <w:tcPr>
            <w:cnfStyle w:val="001000000000" w:firstRow="0" w:lastRow="0" w:firstColumn="1" w:lastColumn="0" w:oddVBand="0" w:evenVBand="0" w:oddHBand="0" w:evenHBand="0" w:firstRowFirstColumn="0" w:firstRowLastColumn="0" w:lastRowFirstColumn="0" w:lastRowLastColumn="0"/>
            <w:tcW w:w="3290" w:type="dxa"/>
          </w:tcPr>
          <w:p w14:paraId="50C0CEBC" w14:textId="77777777" w:rsidR="00964B88" w:rsidRDefault="00964B88">
            <w:r>
              <w:t>Other comprehensive income for the year</w:t>
            </w:r>
          </w:p>
        </w:tc>
        <w:tc>
          <w:tcPr>
            <w:tcW w:w="1275" w:type="dxa"/>
          </w:tcPr>
          <w:p w14:paraId="0FC7D685" w14:textId="77777777" w:rsidR="00964B88" w:rsidRDefault="00964B88">
            <w:pPr>
              <w:cnfStyle w:val="000000000000" w:firstRow="0" w:lastRow="0" w:firstColumn="0" w:lastColumn="0" w:oddVBand="0" w:evenVBand="0" w:oddHBand="0" w:evenHBand="0" w:firstRowFirstColumn="0" w:firstRowLastColumn="0" w:lastRowFirstColumn="0" w:lastRowLastColumn="0"/>
            </w:pPr>
            <w:r>
              <w:t>13</w:t>
            </w:r>
          </w:p>
        </w:tc>
        <w:tc>
          <w:tcPr>
            <w:tcW w:w="1560" w:type="dxa"/>
          </w:tcPr>
          <w:p w14:paraId="007D6617" w14:textId="77777777" w:rsidR="00964B88" w:rsidRDefault="00964B88">
            <w:pPr>
              <w:cnfStyle w:val="000000000000" w:firstRow="0" w:lastRow="0" w:firstColumn="0" w:lastColumn="0" w:oddVBand="0" w:evenVBand="0" w:oddHBand="0" w:evenHBand="0" w:firstRowFirstColumn="0" w:firstRowLastColumn="0" w:lastRowFirstColumn="0" w:lastRowLastColumn="0"/>
            </w:pPr>
            <w:r>
              <w:t>4 467</w:t>
            </w:r>
          </w:p>
        </w:tc>
        <w:tc>
          <w:tcPr>
            <w:tcW w:w="850" w:type="dxa"/>
          </w:tcPr>
          <w:p w14:paraId="65C2358D" w14:textId="77777777" w:rsidR="00964B88" w:rsidRDefault="00964B88">
            <w:pPr>
              <w:cnfStyle w:val="000000000000" w:firstRow="0" w:lastRow="0" w:firstColumn="0" w:lastColumn="0" w:oddVBand="0" w:evenVBand="0" w:oddHBand="0" w:evenHBand="0" w:firstRowFirstColumn="0" w:firstRowLastColumn="0" w:lastRowFirstColumn="0" w:lastRowLastColumn="0"/>
            </w:pPr>
            <w:r>
              <w:t>33</w:t>
            </w:r>
          </w:p>
        </w:tc>
        <w:tc>
          <w:tcPr>
            <w:tcW w:w="793" w:type="dxa"/>
          </w:tcPr>
          <w:p w14:paraId="668D6113" w14:textId="77777777" w:rsidR="00964B88" w:rsidRDefault="00964B88">
            <w:pPr>
              <w:cnfStyle w:val="000000000000" w:firstRow="0" w:lastRow="0" w:firstColumn="0" w:lastColumn="0" w:oddVBand="0" w:evenVBand="0" w:oddHBand="0" w:evenHBand="0" w:firstRowFirstColumn="0" w:firstRowLastColumn="0" w:lastRowFirstColumn="0" w:lastRowLastColumn="0"/>
            </w:pPr>
            <w:r>
              <w:t>4 513</w:t>
            </w:r>
          </w:p>
        </w:tc>
      </w:tr>
      <w:tr w:rsidR="00964B88" w14:paraId="58B8723C" w14:textId="77777777">
        <w:tc>
          <w:tcPr>
            <w:cnfStyle w:val="001000000000" w:firstRow="0" w:lastRow="0" w:firstColumn="1" w:lastColumn="0" w:oddVBand="0" w:evenVBand="0" w:oddHBand="0" w:evenHBand="0" w:firstRowFirstColumn="0" w:firstRowLastColumn="0" w:lastRowFirstColumn="0" w:lastRowLastColumn="0"/>
            <w:tcW w:w="3290" w:type="dxa"/>
          </w:tcPr>
          <w:p w14:paraId="0D98A7A4" w14:textId="77777777" w:rsidR="00964B88" w:rsidRDefault="00964B88">
            <w:r>
              <w:t>Transfer to/(from) accumulated surplus</w:t>
            </w:r>
          </w:p>
        </w:tc>
        <w:tc>
          <w:tcPr>
            <w:tcW w:w="1275" w:type="dxa"/>
          </w:tcPr>
          <w:p w14:paraId="3463F55A" w14:textId="77777777" w:rsidR="00964B88" w:rsidRDefault="00964B88">
            <w:pPr>
              <w:cnfStyle w:val="000000000000" w:firstRow="0" w:lastRow="0" w:firstColumn="0" w:lastColumn="0" w:oddVBand="0" w:evenVBand="0" w:oddHBand="0" w:evenHBand="0" w:firstRowFirstColumn="0" w:firstRowLastColumn="0" w:lastRowFirstColumn="0" w:lastRowLastColumn="0"/>
            </w:pPr>
            <w:r>
              <w:t>23 675</w:t>
            </w:r>
          </w:p>
        </w:tc>
        <w:tc>
          <w:tcPr>
            <w:tcW w:w="1560" w:type="dxa"/>
          </w:tcPr>
          <w:p w14:paraId="79C84F10" w14:textId="77777777" w:rsidR="00964B88" w:rsidRDefault="00964B88">
            <w:pPr>
              <w:cnfStyle w:val="000000000000" w:firstRow="0" w:lastRow="0" w:firstColumn="0" w:lastColumn="0" w:oddVBand="0" w:evenVBand="0" w:oddHBand="0" w:evenHBand="0" w:firstRowFirstColumn="0" w:firstRowLastColumn="0" w:lastRowFirstColumn="0" w:lastRowLastColumn="0"/>
            </w:pPr>
            <w:r>
              <w:t>(23 675)</w:t>
            </w:r>
          </w:p>
        </w:tc>
        <w:tc>
          <w:tcPr>
            <w:tcW w:w="850" w:type="dxa"/>
          </w:tcPr>
          <w:p w14:paraId="148E230F"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93" w:type="dxa"/>
          </w:tcPr>
          <w:p w14:paraId="2BE3AEDF"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7A97D5C5" w14:textId="77777777" w:rsidTr="00F53820">
        <w:tc>
          <w:tcPr>
            <w:cnfStyle w:val="001000000000" w:firstRow="0" w:lastRow="0" w:firstColumn="1" w:lastColumn="0" w:oddVBand="0" w:evenVBand="0" w:oddHBand="0" w:evenHBand="0" w:firstRowFirstColumn="0" w:firstRowLastColumn="0" w:lastRowFirstColumn="0" w:lastRowLastColumn="0"/>
            <w:tcW w:w="3290" w:type="dxa"/>
            <w:tcBorders>
              <w:top w:val="single" w:sz="6" w:space="0" w:color="auto"/>
              <w:bottom w:val="single" w:sz="6" w:space="0" w:color="auto"/>
            </w:tcBorders>
          </w:tcPr>
          <w:p w14:paraId="37033DBE" w14:textId="77777777" w:rsidR="00964B88" w:rsidRDefault="00964B88">
            <w:r>
              <w:rPr>
                <w:b/>
              </w:rPr>
              <w:t>Total equity as at 30 June 2020</w:t>
            </w:r>
          </w:p>
        </w:tc>
        <w:tc>
          <w:tcPr>
            <w:tcW w:w="1275" w:type="dxa"/>
            <w:tcBorders>
              <w:top w:val="single" w:sz="6" w:space="0" w:color="auto"/>
              <w:bottom w:val="single" w:sz="6" w:space="0" w:color="auto"/>
            </w:tcBorders>
          </w:tcPr>
          <w:p w14:paraId="1264629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90 952</w:t>
            </w:r>
          </w:p>
        </w:tc>
        <w:tc>
          <w:tcPr>
            <w:tcW w:w="1560" w:type="dxa"/>
            <w:tcBorders>
              <w:top w:val="single" w:sz="6" w:space="0" w:color="auto"/>
              <w:bottom w:val="single" w:sz="6" w:space="0" w:color="auto"/>
            </w:tcBorders>
          </w:tcPr>
          <w:p w14:paraId="3027EA8B"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89 301</w:t>
            </w:r>
          </w:p>
        </w:tc>
        <w:tc>
          <w:tcPr>
            <w:tcW w:w="850" w:type="dxa"/>
            <w:tcBorders>
              <w:top w:val="single" w:sz="6" w:space="0" w:color="auto"/>
              <w:bottom w:val="single" w:sz="6" w:space="0" w:color="auto"/>
            </w:tcBorders>
          </w:tcPr>
          <w:p w14:paraId="065D913E"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1 676</w:t>
            </w:r>
          </w:p>
        </w:tc>
        <w:tc>
          <w:tcPr>
            <w:tcW w:w="793" w:type="dxa"/>
            <w:tcBorders>
              <w:top w:val="single" w:sz="6" w:space="0" w:color="auto"/>
              <w:bottom w:val="single" w:sz="6" w:space="0" w:color="auto"/>
            </w:tcBorders>
          </w:tcPr>
          <w:p w14:paraId="4E99BA95"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181 929</w:t>
            </w:r>
          </w:p>
        </w:tc>
      </w:tr>
      <w:tr w:rsidR="00964B88" w14:paraId="3BAD8BEE" w14:textId="77777777" w:rsidTr="00F53820">
        <w:tc>
          <w:tcPr>
            <w:cnfStyle w:val="001000000000" w:firstRow="0" w:lastRow="0" w:firstColumn="1" w:lastColumn="0" w:oddVBand="0" w:evenVBand="0" w:oddHBand="0" w:evenHBand="0" w:firstRowFirstColumn="0" w:firstRowLastColumn="0" w:lastRowFirstColumn="0" w:lastRowLastColumn="0"/>
            <w:tcW w:w="3290" w:type="dxa"/>
            <w:tcBorders>
              <w:top w:val="single" w:sz="6" w:space="0" w:color="auto"/>
            </w:tcBorders>
          </w:tcPr>
          <w:p w14:paraId="2DF0D922" w14:textId="77777777" w:rsidR="00964B88" w:rsidRDefault="00964B88">
            <w:r>
              <w:rPr>
                <w:b/>
              </w:rPr>
              <w:t>2020</w:t>
            </w:r>
            <w:r>
              <w:rPr>
                <w:b/>
              </w:rPr>
              <w:noBreakHyphen/>
              <w:t>21 estimate</w:t>
            </w:r>
          </w:p>
        </w:tc>
        <w:tc>
          <w:tcPr>
            <w:tcW w:w="1275" w:type="dxa"/>
            <w:tcBorders>
              <w:top w:val="single" w:sz="6" w:space="0" w:color="auto"/>
            </w:tcBorders>
          </w:tcPr>
          <w:p w14:paraId="0BC6BCDB"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60" w:type="dxa"/>
            <w:tcBorders>
              <w:top w:val="single" w:sz="6" w:space="0" w:color="auto"/>
            </w:tcBorders>
          </w:tcPr>
          <w:p w14:paraId="6247C65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76900A6F"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93" w:type="dxa"/>
            <w:tcBorders>
              <w:top w:val="single" w:sz="6" w:space="0" w:color="auto"/>
            </w:tcBorders>
          </w:tcPr>
          <w:p w14:paraId="0EED2B9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00D20666" w14:textId="77777777">
        <w:tc>
          <w:tcPr>
            <w:cnfStyle w:val="001000000000" w:firstRow="0" w:lastRow="0" w:firstColumn="1" w:lastColumn="0" w:oddVBand="0" w:evenVBand="0" w:oddHBand="0" w:evenHBand="0" w:firstRowFirstColumn="0" w:firstRowLastColumn="0" w:lastRowFirstColumn="0" w:lastRowLastColumn="0"/>
            <w:tcW w:w="3290" w:type="dxa"/>
          </w:tcPr>
          <w:p w14:paraId="0BDE0806" w14:textId="77777777" w:rsidR="00964B88" w:rsidRDefault="00964B88">
            <w:r>
              <w:t>Balance at 1 July 2020</w:t>
            </w:r>
          </w:p>
        </w:tc>
        <w:tc>
          <w:tcPr>
            <w:tcW w:w="1275" w:type="dxa"/>
          </w:tcPr>
          <w:p w14:paraId="5FE68A7F" w14:textId="77777777" w:rsidR="00964B88" w:rsidRDefault="00964B88">
            <w:pPr>
              <w:cnfStyle w:val="000000000000" w:firstRow="0" w:lastRow="0" w:firstColumn="0" w:lastColumn="0" w:oddVBand="0" w:evenVBand="0" w:oddHBand="0" w:evenHBand="0" w:firstRowFirstColumn="0" w:firstRowLastColumn="0" w:lastRowFirstColumn="0" w:lastRowLastColumn="0"/>
            </w:pPr>
            <w:r>
              <w:t>90 952</w:t>
            </w:r>
          </w:p>
        </w:tc>
        <w:tc>
          <w:tcPr>
            <w:tcW w:w="1560" w:type="dxa"/>
          </w:tcPr>
          <w:p w14:paraId="2A5C0C72" w14:textId="77777777" w:rsidR="00964B88" w:rsidRDefault="00964B88">
            <w:pPr>
              <w:cnfStyle w:val="000000000000" w:firstRow="0" w:lastRow="0" w:firstColumn="0" w:lastColumn="0" w:oddVBand="0" w:evenVBand="0" w:oddHBand="0" w:evenHBand="0" w:firstRowFirstColumn="0" w:firstRowLastColumn="0" w:lastRowFirstColumn="0" w:lastRowLastColumn="0"/>
            </w:pPr>
            <w:r>
              <w:t>89 301</w:t>
            </w:r>
          </w:p>
        </w:tc>
        <w:tc>
          <w:tcPr>
            <w:tcW w:w="850" w:type="dxa"/>
          </w:tcPr>
          <w:p w14:paraId="285630E1" w14:textId="77777777" w:rsidR="00964B88" w:rsidRDefault="00964B88">
            <w:pPr>
              <w:cnfStyle w:val="000000000000" w:firstRow="0" w:lastRow="0" w:firstColumn="0" w:lastColumn="0" w:oddVBand="0" w:evenVBand="0" w:oddHBand="0" w:evenHBand="0" w:firstRowFirstColumn="0" w:firstRowLastColumn="0" w:lastRowFirstColumn="0" w:lastRowLastColumn="0"/>
            </w:pPr>
            <w:r>
              <w:t>1 676</w:t>
            </w:r>
          </w:p>
        </w:tc>
        <w:tc>
          <w:tcPr>
            <w:tcW w:w="793" w:type="dxa"/>
          </w:tcPr>
          <w:p w14:paraId="0D9DFBD0" w14:textId="77777777" w:rsidR="00964B88" w:rsidRDefault="00964B88">
            <w:pPr>
              <w:cnfStyle w:val="000000000000" w:firstRow="0" w:lastRow="0" w:firstColumn="0" w:lastColumn="0" w:oddVBand="0" w:evenVBand="0" w:oddHBand="0" w:evenHBand="0" w:firstRowFirstColumn="0" w:firstRowLastColumn="0" w:lastRowFirstColumn="0" w:lastRowLastColumn="0"/>
            </w:pPr>
            <w:r>
              <w:t>181 929</w:t>
            </w:r>
          </w:p>
        </w:tc>
      </w:tr>
      <w:tr w:rsidR="00964B88" w14:paraId="27CAD9A6" w14:textId="77777777">
        <w:tc>
          <w:tcPr>
            <w:cnfStyle w:val="001000000000" w:firstRow="0" w:lastRow="0" w:firstColumn="1" w:lastColumn="0" w:oddVBand="0" w:evenVBand="0" w:oddHBand="0" w:evenHBand="0" w:firstRowFirstColumn="0" w:firstRowLastColumn="0" w:lastRowFirstColumn="0" w:lastRowLastColumn="0"/>
            <w:tcW w:w="3290" w:type="dxa"/>
          </w:tcPr>
          <w:p w14:paraId="144C3480" w14:textId="77777777" w:rsidR="00964B88" w:rsidRDefault="00964B88">
            <w:r>
              <w:t>Net result for the year</w:t>
            </w:r>
          </w:p>
        </w:tc>
        <w:tc>
          <w:tcPr>
            <w:tcW w:w="1275" w:type="dxa"/>
          </w:tcPr>
          <w:p w14:paraId="4A86C3E1" w14:textId="77777777" w:rsidR="00964B88" w:rsidRDefault="00964B88">
            <w:pPr>
              <w:cnfStyle w:val="000000000000" w:firstRow="0" w:lastRow="0" w:firstColumn="0" w:lastColumn="0" w:oddVBand="0" w:evenVBand="0" w:oddHBand="0" w:evenHBand="0" w:firstRowFirstColumn="0" w:firstRowLastColumn="0" w:lastRowFirstColumn="0" w:lastRowLastColumn="0"/>
            </w:pPr>
            <w:r>
              <w:t>(2 122)</w:t>
            </w:r>
          </w:p>
        </w:tc>
        <w:tc>
          <w:tcPr>
            <w:tcW w:w="1560" w:type="dxa"/>
          </w:tcPr>
          <w:p w14:paraId="2F15689E"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635B3755"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93" w:type="dxa"/>
          </w:tcPr>
          <w:p w14:paraId="3D66B216" w14:textId="77777777" w:rsidR="00964B88" w:rsidRDefault="00964B88">
            <w:pPr>
              <w:cnfStyle w:val="000000000000" w:firstRow="0" w:lastRow="0" w:firstColumn="0" w:lastColumn="0" w:oddVBand="0" w:evenVBand="0" w:oddHBand="0" w:evenHBand="0" w:firstRowFirstColumn="0" w:firstRowLastColumn="0" w:lastRowFirstColumn="0" w:lastRowLastColumn="0"/>
            </w:pPr>
            <w:r>
              <w:t>(2 122)</w:t>
            </w:r>
          </w:p>
        </w:tc>
      </w:tr>
      <w:tr w:rsidR="00964B88" w14:paraId="770C2251" w14:textId="77777777">
        <w:tc>
          <w:tcPr>
            <w:cnfStyle w:val="001000000000" w:firstRow="0" w:lastRow="0" w:firstColumn="1" w:lastColumn="0" w:oddVBand="0" w:evenVBand="0" w:oddHBand="0" w:evenHBand="0" w:firstRowFirstColumn="0" w:firstRowLastColumn="0" w:lastRowFirstColumn="0" w:lastRowLastColumn="0"/>
            <w:tcW w:w="3290" w:type="dxa"/>
          </w:tcPr>
          <w:p w14:paraId="2C0C7F1C" w14:textId="77777777" w:rsidR="00964B88" w:rsidRDefault="00964B88">
            <w:r>
              <w:t>Other comprehensive income for the year</w:t>
            </w:r>
          </w:p>
        </w:tc>
        <w:tc>
          <w:tcPr>
            <w:tcW w:w="1275" w:type="dxa"/>
          </w:tcPr>
          <w:p w14:paraId="76752BC9" w14:textId="77777777" w:rsidR="00964B88" w:rsidRDefault="00964B88">
            <w:pPr>
              <w:cnfStyle w:val="000000000000" w:firstRow="0" w:lastRow="0" w:firstColumn="0" w:lastColumn="0" w:oddVBand="0" w:evenVBand="0" w:oddHBand="0" w:evenHBand="0" w:firstRowFirstColumn="0" w:firstRowLastColumn="0" w:lastRowFirstColumn="0" w:lastRowLastColumn="0"/>
            </w:pPr>
            <w:r>
              <w:t>1 393</w:t>
            </w:r>
          </w:p>
        </w:tc>
        <w:tc>
          <w:tcPr>
            <w:tcW w:w="1560" w:type="dxa"/>
          </w:tcPr>
          <w:p w14:paraId="081DBD54" w14:textId="77777777" w:rsidR="00964B88" w:rsidRDefault="00964B88">
            <w:pPr>
              <w:cnfStyle w:val="000000000000" w:firstRow="0" w:lastRow="0" w:firstColumn="0" w:lastColumn="0" w:oddVBand="0" w:evenVBand="0" w:oddHBand="0" w:evenHBand="0" w:firstRowFirstColumn="0" w:firstRowLastColumn="0" w:lastRowFirstColumn="0" w:lastRowLastColumn="0"/>
            </w:pPr>
            <w:r>
              <w:t>6 735</w:t>
            </w:r>
          </w:p>
        </w:tc>
        <w:tc>
          <w:tcPr>
            <w:tcW w:w="850" w:type="dxa"/>
          </w:tcPr>
          <w:p w14:paraId="77F4E401" w14:textId="77777777" w:rsidR="00964B88" w:rsidRDefault="00964B88">
            <w:pPr>
              <w:cnfStyle w:val="000000000000" w:firstRow="0" w:lastRow="0" w:firstColumn="0" w:lastColumn="0" w:oddVBand="0" w:evenVBand="0" w:oddHBand="0" w:evenHBand="0" w:firstRowFirstColumn="0" w:firstRowLastColumn="0" w:lastRowFirstColumn="0" w:lastRowLastColumn="0"/>
            </w:pPr>
            <w:r>
              <w:t>35</w:t>
            </w:r>
          </w:p>
        </w:tc>
        <w:tc>
          <w:tcPr>
            <w:tcW w:w="793" w:type="dxa"/>
          </w:tcPr>
          <w:p w14:paraId="08DBE5D0" w14:textId="77777777" w:rsidR="00964B88" w:rsidRDefault="00964B88">
            <w:pPr>
              <w:cnfStyle w:val="000000000000" w:firstRow="0" w:lastRow="0" w:firstColumn="0" w:lastColumn="0" w:oddVBand="0" w:evenVBand="0" w:oddHBand="0" w:evenHBand="0" w:firstRowFirstColumn="0" w:firstRowLastColumn="0" w:lastRowFirstColumn="0" w:lastRowLastColumn="0"/>
            </w:pPr>
            <w:r>
              <w:t>8 162</w:t>
            </w:r>
          </w:p>
        </w:tc>
      </w:tr>
      <w:tr w:rsidR="00964B88" w14:paraId="1FD3414D" w14:textId="77777777">
        <w:tc>
          <w:tcPr>
            <w:cnfStyle w:val="001000000000" w:firstRow="0" w:lastRow="0" w:firstColumn="1" w:lastColumn="0" w:oddVBand="0" w:evenVBand="0" w:oddHBand="0" w:evenHBand="0" w:firstRowFirstColumn="0" w:firstRowLastColumn="0" w:lastRowFirstColumn="0" w:lastRowLastColumn="0"/>
            <w:tcW w:w="3290" w:type="dxa"/>
          </w:tcPr>
          <w:p w14:paraId="278D81C0" w14:textId="77777777" w:rsidR="00964B88" w:rsidRDefault="00964B88">
            <w:r>
              <w:t>Transfer to/(from) accumulated surplus</w:t>
            </w:r>
          </w:p>
        </w:tc>
        <w:tc>
          <w:tcPr>
            <w:tcW w:w="1275" w:type="dxa"/>
          </w:tcPr>
          <w:p w14:paraId="7AB77432"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6AF18D02"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4FBB86D4"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93" w:type="dxa"/>
          </w:tcPr>
          <w:p w14:paraId="68304BA7"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2095B9E6" w14:textId="77777777" w:rsidTr="00F53820">
        <w:tc>
          <w:tcPr>
            <w:cnfStyle w:val="001000000000" w:firstRow="0" w:lastRow="0" w:firstColumn="1" w:lastColumn="0" w:oddVBand="0" w:evenVBand="0" w:oddHBand="0" w:evenHBand="0" w:firstRowFirstColumn="0" w:firstRowLastColumn="0" w:lastRowFirstColumn="0" w:lastRowLastColumn="0"/>
            <w:tcW w:w="3290" w:type="dxa"/>
            <w:tcBorders>
              <w:top w:val="single" w:sz="6" w:space="0" w:color="auto"/>
              <w:bottom w:val="single" w:sz="6" w:space="0" w:color="auto"/>
            </w:tcBorders>
          </w:tcPr>
          <w:p w14:paraId="067CF594" w14:textId="77777777" w:rsidR="00964B88" w:rsidRDefault="00964B88">
            <w:r>
              <w:rPr>
                <w:b/>
              </w:rPr>
              <w:t>Total equity as at 30 June 2021</w:t>
            </w:r>
          </w:p>
        </w:tc>
        <w:tc>
          <w:tcPr>
            <w:tcW w:w="1275" w:type="dxa"/>
            <w:tcBorders>
              <w:top w:val="single" w:sz="6" w:space="0" w:color="auto"/>
              <w:bottom w:val="single" w:sz="6" w:space="0" w:color="auto"/>
            </w:tcBorders>
          </w:tcPr>
          <w:p w14:paraId="02E5D0A3"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90 222</w:t>
            </w:r>
          </w:p>
        </w:tc>
        <w:tc>
          <w:tcPr>
            <w:tcW w:w="1560" w:type="dxa"/>
            <w:tcBorders>
              <w:top w:val="single" w:sz="6" w:space="0" w:color="auto"/>
              <w:bottom w:val="single" w:sz="6" w:space="0" w:color="auto"/>
            </w:tcBorders>
          </w:tcPr>
          <w:p w14:paraId="4581B49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96 036</w:t>
            </w:r>
          </w:p>
        </w:tc>
        <w:tc>
          <w:tcPr>
            <w:tcW w:w="850" w:type="dxa"/>
            <w:tcBorders>
              <w:top w:val="single" w:sz="6" w:space="0" w:color="auto"/>
              <w:bottom w:val="single" w:sz="6" w:space="0" w:color="auto"/>
            </w:tcBorders>
          </w:tcPr>
          <w:p w14:paraId="1BF9C141"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1 711</w:t>
            </w:r>
          </w:p>
        </w:tc>
        <w:tc>
          <w:tcPr>
            <w:tcW w:w="793" w:type="dxa"/>
            <w:tcBorders>
              <w:top w:val="single" w:sz="6" w:space="0" w:color="auto"/>
              <w:bottom w:val="single" w:sz="6" w:space="0" w:color="auto"/>
            </w:tcBorders>
          </w:tcPr>
          <w:p w14:paraId="57778E2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187 969</w:t>
            </w:r>
          </w:p>
        </w:tc>
      </w:tr>
      <w:tr w:rsidR="00964B88" w14:paraId="71279B37" w14:textId="77777777" w:rsidTr="00F53820">
        <w:tc>
          <w:tcPr>
            <w:cnfStyle w:val="001000000000" w:firstRow="0" w:lastRow="0" w:firstColumn="1" w:lastColumn="0" w:oddVBand="0" w:evenVBand="0" w:oddHBand="0" w:evenHBand="0" w:firstRowFirstColumn="0" w:firstRowLastColumn="0" w:lastRowFirstColumn="0" w:lastRowLastColumn="0"/>
            <w:tcW w:w="3290" w:type="dxa"/>
            <w:tcBorders>
              <w:top w:val="single" w:sz="6" w:space="0" w:color="auto"/>
            </w:tcBorders>
          </w:tcPr>
          <w:p w14:paraId="2B0981D3" w14:textId="77777777" w:rsidR="00964B88" w:rsidRDefault="00964B88">
            <w:r>
              <w:rPr>
                <w:b/>
              </w:rPr>
              <w:t>2021</w:t>
            </w:r>
            <w:r>
              <w:rPr>
                <w:b/>
              </w:rPr>
              <w:noBreakHyphen/>
              <w:t>22 estimate</w:t>
            </w:r>
          </w:p>
        </w:tc>
        <w:tc>
          <w:tcPr>
            <w:tcW w:w="1275" w:type="dxa"/>
            <w:tcBorders>
              <w:top w:val="single" w:sz="6" w:space="0" w:color="auto"/>
            </w:tcBorders>
          </w:tcPr>
          <w:p w14:paraId="26C64A41"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60" w:type="dxa"/>
            <w:tcBorders>
              <w:top w:val="single" w:sz="6" w:space="0" w:color="auto"/>
            </w:tcBorders>
          </w:tcPr>
          <w:p w14:paraId="201B67D9"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66BA73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93" w:type="dxa"/>
            <w:tcBorders>
              <w:top w:val="single" w:sz="6" w:space="0" w:color="auto"/>
            </w:tcBorders>
          </w:tcPr>
          <w:p w14:paraId="7AFA58A5"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32E3E8DF" w14:textId="77777777">
        <w:tc>
          <w:tcPr>
            <w:cnfStyle w:val="001000000000" w:firstRow="0" w:lastRow="0" w:firstColumn="1" w:lastColumn="0" w:oddVBand="0" w:evenVBand="0" w:oddHBand="0" w:evenHBand="0" w:firstRowFirstColumn="0" w:firstRowLastColumn="0" w:lastRowFirstColumn="0" w:lastRowLastColumn="0"/>
            <w:tcW w:w="3290" w:type="dxa"/>
          </w:tcPr>
          <w:p w14:paraId="177A6EC4" w14:textId="77777777" w:rsidR="00964B88" w:rsidRDefault="00964B88">
            <w:r>
              <w:t>Balance at 1 July 2021</w:t>
            </w:r>
          </w:p>
        </w:tc>
        <w:tc>
          <w:tcPr>
            <w:tcW w:w="1275" w:type="dxa"/>
          </w:tcPr>
          <w:p w14:paraId="4EF80A54" w14:textId="77777777" w:rsidR="00964B88" w:rsidRDefault="00964B88">
            <w:pPr>
              <w:cnfStyle w:val="000000000000" w:firstRow="0" w:lastRow="0" w:firstColumn="0" w:lastColumn="0" w:oddVBand="0" w:evenVBand="0" w:oddHBand="0" w:evenHBand="0" w:firstRowFirstColumn="0" w:firstRowLastColumn="0" w:lastRowFirstColumn="0" w:lastRowLastColumn="0"/>
            </w:pPr>
            <w:r>
              <w:t>90 222</w:t>
            </w:r>
          </w:p>
        </w:tc>
        <w:tc>
          <w:tcPr>
            <w:tcW w:w="1560" w:type="dxa"/>
          </w:tcPr>
          <w:p w14:paraId="1CB10A0A" w14:textId="77777777" w:rsidR="00964B88" w:rsidRDefault="00964B88">
            <w:pPr>
              <w:cnfStyle w:val="000000000000" w:firstRow="0" w:lastRow="0" w:firstColumn="0" w:lastColumn="0" w:oddVBand="0" w:evenVBand="0" w:oddHBand="0" w:evenHBand="0" w:firstRowFirstColumn="0" w:firstRowLastColumn="0" w:lastRowFirstColumn="0" w:lastRowLastColumn="0"/>
            </w:pPr>
            <w:r>
              <w:t>96 036</w:t>
            </w:r>
          </w:p>
        </w:tc>
        <w:tc>
          <w:tcPr>
            <w:tcW w:w="850" w:type="dxa"/>
          </w:tcPr>
          <w:p w14:paraId="4EDAED16" w14:textId="77777777" w:rsidR="00964B88" w:rsidRDefault="00964B88">
            <w:pPr>
              <w:cnfStyle w:val="000000000000" w:firstRow="0" w:lastRow="0" w:firstColumn="0" w:lastColumn="0" w:oddVBand="0" w:evenVBand="0" w:oddHBand="0" w:evenHBand="0" w:firstRowFirstColumn="0" w:firstRowLastColumn="0" w:lastRowFirstColumn="0" w:lastRowLastColumn="0"/>
            </w:pPr>
            <w:r>
              <w:t>1 711</w:t>
            </w:r>
          </w:p>
        </w:tc>
        <w:tc>
          <w:tcPr>
            <w:tcW w:w="793" w:type="dxa"/>
          </w:tcPr>
          <w:p w14:paraId="3FC63B76" w14:textId="77777777" w:rsidR="00964B88" w:rsidRDefault="00964B88">
            <w:pPr>
              <w:cnfStyle w:val="000000000000" w:firstRow="0" w:lastRow="0" w:firstColumn="0" w:lastColumn="0" w:oddVBand="0" w:evenVBand="0" w:oddHBand="0" w:evenHBand="0" w:firstRowFirstColumn="0" w:firstRowLastColumn="0" w:lastRowFirstColumn="0" w:lastRowLastColumn="0"/>
            </w:pPr>
            <w:r>
              <w:t>187 969</w:t>
            </w:r>
          </w:p>
        </w:tc>
      </w:tr>
      <w:tr w:rsidR="00964B88" w14:paraId="1BA1FA8B" w14:textId="77777777">
        <w:tc>
          <w:tcPr>
            <w:cnfStyle w:val="001000000000" w:firstRow="0" w:lastRow="0" w:firstColumn="1" w:lastColumn="0" w:oddVBand="0" w:evenVBand="0" w:oddHBand="0" w:evenHBand="0" w:firstRowFirstColumn="0" w:firstRowLastColumn="0" w:lastRowFirstColumn="0" w:lastRowLastColumn="0"/>
            <w:tcW w:w="3290" w:type="dxa"/>
          </w:tcPr>
          <w:p w14:paraId="6C698608" w14:textId="77777777" w:rsidR="00964B88" w:rsidRDefault="00964B88">
            <w:r>
              <w:t>Net result for the year</w:t>
            </w:r>
          </w:p>
        </w:tc>
        <w:tc>
          <w:tcPr>
            <w:tcW w:w="1275" w:type="dxa"/>
          </w:tcPr>
          <w:p w14:paraId="2747C4A3" w14:textId="77777777" w:rsidR="00964B88" w:rsidRDefault="00964B88">
            <w:pPr>
              <w:cnfStyle w:val="000000000000" w:firstRow="0" w:lastRow="0" w:firstColumn="0" w:lastColumn="0" w:oddVBand="0" w:evenVBand="0" w:oddHBand="0" w:evenHBand="0" w:firstRowFirstColumn="0" w:firstRowLastColumn="0" w:lastRowFirstColumn="0" w:lastRowLastColumn="0"/>
            </w:pPr>
            <w:r>
              <w:t>465</w:t>
            </w:r>
          </w:p>
        </w:tc>
        <w:tc>
          <w:tcPr>
            <w:tcW w:w="1560" w:type="dxa"/>
          </w:tcPr>
          <w:p w14:paraId="074F7211"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0DD7A948"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93" w:type="dxa"/>
          </w:tcPr>
          <w:p w14:paraId="2585DDFD" w14:textId="77777777" w:rsidR="00964B88" w:rsidRDefault="00964B88">
            <w:pPr>
              <w:cnfStyle w:val="000000000000" w:firstRow="0" w:lastRow="0" w:firstColumn="0" w:lastColumn="0" w:oddVBand="0" w:evenVBand="0" w:oddHBand="0" w:evenHBand="0" w:firstRowFirstColumn="0" w:firstRowLastColumn="0" w:lastRowFirstColumn="0" w:lastRowLastColumn="0"/>
            </w:pPr>
            <w:r>
              <w:t>465</w:t>
            </w:r>
          </w:p>
        </w:tc>
      </w:tr>
      <w:tr w:rsidR="00964B88" w14:paraId="540FE176" w14:textId="77777777">
        <w:tc>
          <w:tcPr>
            <w:cnfStyle w:val="001000000000" w:firstRow="0" w:lastRow="0" w:firstColumn="1" w:lastColumn="0" w:oddVBand="0" w:evenVBand="0" w:oddHBand="0" w:evenHBand="0" w:firstRowFirstColumn="0" w:firstRowLastColumn="0" w:lastRowFirstColumn="0" w:lastRowLastColumn="0"/>
            <w:tcW w:w="3290" w:type="dxa"/>
          </w:tcPr>
          <w:p w14:paraId="301572D9" w14:textId="77777777" w:rsidR="00964B88" w:rsidRDefault="00964B88">
            <w:r>
              <w:t>Other comprehensive income for the year</w:t>
            </w:r>
          </w:p>
        </w:tc>
        <w:tc>
          <w:tcPr>
            <w:tcW w:w="1275" w:type="dxa"/>
          </w:tcPr>
          <w:p w14:paraId="41E3CC31" w14:textId="77777777" w:rsidR="00964B88" w:rsidRDefault="00964B88">
            <w:pPr>
              <w:cnfStyle w:val="000000000000" w:firstRow="0" w:lastRow="0" w:firstColumn="0" w:lastColumn="0" w:oddVBand="0" w:evenVBand="0" w:oddHBand="0" w:evenHBand="0" w:firstRowFirstColumn="0" w:firstRowLastColumn="0" w:lastRowFirstColumn="0" w:lastRowLastColumn="0"/>
            </w:pPr>
            <w:r>
              <w:t>1 428</w:t>
            </w:r>
          </w:p>
        </w:tc>
        <w:tc>
          <w:tcPr>
            <w:tcW w:w="1560" w:type="dxa"/>
          </w:tcPr>
          <w:p w14:paraId="5B1D5A14" w14:textId="77777777" w:rsidR="00964B88" w:rsidRDefault="00964B88">
            <w:pPr>
              <w:cnfStyle w:val="000000000000" w:firstRow="0" w:lastRow="0" w:firstColumn="0" w:lastColumn="0" w:oddVBand="0" w:evenVBand="0" w:oddHBand="0" w:evenHBand="0" w:firstRowFirstColumn="0" w:firstRowLastColumn="0" w:lastRowFirstColumn="0" w:lastRowLastColumn="0"/>
            </w:pPr>
            <w:r>
              <w:t>3 736</w:t>
            </w:r>
          </w:p>
        </w:tc>
        <w:tc>
          <w:tcPr>
            <w:tcW w:w="850" w:type="dxa"/>
          </w:tcPr>
          <w:p w14:paraId="101588C9" w14:textId="77777777" w:rsidR="00964B88" w:rsidRDefault="00964B88">
            <w:pPr>
              <w:cnfStyle w:val="000000000000" w:firstRow="0" w:lastRow="0" w:firstColumn="0" w:lastColumn="0" w:oddVBand="0" w:evenVBand="0" w:oddHBand="0" w:evenHBand="0" w:firstRowFirstColumn="0" w:firstRowLastColumn="0" w:lastRowFirstColumn="0" w:lastRowLastColumn="0"/>
            </w:pPr>
            <w:r>
              <w:t>40</w:t>
            </w:r>
          </w:p>
        </w:tc>
        <w:tc>
          <w:tcPr>
            <w:tcW w:w="793" w:type="dxa"/>
          </w:tcPr>
          <w:p w14:paraId="252D407E" w14:textId="77777777" w:rsidR="00964B88" w:rsidRDefault="00964B88">
            <w:pPr>
              <w:cnfStyle w:val="000000000000" w:firstRow="0" w:lastRow="0" w:firstColumn="0" w:lastColumn="0" w:oddVBand="0" w:evenVBand="0" w:oddHBand="0" w:evenHBand="0" w:firstRowFirstColumn="0" w:firstRowLastColumn="0" w:lastRowFirstColumn="0" w:lastRowLastColumn="0"/>
            </w:pPr>
            <w:r>
              <w:t>5 204</w:t>
            </w:r>
          </w:p>
        </w:tc>
      </w:tr>
      <w:tr w:rsidR="00964B88" w14:paraId="0057BD2E" w14:textId="77777777">
        <w:tc>
          <w:tcPr>
            <w:cnfStyle w:val="001000000000" w:firstRow="0" w:lastRow="0" w:firstColumn="1" w:lastColumn="0" w:oddVBand="0" w:evenVBand="0" w:oddHBand="0" w:evenHBand="0" w:firstRowFirstColumn="0" w:firstRowLastColumn="0" w:lastRowFirstColumn="0" w:lastRowLastColumn="0"/>
            <w:tcW w:w="3290" w:type="dxa"/>
          </w:tcPr>
          <w:p w14:paraId="004954D9" w14:textId="77777777" w:rsidR="00964B88" w:rsidRDefault="00964B88">
            <w:r>
              <w:t>Transfer to/(from) accumulated surplus</w:t>
            </w:r>
          </w:p>
        </w:tc>
        <w:tc>
          <w:tcPr>
            <w:tcW w:w="1275" w:type="dxa"/>
          </w:tcPr>
          <w:p w14:paraId="1848A84E"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366D76E7"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20775777"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93" w:type="dxa"/>
          </w:tcPr>
          <w:p w14:paraId="1D632A3A"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2E26E17F" w14:textId="77777777" w:rsidTr="00F53820">
        <w:tc>
          <w:tcPr>
            <w:cnfStyle w:val="001000000000" w:firstRow="0" w:lastRow="0" w:firstColumn="1" w:lastColumn="0" w:oddVBand="0" w:evenVBand="0" w:oddHBand="0" w:evenHBand="0" w:firstRowFirstColumn="0" w:firstRowLastColumn="0" w:lastRowFirstColumn="0" w:lastRowLastColumn="0"/>
            <w:tcW w:w="3290" w:type="dxa"/>
            <w:tcBorders>
              <w:top w:val="single" w:sz="6" w:space="0" w:color="auto"/>
              <w:bottom w:val="single" w:sz="6" w:space="0" w:color="auto"/>
            </w:tcBorders>
          </w:tcPr>
          <w:p w14:paraId="4101337A" w14:textId="77777777" w:rsidR="00964B88" w:rsidRDefault="00964B88">
            <w:r>
              <w:rPr>
                <w:b/>
              </w:rPr>
              <w:t>Total equity as at 30 June 2022</w:t>
            </w:r>
          </w:p>
        </w:tc>
        <w:tc>
          <w:tcPr>
            <w:tcW w:w="1275" w:type="dxa"/>
            <w:tcBorders>
              <w:top w:val="single" w:sz="6" w:space="0" w:color="auto"/>
              <w:bottom w:val="single" w:sz="6" w:space="0" w:color="auto"/>
            </w:tcBorders>
          </w:tcPr>
          <w:p w14:paraId="662097C7"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92 115</w:t>
            </w:r>
          </w:p>
        </w:tc>
        <w:tc>
          <w:tcPr>
            <w:tcW w:w="1560" w:type="dxa"/>
            <w:tcBorders>
              <w:top w:val="single" w:sz="6" w:space="0" w:color="auto"/>
              <w:bottom w:val="single" w:sz="6" w:space="0" w:color="auto"/>
            </w:tcBorders>
          </w:tcPr>
          <w:p w14:paraId="0B6B87F6"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99 772</w:t>
            </w:r>
          </w:p>
        </w:tc>
        <w:tc>
          <w:tcPr>
            <w:tcW w:w="850" w:type="dxa"/>
            <w:tcBorders>
              <w:top w:val="single" w:sz="6" w:space="0" w:color="auto"/>
              <w:bottom w:val="single" w:sz="6" w:space="0" w:color="auto"/>
            </w:tcBorders>
          </w:tcPr>
          <w:p w14:paraId="374B939A"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1 751</w:t>
            </w:r>
          </w:p>
        </w:tc>
        <w:tc>
          <w:tcPr>
            <w:tcW w:w="793" w:type="dxa"/>
            <w:tcBorders>
              <w:top w:val="single" w:sz="6" w:space="0" w:color="auto"/>
              <w:bottom w:val="single" w:sz="6" w:space="0" w:color="auto"/>
            </w:tcBorders>
          </w:tcPr>
          <w:p w14:paraId="696A4D5D" w14:textId="77777777" w:rsidR="00964B88" w:rsidRDefault="00964B88">
            <w:pPr>
              <w:cnfStyle w:val="000000000000" w:firstRow="0" w:lastRow="0" w:firstColumn="0" w:lastColumn="0" w:oddVBand="0" w:evenVBand="0" w:oddHBand="0" w:evenHBand="0" w:firstRowFirstColumn="0" w:firstRowLastColumn="0" w:lastRowFirstColumn="0" w:lastRowLastColumn="0"/>
            </w:pPr>
            <w:r>
              <w:rPr>
                <w:b/>
              </w:rPr>
              <w:t>193 638</w:t>
            </w:r>
          </w:p>
        </w:tc>
      </w:tr>
      <w:tr w:rsidR="00964B88" w14:paraId="5E434981" w14:textId="77777777" w:rsidTr="00F53820">
        <w:tc>
          <w:tcPr>
            <w:cnfStyle w:val="001000000000" w:firstRow="0" w:lastRow="0" w:firstColumn="1" w:lastColumn="0" w:oddVBand="0" w:evenVBand="0" w:oddHBand="0" w:evenHBand="0" w:firstRowFirstColumn="0" w:firstRowLastColumn="0" w:lastRowFirstColumn="0" w:lastRowLastColumn="0"/>
            <w:tcW w:w="3290" w:type="dxa"/>
            <w:tcBorders>
              <w:top w:val="single" w:sz="6" w:space="0" w:color="auto"/>
            </w:tcBorders>
          </w:tcPr>
          <w:p w14:paraId="24A59084" w14:textId="77777777" w:rsidR="00964B88" w:rsidRDefault="00964B88">
            <w:r>
              <w:rPr>
                <w:b/>
              </w:rPr>
              <w:t>2022</w:t>
            </w:r>
            <w:r>
              <w:rPr>
                <w:b/>
              </w:rPr>
              <w:noBreakHyphen/>
              <w:t>23 estimate</w:t>
            </w:r>
          </w:p>
        </w:tc>
        <w:tc>
          <w:tcPr>
            <w:tcW w:w="1275" w:type="dxa"/>
            <w:tcBorders>
              <w:top w:val="single" w:sz="6" w:space="0" w:color="auto"/>
            </w:tcBorders>
          </w:tcPr>
          <w:p w14:paraId="7EA5E773"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1560" w:type="dxa"/>
            <w:tcBorders>
              <w:top w:val="single" w:sz="6" w:space="0" w:color="auto"/>
            </w:tcBorders>
          </w:tcPr>
          <w:p w14:paraId="3DAD1C4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5222F5A"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c>
          <w:tcPr>
            <w:tcW w:w="793" w:type="dxa"/>
            <w:tcBorders>
              <w:top w:val="single" w:sz="6" w:space="0" w:color="auto"/>
            </w:tcBorders>
          </w:tcPr>
          <w:p w14:paraId="7B7F5094" w14:textId="77777777" w:rsidR="00964B88" w:rsidRDefault="00964B88">
            <w:pPr>
              <w:cnfStyle w:val="000000000000" w:firstRow="0" w:lastRow="0" w:firstColumn="0" w:lastColumn="0" w:oddVBand="0" w:evenVBand="0" w:oddHBand="0" w:evenHBand="0" w:firstRowFirstColumn="0" w:firstRowLastColumn="0" w:lastRowFirstColumn="0" w:lastRowLastColumn="0"/>
            </w:pPr>
          </w:p>
        </w:tc>
      </w:tr>
      <w:tr w:rsidR="00964B88" w14:paraId="27777029" w14:textId="77777777">
        <w:tc>
          <w:tcPr>
            <w:cnfStyle w:val="001000000000" w:firstRow="0" w:lastRow="0" w:firstColumn="1" w:lastColumn="0" w:oddVBand="0" w:evenVBand="0" w:oddHBand="0" w:evenHBand="0" w:firstRowFirstColumn="0" w:firstRowLastColumn="0" w:lastRowFirstColumn="0" w:lastRowLastColumn="0"/>
            <w:tcW w:w="3290" w:type="dxa"/>
          </w:tcPr>
          <w:p w14:paraId="5667D0EC" w14:textId="77777777" w:rsidR="00964B88" w:rsidRDefault="00964B88">
            <w:r>
              <w:t>Balance at 1 July 2022</w:t>
            </w:r>
          </w:p>
        </w:tc>
        <w:tc>
          <w:tcPr>
            <w:tcW w:w="1275" w:type="dxa"/>
          </w:tcPr>
          <w:p w14:paraId="67C6DFA0" w14:textId="77777777" w:rsidR="00964B88" w:rsidRDefault="00964B88">
            <w:pPr>
              <w:cnfStyle w:val="000000000000" w:firstRow="0" w:lastRow="0" w:firstColumn="0" w:lastColumn="0" w:oddVBand="0" w:evenVBand="0" w:oddHBand="0" w:evenHBand="0" w:firstRowFirstColumn="0" w:firstRowLastColumn="0" w:lastRowFirstColumn="0" w:lastRowLastColumn="0"/>
            </w:pPr>
            <w:r>
              <w:t>92 115</w:t>
            </w:r>
          </w:p>
        </w:tc>
        <w:tc>
          <w:tcPr>
            <w:tcW w:w="1560" w:type="dxa"/>
          </w:tcPr>
          <w:p w14:paraId="537DDA8F" w14:textId="77777777" w:rsidR="00964B88" w:rsidRDefault="00964B88">
            <w:pPr>
              <w:cnfStyle w:val="000000000000" w:firstRow="0" w:lastRow="0" w:firstColumn="0" w:lastColumn="0" w:oddVBand="0" w:evenVBand="0" w:oddHBand="0" w:evenHBand="0" w:firstRowFirstColumn="0" w:firstRowLastColumn="0" w:lastRowFirstColumn="0" w:lastRowLastColumn="0"/>
            </w:pPr>
            <w:r>
              <w:t>99 772</w:t>
            </w:r>
          </w:p>
        </w:tc>
        <w:tc>
          <w:tcPr>
            <w:tcW w:w="850" w:type="dxa"/>
          </w:tcPr>
          <w:p w14:paraId="1E368D32" w14:textId="77777777" w:rsidR="00964B88" w:rsidRDefault="00964B88">
            <w:pPr>
              <w:cnfStyle w:val="000000000000" w:firstRow="0" w:lastRow="0" w:firstColumn="0" w:lastColumn="0" w:oddVBand="0" w:evenVBand="0" w:oddHBand="0" w:evenHBand="0" w:firstRowFirstColumn="0" w:firstRowLastColumn="0" w:lastRowFirstColumn="0" w:lastRowLastColumn="0"/>
            </w:pPr>
            <w:r>
              <w:t>1 751</w:t>
            </w:r>
          </w:p>
        </w:tc>
        <w:tc>
          <w:tcPr>
            <w:tcW w:w="793" w:type="dxa"/>
          </w:tcPr>
          <w:p w14:paraId="2DD38A90" w14:textId="77777777" w:rsidR="00964B88" w:rsidRDefault="00964B88">
            <w:pPr>
              <w:cnfStyle w:val="000000000000" w:firstRow="0" w:lastRow="0" w:firstColumn="0" w:lastColumn="0" w:oddVBand="0" w:evenVBand="0" w:oddHBand="0" w:evenHBand="0" w:firstRowFirstColumn="0" w:firstRowLastColumn="0" w:lastRowFirstColumn="0" w:lastRowLastColumn="0"/>
            </w:pPr>
            <w:r>
              <w:t>193 638</w:t>
            </w:r>
          </w:p>
        </w:tc>
      </w:tr>
      <w:tr w:rsidR="00964B88" w14:paraId="468CB3FE" w14:textId="77777777">
        <w:tc>
          <w:tcPr>
            <w:cnfStyle w:val="001000000000" w:firstRow="0" w:lastRow="0" w:firstColumn="1" w:lastColumn="0" w:oddVBand="0" w:evenVBand="0" w:oddHBand="0" w:evenHBand="0" w:firstRowFirstColumn="0" w:firstRowLastColumn="0" w:lastRowFirstColumn="0" w:lastRowLastColumn="0"/>
            <w:tcW w:w="3290" w:type="dxa"/>
          </w:tcPr>
          <w:p w14:paraId="2C169110" w14:textId="77777777" w:rsidR="00964B88" w:rsidRDefault="00964B88">
            <w:r>
              <w:t>Net result for the year</w:t>
            </w:r>
          </w:p>
        </w:tc>
        <w:tc>
          <w:tcPr>
            <w:tcW w:w="1275" w:type="dxa"/>
          </w:tcPr>
          <w:p w14:paraId="78C7E72E" w14:textId="77777777" w:rsidR="00964B88" w:rsidRDefault="00964B88">
            <w:pPr>
              <w:cnfStyle w:val="000000000000" w:firstRow="0" w:lastRow="0" w:firstColumn="0" w:lastColumn="0" w:oddVBand="0" w:evenVBand="0" w:oddHBand="0" w:evenHBand="0" w:firstRowFirstColumn="0" w:firstRowLastColumn="0" w:lastRowFirstColumn="0" w:lastRowLastColumn="0"/>
            </w:pPr>
            <w:r>
              <w:t>2 176</w:t>
            </w:r>
          </w:p>
        </w:tc>
        <w:tc>
          <w:tcPr>
            <w:tcW w:w="1560" w:type="dxa"/>
          </w:tcPr>
          <w:p w14:paraId="27FCBDC8"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2609750E"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93" w:type="dxa"/>
          </w:tcPr>
          <w:p w14:paraId="53DC53EE" w14:textId="77777777" w:rsidR="00964B88" w:rsidRDefault="00964B88">
            <w:pPr>
              <w:cnfStyle w:val="000000000000" w:firstRow="0" w:lastRow="0" w:firstColumn="0" w:lastColumn="0" w:oddVBand="0" w:evenVBand="0" w:oddHBand="0" w:evenHBand="0" w:firstRowFirstColumn="0" w:firstRowLastColumn="0" w:lastRowFirstColumn="0" w:lastRowLastColumn="0"/>
            </w:pPr>
            <w:r>
              <w:t>2 176</w:t>
            </w:r>
          </w:p>
        </w:tc>
      </w:tr>
      <w:tr w:rsidR="00964B88" w14:paraId="7B2664AE" w14:textId="77777777">
        <w:tc>
          <w:tcPr>
            <w:cnfStyle w:val="001000000000" w:firstRow="0" w:lastRow="0" w:firstColumn="1" w:lastColumn="0" w:oddVBand="0" w:evenVBand="0" w:oddHBand="0" w:evenHBand="0" w:firstRowFirstColumn="0" w:firstRowLastColumn="0" w:lastRowFirstColumn="0" w:lastRowLastColumn="0"/>
            <w:tcW w:w="3290" w:type="dxa"/>
          </w:tcPr>
          <w:p w14:paraId="1EE1EBA5" w14:textId="77777777" w:rsidR="00964B88" w:rsidRDefault="00964B88">
            <w:r>
              <w:t>Other comprehensive income for the year</w:t>
            </w:r>
          </w:p>
        </w:tc>
        <w:tc>
          <w:tcPr>
            <w:tcW w:w="1275" w:type="dxa"/>
          </w:tcPr>
          <w:p w14:paraId="5C19E0A5" w14:textId="77777777" w:rsidR="00964B88" w:rsidRDefault="00964B88">
            <w:pPr>
              <w:cnfStyle w:val="000000000000" w:firstRow="0" w:lastRow="0" w:firstColumn="0" w:lastColumn="0" w:oddVBand="0" w:evenVBand="0" w:oddHBand="0" w:evenHBand="0" w:firstRowFirstColumn="0" w:firstRowLastColumn="0" w:lastRowFirstColumn="0" w:lastRowLastColumn="0"/>
            </w:pPr>
            <w:r>
              <w:t>1 454</w:t>
            </w:r>
          </w:p>
        </w:tc>
        <w:tc>
          <w:tcPr>
            <w:tcW w:w="1560" w:type="dxa"/>
          </w:tcPr>
          <w:p w14:paraId="67CC139F" w14:textId="77777777" w:rsidR="00964B88" w:rsidRDefault="00964B88">
            <w:pPr>
              <w:cnfStyle w:val="000000000000" w:firstRow="0" w:lastRow="0" w:firstColumn="0" w:lastColumn="0" w:oddVBand="0" w:evenVBand="0" w:oddHBand="0" w:evenHBand="0" w:firstRowFirstColumn="0" w:firstRowLastColumn="0" w:lastRowFirstColumn="0" w:lastRowLastColumn="0"/>
            </w:pPr>
            <w:r>
              <w:t>4 804</w:t>
            </w:r>
          </w:p>
        </w:tc>
        <w:tc>
          <w:tcPr>
            <w:tcW w:w="850" w:type="dxa"/>
          </w:tcPr>
          <w:p w14:paraId="1B19BA5E" w14:textId="77777777" w:rsidR="00964B88" w:rsidRDefault="00964B88">
            <w:pPr>
              <w:cnfStyle w:val="000000000000" w:firstRow="0" w:lastRow="0" w:firstColumn="0" w:lastColumn="0" w:oddVBand="0" w:evenVBand="0" w:oddHBand="0" w:evenHBand="0" w:firstRowFirstColumn="0" w:firstRowLastColumn="0" w:lastRowFirstColumn="0" w:lastRowLastColumn="0"/>
            </w:pPr>
            <w:r>
              <w:t>41</w:t>
            </w:r>
          </w:p>
        </w:tc>
        <w:tc>
          <w:tcPr>
            <w:tcW w:w="793" w:type="dxa"/>
          </w:tcPr>
          <w:p w14:paraId="450F6870" w14:textId="77777777" w:rsidR="00964B88" w:rsidRDefault="00964B88">
            <w:pPr>
              <w:cnfStyle w:val="000000000000" w:firstRow="0" w:lastRow="0" w:firstColumn="0" w:lastColumn="0" w:oddVBand="0" w:evenVBand="0" w:oddHBand="0" w:evenHBand="0" w:firstRowFirstColumn="0" w:firstRowLastColumn="0" w:lastRowFirstColumn="0" w:lastRowLastColumn="0"/>
            </w:pPr>
            <w:r>
              <w:t>6 299</w:t>
            </w:r>
          </w:p>
        </w:tc>
      </w:tr>
      <w:tr w:rsidR="00964B88" w14:paraId="54F19361" w14:textId="77777777">
        <w:tc>
          <w:tcPr>
            <w:cnfStyle w:val="001000000000" w:firstRow="0" w:lastRow="0" w:firstColumn="1" w:lastColumn="0" w:oddVBand="0" w:evenVBand="0" w:oddHBand="0" w:evenHBand="0" w:firstRowFirstColumn="0" w:firstRowLastColumn="0" w:lastRowFirstColumn="0" w:lastRowLastColumn="0"/>
            <w:tcW w:w="3290" w:type="dxa"/>
          </w:tcPr>
          <w:p w14:paraId="0AF158CE" w14:textId="77777777" w:rsidR="00964B88" w:rsidRDefault="00964B88">
            <w:r>
              <w:t>Transfer to/(from) accumulated surplus</w:t>
            </w:r>
          </w:p>
        </w:tc>
        <w:tc>
          <w:tcPr>
            <w:tcW w:w="1275" w:type="dxa"/>
          </w:tcPr>
          <w:p w14:paraId="67E89865"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612B586B"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56EBF921"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c>
          <w:tcPr>
            <w:tcW w:w="793" w:type="dxa"/>
          </w:tcPr>
          <w:p w14:paraId="35C15549" w14:textId="77777777" w:rsidR="00964B88" w:rsidRDefault="00964B88">
            <w:pPr>
              <w:cnfStyle w:val="000000000000" w:firstRow="0" w:lastRow="0" w:firstColumn="0" w:lastColumn="0" w:oddVBand="0" w:evenVBand="0" w:oddHBand="0" w:evenHBand="0" w:firstRowFirstColumn="0" w:firstRowLastColumn="0" w:lastRowFirstColumn="0" w:lastRowLastColumn="0"/>
            </w:pPr>
            <w:r>
              <w:t>..</w:t>
            </w:r>
          </w:p>
        </w:tc>
      </w:tr>
      <w:tr w:rsidR="00964B88" w14:paraId="4F8352CE"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0" w:type="dxa"/>
          </w:tcPr>
          <w:p w14:paraId="52AFE37A" w14:textId="77777777" w:rsidR="00964B88" w:rsidRDefault="00964B88">
            <w:r>
              <w:t>Total equity as at 30 June 2023</w:t>
            </w:r>
          </w:p>
        </w:tc>
        <w:tc>
          <w:tcPr>
            <w:tcW w:w="1275" w:type="dxa"/>
          </w:tcPr>
          <w:p w14:paraId="40B6A719" w14:textId="77777777" w:rsidR="00964B88" w:rsidRDefault="00964B88">
            <w:pPr>
              <w:cnfStyle w:val="010000000000" w:firstRow="0" w:lastRow="1" w:firstColumn="0" w:lastColumn="0" w:oddVBand="0" w:evenVBand="0" w:oddHBand="0" w:evenHBand="0" w:firstRowFirstColumn="0" w:firstRowLastColumn="0" w:lastRowFirstColumn="0" w:lastRowLastColumn="0"/>
            </w:pPr>
            <w:r>
              <w:t>95 744</w:t>
            </w:r>
          </w:p>
        </w:tc>
        <w:tc>
          <w:tcPr>
            <w:tcW w:w="1560" w:type="dxa"/>
          </w:tcPr>
          <w:p w14:paraId="3A353383" w14:textId="77777777" w:rsidR="00964B88" w:rsidRDefault="00964B88">
            <w:pPr>
              <w:cnfStyle w:val="010000000000" w:firstRow="0" w:lastRow="1" w:firstColumn="0" w:lastColumn="0" w:oddVBand="0" w:evenVBand="0" w:oddHBand="0" w:evenHBand="0" w:firstRowFirstColumn="0" w:firstRowLastColumn="0" w:lastRowFirstColumn="0" w:lastRowLastColumn="0"/>
            </w:pPr>
            <w:r>
              <w:t>104 577</w:t>
            </w:r>
          </w:p>
        </w:tc>
        <w:tc>
          <w:tcPr>
            <w:tcW w:w="850" w:type="dxa"/>
          </w:tcPr>
          <w:p w14:paraId="260602BB" w14:textId="77777777" w:rsidR="00964B88" w:rsidRDefault="00964B88">
            <w:pPr>
              <w:cnfStyle w:val="010000000000" w:firstRow="0" w:lastRow="1" w:firstColumn="0" w:lastColumn="0" w:oddVBand="0" w:evenVBand="0" w:oddHBand="0" w:evenHBand="0" w:firstRowFirstColumn="0" w:firstRowLastColumn="0" w:lastRowFirstColumn="0" w:lastRowLastColumn="0"/>
            </w:pPr>
            <w:r>
              <w:t>1 793</w:t>
            </w:r>
          </w:p>
        </w:tc>
        <w:tc>
          <w:tcPr>
            <w:tcW w:w="793" w:type="dxa"/>
          </w:tcPr>
          <w:p w14:paraId="4FA3871D" w14:textId="77777777" w:rsidR="00964B88" w:rsidRDefault="00964B88">
            <w:pPr>
              <w:cnfStyle w:val="010000000000" w:firstRow="0" w:lastRow="1" w:firstColumn="0" w:lastColumn="0" w:oddVBand="0" w:evenVBand="0" w:oddHBand="0" w:evenHBand="0" w:firstRowFirstColumn="0" w:firstRowLastColumn="0" w:lastRowFirstColumn="0" w:lastRowLastColumn="0"/>
            </w:pPr>
            <w:r>
              <w:t>202 114</w:t>
            </w:r>
          </w:p>
        </w:tc>
      </w:tr>
    </w:tbl>
    <w:p w14:paraId="7C0C788E" w14:textId="77777777" w:rsidR="00964B88" w:rsidRPr="005F55F3" w:rsidRDefault="00964B88" w:rsidP="00F53820">
      <w:pPr>
        <w:pStyle w:val="Note"/>
      </w:pPr>
      <w:r>
        <w:t>Note:</w:t>
      </w:r>
    </w:p>
    <w:p w14:paraId="0579E9FB" w14:textId="77777777" w:rsidR="00964B88" w:rsidRPr="00926603" w:rsidRDefault="00964B88" w:rsidP="00F53820">
      <w:pPr>
        <w:pStyle w:val="Note"/>
      </w:pPr>
      <w:r w:rsidRPr="00926603">
        <w:t>(a)</w:t>
      </w:r>
      <w:r w:rsidRPr="00926603">
        <w:tab/>
        <w:t>Balances represent actual</w:t>
      </w:r>
      <w:r>
        <w:t xml:space="preserve"> opening balances at 1 July 2019 plus 2019-20</w:t>
      </w:r>
      <w:r w:rsidRPr="00926603">
        <w:t xml:space="preserve"> budgeted movements.</w:t>
      </w:r>
    </w:p>
    <w:p w14:paraId="3112088B" w14:textId="77777777" w:rsidR="00964B88" w:rsidRPr="009A256A" w:rsidRDefault="00964B88" w:rsidP="00F53820">
      <w:pPr>
        <w:pStyle w:val="Note"/>
        <w:rPr>
          <w:rFonts w:cs="Times New Roman"/>
          <w:lang w:eastAsia="en-AU"/>
        </w:rPr>
      </w:pPr>
    </w:p>
    <w:p w14:paraId="1BDE857B" w14:textId="77777777" w:rsidR="00964B88" w:rsidRDefault="00964B88">
      <w:pPr>
        <w:keepLines w:val="0"/>
        <w:rPr>
          <w:rFonts w:asciiTheme="majorHAnsi" w:hAnsiTheme="majorHAnsi"/>
          <w:b/>
          <w:sz w:val="20"/>
          <w:szCs w:val="20"/>
        </w:rPr>
      </w:pPr>
      <w:r>
        <w:br w:type="page"/>
      </w:r>
    </w:p>
    <w:p w14:paraId="42B37003" w14:textId="77777777" w:rsidR="00964B88" w:rsidRDefault="00964B88" w:rsidP="00F53820">
      <w:pPr>
        <w:pStyle w:val="TableHeading"/>
      </w:pPr>
      <w:r>
        <w:lastRenderedPageBreak/>
        <w:t>Table 5.20</w:t>
      </w:r>
      <w:r w:rsidR="009C1504">
        <w:t>:</w:t>
      </w:r>
      <w:r>
        <w:tab/>
        <w:t>Net acquisition of non-financial assets – State of Victoria</w:t>
      </w:r>
      <w:r>
        <w:tab/>
        <w:t>($ million)</w:t>
      </w:r>
    </w:p>
    <w:tbl>
      <w:tblPr>
        <w:tblStyle w:val="DTFTable"/>
        <w:tblW w:w="7768" w:type="dxa"/>
        <w:tblLayout w:type="fixed"/>
        <w:tblLook w:val="06E0" w:firstRow="1" w:lastRow="1" w:firstColumn="1" w:lastColumn="0" w:noHBand="1" w:noVBand="1"/>
      </w:tblPr>
      <w:tblGrid>
        <w:gridCol w:w="3627"/>
        <w:gridCol w:w="741"/>
        <w:gridCol w:w="850"/>
        <w:gridCol w:w="850"/>
        <w:gridCol w:w="850"/>
        <w:gridCol w:w="850"/>
      </w:tblGrid>
      <w:tr w:rsidR="00964B88" w14:paraId="0EC0BF5F"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7" w:type="dxa"/>
          </w:tcPr>
          <w:p w14:paraId="78DD02FF" w14:textId="77777777" w:rsidR="00964B88" w:rsidRDefault="00964B88"/>
        </w:tc>
        <w:tc>
          <w:tcPr>
            <w:tcW w:w="741" w:type="dxa"/>
          </w:tcPr>
          <w:p w14:paraId="51C8DDA8"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budget</w:t>
            </w:r>
          </w:p>
        </w:tc>
        <w:tc>
          <w:tcPr>
            <w:tcW w:w="850" w:type="dxa"/>
          </w:tcPr>
          <w:p w14:paraId="21EC5AF6" w14:textId="77777777" w:rsidR="00964B88" w:rsidRDefault="00964B88">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p>
        </w:tc>
        <w:tc>
          <w:tcPr>
            <w:tcW w:w="850" w:type="dxa"/>
          </w:tcPr>
          <w:p w14:paraId="036A5C8C" w14:textId="77777777" w:rsidR="00964B88" w:rsidRDefault="00964B88">
            <w:pPr>
              <w:cnfStyle w:val="100000000000" w:firstRow="1" w:lastRow="0" w:firstColumn="0" w:lastColumn="0" w:oddVBand="0" w:evenVBand="0" w:oddHBand="0" w:evenHBand="0" w:firstRowFirstColumn="0" w:firstRowLastColumn="0" w:lastRowFirstColumn="0" w:lastRowLastColumn="0"/>
            </w:pPr>
            <w:r>
              <w:t>2020</w:t>
            </w:r>
            <w:r>
              <w:noBreakHyphen/>
              <w:t>21</w:t>
            </w:r>
            <w:r>
              <w:br/>
              <w:t>estimate</w:t>
            </w:r>
          </w:p>
        </w:tc>
        <w:tc>
          <w:tcPr>
            <w:tcW w:w="850" w:type="dxa"/>
          </w:tcPr>
          <w:p w14:paraId="226D1DC9" w14:textId="77777777" w:rsidR="00964B88" w:rsidRDefault="00964B88">
            <w:pPr>
              <w:cnfStyle w:val="100000000000" w:firstRow="1" w:lastRow="0" w:firstColumn="0" w:lastColumn="0" w:oddVBand="0" w:evenVBand="0" w:oddHBand="0" w:evenHBand="0" w:firstRowFirstColumn="0" w:firstRowLastColumn="0" w:lastRowFirstColumn="0" w:lastRowLastColumn="0"/>
            </w:pPr>
            <w:r>
              <w:t>2021</w:t>
            </w:r>
            <w:r>
              <w:noBreakHyphen/>
              <w:t>22</w:t>
            </w:r>
            <w:r>
              <w:br/>
              <w:t>estimate</w:t>
            </w:r>
          </w:p>
        </w:tc>
        <w:tc>
          <w:tcPr>
            <w:tcW w:w="850" w:type="dxa"/>
          </w:tcPr>
          <w:p w14:paraId="4F1C60F7" w14:textId="77777777" w:rsidR="00964B88" w:rsidRDefault="00964B88">
            <w:pPr>
              <w:cnfStyle w:val="100000000000" w:firstRow="1" w:lastRow="0" w:firstColumn="0" w:lastColumn="0" w:oddVBand="0" w:evenVBand="0" w:oddHBand="0" w:evenHBand="0" w:firstRowFirstColumn="0" w:firstRowLastColumn="0" w:lastRowFirstColumn="0" w:lastRowLastColumn="0"/>
            </w:pPr>
            <w:r>
              <w:t>2022</w:t>
            </w:r>
            <w:r>
              <w:noBreakHyphen/>
              <w:t>23</w:t>
            </w:r>
            <w:r>
              <w:br/>
              <w:t>estimate</w:t>
            </w:r>
          </w:p>
        </w:tc>
      </w:tr>
      <w:tr w:rsidR="00964B88" w14:paraId="3EB8158A" w14:textId="77777777">
        <w:tc>
          <w:tcPr>
            <w:cnfStyle w:val="001000000000" w:firstRow="0" w:lastRow="0" w:firstColumn="1" w:lastColumn="0" w:oddVBand="0" w:evenVBand="0" w:oddHBand="0" w:evenHBand="0" w:firstRowFirstColumn="0" w:firstRowLastColumn="0" w:lastRowFirstColumn="0" w:lastRowLastColumn="0"/>
            <w:tcW w:w="3627" w:type="dxa"/>
          </w:tcPr>
          <w:p w14:paraId="137A589C" w14:textId="77777777" w:rsidR="00964B88" w:rsidRDefault="00964B88">
            <w:r>
              <w:t>Purchases of non</w:t>
            </w:r>
            <w:r>
              <w:noBreakHyphen/>
              <w:t>financial assets</w:t>
            </w:r>
            <w:r>
              <w:br/>
              <w:t>(including change in inventories)</w:t>
            </w:r>
          </w:p>
        </w:tc>
        <w:tc>
          <w:tcPr>
            <w:tcW w:w="741" w:type="dxa"/>
          </w:tcPr>
          <w:p w14:paraId="57A61BE2" w14:textId="77777777" w:rsidR="00964B88" w:rsidRDefault="00964B88">
            <w:pPr>
              <w:cnfStyle w:val="000000000000" w:firstRow="0" w:lastRow="0" w:firstColumn="0" w:lastColumn="0" w:oddVBand="0" w:evenVBand="0" w:oddHBand="0" w:evenHBand="0" w:firstRowFirstColumn="0" w:firstRowLastColumn="0" w:lastRowFirstColumn="0" w:lastRowLastColumn="0"/>
            </w:pPr>
            <w:r>
              <w:t>16 322</w:t>
            </w:r>
          </w:p>
        </w:tc>
        <w:tc>
          <w:tcPr>
            <w:tcW w:w="850" w:type="dxa"/>
          </w:tcPr>
          <w:p w14:paraId="1A888452" w14:textId="77777777" w:rsidR="00964B88" w:rsidRDefault="00964B88">
            <w:pPr>
              <w:cnfStyle w:val="000000000000" w:firstRow="0" w:lastRow="0" w:firstColumn="0" w:lastColumn="0" w:oddVBand="0" w:evenVBand="0" w:oddHBand="0" w:evenHBand="0" w:firstRowFirstColumn="0" w:firstRowLastColumn="0" w:lastRowFirstColumn="0" w:lastRowLastColumn="0"/>
            </w:pPr>
            <w:r>
              <w:t>16 821</w:t>
            </w:r>
          </w:p>
        </w:tc>
        <w:tc>
          <w:tcPr>
            <w:tcW w:w="850" w:type="dxa"/>
          </w:tcPr>
          <w:p w14:paraId="024901C1" w14:textId="77777777" w:rsidR="00964B88" w:rsidRDefault="00964B88">
            <w:pPr>
              <w:cnfStyle w:val="000000000000" w:firstRow="0" w:lastRow="0" w:firstColumn="0" w:lastColumn="0" w:oddVBand="0" w:evenVBand="0" w:oddHBand="0" w:evenHBand="0" w:firstRowFirstColumn="0" w:firstRowLastColumn="0" w:lastRowFirstColumn="0" w:lastRowLastColumn="0"/>
            </w:pPr>
            <w:r>
              <w:t>14 654</w:t>
            </w:r>
          </w:p>
        </w:tc>
        <w:tc>
          <w:tcPr>
            <w:tcW w:w="850" w:type="dxa"/>
          </w:tcPr>
          <w:p w14:paraId="45D4F2EC" w14:textId="77777777" w:rsidR="00964B88" w:rsidRDefault="00964B88">
            <w:pPr>
              <w:cnfStyle w:val="000000000000" w:firstRow="0" w:lastRow="0" w:firstColumn="0" w:lastColumn="0" w:oddVBand="0" w:evenVBand="0" w:oddHBand="0" w:evenHBand="0" w:firstRowFirstColumn="0" w:firstRowLastColumn="0" w:lastRowFirstColumn="0" w:lastRowLastColumn="0"/>
            </w:pPr>
            <w:r>
              <w:t>11 727</w:t>
            </w:r>
          </w:p>
        </w:tc>
        <w:tc>
          <w:tcPr>
            <w:tcW w:w="850" w:type="dxa"/>
          </w:tcPr>
          <w:p w14:paraId="15782F37" w14:textId="77777777" w:rsidR="00964B88" w:rsidRDefault="00964B88">
            <w:pPr>
              <w:cnfStyle w:val="000000000000" w:firstRow="0" w:lastRow="0" w:firstColumn="0" w:lastColumn="0" w:oddVBand="0" w:evenVBand="0" w:oddHBand="0" w:evenHBand="0" w:firstRowFirstColumn="0" w:firstRowLastColumn="0" w:lastRowFirstColumn="0" w:lastRowLastColumn="0"/>
            </w:pPr>
            <w:r>
              <w:t>12 793</w:t>
            </w:r>
          </w:p>
        </w:tc>
      </w:tr>
      <w:tr w:rsidR="00964B88" w14:paraId="0825125E" w14:textId="77777777">
        <w:tc>
          <w:tcPr>
            <w:cnfStyle w:val="001000000000" w:firstRow="0" w:lastRow="0" w:firstColumn="1" w:lastColumn="0" w:oddVBand="0" w:evenVBand="0" w:oddHBand="0" w:evenHBand="0" w:firstRowFirstColumn="0" w:firstRowLastColumn="0" w:lastRowFirstColumn="0" w:lastRowLastColumn="0"/>
            <w:tcW w:w="3627" w:type="dxa"/>
          </w:tcPr>
          <w:p w14:paraId="371F30B1" w14:textId="77777777" w:rsidR="00964B88" w:rsidRDefault="00964B88">
            <w:r>
              <w:t>Less: Sales of non</w:t>
            </w:r>
            <w:r>
              <w:noBreakHyphen/>
              <w:t>financial assets</w:t>
            </w:r>
          </w:p>
        </w:tc>
        <w:tc>
          <w:tcPr>
            <w:tcW w:w="741" w:type="dxa"/>
          </w:tcPr>
          <w:p w14:paraId="429BBCCF" w14:textId="77777777" w:rsidR="00964B88" w:rsidRDefault="00964B88">
            <w:pPr>
              <w:cnfStyle w:val="000000000000" w:firstRow="0" w:lastRow="0" w:firstColumn="0" w:lastColumn="0" w:oddVBand="0" w:evenVBand="0" w:oddHBand="0" w:evenHBand="0" w:firstRowFirstColumn="0" w:firstRowLastColumn="0" w:lastRowFirstColumn="0" w:lastRowLastColumn="0"/>
            </w:pPr>
            <w:r>
              <w:t>(1 120)</w:t>
            </w:r>
          </w:p>
        </w:tc>
        <w:tc>
          <w:tcPr>
            <w:tcW w:w="850" w:type="dxa"/>
          </w:tcPr>
          <w:p w14:paraId="6BA7281D" w14:textId="77777777" w:rsidR="00964B88" w:rsidRDefault="00964B88">
            <w:pPr>
              <w:cnfStyle w:val="000000000000" w:firstRow="0" w:lastRow="0" w:firstColumn="0" w:lastColumn="0" w:oddVBand="0" w:evenVBand="0" w:oddHBand="0" w:evenHBand="0" w:firstRowFirstColumn="0" w:firstRowLastColumn="0" w:lastRowFirstColumn="0" w:lastRowLastColumn="0"/>
            </w:pPr>
            <w:r>
              <w:t>(1 118)</w:t>
            </w:r>
          </w:p>
        </w:tc>
        <w:tc>
          <w:tcPr>
            <w:tcW w:w="850" w:type="dxa"/>
          </w:tcPr>
          <w:p w14:paraId="06BAD55A" w14:textId="77777777" w:rsidR="00964B88" w:rsidRDefault="00964B88">
            <w:pPr>
              <w:cnfStyle w:val="000000000000" w:firstRow="0" w:lastRow="0" w:firstColumn="0" w:lastColumn="0" w:oddVBand="0" w:evenVBand="0" w:oddHBand="0" w:evenHBand="0" w:firstRowFirstColumn="0" w:firstRowLastColumn="0" w:lastRowFirstColumn="0" w:lastRowLastColumn="0"/>
            </w:pPr>
            <w:r>
              <w:t>(484)</w:t>
            </w:r>
          </w:p>
        </w:tc>
        <w:tc>
          <w:tcPr>
            <w:tcW w:w="850" w:type="dxa"/>
          </w:tcPr>
          <w:p w14:paraId="48979810" w14:textId="77777777" w:rsidR="00964B88" w:rsidRDefault="00964B88">
            <w:pPr>
              <w:cnfStyle w:val="000000000000" w:firstRow="0" w:lastRow="0" w:firstColumn="0" w:lastColumn="0" w:oddVBand="0" w:evenVBand="0" w:oddHBand="0" w:evenHBand="0" w:firstRowFirstColumn="0" w:firstRowLastColumn="0" w:lastRowFirstColumn="0" w:lastRowLastColumn="0"/>
            </w:pPr>
            <w:r>
              <w:t>(906)</w:t>
            </w:r>
          </w:p>
        </w:tc>
        <w:tc>
          <w:tcPr>
            <w:tcW w:w="850" w:type="dxa"/>
          </w:tcPr>
          <w:p w14:paraId="7AB18AC1" w14:textId="77777777" w:rsidR="00964B88" w:rsidRDefault="00964B88">
            <w:pPr>
              <w:cnfStyle w:val="000000000000" w:firstRow="0" w:lastRow="0" w:firstColumn="0" w:lastColumn="0" w:oddVBand="0" w:evenVBand="0" w:oddHBand="0" w:evenHBand="0" w:firstRowFirstColumn="0" w:firstRowLastColumn="0" w:lastRowFirstColumn="0" w:lastRowLastColumn="0"/>
            </w:pPr>
            <w:r>
              <w:t>(730)</w:t>
            </w:r>
          </w:p>
        </w:tc>
      </w:tr>
      <w:tr w:rsidR="00964B88" w14:paraId="6648930D" w14:textId="77777777">
        <w:tc>
          <w:tcPr>
            <w:cnfStyle w:val="001000000000" w:firstRow="0" w:lastRow="0" w:firstColumn="1" w:lastColumn="0" w:oddVBand="0" w:evenVBand="0" w:oddHBand="0" w:evenHBand="0" w:firstRowFirstColumn="0" w:firstRowLastColumn="0" w:lastRowFirstColumn="0" w:lastRowLastColumn="0"/>
            <w:tcW w:w="3627" w:type="dxa"/>
          </w:tcPr>
          <w:p w14:paraId="113E4431" w14:textId="77777777" w:rsidR="00964B88" w:rsidRDefault="00964B88">
            <w:r>
              <w:t>Less: Depreciation and amortisation</w:t>
            </w:r>
          </w:p>
        </w:tc>
        <w:tc>
          <w:tcPr>
            <w:tcW w:w="741" w:type="dxa"/>
          </w:tcPr>
          <w:p w14:paraId="1CCACD71" w14:textId="77777777" w:rsidR="00964B88" w:rsidRDefault="00964B88">
            <w:pPr>
              <w:cnfStyle w:val="000000000000" w:firstRow="0" w:lastRow="0" w:firstColumn="0" w:lastColumn="0" w:oddVBand="0" w:evenVBand="0" w:oddHBand="0" w:evenHBand="0" w:firstRowFirstColumn="0" w:firstRowLastColumn="0" w:lastRowFirstColumn="0" w:lastRowLastColumn="0"/>
            </w:pPr>
            <w:r>
              <w:t>(6 306)</w:t>
            </w:r>
          </w:p>
        </w:tc>
        <w:tc>
          <w:tcPr>
            <w:tcW w:w="850" w:type="dxa"/>
          </w:tcPr>
          <w:p w14:paraId="2B382006" w14:textId="77777777" w:rsidR="00964B88" w:rsidRDefault="00964B88">
            <w:pPr>
              <w:cnfStyle w:val="000000000000" w:firstRow="0" w:lastRow="0" w:firstColumn="0" w:lastColumn="0" w:oddVBand="0" w:evenVBand="0" w:oddHBand="0" w:evenHBand="0" w:firstRowFirstColumn="0" w:firstRowLastColumn="0" w:lastRowFirstColumn="0" w:lastRowLastColumn="0"/>
            </w:pPr>
            <w:r>
              <w:t>(6 345)</w:t>
            </w:r>
          </w:p>
        </w:tc>
        <w:tc>
          <w:tcPr>
            <w:tcW w:w="850" w:type="dxa"/>
          </w:tcPr>
          <w:p w14:paraId="233153F5" w14:textId="77777777" w:rsidR="00964B88" w:rsidRDefault="00964B88">
            <w:pPr>
              <w:cnfStyle w:val="000000000000" w:firstRow="0" w:lastRow="0" w:firstColumn="0" w:lastColumn="0" w:oddVBand="0" w:evenVBand="0" w:oddHBand="0" w:evenHBand="0" w:firstRowFirstColumn="0" w:firstRowLastColumn="0" w:lastRowFirstColumn="0" w:lastRowLastColumn="0"/>
            </w:pPr>
            <w:r>
              <w:t>(6 896)</w:t>
            </w:r>
          </w:p>
        </w:tc>
        <w:tc>
          <w:tcPr>
            <w:tcW w:w="850" w:type="dxa"/>
          </w:tcPr>
          <w:p w14:paraId="366EA650" w14:textId="77777777" w:rsidR="00964B88" w:rsidRDefault="00964B88">
            <w:pPr>
              <w:cnfStyle w:val="000000000000" w:firstRow="0" w:lastRow="0" w:firstColumn="0" w:lastColumn="0" w:oddVBand="0" w:evenVBand="0" w:oddHBand="0" w:evenHBand="0" w:firstRowFirstColumn="0" w:firstRowLastColumn="0" w:lastRowFirstColumn="0" w:lastRowLastColumn="0"/>
            </w:pPr>
            <w:r>
              <w:t>(7 315)</w:t>
            </w:r>
          </w:p>
        </w:tc>
        <w:tc>
          <w:tcPr>
            <w:tcW w:w="850" w:type="dxa"/>
          </w:tcPr>
          <w:p w14:paraId="4DEF0967" w14:textId="77777777" w:rsidR="00964B88" w:rsidRDefault="00964B88">
            <w:pPr>
              <w:cnfStyle w:val="000000000000" w:firstRow="0" w:lastRow="0" w:firstColumn="0" w:lastColumn="0" w:oddVBand="0" w:evenVBand="0" w:oddHBand="0" w:evenHBand="0" w:firstRowFirstColumn="0" w:firstRowLastColumn="0" w:lastRowFirstColumn="0" w:lastRowLastColumn="0"/>
            </w:pPr>
            <w:r>
              <w:t>(7 797)</w:t>
            </w:r>
          </w:p>
        </w:tc>
      </w:tr>
      <w:tr w:rsidR="00964B88" w14:paraId="18B571E7" w14:textId="77777777" w:rsidTr="00F53820">
        <w:tc>
          <w:tcPr>
            <w:cnfStyle w:val="001000000000" w:firstRow="0" w:lastRow="0" w:firstColumn="1" w:lastColumn="0" w:oddVBand="0" w:evenVBand="0" w:oddHBand="0" w:evenHBand="0" w:firstRowFirstColumn="0" w:firstRowLastColumn="0" w:lastRowFirstColumn="0" w:lastRowLastColumn="0"/>
            <w:tcW w:w="3627" w:type="dxa"/>
            <w:tcBorders>
              <w:bottom w:val="single" w:sz="6" w:space="0" w:color="auto"/>
            </w:tcBorders>
          </w:tcPr>
          <w:p w14:paraId="093E4360" w14:textId="77777777" w:rsidR="00964B88" w:rsidRDefault="00964B88">
            <w:r>
              <w:t>Plus: Other movements in non</w:t>
            </w:r>
            <w:r>
              <w:noBreakHyphen/>
              <w:t>financial assets</w:t>
            </w:r>
            <w:r>
              <w:rPr>
                <w:vertAlign w:val="superscript"/>
              </w:rPr>
              <w:t xml:space="preserve"> (a)(b)</w:t>
            </w:r>
          </w:p>
        </w:tc>
        <w:tc>
          <w:tcPr>
            <w:tcW w:w="741" w:type="dxa"/>
            <w:tcBorders>
              <w:bottom w:val="single" w:sz="6" w:space="0" w:color="auto"/>
            </w:tcBorders>
          </w:tcPr>
          <w:p w14:paraId="34AB71B3" w14:textId="77777777" w:rsidR="00964B88" w:rsidRDefault="00964B88">
            <w:pPr>
              <w:cnfStyle w:val="000000000000" w:firstRow="0" w:lastRow="0" w:firstColumn="0" w:lastColumn="0" w:oddVBand="0" w:evenVBand="0" w:oddHBand="0" w:evenHBand="0" w:firstRowFirstColumn="0" w:firstRowLastColumn="0" w:lastRowFirstColumn="0" w:lastRowLastColumn="0"/>
            </w:pPr>
            <w:r>
              <w:t>1 827</w:t>
            </w:r>
          </w:p>
        </w:tc>
        <w:tc>
          <w:tcPr>
            <w:tcW w:w="850" w:type="dxa"/>
            <w:tcBorders>
              <w:bottom w:val="single" w:sz="6" w:space="0" w:color="auto"/>
            </w:tcBorders>
          </w:tcPr>
          <w:p w14:paraId="30359FDE" w14:textId="77777777" w:rsidR="00964B88" w:rsidRDefault="00964B88">
            <w:pPr>
              <w:cnfStyle w:val="000000000000" w:firstRow="0" w:lastRow="0" w:firstColumn="0" w:lastColumn="0" w:oddVBand="0" w:evenVBand="0" w:oddHBand="0" w:evenHBand="0" w:firstRowFirstColumn="0" w:firstRowLastColumn="0" w:lastRowFirstColumn="0" w:lastRowLastColumn="0"/>
            </w:pPr>
            <w:r>
              <w:t>3 236</w:t>
            </w:r>
          </w:p>
        </w:tc>
        <w:tc>
          <w:tcPr>
            <w:tcW w:w="850" w:type="dxa"/>
            <w:tcBorders>
              <w:bottom w:val="single" w:sz="6" w:space="0" w:color="auto"/>
            </w:tcBorders>
          </w:tcPr>
          <w:p w14:paraId="1442D833" w14:textId="77777777" w:rsidR="00964B88" w:rsidRDefault="00964B88">
            <w:pPr>
              <w:cnfStyle w:val="000000000000" w:firstRow="0" w:lastRow="0" w:firstColumn="0" w:lastColumn="0" w:oddVBand="0" w:evenVBand="0" w:oddHBand="0" w:evenHBand="0" w:firstRowFirstColumn="0" w:firstRowLastColumn="0" w:lastRowFirstColumn="0" w:lastRowLastColumn="0"/>
            </w:pPr>
            <w:r>
              <w:t>3 226</w:t>
            </w:r>
          </w:p>
        </w:tc>
        <w:tc>
          <w:tcPr>
            <w:tcW w:w="850" w:type="dxa"/>
            <w:tcBorders>
              <w:bottom w:val="single" w:sz="6" w:space="0" w:color="auto"/>
            </w:tcBorders>
          </w:tcPr>
          <w:p w14:paraId="636CDA1E" w14:textId="77777777" w:rsidR="00964B88" w:rsidRDefault="00964B88">
            <w:pPr>
              <w:cnfStyle w:val="000000000000" w:firstRow="0" w:lastRow="0" w:firstColumn="0" w:lastColumn="0" w:oddVBand="0" w:evenVBand="0" w:oddHBand="0" w:evenHBand="0" w:firstRowFirstColumn="0" w:firstRowLastColumn="0" w:lastRowFirstColumn="0" w:lastRowLastColumn="0"/>
            </w:pPr>
            <w:r>
              <w:t>4 239</w:t>
            </w:r>
          </w:p>
        </w:tc>
        <w:tc>
          <w:tcPr>
            <w:tcW w:w="850" w:type="dxa"/>
            <w:tcBorders>
              <w:bottom w:val="single" w:sz="6" w:space="0" w:color="auto"/>
            </w:tcBorders>
          </w:tcPr>
          <w:p w14:paraId="61F89693" w14:textId="77777777" w:rsidR="00964B88" w:rsidRDefault="00964B88">
            <w:pPr>
              <w:cnfStyle w:val="000000000000" w:firstRow="0" w:lastRow="0" w:firstColumn="0" w:lastColumn="0" w:oddVBand="0" w:evenVBand="0" w:oddHBand="0" w:evenHBand="0" w:firstRowFirstColumn="0" w:firstRowLastColumn="0" w:lastRowFirstColumn="0" w:lastRowLastColumn="0"/>
            </w:pPr>
            <w:r>
              <w:t>2 997</w:t>
            </w:r>
          </w:p>
        </w:tc>
      </w:tr>
      <w:tr w:rsidR="00964B88" w14:paraId="68745158"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7" w:type="dxa"/>
          </w:tcPr>
          <w:p w14:paraId="03DF5EFF" w14:textId="77777777" w:rsidR="00964B88" w:rsidRDefault="00964B88">
            <w:r>
              <w:t>Total net acquisition of non</w:t>
            </w:r>
            <w:r>
              <w:noBreakHyphen/>
              <w:t>financial assets from transactions</w:t>
            </w:r>
          </w:p>
        </w:tc>
        <w:tc>
          <w:tcPr>
            <w:tcW w:w="741" w:type="dxa"/>
          </w:tcPr>
          <w:p w14:paraId="2B4C1955" w14:textId="77777777" w:rsidR="00964B88" w:rsidRDefault="00964B88">
            <w:pPr>
              <w:cnfStyle w:val="010000000000" w:firstRow="0" w:lastRow="1" w:firstColumn="0" w:lastColumn="0" w:oddVBand="0" w:evenVBand="0" w:oddHBand="0" w:evenHBand="0" w:firstRowFirstColumn="0" w:firstRowLastColumn="0" w:lastRowFirstColumn="0" w:lastRowLastColumn="0"/>
            </w:pPr>
            <w:r>
              <w:t>10 724</w:t>
            </w:r>
          </w:p>
        </w:tc>
        <w:tc>
          <w:tcPr>
            <w:tcW w:w="850" w:type="dxa"/>
          </w:tcPr>
          <w:p w14:paraId="21748A4D" w14:textId="77777777" w:rsidR="00964B88" w:rsidRDefault="00964B88">
            <w:pPr>
              <w:cnfStyle w:val="010000000000" w:firstRow="0" w:lastRow="1" w:firstColumn="0" w:lastColumn="0" w:oddVBand="0" w:evenVBand="0" w:oddHBand="0" w:evenHBand="0" w:firstRowFirstColumn="0" w:firstRowLastColumn="0" w:lastRowFirstColumn="0" w:lastRowLastColumn="0"/>
            </w:pPr>
            <w:r>
              <w:t>12 595</w:t>
            </w:r>
          </w:p>
        </w:tc>
        <w:tc>
          <w:tcPr>
            <w:tcW w:w="850" w:type="dxa"/>
          </w:tcPr>
          <w:p w14:paraId="0EEA7D33" w14:textId="77777777" w:rsidR="00964B88" w:rsidRDefault="00964B88">
            <w:pPr>
              <w:cnfStyle w:val="010000000000" w:firstRow="0" w:lastRow="1" w:firstColumn="0" w:lastColumn="0" w:oddVBand="0" w:evenVBand="0" w:oddHBand="0" w:evenHBand="0" w:firstRowFirstColumn="0" w:firstRowLastColumn="0" w:lastRowFirstColumn="0" w:lastRowLastColumn="0"/>
            </w:pPr>
            <w:r>
              <w:t>10 500</w:t>
            </w:r>
          </w:p>
        </w:tc>
        <w:tc>
          <w:tcPr>
            <w:tcW w:w="850" w:type="dxa"/>
          </w:tcPr>
          <w:p w14:paraId="54D1BD1B" w14:textId="77777777" w:rsidR="00964B88" w:rsidRDefault="00964B88">
            <w:pPr>
              <w:cnfStyle w:val="010000000000" w:firstRow="0" w:lastRow="1" w:firstColumn="0" w:lastColumn="0" w:oddVBand="0" w:evenVBand="0" w:oddHBand="0" w:evenHBand="0" w:firstRowFirstColumn="0" w:firstRowLastColumn="0" w:lastRowFirstColumn="0" w:lastRowLastColumn="0"/>
            </w:pPr>
            <w:r>
              <w:t>7 744</w:t>
            </w:r>
          </w:p>
        </w:tc>
        <w:tc>
          <w:tcPr>
            <w:tcW w:w="850" w:type="dxa"/>
          </w:tcPr>
          <w:p w14:paraId="0D509BC3" w14:textId="77777777" w:rsidR="00964B88" w:rsidRDefault="00964B88">
            <w:pPr>
              <w:cnfStyle w:val="010000000000" w:firstRow="0" w:lastRow="1" w:firstColumn="0" w:lastColumn="0" w:oddVBand="0" w:evenVBand="0" w:oddHBand="0" w:evenHBand="0" w:firstRowFirstColumn="0" w:firstRowLastColumn="0" w:lastRowFirstColumn="0" w:lastRowLastColumn="0"/>
            </w:pPr>
            <w:r>
              <w:t>7 264</w:t>
            </w:r>
          </w:p>
        </w:tc>
      </w:tr>
    </w:tbl>
    <w:p w14:paraId="51617E13" w14:textId="77777777" w:rsidR="00964B88" w:rsidRPr="00AF04C7" w:rsidRDefault="00964B88" w:rsidP="00F53820">
      <w:pPr>
        <w:pStyle w:val="Note"/>
      </w:pPr>
      <w:r>
        <w:t>Notes</w:t>
      </w:r>
      <w:r w:rsidRPr="00AF04C7">
        <w:t>:</w:t>
      </w:r>
    </w:p>
    <w:p w14:paraId="242E8854" w14:textId="77777777" w:rsidR="00964B88" w:rsidRPr="003938EB" w:rsidRDefault="00964B88" w:rsidP="00F53820">
      <w:pPr>
        <w:pStyle w:val="Note"/>
      </w:pPr>
      <w:r w:rsidRPr="00714B66">
        <w:t>(a)</w:t>
      </w:r>
      <w:r w:rsidRPr="00714B66">
        <w:tab/>
        <w:t xml:space="preserve">The other movements in non-financial assets includes recognising right of use assets under lease arrangements, and recognising service concession arrangements, including from </w:t>
      </w:r>
      <w:r>
        <w:t>p</w:t>
      </w:r>
      <w:r w:rsidRPr="00714B66">
        <w:t xml:space="preserve">ublic </w:t>
      </w:r>
      <w:r>
        <w:t>p</w:t>
      </w:r>
      <w:r w:rsidRPr="00714B66">
        <w:t xml:space="preserve">rivate </w:t>
      </w:r>
      <w:r>
        <w:t>p</w:t>
      </w:r>
      <w:r w:rsidRPr="00714B66">
        <w:t>artnerships. Some of these items have been impacted by the application of the new accounting standards.</w:t>
      </w:r>
    </w:p>
    <w:p w14:paraId="2830C7CC" w14:textId="77777777" w:rsidR="00964B88" w:rsidRDefault="00964B88" w:rsidP="00F53820">
      <w:pPr>
        <w:pStyle w:val="Note"/>
      </w:pPr>
      <w:r w:rsidRPr="004B239C">
        <w:t>(</w:t>
      </w:r>
      <w:r>
        <w:t>b</w:t>
      </w:r>
      <w:r w:rsidRPr="004B239C">
        <w:t>)</w:t>
      </w:r>
      <w:r w:rsidRPr="004B239C">
        <w:tab/>
      </w:r>
      <w:r w:rsidRPr="00BF0F1C">
        <w:t>The public private partnerships across the forward estimates relate to the Casey Hospital expansion, the High Capacity Metro Trains Project, the Metro Tunnel, the new Footscray Hospital, North East Link, the Suburban Roads Upgrade – Northern Roads Upgrade, South Eastern Roads Upgrade and Western Roads Upgrade, and the West Gate Tunnel Project.</w:t>
      </w:r>
    </w:p>
    <w:p w14:paraId="726DA94F" w14:textId="77777777" w:rsidR="009B6CF1" w:rsidRDefault="009B6CF1">
      <w:pPr>
        <w:keepLines w:val="0"/>
        <w:rPr>
          <w:rFonts w:asciiTheme="majorHAnsi" w:hAnsiTheme="majorHAnsi"/>
          <w:i/>
          <w:spacing w:val="-2"/>
          <w:sz w:val="14"/>
        </w:rPr>
      </w:pPr>
      <w:r>
        <w:br w:type="page"/>
      </w:r>
    </w:p>
    <w:p w14:paraId="7405317C" w14:textId="77777777" w:rsidR="00964B88" w:rsidRDefault="00964B88" w:rsidP="00F53820">
      <w:pPr>
        <w:pStyle w:val="Note"/>
      </w:pPr>
    </w:p>
    <w:p w14:paraId="06485092" w14:textId="77777777" w:rsidR="00964B88" w:rsidRDefault="00964B88" w:rsidP="0052294D"/>
    <w:p w14:paraId="1F47A185" w14:textId="77777777" w:rsidR="009B6CF1" w:rsidRDefault="009B6CF1" w:rsidP="0052294D">
      <w:pPr>
        <w:sectPr w:rsidR="009B6CF1" w:rsidSect="00D13450">
          <w:headerReference w:type="even" r:id="rId74"/>
          <w:headerReference w:type="default" r:id="rId75"/>
          <w:footerReference w:type="even" r:id="rId76"/>
          <w:footerReference w:type="default" r:id="rId77"/>
          <w:headerReference w:type="first" r:id="rId78"/>
          <w:footerReference w:type="first" r:id="rId79"/>
          <w:pgSz w:w="9979" w:h="14175" w:code="9"/>
          <w:pgMar w:top="851" w:right="1134" w:bottom="851" w:left="1134" w:header="624" w:footer="567" w:gutter="0"/>
          <w:cols w:sep="1" w:space="567"/>
          <w:docGrid w:linePitch="360"/>
        </w:sectPr>
      </w:pPr>
    </w:p>
    <w:p w14:paraId="1A0C32CD" w14:textId="77777777" w:rsidR="00964B88" w:rsidRDefault="00964B88" w:rsidP="00F53820">
      <w:pPr>
        <w:pStyle w:val="Chapterheading"/>
      </w:pPr>
      <w:bookmarkStart w:id="130" w:name="_Toc26788548"/>
      <w:r>
        <w:lastRenderedPageBreak/>
        <w:t>Chapter 6 – Contingent assets and contingent liabilities</w:t>
      </w:r>
      <w:bookmarkEnd w:id="130"/>
    </w:p>
    <w:p w14:paraId="6105A0E3" w14:textId="77777777" w:rsidR="00964B88" w:rsidRDefault="00964B88" w:rsidP="00F53820">
      <w:r>
        <w:t>This chapter contains information on contingent assets and liabilities for the general government sector and should be read in conjunction with Chapter 4</w:t>
      </w:r>
      <w:r w:rsidRPr="00EB7792">
        <w:t>.</w:t>
      </w:r>
    </w:p>
    <w:p w14:paraId="2FFA0A12" w14:textId="77777777" w:rsidR="00964B88" w:rsidRDefault="00964B88" w:rsidP="00F53820">
      <w:r>
        <w:t>Contingent assets and contingent liabilities are not recognised in the balance sheet but are disclosed and, if quantifiable, are measured at nominal value.</w:t>
      </w:r>
    </w:p>
    <w:p w14:paraId="266113B5" w14:textId="77777777" w:rsidR="00964B88" w:rsidRDefault="00964B88" w:rsidP="00F53820">
      <w:r>
        <w:t>Contingent assets and liabilities are presented inclusive of GST receivable or payable respectively.</w:t>
      </w:r>
    </w:p>
    <w:p w14:paraId="753DBEF2" w14:textId="77777777" w:rsidR="00964B88" w:rsidRDefault="00964B88" w:rsidP="00F53820">
      <w:pPr>
        <w:pStyle w:val="Heading10"/>
      </w:pPr>
      <w:bookmarkStart w:id="131" w:name="_Toc26788549"/>
      <w:r>
        <w:t>Contingent assets</w:t>
      </w:r>
      <w:bookmarkEnd w:id="131"/>
    </w:p>
    <w:p w14:paraId="5CD352F5" w14:textId="77777777" w:rsidR="00964B88" w:rsidRDefault="00964B88" w:rsidP="00F53820">
      <w:r>
        <w:t>Contingent assets are possible assets that arise from past events, whose existence will be confirmed only by the occurrence or non-occurrence of one or more uncertain future events not wholly within the control of the entity.</w:t>
      </w:r>
    </w:p>
    <w:p w14:paraId="32226363" w14:textId="77777777" w:rsidR="00964B88" w:rsidRDefault="00964B88" w:rsidP="00F53820">
      <w:r>
        <w:t>These are classified as either quantifiable, where the potential economic benefit is known, or non</w:t>
      </w:r>
      <w:r>
        <w:noBreakHyphen/>
        <w:t xml:space="preserve">quantifiable. </w:t>
      </w:r>
    </w:p>
    <w:p w14:paraId="6C4B9365" w14:textId="77777777" w:rsidR="00964B88" w:rsidRDefault="00964B88" w:rsidP="00F53820">
      <w:r>
        <w:t>Table 6</w:t>
      </w:r>
      <w:r w:rsidRPr="005B299A">
        <w:t xml:space="preserve">.1 contains quantifiable contingent assets as at </w:t>
      </w:r>
      <w:r>
        <w:t>29 November</w:t>
      </w:r>
      <w:r w:rsidRPr="002C01CB">
        <w:t xml:space="preserve"> 2019 (arising</w:t>
      </w:r>
      <w:r>
        <w:t xml:space="preserve"> from outside of government).</w:t>
      </w:r>
    </w:p>
    <w:p w14:paraId="2A628001" w14:textId="77777777" w:rsidR="00964B88" w:rsidRPr="00BA3D25" w:rsidRDefault="00964B88" w:rsidP="00F53820">
      <w:pPr>
        <w:pStyle w:val="TableHeading"/>
        <w:rPr>
          <w:bCs/>
          <w:lang w:val="en-US"/>
        </w:rPr>
      </w:pPr>
      <w:r>
        <w:t>Table 6.1:</w:t>
      </w:r>
      <w:r>
        <w:tab/>
      </w:r>
      <w:r w:rsidRPr="00F30C30">
        <w:t>Quantifiable contingent assets</w:t>
      </w:r>
      <w:r>
        <w:t xml:space="preserve"> </w:t>
      </w:r>
      <w:r>
        <w:tab/>
        <w:t>($ million)</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5386"/>
        <w:gridCol w:w="850"/>
        <w:gridCol w:w="1531"/>
      </w:tblGrid>
      <w:tr w:rsidR="00964B88" w:rsidRPr="00BA3D25" w14:paraId="1FBF4927" w14:textId="77777777" w:rsidTr="00F53820">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386" w:type="dxa"/>
            <w:tcBorders>
              <w:top w:val="nil"/>
              <w:left w:val="nil"/>
              <w:right w:val="nil"/>
            </w:tcBorders>
            <w:shd w:val="solid" w:color="000000" w:fill="auto"/>
          </w:tcPr>
          <w:p w14:paraId="1FD57903" w14:textId="77777777" w:rsidR="00964B88" w:rsidRPr="00BA3D25" w:rsidRDefault="00964B88" w:rsidP="00F53820">
            <w:pPr>
              <w:autoSpaceDE w:val="0"/>
              <w:autoSpaceDN w:val="0"/>
              <w:adjustRightInd w:val="0"/>
              <w:rPr>
                <w:rFonts w:eastAsiaTheme="minorEastAsia" w:cs="Calibri"/>
                <w:iCs/>
                <w:color w:val="FFFFFF"/>
                <w:szCs w:val="19"/>
                <w:lang w:eastAsia="en-AU"/>
              </w:rPr>
            </w:pPr>
            <w:r w:rsidRPr="00BA3D25">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14:paraId="5B9028FA" w14:textId="77777777" w:rsidR="00964B88" w:rsidRPr="00BA3D25"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As at</w:t>
            </w:r>
            <w:r>
              <w:rPr>
                <w:rFonts w:eastAsiaTheme="minorEastAsia" w:cs="Calibri"/>
                <w:iCs/>
                <w:color w:val="FFFFFF"/>
                <w:szCs w:val="19"/>
                <w:lang w:eastAsia="en-AU"/>
              </w:rPr>
              <w:br/>
              <w:t>Nov 2019</w:t>
            </w:r>
          </w:p>
        </w:tc>
        <w:tc>
          <w:tcPr>
            <w:tcW w:w="1531" w:type="dxa"/>
            <w:tcBorders>
              <w:top w:val="nil"/>
              <w:left w:val="nil"/>
              <w:right w:val="nil"/>
            </w:tcBorders>
            <w:shd w:val="solid" w:color="000000" w:fill="auto"/>
          </w:tcPr>
          <w:p w14:paraId="4480E433" w14:textId="77777777" w:rsidR="00964B88" w:rsidRPr="00BA3D25"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Published budget</w:t>
            </w:r>
            <w:r>
              <w:rPr>
                <w:rFonts w:eastAsiaTheme="minorEastAsia" w:cs="Calibri"/>
                <w:iCs/>
                <w:color w:val="FFFFFF"/>
                <w:szCs w:val="19"/>
                <w:lang w:eastAsia="en-AU"/>
              </w:rPr>
              <w:br/>
            </w:r>
            <w:r w:rsidRPr="00BA3D25">
              <w:rPr>
                <w:rFonts w:eastAsiaTheme="minorEastAsia" w:cs="Calibri"/>
                <w:iCs/>
                <w:color w:val="FFFFFF"/>
                <w:szCs w:val="19"/>
                <w:lang w:eastAsia="en-AU"/>
              </w:rPr>
              <w:t xml:space="preserve">estimate </w:t>
            </w:r>
            <w:r w:rsidRPr="00BA3D25">
              <w:rPr>
                <w:rFonts w:eastAsiaTheme="minorEastAsia" w:cs="Calibri"/>
                <w:iCs/>
                <w:color w:val="FFFFFF"/>
                <w:szCs w:val="19"/>
                <w:vertAlign w:val="superscript"/>
                <w:lang w:eastAsia="en-AU"/>
              </w:rPr>
              <w:t>(a)</w:t>
            </w:r>
          </w:p>
        </w:tc>
      </w:tr>
      <w:tr w:rsidR="00964B88" w:rsidRPr="00BA3D25" w14:paraId="2122E50E" w14:textId="77777777" w:rsidTr="00F53820">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14:paraId="086621BB" w14:textId="77777777" w:rsidR="00964B88" w:rsidRPr="00BA3D25" w:rsidRDefault="00964B88" w:rsidP="00F53820">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Guarantees, indemnities and warranties</w:t>
            </w:r>
          </w:p>
        </w:tc>
        <w:tc>
          <w:tcPr>
            <w:tcW w:w="850" w:type="dxa"/>
            <w:tcBorders>
              <w:top w:val="nil"/>
              <w:left w:val="nil"/>
              <w:bottom w:val="nil"/>
              <w:right w:val="nil"/>
            </w:tcBorders>
          </w:tcPr>
          <w:p w14:paraId="5128BE20"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45</w:t>
            </w:r>
          </w:p>
        </w:tc>
        <w:tc>
          <w:tcPr>
            <w:tcW w:w="1531" w:type="dxa"/>
            <w:tcBorders>
              <w:top w:val="nil"/>
              <w:left w:val="nil"/>
              <w:bottom w:val="nil"/>
              <w:right w:val="nil"/>
            </w:tcBorders>
          </w:tcPr>
          <w:p w14:paraId="2312BE7F"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37</w:t>
            </w:r>
          </w:p>
        </w:tc>
      </w:tr>
      <w:tr w:rsidR="00964B88" w:rsidRPr="00BA3D25" w14:paraId="22E87869" w14:textId="77777777" w:rsidTr="00F53820">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14:paraId="52BA1889" w14:textId="77777777" w:rsidR="00964B88" w:rsidRPr="00BA3D25" w:rsidRDefault="00964B88" w:rsidP="00F53820">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Legal proceedings and disputes</w:t>
            </w:r>
          </w:p>
        </w:tc>
        <w:tc>
          <w:tcPr>
            <w:tcW w:w="850" w:type="dxa"/>
            <w:tcBorders>
              <w:top w:val="nil"/>
              <w:left w:val="nil"/>
              <w:bottom w:val="nil"/>
              <w:right w:val="nil"/>
            </w:tcBorders>
          </w:tcPr>
          <w:p w14:paraId="484C206D"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23</w:t>
            </w:r>
          </w:p>
        </w:tc>
        <w:tc>
          <w:tcPr>
            <w:tcW w:w="1531" w:type="dxa"/>
            <w:tcBorders>
              <w:top w:val="nil"/>
              <w:left w:val="nil"/>
              <w:bottom w:val="nil"/>
              <w:right w:val="nil"/>
            </w:tcBorders>
          </w:tcPr>
          <w:p w14:paraId="2B84DB94"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23</w:t>
            </w:r>
          </w:p>
        </w:tc>
      </w:tr>
      <w:tr w:rsidR="00964B88" w:rsidRPr="00BA3D25" w14:paraId="6E7C9688" w14:textId="77777777" w:rsidTr="00F53820">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14:paraId="4B601E19" w14:textId="77777777" w:rsidR="00964B88" w:rsidRPr="00BA3D25" w:rsidRDefault="00964B88" w:rsidP="00F53820">
            <w:pPr>
              <w:keepLines w:val="0"/>
              <w:autoSpaceDE w:val="0"/>
              <w:autoSpaceDN w:val="0"/>
              <w:adjustRightInd w:val="0"/>
              <w:rPr>
                <w:rFonts w:eastAsiaTheme="minorEastAsia" w:cs="Calibri"/>
                <w:color w:val="000000"/>
                <w:szCs w:val="19"/>
                <w:vertAlign w:val="superscript"/>
                <w:lang w:eastAsia="en-AU"/>
              </w:rPr>
            </w:pPr>
            <w:r w:rsidRPr="00BA3D25">
              <w:rPr>
                <w:rFonts w:eastAsiaTheme="minorEastAsia" w:cs="Calibri"/>
                <w:color w:val="000000"/>
                <w:szCs w:val="19"/>
                <w:lang w:eastAsia="en-AU"/>
              </w:rPr>
              <w:t xml:space="preserve">Other </w:t>
            </w:r>
            <w:r w:rsidRPr="00BA3D25">
              <w:rPr>
                <w:rFonts w:eastAsiaTheme="minorEastAsia" w:cs="Calibri"/>
                <w:color w:val="000000"/>
                <w:szCs w:val="19"/>
                <w:vertAlign w:val="superscript"/>
                <w:lang w:eastAsia="en-AU"/>
              </w:rPr>
              <w:t>(b)</w:t>
            </w:r>
          </w:p>
        </w:tc>
        <w:tc>
          <w:tcPr>
            <w:tcW w:w="850" w:type="dxa"/>
            <w:tcBorders>
              <w:top w:val="nil"/>
              <w:left w:val="nil"/>
              <w:bottom w:val="nil"/>
              <w:right w:val="nil"/>
            </w:tcBorders>
          </w:tcPr>
          <w:p w14:paraId="416F89A3"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103</w:t>
            </w:r>
          </w:p>
        </w:tc>
        <w:tc>
          <w:tcPr>
            <w:tcW w:w="1531" w:type="dxa"/>
            <w:tcBorders>
              <w:top w:val="nil"/>
              <w:left w:val="nil"/>
              <w:bottom w:val="nil"/>
              <w:right w:val="nil"/>
            </w:tcBorders>
          </w:tcPr>
          <w:p w14:paraId="6F0002E9"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107</w:t>
            </w:r>
          </w:p>
        </w:tc>
      </w:tr>
      <w:tr w:rsidR="00964B88" w:rsidRPr="00BA3D25" w14:paraId="564FED45" w14:textId="77777777" w:rsidTr="00F53820">
        <w:tc>
          <w:tcPr>
            <w:cnfStyle w:val="001000000000" w:firstRow="0" w:lastRow="0" w:firstColumn="1" w:lastColumn="0" w:oddVBand="0" w:evenVBand="0" w:oddHBand="0" w:evenHBand="0" w:firstRowFirstColumn="0" w:firstRowLastColumn="0" w:lastRowFirstColumn="0" w:lastRowLastColumn="0"/>
            <w:tcW w:w="5386" w:type="dxa"/>
            <w:tcBorders>
              <w:top w:val="single" w:sz="6" w:space="0" w:color="auto"/>
              <w:left w:val="nil"/>
              <w:bottom w:val="single" w:sz="12" w:space="0" w:color="auto"/>
              <w:right w:val="nil"/>
            </w:tcBorders>
          </w:tcPr>
          <w:p w14:paraId="3CA7E335" w14:textId="77777777" w:rsidR="00964B88" w:rsidRPr="00BA3D25" w:rsidRDefault="00964B88" w:rsidP="00F53820">
            <w:pPr>
              <w:keepLines w:val="0"/>
              <w:autoSpaceDE w:val="0"/>
              <w:autoSpaceDN w:val="0"/>
              <w:adjustRightInd w:val="0"/>
              <w:rPr>
                <w:rFonts w:eastAsiaTheme="minorEastAsia" w:cs="Calibri"/>
                <w:b/>
                <w:bCs/>
                <w:color w:val="000000"/>
                <w:szCs w:val="19"/>
                <w:lang w:eastAsia="en-AU"/>
              </w:rPr>
            </w:pPr>
            <w:r w:rsidRPr="00BA3D25">
              <w:rPr>
                <w:rFonts w:eastAsiaTheme="minorEastAsia" w:cs="Calibri"/>
                <w:b/>
                <w:bCs/>
                <w:color w:val="000000"/>
                <w:szCs w:val="19"/>
                <w:lang w:eastAsia="en-AU"/>
              </w:rPr>
              <w:t>Total contingent assets</w:t>
            </w:r>
          </w:p>
        </w:tc>
        <w:tc>
          <w:tcPr>
            <w:tcW w:w="850" w:type="dxa"/>
            <w:tcBorders>
              <w:top w:val="single" w:sz="6" w:space="0" w:color="auto"/>
              <w:left w:val="nil"/>
              <w:bottom w:val="single" w:sz="12" w:space="0" w:color="auto"/>
              <w:right w:val="nil"/>
            </w:tcBorders>
          </w:tcPr>
          <w:p w14:paraId="0FC42F37" w14:textId="77777777" w:rsidR="00964B88" w:rsidRPr="0044342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172</w:t>
            </w:r>
          </w:p>
        </w:tc>
        <w:tc>
          <w:tcPr>
            <w:tcW w:w="1531" w:type="dxa"/>
            <w:tcBorders>
              <w:top w:val="single" w:sz="6" w:space="0" w:color="auto"/>
              <w:left w:val="nil"/>
              <w:bottom w:val="single" w:sz="12" w:space="0" w:color="auto"/>
              <w:right w:val="nil"/>
            </w:tcBorders>
          </w:tcPr>
          <w:p w14:paraId="745404FA" w14:textId="77777777" w:rsidR="00964B88" w:rsidRPr="0044342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167</w:t>
            </w:r>
          </w:p>
        </w:tc>
      </w:tr>
    </w:tbl>
    <w:p w14:paraId="534E530C" w14:textId="77777777" w:rsidR="00964B88" w:rsidRDefault="00964B88" w:rsidP="00F53820">
      <w:pPr>
        <w:pStyle w:val="Note"/>
      </w:pPr>
      <w:r>
        <w:t>Notes:</w:t>
      </w:r>
    </w:p>
    <w:p w14:paraId="7ED4CB2C" w14:textId="77777777" w:rsidR="00964B88" w:rsidRDefault="00964B88" w:rsidP="00F53820">
      <w:pPr>
        <w:pStyle w:val="Note"/>
      </w:pPr>
      <w:r w:rsidRPr="0041245C">
        <w:t xml:space="preserve">(a) </w:t>
      </w:r>
      <w:r w:rsidRPr="0041245C">
        <w:tab/>
        <w:t xml:space="preserve">As published in the </w:t>
      </w:r>
      <w:r w:rsidRPr="0041245C">
        <w:rPr>
          <w:i w:val="0"/>
        </w:rPr>
        <w:t>201</w:t>
      </w:r>
      <w:r>
        <w:rPr>
          <w:i w:val="0"/>
        </w:rPr>
        <w:t>9</w:t>
      </w:r>
      <w:r w:rsidRPr="0041245C">
        <w:rPr>
          <w:i w:val="0"/>
        </w:rPr>
        <w:t>-</w:t>
      </w:r>
      <w:r>
        <w:rPr>
          <w:i w:val="0"/>
        </w:rPr>
        <w:t>20</w:t>
      </w:r>
      <w:r w:rsidRPr="0041245C">
        <w:rPr>
          <w:i w:val="0"/>
        </w:rPr>
        <w:t xml:space="preserve"> Budget</w:t>
      </w:r>
      <w:r w:rsidRPr="0041245C">
        <w:t>.</w:t>
      </w:r>
    </w:p>
    <w:p w14:paraId="448352B1" w14:textId="77777777" w:rsidR="00964B88" w:rsidRPr="00B723BB" w:rsidRDefault="00964B88" w:rsidP="00F53820">
      <w:pPr>
        <w:pStyle w:val="Note"/>
      </w:pPr>
      <w:r>
        <w:t xml:space="preserve">(b) </w:t>
      </w:r>
      <w:r>
        <w:tab/>
      </w:r>
      <w:r w:rsidRPr="007F6FB8">
        <w:t xml:space="preserve">Other contingent assets in the general government sector consists </w:t>
      </w:r>
      <w:r>
        <w:t xml:space="preserve">mainly </w:t>
      </w:r>
      <w:r w:rsidRPr="007F6FB8">
        <w:t>of a contingent payment for Crown Melbourne licence amendments that may be payable in calendar year 2022</w:t>
      </w:r>
      <w:r>
        <w:t xml:space="preserve"> </w:t>
      </w:r>
      <w:r w:rsidRPr="00F252F8">
        <w:t>and which was not recognised under AASB 15 principles</w:t>
      </w:r>
      <w:r>
        <w:t>.</w:t>
      </w:r>
    </w:p>
    <w:p w14:paraId="7D0825F1" w14:textId="77777777" w:rsidR="00964B88" w:rsidRDefault="00964B88" w:rsidP="00F53820">
      <w:pPr>
        <w:keepLines w:val="0"/>
        <w:rPr>
          <w:rFonts w:asciiTheme="majorHAnsi" w:eastAsiaTheme="majorEastAsia" w:hAnsiTheme="majorHAnsi" w:cstheme="majorBidi"/>
          <w:b/>
          <w:spacing w:val="-2"/>
          <w:sz w:val="26"/>
          <w:szCs w:val="26"/>
        </w:rPr>
      </w:pPr>
      <w:r>
        <w:br w:type="page"/>
      </w:r>
    </w:p>
    <w:p w14:paraId="3CA47FFE" w14:textId="77777777" w:rsidR="00964B88" w:rsidRDefault="00964B88" w:rsidP="00F53820">
      <w:pPr>
        <w:pStyle w:val="Heading20"/>
      </w:pPr>
      <w:r>
        <w:lastRenderedPageBreak/>
        <w:t>Non-quantifiable contingent assets</w:t>
      </w:r>
    </w:p>
    <w:p w14:paraId="0DCF0D6A" w14:textId="77777777" w:rsidR="00964B88" w:rsidRPr="00385625" w:rsidRDefault="00964B88" w:rsidP="00F53820">
      <w:pPr>
        <w:pStyle w:val="Heading30"/>
      </w:pPr>
      <w:r w:rsidRPr="00385625">
        <w:t>Peninsula Link compensable enhancement claim</w:t>
      </w:r>
    </w:p>
    <w:p w14:paraId="5B4262B0" w14:textId="77777777" w:rsidR="00964B88" w:rsidRDefault="00964B88" w:rsidP="00F53820">
      <w:r>
        <w:t>The EastLink Concession Deed contains compensable enhancement provisions that enable the State to claim 50 per cent of any additional revenue derived by ConnectEast Pty Ltd (ConnectEast) as a result of certain events that particularly benefit EastLink, including changes to the adjoining road network.</w:t>
      </w:r>
    </w:p>
    <w:p w14:paraId="1CD0E935" w14:textId="77777777" w:rsidR="00964B88" w:rsidRDefault="00964B88" w:rsidP="00F53820">
      <w:r>
        <w:t>On 2 January 2014, the State lodged a compensable enhancement claim as a result of opening Peninsula Link. The claim remains outstanding.</w:t>
      </w:r>
    </w:p>
    <w:p w14:paraId="158F65FB" w14:textId="77777777" w:rsidR="00964B88" w:rsidRDefault="00964B88" w:rsidP="00F53820">
      <w:pPr>
        <w:pStyle w:val="Heading10"/>
      </w:pPr>
      <w:bookmarkStart w:id="132" w:name="_Toc517171549"/>
      <w:bookmarkStart w:id="133" w:name="_Toc26788550"/>
      <w:r>
        <w:t>Contingent liabilities</w:t>
      </w:r>
      <w:bookmarkEnd w:id="132"/>
      <w:bookmarkEnd w:id="133"/>
    </w:p>
    <w:p w14:paraId="39480BDA" w14:textId="77777777" w:rsidR="00964B88" w:rsidRDefault="00964B88" w:rsidP="00F53820">
      <w:r>
        <w:t>Contingent liabilities are:</w:t>
      </w:r>
    </w:p>
    <w:p w14:paraId="1BFB707B" w14:textId="77777777" w:rsidR="00964B88" w:rsidRDefault="00964B88" w:rsidP="00964B88">
      <w:pPr>
        <w:pStyle w:val="ListBullet"/>
        <w:numPr>
          <w:ilvl w:val="0"/>
          <w:numId w:val="21"/>
        </w:numPr>
      </w:pPr>
      <w:r>
        <w:t>possible obligations that arise from past events, whose existence will be confirmed only by the occurrence or non-occurrence of one or more uncertain future events not wholly within the control of the entity; or</w:t>
      </w:r>
    </w:p>
    <w:p w14:paraId="1816E0B3" w14:textId="77777777" w:rsidR="00964B88" w:rsidRDefault="00964B88" w:rsidP="00964B88">
      <w:pPr>
        <w:pStyle w:val="ListBullet"/>
        <w:numPr>
          <w:ilvl w:val="0"/>
          <w:numId w:val="21"/>
        </w:numPr>
      </w:pPr>
      <w:r>
        <w:t>present obligations that arise from past events but are not recognised because:</w:t>
      </w:r>
    </w:p>
    <w:p w14:paraId="40B6E77A" w14:textId="77777777" w:rsidR="00964B88" w:rsidRPr="00716A8E" w:rsidRDefault="00964B88" w:rsidP="00964B88">
      <w:pPr>
        <w:pStyle w:val="ListBullet2"/>
        <w:numPr>
          <w:ilvl w:val="1"/>
          <w:numId w:val="21"/>
        </w:numPr>
      </w:pPr>
      <w:r w:rsidRPr="00716A8E">
        <w:t xml:space="preserve">it is not probable that an outflow of resources embodying economic benefits will be required to settle the obligations; or </w:t>
      </w:r>
    </w:p>
    <w:p w14:paraId="43DB12DB" w14:textId="77777777" w:rsidR="00964B88" w:rsidRPr="00716A8E" w:rsidRDefault="00964B88" w:rsidP="00964B88">
      <w:pPr>
        <w:pStyle w:val="ListBullet2"/>
        <w:numPr>
          <w:ilvl w:val="1"/>
          <w:numId w:val="21"/>
        </w:numPr>
      </w:pPr>
      <w:r w:rsidRPr="00716A8E">
        <w:t>the amount of the obligations cannot be measured with sufficient reliability.</w:t>
      </w:r>
    </w:p>
    <w:p w14:paraId="466F25BD" w14:textId="77777777" w:rsidR="00964B88" w:rsidRDefault="00964B88" w:rsidP="00F53820">
      <w:r>
        <w:t>Contingent liabilities are also classified as either quantifiable or non-quantifiable.</w:t>
      </w:r>
    </w:p>
    <w:p w14:paraId="310796C2" w14:textId="77777777" w:rsidR="00964B88" w:rsidRDefault="00964B88" w:rsidP="00F53820">
      <w:r w:rsidRPr="005B299A">
        <w:t xml:space="preserve">The table below contains quantifiable contingent liabilities as at </w:t>
      </w:r>
      <w:r>
        <w:t>29 November</w:t>
      </w:r>
      <w:r w:rsidRPr="002C01CB">
        <w:t xml:space="preserve"> 2019</w:t>
      </w:r>
      <w:r w:rsidRPr="005B299A">
        <w:t>.</w:t>
      </w:r>
    </w:p>
    <w:p w14:paraId="0B2F54D1" w14:textId="77777777" w:rsidR="00964B88" w:rsidRPr="00BA3D25" w:rsidRDefault="00964B88" w:rsidP="00F53820">
      <w:pPr>
        <w:pStyle w:val="TableHeading"/>
        <w:rPr>
          <w:bCs/>
          <w:lang w:val="en-US"/>
        </w:rPr>
      </w:pPr>
      <w:r>
        <w:t>Table 6.2:</w:t>
      </w:r>
      <w:r>
        <w:tab/>
      </w:r>
      <w:r w:rsidRPr="00F30C30">
        <w:t>Quantifiable contingent liabilities</w:t>
      </w:r>
      <w:r>
        <w:tab/>
        <w:t>($ million)</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5244"/>
        <w:gridCol w:w="992"/>
        <w:gridCol w:w="1531"/>
      </w:tblGrid>
      <w:tr w:rsidR="00964B88" w:rsidRPr="00BA3D25" w14:paraId="721F3EEC" w14:textId="77777777" w:rsidTr="00F53820">
        <w:trPr>
          <w:cnfStyle w:val="100000000000" w:firstRow="1" w:lastRow="0" w:firstColumn="0" w:lastColumn="0" w:oddVBand="0" w:evenVBand="0" w:oddHBand="0" w:evenHBand="0" w:firstRowFirstColumn="0" w:firstRowLastColumn="0" w:lastRowFirstColumn="0" w:lastRowLastColumn="0"/>
          <w:trHeight w:val="145"/>
          <w:tblHeader/>
        </w:trPr>
        <w:tc>
          <w:tcPr>
            <w:cnfStyle w:val="001000000000" w:firstRow="0" w:lastRow="0" w:firstColumn="1" w:lastColumn="0" w:oddVBand="0" w:evenVBand="0" w:oddHBand="0" w:evenHBand="0" w:firstRowFirstColumn="0" w:firstRowLastColumn="0" w:lastRowFirstColumn="0" w:lastRowLastColumn="0"/>
            <w:tcW w:w="5244" w:type="dxa"/>
            <w:tcBorders>
              <w:top w:val="nil"/>
              <w:left w:val="nil"/>
              <w:right w:val="nil"/>
            </w:tcBorders>
            <w:shd w:val="solid" w:color="000000" w:fill="auto"/>
          </w:tcPr>
          <w:p w14:paraId="31D57C37" w14:textId="77777777" w:rsidR="00964B88" w:rsidRPr="00BA3D25" w:rsidRDefault="00964B88" w:rsidP="00F53820">
            <w:pPr>
              <w:autoSpaceDE w:val="0"/>
              <w:autoSpaceDN w:val="0"/>
              <w:adjustRightInd w:val="0"/>
              <w:rPr>
                <w:rFonts w:eastAsiaTheme="minorEastAsia" w:cs="Calibri"/>
                <w:iCs/>
                <w:color w:val="FFFFFF"/>
                <w:szCs w:val="19"/>
                <w:lang w:eastAsia="en-AU"/>
              </w:rPr>
            </w:pPr>
            <w:r w:rsidRPr="00BA3D25">
              <w:rPr>
                <w:rFonts w:eastAsiaTheme="minorEastAsia" w:cs="Calibri"/>
                <w:iCs/>
                <w:color w:val="FFFFFF"/>
                <w:szCs w:val="19"/>
                <w:lang w:eastAsia="en-AU"/>
              </w:rPr>
              <w:t xml:space="preserve">  </w:t>
            </w:r>
          </w:p>
        </w:tc>
        <w:tc>
          <w:tcPr>
            <w:tcW w:w="992" w:type="dxa"/>
            <w:tcBorders>
              <w:top w:val="nil"/>
              <w:left w:val="nil"/>
              <w:right w:val="nil"/>
            </w:tcBorders>
            <w:shd w:val="solid" w:color="000000" w:fill="auto"/>
          </w:tcPr>
          <w:p w14:paraId="660B1CD9" w14:textId="77777777" w:rsidR="00964B88" w:rsidRPr="00BA3D25"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 xml:space="preserve">As at </w:t>
            </w:r>
            <w:r>
              <w:rPr>
                <w:rFonts w:eastAsiaTheme="minorEastAsia" w:cs="Calibri"/>
                <w:iCs/>
                <w:color w:val="FFFFFF"/>
                <w:szCs w:val="19"/>
                <w:lang w:eastAsia="en-AU"/>
              </w:rPr>
              <w:br/>
              <w:t>Nov 2019</w:t>
            </w:r>
          </w:p>
        </w:tc>
        <w:tc>
          <w:tcPr>
            <w:tcW w:w="1531" w:type="dxa"/>
            <w:tcBorders>
              <w:top w:val="nil"/>
              <w:left w:val="nil"/>
              <w:right w:val="nil"/>
            </w:tcBorders>
            <w:shd w:val="solid" w:color="000000" w:fill="auto"/>
          </w:tcPr>
          <w:p w14:paraId="535EACFD" w14:textId="77777777" w:rsidR="00964B88" w:rsidRPr="00BA3D25"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 xml:space="preserve">Published budget </w:t>
            </w:r>
            <w:r>
              <w:rPr>
                <w:rFonts w:eastAsiaTheme="minorEastAsia" w:cs="Calibri"/>
                <w:iCs/>
                <w:color w:val="FFFFFF"/>
                <w:szCs w:val="19"/>
                <w:lang w:eastAsia="en-AU"/>
              </w:rPr>
              <w:br/>
            </w:r>
            <w:r w:rsidRPr="00BA3D25">
              <w:rPr>
                <w:rFonts w:eastAsiaTheme="minorEastAsia" w:cs="Calibri"/>
                <w:iCs/>
                <w:color w:val="FFFFFF"/>
                <w:szCs w:val="19"/>
                <w:lang w:eastAsia="en-AU"/>
              </w:rPr>
              <w:t xml:space="preserve">estimate </w:t>
            </w:r>
            <w:r w:rsidRPr="00BA3D25">
              <w:rPr>
                <w:rFonts w:eastAsiaTheme="minorEastAsia" w:cs="Calibri"/>
                <w:iCs/>
                <w:color w:val="FFFFFF"/>
                <w:szCs w:val="19"/>
                <w:vertAlign w:val="superscript"/>
                <w:lang w:eastAsia="en-AU"/>
              </w:rPr>
              <w:t>(a)</w:t>
            </w:r>
          </w:p>
        </w:tc>
      </w:tr>
      <w:tr w:rsidR="00964B88" w:rsidRPr="00BA3D25" w14:paraId="5BDAC347" w14:textId="77777777" w:rsidTr="00F53820">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14:paraId="33BDDBD8" w14:textId="77777777" w:rsidR="00964B88" w:rsidRPr="00BA3D25" w:rsidRDefault="00964B88" w:rsidP="00F53820">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Guarantees, indemnities and warranties</w:t>
            </w:r>
          </w:p>
        </w:tc>
        <w:tc>
          <w:tcPr>
            <w:tcW w:w="992" w:type="dxa"/>
            <w:tcBorders>
              <w:top w:val="nil"/>
              <w:left w:val="nil"/>
              <w:bottom w:val="nil"/>
              <w:right w:val="nil"/>
            </w:tcBorders>
          </w:tcPr>
          <w:p w14:paraId="15A7CDE8"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183</w:t>
            </w:r>
          </w:p>
        </w:tc>
        <w:tc>
          <w:tcPr>
            <w:tcW w:w="1531" w:type="dxa"/>
            <w:tcBorders>
              <w:top w:val="nil"/>
              <w:left w:val="nil"/>
              <w:bottom w:val="nil"/>
              <w:right w:val="nil"/>
            </w:tcBorders>
          </w:tcPr>
          <w:p w14:paraId="6192E7FD"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239</w:t>
            </w:r>
          </w:p>
        </w:tc>
      </w:tr>
      <w:tr w:rsidR="00964B88" w:rsidRPr="00BA3D25" w14:paraId="6A559C6C" w14:textId="77777777" w:rsidTr="00F53820">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14:paraId="728269FC" w14:textId="77777777" w:rsidR="00964B88" w:rsidRPr="00BA3D25" w:rsidRDefault="00964B88" w:rsidP="00F53820">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Legal proceedings and disputes</w:t>
            </w:r>
          </w:p>
        </w:tc>
        <w:tc>
          <w:tcPr>
            <w:tcW w:w="992" w:type="dxa"/>
            <w:tcBorders>
              <w:top w:val="nil"/>
              <w:left w:val="nil"/>
              <w:bottom w:val="nil"/>
              <w:right w:val="nil"/>
            </w:tcBorders>
          </w:tcPr>
          <w:p w14:paraId="1028D7AB"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224</w:t>
            </w:r>
          </w:p>
        </w:tc>
        <w:tc>
          <w:tcPr>
            <w:tcW w:w="1531" w:type="dxa"/>
            <w:tcBorders>
              <w:top w:val="nil"/>
              <w:left w:val="nil"/>
              <w:bottom w:val="nil"/>
              <w:right w:val="nil"/>
            </w:tcBorders>
          </w:tcPr>
          <w:p w14:paraId="09E67CFD"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174</w:t>
            </w:r>
          </w:p>
        </w:tc>
      </w:tr>
      <w:tr w:rsidR="00964B88" w:rsidRPr="00BA3D25" w14:paraId="1298E2B0" w14:textId="77777777" w:rsidTr="00F53820">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14:paraId="715EC302" w14:textId="77777777" w:rsidR="00964B88" w:rsidRPr="00BA3D25" w:rsidRDefault="00964B88" w:rsidP="00F53820">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Other</w:t>
            </w:r>
          </w:p>
        </w:tc>
        <w:tc>
          <w:tcPr>
            <w:tcW w:w="992" w:type="dxa"/>
            <w:tcBorders>
              <w:top w:val="nil"/>
              <w:left w:val="nil"/>
              <w:bottom w:val="nil"/>
              <w:right w:val="nil"/>
            </w:tcBorders>
          </w:tcPr>
          <w:p w14:paraId="5B6C1385"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149</w:t>
            </w:r>
          </w:p>
        </w:tc>
        <w:tc>
          <w:tcPr>
            <w:tcW w:w="1531" w:type="dxa"/>
            <w:tcBorders>
              <w:top w:val="nil"/>
              <w:left w:val="nil"/>
              <w:bottom w:val="nil"/>
              <w:right w:val="nil"/>
            </w:tcBorders>
          </w:tcPr>
          <w:p w14:paraId="5C35AF74"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70</w:t>
            </w:r>
          </w:p>
        </w:tc>
      </w:tr>
      <w:tr w:rsidR="00964B88" w:rsidRPr="00BA3D25" w14:paraId="7E7988A8" w14:textId="77777777" w:rsidTr="00F53820">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14:paraId="0E3D42D9" w14:textId="77777777" w:rsidR="00964B88" w:rsidRPr="00BA3D25" w:rsidRDefault="00964B88" w:rsidP="00F53820">
            <w:pPr>
              <w:keepLines w:val="0"/>
              <w:autoSpaceDE w:val="0"/>
              <w:autoSpaceDN w:val="0"/>
              <w:adjustRightInd w:val="0"/>
              <w:rPr>
                <w:rFonts w:eastAsiaTheme="minorEastAsia" w:cs="Calibri"/>
                <w:color w:val="000000"/>
                <w:szCs w:val="19"/>
                <w:vertAlign w:val="superscript"/>
                <w:lang w:eastAsia="en-AU"/>
              </w:rPr>
            </w:pPr>
            <w:r w:rsidRPr="00BA3D25">
              <w:rPr>
                <w:rFonts w:eastAsiaTheme="minorEastAsia" w:cs="Calibri"/>
                <w:color w:val="000000"/>
                <w:szCs w:val="19"/>
                <w:lang w:eastAsia="en-AU"/>
              </w:rPr>
              <w:t xml:space="preserve">Non-general government debt </w:t>
            </w:r>
            <w:r w:rsidRPr="00BA3D25">
              <w:rPr>
                <w:rFonts w:eastAsiaTheme="minorEastAsia" w:cs="Calibri"/>
                <w:color w:val="000000"/>
                <w:szCs w:val="19"/>
                <w:vertAlign w:val="superscript"/>
                <w:lang w:eastAsia="en-AU"/>
              </w:rPr>
              <w:t>(b)</w:t>
            </w:r>
          </w:p>
        </w:tc>
        <w:tc>
          <w:tcPr>
            <w:tcW w:w="992" w:type="dxa"/>
            <w:tcBorders>
              <w:top w:val="nil"/>
              <w:left w:val="nil"/>
              <w:bottom w:val="nil"/>
              <w:right w:val="nil"/>
            </w:tcBorders>
          </w:tcPr>
          <w:p w14:paraId="5F3A2831"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 xml:space="preserve">12 986 </w:t>
            </w:r>
          </w:p>
        </w:tc>
        <w:tc>
          <w:tcPr>
            <w:tcW w:w="1531" w:type="dxa"/>
            <w:tcBorders>
              <w:top w:val="nil"/>
              <w:left w:val="nil"/>
              <w:bottom w:val="nil"/>
              <w:right w:val="nil"/>
            </w:tcBorders>
          </w:tcPr>
          <w:p w14:paraId="5524C3D4"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12 341</w:t>
            </w:r>
          </w:p>
        </w:tc>
      </w:tr>
      <w:tr w:rsidR="00964B88" w:rsidRPr="00BA3D25" w14:paraId="5EC236FF" w14:textId="77777777" w:rsidTr="00F53820">
        <w:tc>
          <w:tcPr>
            <w:cnfStyle w:val="001000000000" w:firstRow="0" w:lastRow="0" w:firstColumn="1" w:lastColumn="0" w:oddVBand="0" w:evenVBand="0" w:oddHBand="0" w:evenHBand="0" w:firstRowFirstColumn="0" w:firstRowLastColumn="0" w:lastRowFirstColumn="0" w:lastRowLastColumn="0"/>
            <w:tcW w:w="5244" w:type="dxa"/>
            <w:tcBorders>
              <w:top w:val="single" w:sz="6" w:space="0" w:color="auto"/>
              <w:left w:val="nil"/>
              <w:bottom w:val="single" w:sz="12" w:space="0" w:color="auto"/>
              <w:right w:val="nil"/>
            </w:tcBorders>
          </w:tcPr>
          <w:p w14:paraId="177CA3C6" w14:textId="77777777" w:rsidR="00964B88" w:rsidRPr="00BA3D25" w:rsidRDefault="00964B88" w:rsidP="00F53820">
            <w:pPr>
              <w:keepLines w:val="0"/>
              <w:autoSpaceDE w:val="0"/>
              <w:autoSpaceDN w:val="0"/>
              <w:adjustRightInd w:val="0"/>
              <w:rPr>
                <w:rFonts w:eastAsiaTheme="minorEastAsia" w:cs="Calibri"/>
                <w:b/>
                <w:bCs/>
                <w:color w:val="000000"/>
                <w:szCs w:val="19"/>
                <w:lang w:eastAsia="en-AU"/>
              </w:rPr>
            </w:pPr>
            <w:r w:rsidRPr="00BA3D25">
              <w:rPr>
                <w:rFonts w:eastAsiaTheme="minorEastAsia" w:cs="Calibri"/>
                <w:b/>
                <w:bCs/>
                <w:color w:val="000000"/>
                <w:szCs w:val="19"/>
                <w:lang w:eastAsia="en-AU"/>
              </w:rPr>
              <w:t>Total contingent liabilities</w:t>
            </w:r>
          </w:p>
        </w:tc>
        <w:tc>
          <w:tcPr>
            <w:tcW w:w="992" w:type="dxa"/>
            <w:tcBorders>
              <w:top w:val="single" w:sz="6" w:space="0" w:color="auto"/>
              <w:left w:val="nil"/>
              <w:bottom w:val="single" w:sz="12" w:space="0" w:color="auto"/>
              <w:right w:val="nil"/>
            </w:tcBorders>
          </w:tcPr>
          <w:p w14:paraId="23A39775"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13 541</w:t>
            </w:r>
          </w:p>
        </w:tc>
        <w:tc>
          <w:tcPr>
            <w:tcW w:w="1531" w:type="dxa"/>
            <w:tcBorders>
              <w:top w:val="single" w:sz="6" w:space="0" w:color="auto"/>
              <w:left w:val="nil"/>
              <w:bottom w:val="single" w:sz="12" w:space="0" w:color="auto"/>
              <w:right w:val="nil"/>
            </w:tcBorders>
          </w:tcPr>
          <w:p w14:paraId="55F623A4" w14:textId="77777777" w:rsidR="00964B88" w:rsidRPr="00BA3D25"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12 825</w:t>
            </w:r>
          </w:p>
        </w:tc>
      </w:tr>
    </w:tbl>
    <w:p w14:paraId="5BC4CE78" w14:textId="77777777" w:rsidR="00964B88" w:rsidRDefault="00964B88" w:rsidP="00F53820">
      <w:pPr>
        <w:pStyle w:val="Note"/>
      </w:pPr>
      <w:r>
        <w:t>Notes:</w:t>
      </w:r>
    </w:p>
    <w:p w14:paraId="2831B8C6" w14:textId="77777777" w:rsidR="00964B88" w:rsidRDefault="00964B88" w:rsidP="00F53820">
      <w:pPr>
        <w:pStyle w:val="Note"/>
      </w:pPr>
      <w:r w:rsidRPr="0041245C">
        <w:t>(a)</w:t>
      </w:r>
      <w:r w:rsidRPr="0041245C">
        <w:tab/>
        <w:t xml:space="preserve">As published in the </w:t>
      </w:r>
      <w:r w:rsidRPr="0041245C">
        <w:rPr>
          <w:i w:val="0"/>
        </w:rPr>
        <w:t>201</w:t>
      </w:r>
      <w:r>
        <w:rPr>
          <w:i w:val="0"/>
        </w:rPr>
        <w:t>9</w:t>
      </w:r>
      <w:r w:rsidRPr="0041245C">
        <w:rPr>
          <w:i w:val="0"/>
        </w:rPr>
        <w:t>-</w:t>
      </w:r>
      <w:r>
        <w:rPr>
          <w:i w:val="0"/>
        </w:rPr>
        <w:t>20</w:t>
      </w:r>
      <w:r w:rsidRPr="0041245C">
        <w:rPr>
          <w:i w:val="0"/>
        </w:rPr>
        <w:t xml:space="preserve"> Budget</w:t>
      </w:r>
      <w:r w:rsidRPr="0041245C">
        <w:t>.</w:t>
      </w:r>
    </w:p>
    <w:p w14:paraId="168A3BFB" w14:textId="77777777" w:rsidR="00964B88" w:rsidRDefault="00964B88" w:rsidP="00F53820">
      <w:pPr>
        <w:pStyle w:val="Note"/>
      </w:pPr>
      <w:r>
        <w:t>(b)</w:t>
      </w:r>
      <w:r>
        <w:tab/>
        <w:t>Mainly represents the guarantee of borrowings provided by the Treasurer for the public sector borrowings portfolio.</w:t>
      </w:r>
    </w:p>
    <w:p w14:paraId="502BBA90" w14:textId="77777777" w:rsidR="00964B88" w:rsidRDefault="00964B88" w:rsidP="00F53820">
      <w:pPr>
        <w:keepLines w:val="0"/>
        <w:rPr>
          <w:rFonts w:asciiTheme="majorHAnsi" w:eastAsiaTheme="majorEastAsia" w:hAnsiTheme="majorHAnsi" w:cstheme="majorBidi"/>
          <w:b/>
          <w:spacing w:val="-2"/>
          <w:sz w:val="26"/>
          <w:szCs w:val="26"/>
        </w:rPr>
      </w:pPr>
      <w:r>
        <w:br w:type="page"/>
      </w:r>
    </w:p>
    <w:p w14:paraId="38A110DC" w14:textId="77777777" w:rsidR="00964B88" w:rsidRDefault="00964B88" w:rsidP="00F53820">
      <w:pPr>
        <w:pStyle w:val="Heading20"/>
      </w:pPr>
      <w:r>
        <w:lastRenderedPageBreak/>
        <w:t>Non-quantifiable contingent liabilities</w:t>
      </w:r>
    </w:p>
    <w:p w14:paraId="1610AD01" w14:textId="77777777" w:rsidR="00964B88" w:rsidRDefault="00964B88" w:rsidP="00F53820">
      <w:r>
        <w:t>A number of potential obligations are non-quantifiable at this time arising from:</w:t>
      </w:r>
    </w:p>
    <w:p w14:paraId="18C9B41E" w14:textId="77777777" w:rsidR="00964B88" w:rsidRPr="00BC5659" w:rsidRDefault="00964B88" w:rsidP="00964B88">
      <w:pPr>
        <w:pStyle w:val="ListBullet"/>
        <w:numPr>
          <w:ilvl w:val="0"/>
          <w:numId w:val="21"/>
        </w:numPr>
      </w:pPr>
      <w:r w:rsidRPr="00BC5659">
        <w:t>indemnities relatin</w:t>
      </w:r>
      <w:r>
        <w:t>g</w:t>
      </w:r>
      <w:r w:rsidRPr="00BC5659">
        <w:t xml:space="preserve"> to transactions, including financial arrangements and consultancy services, as well as for directors and administrators;</w:t>
      </w:r>
    </w:p>
    <w:p w14:paraId="0D0F9195" w14:textId="77777777" w:rsidR="00964B88" w:rsidRPr="00BC5659" w:rsidRDefault="00964B88" w:rsidP="00964B88">
      <w:pPr>
        <w:pStyle w:val="ListBullet"/>
        <w:numPr>
          <w:ilvl w:val="0"/>
          <w:numId w:val="21"/>
        </w:numPr>
      </w:pPr>
      <w:r w:rsidRPr="00BC5659">
        <w:t>performance guarantees, warranties, letters of comfort and the like;</w:t>
      </w:r>
    </w:p>
    <w:p w14:paraId="2950BAD3" w14:textId="77777777" w:rsidR="00964B88" w:rsidRPr="00BC5659" w:rsidRDefault="00964B88" w:rsidP="00964B88">
      <w:pPr>
        <w:pStyle w:val="ListBullet"/>
        <w:numPr>
          <w:ilvl w:val="0"/>
          <w:numId w:val="21"/>
        </w:numPr>
      </w:pPr>
      <w:r w:rsidRPr="00BC5659">
        <w:t>deeds in respect of certain obligations; and</w:t>
      </w:r>
    </w:p>
    <w:p w14:paraId="191C0540" w14:textId="77777777" w:rsidR="00964B88" w:rsidRPr="00BC5659" w:rsidRDefault="00964B88" w:rsidP="00964B88">
      <w:pPr>
        <w:pStyle w:val="ListBullet"/>
        <w:numPr>
          <w:ilvl w:val="0"/>
          <w:numId w:val="21"/>
        </w:numPr>
      </w:pPr>
      <w:r w:rsidRPr="00BC5659">
        <w:t>unclaimed monies, which may be subject to future claims by the general public against the State.</w:t>
      </w:r>
    </w:p>
    <w:p w14:paraId="63021E7F" w14:textId="77777777" w:rsidR="00964B88" w:rsidRDefault="00964B88" w:rsidP="00F53820">
      <w:r>
        <w:t>An overview of the more significant non-quantifiable liabilities follows.</w:t>
      </w:r>
    </w:p>
    <w:p w14:paraId="6358DB75" w14:textId="77777777" w:rsidR="00964B88" w:rsidRPr="00186CEE" w:rsidRDefault="00964B88" w:rsidP="00F53820">
      <w:pPr>
        <w:pStyle w:val="Heading30"/>
        <w:rPr>
          <w:spacing w:val="-3"/>
        </w:rPr>
      </w:pPr>
      <w:r w:rsidRPr="00186CEE">
        <w:rPr>
          <w:spacing w:val="-3"/>
        </w:rPr>
        <w:t>AgriBio Centre for AgriBioscience (formerly known as The Biosciences Research Centre)</w:t>
      </w:r>
    </w:p>
    <w:p w14:paraId="62E7F1DE" w14:textId="77777777" w:rsidR="00964B88" w:rsidRPr="00186CEE" w:rsidRDefault="00964B88" w:rsidP="003951F6">
      <w:pPr>
        <w:ind w:right="56"/>
      </w:pPr>
      <w:r w:rsidRPr="00186CEE">
        <w:t>The quarterly service fee payment obligations of the AgriBio Centre for AgriBioscience on behalf of the joint venture participants (Department of Jobs, Precincts and Regions and La</w:t>
      </w:r>
      <w:r w:rsidR="003951F6">
        <w:t> </w:t>
      </w:r>
      <w:r w:rsidRPr="00186CEE">
        <w:t>Trobe University) are backed by the State of Victoria under a State Support Deed. Under this Deed, the State ensures that the joint venture participants have severally the financial capacity to meet their payment obligations to Biosciences Research Centre Pty Ltd (BRC), thereby enabling BRC to meet its obligations to pay the service fee to the concessionaire under the project agreement. The State underwrites the risk of any default by BRC.</w:t>
      </w:r>
    </w:p>
    <w:p w14:paraId="7736ADBB" w14:textId="77777777" w:rsidR="00964B88" w:rsidRPr="00186CEE" w:rsidRDefault="00964B88" w:rsidP="00F53820">
      <w:pPr>
        <w:pStyle w:val="Heading30"/>
      </w:pPr>
      <w:r w:rsidRPr="00186CEE">
        <w:t>Cladding rectification</w:t>
      </w:r>
    </w:p>
    <w:p w14:paraId="07B3E835" w14:textId="77777777" w:rsidR="00964B88" w:rsidRPr="00186CEE" w:rsidRDefault="00964B88" w:rsidP="003951F6">
      <w:pPr>
        <w:ind w:right="-227"/>
      </w:pPr>
      <w:r w:rsidRPr="00186CEE">
        <w:t>The 2014 fire at the Lacrosse apartment building in Melbourne’s Docklands and the Grenfell fire in London in June 2017 highlighted the fire safety risks from the non</w:t>
      </w:r>
      <w:r w:rsidRPr="00186CEE">
        <w:noBreakHyphen/>
        <w:t>compliant use of exterior cladding on buildings. Subsequent investigations and the February 2019 fire at the Neo200 Tower on Spencer Street have highlighted that dangerous materials have been used on some buildings throughout Victoria.</w:t>
      </w:r>
    </w:p>
    <w:p w14:paraId="1BDFE3BE" w14:textId="77777777" w:rsidR="00964B88" w:rsidRPr="00186CEE" w:rsidRDefault="00964B88" w:rsidP="00F53820">
      <w:pPr>
        <w:ind w:right="-71"/>
      </w:pPr>
      <w:r w:rsidRPr="00186CEE">
        <w:t>The Victorian Government Cladding Taskforce is investigating the extent of non</w:t>
      </w:r>
      <w:r w:rsidRPr="00186CEE">
        <w:noBreakHyphen/>
        <w:t>compliant cladding on buildings statewide.</w:t>
      </w:r>
    </w:p>
    <w:p w14:paraId="7730A31F" w14:textId="77777777" w:rsidR="00964B88" w:rsidRPr="00186CEE" w:rsidRDefault="00964B88" w:rsidP="00F53820">
      <w:pPr>
        <w:ind w:right="-71"/>
      </w:pPr>
      <w:r w:rsidRPr="00186CEE">
        <w:t xml:space="preserve">On behalf of the Cladding Taskforce, the Victorian Building Authority has undertaken a building audit to assess the extent of non-compliant cladding on buildings. </w:t>
      </w:r>
    </w:p>
    <w:p w14:paraId="1FEED7D2" w14:textId="77777777" w:rsidR="00964B88" w:rsidRDefault="00964B88" w:rsidP="00F53820">
      <w:pPr>
        <w:ind w:right="-71"/>
      </w:pPr>
      <w:r w:rsidRPr="00186CEE">
        <w:t>The building audit has identified a number of buildings that require rectification. These buildings are being risk-assessed to inform the extent of rectification works required. The Government has committed funding for cladding rectification initiatives.</w:t>
      </w:r>
    </w:p>
    <w:p w14:paraId="28DA5AFF" w14:textId="77777777" w:rsidR="00964B88" w:rsidRDefault="00964B88">
      <w:pPr>
        <w:keepLines w:val="0"/>
        <w:rPr>
          <w:rFonts w:asciiTheme="majorHAnsi" w:eastAsiaTheme="majorEastAsia" w:hAnsiTheme="majorHAnsi" w:cstheme="majorBidi"/>
          <w:b/>
          <w:bCs/>
          <w:spacing w:val="-2"/>
          <w:szCs w:val="26"/>
        </w:rPr>
      </w:pPr>
      <w:r>
        <w:br w:type="page"/>
      </w:r>
    </w:p>
    <w:p w14:paraId="5BE1BBF5" w14:textId="77777777" w:rsidR="00964B88" w:rsidRPr="00186CEE" w:rsidRDefault="00964B88" w:rsidP="00F53820">
      <w:pPr>
        <w:pStyle w:val="Heading30"/>
      </w:pPr>
      <w:r w:rsidRPr="00186CEE">
        <w:lastRenderedPageBreak/>
        <w:t>Department of Education and Training</w:t>
      </w:r>
    </w:p>
    <w:p w14:paraId="7DF47F3D" w14:textId="77777777" w:rsidR="00964B88" w:rsidRPr="00186CEE" w:rsidRDefault="00964B88" w:rsidP="00F53820">
      <w:pPr>
        <w:ind w:right="-71"/>
      </w:pPr>
      <w:r w:rsidRPr="00186CEE">
        <w:t>The Department has a number of non-quantifiable contingent liabilities, arising from indemnities provided by it, as follows:</w:t>
      </w:r>
    </w:p>
    <w:p w14:paraId="27C2542D" w14:textId="77777777" w:rsidR="00964B88" w:rsidRPr="00186CEE" w:rsidRDefault="00964B88" w:rsidP="003951F6">
      <w:pPr>
        <w:pStyle w:val="ListBullet"/>
        <w:ind w:right="198"/>
      </w:pPr>
      <w:r w:rsidRPr="00186CEE">
        <w:t xml:space="preserve">volunteer school workers and volunteer student workers: the </w:t>
      </w:r>
      <w:r w:rsidRPr="00186CEE">
        <w:rPr>
          <w:i/>
        </w:rPr>
        <w:t>Education and Training Reform Act 2006</w:t>
      </w:r>
      <w:r w:rsidRPr="00186CEE">
        <w:t xml:space="preserve"> provides indemnity for personal injuries or death (and at the discretion of the Minister, for property damage) suffered by volunteer school workers and volunteer student workers arising out of or in the course of engaging in</w:t>
      </w:r>
      <w:r w:rsidR="003951F6">
        <w:t> </w:t>
      </w:r>
      <w:r w:rsidRPr="00186CEE">
        <w:t>school work or community work respectively;</w:t>
      </w:r>
    </w:p>
    <w:p w14:paraId="6524167D" w14:textId="77777777" w:rsidR="00964B88" w:rsidRPr="00186CEE" w:rsidRDefault="00964B88" w:rsidP="00F53820">
      <w:pPr>
        <w:pStyle w:val="ListBullet"/>
      </w:pPr>
      <w:r w:rsidRPr="00186CEE">
        <w:t>teachers: if a teacher is named as a defendant in a student personal injury claim, any costs and damages will generally be paid by the Department provided the teacher was not under the influence of illicit drugs or alcohol or engaging in a criminal offence and the behaviour was not outrageous and was related to their employment;</w:t>
      </w:r>
    </w:p>
    <w:p w14:paraId="347FB8F0" w14:textId="77777777" w:rsidR="00964B88" w:rsidRPr="00186CEE" w:rsidRDefault="00964B88" w:rsidP="00F53820">
      <w:pPr>
        <w:pStyle w:val="ListBullet"/>
      </w:pPr>
      <w:r w:rsidRPr="00186CEE">
        <w:t xml:space="preserve">board members: the </w:t>
      </w:r>
      <w:r w:rsidRPr="00186CEE">
        <w:rPr>
          <w:i/>
        </w:rPr>
        <w:t>Education and Training Reform Act 2006</w:t>
      </w:r>
      <w:r w:rsidRPr="00186CEE">
        <w:t xml:space="preserve"> requires the State to indemnify a member of a Merit Protection Board or a Disciplinary Appeals Board for anything done or omitted to be done in good faith in the exercise of a power or the discharge of their statutory duties;</w:t>
      </w:r>
      <w:r>
        <w:t xml:space="preserve"> and</w:t>
      </w:r>
    </w:p>
    <w:p w14:paraId="22E6AEDF" w14:textId="77777777" w:rsidR="00964B88" w:rsidRPr="00186CEE" w:rsidRDefault="00964B88" w:rsidP="00F53820">
      <w:pPr>
        <w:pStyle w:val="ListBullet"/>
      </w:pPr>
      <w:r w:rsidRPr="00186CEE">
        <w:t xml:space="preserve">school councils: the </w:t>
      </w:r>
      <w:r w:rsidRPr="00186CEE">
        <w:rPr>
          <w:i/>
        </w:rPr>
        <w:t>Education and Training Reform Act 2006</w:t>
      </w:r>
      <w:r w:rsidRPr="00186CEE">
        <w:t xml:space="preserve"> requires the Department to indemnify individual members of school councils for any legal liability, whether in contract, negligence or defamation, if they acted in good faith and in the course of their duties. The Department may decide to indemnify school councils (which are separate entities to the Department), in claims of common law negligence, and often employment disputes, for the cost of settlement and legal representation. The Department will take into account the impact of payment upon the school’s educational program and any insurance cover for the school council, and will likely indemnify if the Department is satisfied that: </w:t>
      </w:r>
    </w:p>
    <w:p w14:paraId="06CF7922" w14:textId="77777777" w:rsidR="00964B88" w:rsidRPr="00186CEE" w:rsidRDefault="00964B88" w:rsidP="00F53820">
      <w:pPr>
        <w:pStyle w:val="ListBullet2"/>
      </w:pPr>
      <w:r w:rsidRPr="00186CEE">
        <w:t>the school council acted in good faith and according to issued guidelines and directions; and</w:t>
      </w:r>
    </w:p>
    <w:p w14:paraId="6066B1D7" w14:textId="77777777" w:rsidR="00964B88" w:rsidRPr="00186CEE" w:rsidRDefault="00964B88" w:rsidP="00F53820">
      <w:pPr>
        <w:pStyle w:val="ListBullet2"/>
      </w:pPr>
      <w:r w:rsidRPr="00186CEE">
        <w:t>the school council has insufficient funds to pay the claim. </w:t>
      </w:r>
    </w:p>
    <w:p w14:paraId="5EC1708D" w14:textId="77777777" w:rsidR="00964B88" w:rsidRPr="00186CEE" w:rsidRDefault="00964B88" w:rsidP="00F53820">
      <w:pPr>
        <w:pStyle w:val="Heading30"/>
      </w:pPr>
      <w:r w:rsidRPr="00186CEE">
        <w:t>National redress scheme – sexual abuse of children in institutions</w:t>
      </w:r>
    </w:p>
    <w:p w14:paraId="3E07BD32" w14:textId="77777777" w:rsidR="00964B88" w:rsidRPr="00186CEE" w:rsidRDefault="00964B88" w:rsidP="00F53820">
      <w:pPr>
        <w:ind w:right="-71"/>
      </w:pPr>
      <w:r w:rsidRPr="00186CEE">
        <w:t xml:space="preserve">On 13 June 2018, the </w:t>
      </w:r>
      <w:r w:rsidRPr="00186CEE">
        <w:rPr>
          <w:i/>
        </w:rPr>
        <w:t>National Redress Scheme for Institutional Child Sexual Abuse (Commonwealth Powers) Act 2018</w:t>
      </w:r>
      <w:r w:rsidRPr="00186CEE">
        <w:t xml:space="preserve"> commenced. </w:t>
      </w:r>
    </w:p>
    <w:p w14:paraId="49F1F730" w14:textId="77777777" w:rsidR="00964B88" w:rsidRPr="00186CEE" w:rsidRDefault="00964B88" w:rsidP="00F53820">
      <w:pPr>
        <w:ind w:right="-71"/>
      </w:pPr>
      <w:r w:rsidRPr="00186CEE">
        <w:t xml:space="preserve">The Act refers powers to the Commonwealth Parliament to ensure that Victorian institutions can participate in the National Redress Scheme. The National Redress Scheme commenced on 1 July 2018 and will run for 10 years. The Scheme will deliver a financial payment of up to $150 000, access to psychological counselling and an apology from the responsible institution to eligible survivors of institutional child abuse. This implements a recommendation of the Victorian Parliamentary Inquiry Betrayal of Trust report and the Royal Commission into Institutional Responses to Child Sexual Abuse. </w:t>
      </w:r>
    </w:p>
    <w:p w14:paraId="62A4C5FA" w14:textId="77777777" w:rsidR="00964B88" w:rsidRPr="00186CEE" w:rsidRDefault="00964B88" w:rsidP="00F53820">
      <w:pPr>
        <w:ind w:right="-71"/>
      </w:pPr>
      <w:r w:rsidRPr="00186CEE">
        <w:t xml:space="preserve">The Government </w:t>
      </w:r>
      <w:r>
        <w:t>has committed</w:t>
      </w:r>
      <w:r w:rsidRPr="00186CEE">
        <w:t xml:space="preserve"> funding </w:t>
      </w:r>
      <w:r>
        <w:t>across</w:t>
      </w:r>
      <w:r w:rsidRPr="00186CEE">
        <w:t xml:space="preserve"> 10 years for</w:t>
      </w:r>
      <w:r>
        <w:t xml:space="preserve"> the</w:t>
      </w:r>
      <w:r w:rsidRPr="00186CEE">
        <w:t xml:space="preserve"> redress</w:t>
      </w:r>
      <w:r>
        <w:t xml:space="preserve"> scheme</w:t>
      </w:r>
      <w:r w:rsidRPr="00186CEE">
        <w:t>. Due to the historical nature of the abuse in question, the precise number of eligible survivors of abuse is difficult to estimate. Consequently, the exact financial implications for Victoria remain uncertain.</w:t>
      </w:r>
    </w:p>
    <w:p w14:paraId="664BE3FB" w14:textId="77777777" w:rsidR="00964B88" w:rsidRPr="00186CEE" w:rsidRDefault="00964B88" w:rsidP="00F53820">
      <w:pPr>
        <w:pStyle w:val="Heading30"/>
      </w:pPr>
      <w:r w:rsidRPr="00186CEE">
        <w:lastRenderedPageBreak/>
        <w:t>Public acquisition overlays for the future development of rail and road infrastructure</w:t>
      </w:r>
    </w:p>
    <w:p w14:paraId="0875FE10" w14:textId="77777777" w:rsidR="00964B88" w:rsidRPr="00186CEE" w:rsidRDefault="00964B88" w:rsidP="003951F6">
      <w:pPr>
        <w:ind w:right="198"/>
      </w:pPr>
      <w:r w:rsidRPr="00186CEE">
        <w:t xml:space="preserve">Public acquisition overlays are in place to reserve certain areas of land for future development of rail and road infrastructure. Under section 98 of the </w:t>
      </w:r>
      <w:r w:rsidRPr="00186CEE">
        <w:rPr>
          <w:i/>
        </w:rPr>
        <w:t>Planning and Environment Act 1987</w:t>
      </w:r>
      <w:r w:rsidRPr="00186CEE">
        <w:t>, the State has a legislative responsibility to compensate eligible land and property owners who face either:</w:t>
      </w:r>
    </w:p>
    <w:p w14:paraId="31A0522D" w14:textId="77777777" w:rsidR="00964B88" w:rsidRPr="00186CEE" w:rsidRDefault="00964B88" w:rsidP="003951F6">
      <w:pPr>
        <w:pStyle w:val="ListBullet"/>
        <w:ind w:right="198"/>
      </w:pPr>
      <w:r w:rsidRPr="00186CEE">
        <w:t>loss on sale – an eligible landowner is entitled to compensation for the incremental loss on sale when a property affected by a public acquisition overlay is sold for less than its market value; or</w:t>
      </w:r>
    </w:p>
    <w:p w14:paraId="6E7D622F" w14:textId="77777777" w:rsidR="00964B88" w:rsidRPr="00186CEE" w:rsidRDefault="00964B88" w:rsidP="00F53820">
      <w:pPr>
        <w:pStyle w:val="ListBullet"/>
      </w:pPr>
      <w:r w:rsidRPr="00186CEE">
        <w:t>financial loss – the entitlement to financial loss compensation is triggered when a development permit is refused because the property is required for a public purpose.</w:t>
      </w:r>
    </w:p>
    <w:p w14:paraId="5B2C9D1C" w14:textId="77777777" w:rsidR="00964B88" w:rsidRPr="00186CEE" w:rsidRDefault="00964B88" w:rsidP="00F53820">
      <w:pPr>
        <w:ind w:right="-71"/>
      </w:pPr>
      <w:r w:rsidRPr="00186CEE">
        <w:t xml:space="preserve">Compensation and purchase claims occur as a result of claims by land owners. The future liability depends on factors, including the number of claims received and the prevailing value of land at the time the claim is made, which cannot be reliably quantified. </w:t>
      </w:r>
    </w:p>
    <w:p w14:paraId="599414B6" w14:textId="77777777" w:rsidR="00964B88" w:rsidRPr="00186CEE" w:rsidRDefault="00964B88" w:rsidP="00F53820">
      <w:pPr>
        <w:pStyle w:val="Heading30"/>
      </w:pPr>
      <w:r w:rsidRPr="00186CEE">
        <w:t>Public transport rail partnership agreements</w:t>
      </w:r>
    </w:p>
    <w:p w14:paraId="20EB6648" w14:textId="77777777" w:rsidR="00964B88" w:rsidRPr="00186CEE" w:rsidRDefault="00964B88" w:rsidP="00F53820">
      <w:pPr>
        <w:ind w:right="-71"/>
      </w:pPr>
      <w:r w:rsidRPr="00186CEE">
        <w:t>Public Transport Victoria (PTV) is party to contractual arrangements with franchisees to operate metropolitan rail transport services across the State, from 30 November 2017 until 30 November 2024. The major contingent liabilities arising in the event of early termination or expiry of the contract are:</w:t>
      </w:r>
    </w:p>
    <w:p w14:paraId="01BF9BAC" w14:textId="77777777" w:rsidR="00964B88" w:rsidRPr="00186CEE" w:rsidRDefault="00964B88" w:rsidP="00F53820">
      <w:pPr>
        <w:pStyle w:val="ListBullet"/>
      </w:pPr>
      <w:r w:rsidRPr="00186CEE">
        <w:t>partnership assets – to maintain continuity of services, at early termination or expiry of the franchise contract, assets will revert to PTV or a successor. In the case of some assets, a reversion back to PTV would entail those assets being purchased; and</w:t>
      </w:r>
    </w:p>
    <w:p w14:paraId="2EC3BBD9" w14:textId="77777777" w:rsidR="00964B88" w:rsidRPr="00186CEE" w:rsidRDefault="00964B88" w:rsidP="00F53820">
      <w:pPr>
        <w:pStyle w:val="ListBullet"/>
      </w:pPr>
      <w:r w:rsidRPr="00186CEE">
        <w:t xml:space="preserve">unfunded superannuation – at the early termination or expiry of the contract, PTV will assume any unfunded superannuation amounts (apart from contributions the operator is required to pay over the contract term) to the extent that the State becomes the successor operator. </w:t>
      </w:r>
    </w:p>
    <w:p w14:paraId="260A4DAD" w14:textId="77777777" w:rsidR="00964B88" w:rsidRPr="00186CEE" w:rsidRDefault="00964B88" w:rsidP="00F53820">
      <w:pPr>
        <w:pStyle w:val="Heading30"/>
      </w:pPr>
      <w:r w:rsidRPr="00186CEE">
        <w:t>Firefighters’ Presumptive Rights Compensation and Fire Services Legislation Amendment (Reform) Act 2019</w:t>
      </w:r>
    </w:p>
    <w:p w14:paraId="7452A828" w14:textId="77777777" w:rsidR="00964B88" w:rsidRPr="00186CEE" w:rsidRDefault="00964B88" w:rsidP="00F53820">
      <w:pPr>
        <w:ind w:right="-71"/>
      </w:pPr>
      <w:r w:rsidRPr="00186CEE">
        <w:t xml:space="preserve">The </w:t>
      </w:r>
      <w:r w:rsidRPr="00186CEE">
        <w:rPr>
          <w:i/>
        </w:rPr>
        <w:t xml:space="preserve">Firefighters’ Presumptive Rights Compensation and Fire Services Legislation Amendment (Reform) Act </w:t>
      </w:r>
      <w:r w:rsidRPr="00E93FB6">
        <w:rPr>
          <w:i/>
        </w:rPr>
        <w:t>2019</w:t>
      </w:r>
      <w:r w:rsidRPr="00186CEE">
        <w:t xml:space="preserve"> (</w:t>
      </w:r>
      <w:r>
        <w:t xml:space="preserve">the </w:t>
      </w:r>
      <w:r w:rsidRPr="00186CEE">
        <w:t xml:space="preserve">Act) </w:t>
      </w:r>
      <w:r>
        <w:t xml:space="preserve">received royal assent </w:t>
      </w:r>
      <w:r w:rsidRPr="00186CEE">
        <w:t>on 2 July 2019.</w:t>
      </w:r>
    </w:p>
    <w:p w14:paraId="2209FD38" w14:textId="77777777" w:rsidR="00964B88" w:rsidRDefault="00964B88" w:rsidP="00F53820">
      <w:pPr>
        <w:ind w:right="-71"/>
      </w:pPr>
      <w:r w:rsidRPr="00186CEE">
        <w:t>Part 2 of the Act, which came into operation on 3 July 2019, provides for the establishment and operation of the Firefighters’ Presumptive Rights Compensation scheme for both career and volunteer firefighters. At the time of the preparation of this report, it is impractical to quantify any possible contingent liabilities for the State arising from the scheme.</w:t>
      </w:r>
    </w:p>
    <w:p w14:paraId="74441C64" w14:textId="77777777" w:rsidR="00964B88" w:rsidRDefault="00964B88">
      <w:pPr>
        <w:keepLines w:val="0"/>
        <w:rPr>
          <w:rFonts w:asciiTheme="majorHAnsi" w:eastAsiaTheme="majorEastAsia" w:hAnsiTheme="majorHAnsi" w:cstheme="majorBidi"/>
          <w:b/>
          <w:bCs/>
          <w:spacing w:val="-2"/>
          <w:szCs w:val="26"/>
        </w:rPr>
      </w:pPr>
      <w:r>
        <w:br w:type="page"/>
      </w:r>
    </w:p>
    <w:p w14:paraId="74021A5E" w14:textId="77777777" w:rsidR="00964B88" w:rsidRPr="00186CEE" w:rsidRDefault="00964B88" w:rsidP="00F53820">
      <w:pPr>
        <w:pStyle w:val="Heading30"/>
      </w:pPr>
      <w:r w:rsidRPr="00186CEE">
        <w:lastRenderedPageBreak/>
        <w:t>Fiskville independent investigation and closure of training college</w:t>
      </w:r>
    </w:p>
    <w:p w14:paraId="0FBA73AC" w14:textId="77777777" w:rsidR="00964B88" w:rsidRPr="00186CEE" w:rsidRDefault="00964B88" w:rsidP="00F53820">
      <w:pPr>
        <w:ind w:right="-71"/>
      </w:pPr>
      <w:r w:rsidRPr="00186CEE">
        <w:t xml:space="preserve">An independent investigation was undertaken into the historical use of chemicals for live firefighting training at Fiskville Training College (Fiskville) between 1971 and 1999. The report of the independent investigation has been released and the Country Fire Authority (CFA) has accepted all of the facts, recommendations and conclusions and is committed to implementing all recommendations. </w:t>
      </w:r>
    </w:p>
    <w:p w14:paraId="7EF45A22" w14:textId="77777777" w:rsidR="00964B88" w:rsidRPr="00186CEE" w:rsidRDefault="00964B88" w:rsidP="00F53820">
      <w:pPr>
        <w:ind w:right="-71"/>
      </w:pPr>
      <w:r w:rsidRPr="00186CEE">
        <w:t xml:space="preserve">In August 2012, the CFA established a program office to manage the implementation of the report’s recommendations and an additional 11 management initiatives to which the CFA Board committed </w:t>
      </w:r>
      <w:r>
        <w:t xml:space="preserve">to </w:t>
      </w:r>
      <w:r w:rsidRPr="00186CEE">
        <w:t xml:space="preserve">in its response to the report. </w:t>
      </w:r>
    </w:p>
    <w:p w14:paraId="7F32C395" w14:textId="77777777" w:rsidR="00964B88" w:rsidRPr="00186CEE" w:rsidRDefault="00964B88" w:rsidP="00F53820">
      <w:pPr>
        <w:ind w:right="-71"/>
      </w:pPr>
      <w:r w:rsidRPr="00186CEE">
        <w:t>On 26 March 2015, the Government announced the permanent closure of Fiskville. Fiskville and Victorian Emergency Management Training Centre training grounds owned by the CFA at Penshurst, Bangholme, West Sale, Wangaratta, Huntly, and Longerenong have been the subject of notices issued by the Environment Protection Authority Victoria (EPA).</w:t>
      </w:r>
    </w:p>
    <w:p w14:paraId="5986276F" w14:textId="77777777" w:rsidR="00964B88" w:rsidRPr="00186CEE" w:rsidRDefault="00964B88" w:rsidP="003951F6">
      <w:pPr>
        <w:ind w:right="340"/>
      </w:pPr>
      <w:r w:rsidRPr="00186CEE">
        <w:t>The Government’s response to the Fiskville Inquiry was tabled in Parliament on 24</w:t>
      </w:r>
      <w:r w:rsidR="003951F6">
        <w:t> </w:t>
      </w:r>
      <w:r w:rsidRPr="00186CEE">
        <w:t>November 2016. The response supports all of the 31 recommendations of the Victorian Parliamentary Inquiry into the CFA Training College at Fiskville, either in full, in principle or in part.</w:t>
      </w:r>
    </w:p>
    <w:p w14:paraId="0AA3B45B" w14:textId="77777777" w:rsidR="00964B88" w:rsidRPr="00186CEE" w:rsidRDefault="00964B88" w:rsidP="00F53820">
      <w:pPr>
        <w:ind w:right="-71"/>
      </w:pPr>
      <w:r w:rsidRPr="00186CEE">
        <w:t>The CFA has a number of contingent liabilities arising from the closure of Fiskville and the notices issued by the EPA. These relate to any further notices that may be issued by the EPA, any regulatory infringements that may be imposed by the EPA, compensation that may be sought, any legal claims that may be made, recommendations made by the inquiry and the costs of relocating the Firefighters’ Memorial previously located at Fiskville.</w:t>
      </w:r>
    </w:p>
    <w:p w14:paraId="454AB12B" w14:textId="77777777" w:rsidR="00964B88" w:rsidRPr="00186CEE" w:rsidRDefault="00964B88" w:rsidP="00F53820">
      <w:pPr>
        <w:ind w:right="-71"/>
      </w:pPr>
      <w:r w:rsidRPr="00186CEE">
        <w:t>At this stage it is impractical to quantify the financial effects of these contingent liabilities.</w:t>
      </w:r>
    </w:p>
    <w:p w14:paraId="5D7B9B9B" w14:textId="77777777" w:rsidR="00964B88" w:rsidRPr="00186CEE" w:rsidRDefault="00964B88" w:rsidP="00F53820">
      <w:pPr>
        <w:pStyle w:val="Heading30"/>
      </w:pPr>
      <w:r w:rsidRPr="00186CEE">
        <w:t>Compulsory property acquisitions</w:t>
      </w:r>
    </w:p>
    <w:p w14:paraId="6A0D731B" w14:textId="77777777" w:rsidR="00964B88" w:rsidRPr="00186CEE" w:rsidRDefault="00964B88" w:rsidP="00F53820">
      <w:pPr>
        <w:ind w:right="-71"/>
      </w:pPr>
      <w:r w:rsidRPr="00186CEE">
        <w:t xml:space="preserve">The State has compulsorily acquired a number of properties (residential and commercial) through the </w:t>
      </w:r>
      <w:r w:rsidRPr="00186CEE">
        <w:rPr>
          <w:i/>
        </w:rPr>
        <w:t>Land Acquisition and Compensation Act 1986</w:t>
      </w:r>
      <w:r w:rsidRPr="00186CEE">
        <w:t xml:space="preserve"> to facilitate delivery of various projects. Possible future claims for compensation arising from the compulsory acquisition of these properties cannot be quantified at this stage.</w:t>
      </w:r>
    </w:p>
    <w:p w14:paraId="2105BEEF" w14:textId="77777777" w:rsidR="00964B88" w:rsidRPr="00186CEE" w:rsidRDefault="00964B88" w:rsidP="00F53820">
      <w:pPr>
        <w:pStyle w:val="Heading30"/>
      </w:pPr>
      <w:r w:rsidRPr="00186CEE">
        <w:t>Land remediation – environmental concerns</w:t>
      </w:r>
    </w:p>
    <w:p w14:paraId="747A8E6B" w14:textId="77777777" w:rsidR="00964B88" w:rsidRPr="00186CEE" w:rsidRDefault="00964B88" w:rsidP="003951F6">
      <w:pPr>
        <w:ind w:right="340"/>
      </w:pPr>
      <w:r w:rsidRPr="00186CEE">
        <w:t xml:space="preserve">In addition to properties for which remediation costs have been provided in the State’s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contamination is identified. </w:t>
      </w:r>
    </w:p>
    <w:p w14:paraId="1CB69689" w14:textId="77777777" w:rsidR="00964B88" w:rsidRPr="00186CEE" w:rsidRDefault="00964B88" w:rsidP="00F53820">
      <w:pPr>
        <w:ind w:right="-71"/>
      </w:pPr>
    </w:p>
    <w:p w14:paraId="23B9BC65" w14:textId="77777777" w:rsidR="00964B88" w:rsidRPr="00186CEE" w:rsidRDefault="00964B88" w:rsidP="00F53820">
      <w:pPr>
        <w:pStyle w:val="Heading30"/>
      </w:pPr>
      <w:r w:rsidRPr="00186CEE">
        <w:lastRenderedPageBreak/>
        <w:t>Royal Melbourne Showgrounds redevelopment</w:t>
      </w:r>
    </w:p>
    <w:p w14:paraId="277D3221" w14:textId="77777777" w:rsidR="00964B88" w:rsidRPr="00186CEE" w:rsidRDefault="00964B88" w:rsidP="00F53820">
      <w:pPr>
        <w:ind w:right="-71"/>
      </w:pPr>
      <w:r w:rsidRPr="00186CEE">
        <w:t>Under the State’s commitment to the Royal Agriculture Society of Victoria (RASV), the State backs certain obligations of RASV that may arise out of the joint venture agreement between RASV and the State. Under the State’s commitment to RASV, the State will pay (in the form of a loan) the amount requested by RASV. If any outstanding loan amount remains unpaid at the date 25 years after the operation term has commenced, RASV will be obliged to satisfy the outstanding loan amount. This may take the form of a transfer to the State, of the whole of the RASV participating interest in the joint venture.</w:t>
      </w:r>
    </w:p>
    <w:p w14:paraId="08F8E1C0" w14:textId="77777777" w:rsidR="00964B88" w:rsidRPr="00186CEE" w:rsidRDefault="00964B88" w:rsidP="00F53820">
      <w:pPr>
        <w:ind w:right="-71"/>
      </w:pPr>
      <w:r w:rsidRPr="00186CEE">
        <w:t xml:space="preserve">Under the State Support Deed – Core Land, the State has undertaken to ensure the performance of the payment obligations in favour of the Concessionaire and the performance of the joint venture financial obligations in favour of the security trustee. </w:t>
      </w:r>
    </w:p>
    <w:p w14:paraId="4EF93A59" w14:textId="77777777" w:rsidR="00964B88" w:rsidRPr="00186CEE" w:rsidRDefault="00964B88" w:rsidP="003951F6">
      <w:pPr>
        <w:ind w:right="-86"/>
      </w:pPr>
      <w:r w:rsidRPr="00186CEE">
        <w:t>The State has also entered into an agreement through the State Support Deed – Non Core Land with Showgrounds Retail Developments Pty Ltd and the RASV, whereby the State agrees to support certain payment obligations of the RASV that may arise under the non</w:t>
      </w:r>
      <w:r w:rsidR="003951F6">
        <w:noBreakHyphen/>
      </w:r>
      <w:r w:rsidRPr="00186CEE">
        <w:t>core development agreement.</w:t>
      </w:r>
    </w:p>
    <w:p w14:paraId="4A4039A1" w14:textId="77777777" w:rsidR="00964B88" w:rsidRPr="00186CEE" w:rsidRDefault="00964B88" w:rsidP="00F53820">
      <w:pPr>
        <w:pStyle w:val="Heading30"/>
      </w:pPr>
      <w:r w:rsidRPr="00186CEE">
        <w:t>Native Title</w:t>
      </w:r>
    </w:p>
    <w:p w14:paraId="1CEFB267" w14:textId="77777777" w:rsidR="00964B88" w:rsidRPr="00186CEE" w:rsidRDefault="00964B88" w:rsidP="003951F6">
      <w:pPr>
        <w:ind w:right="198"/>
      </w:pPr>
      <w:r w:rsidRPr="00186CEE">
        <w:t xml:space="preserve">A number of claims have been filed in the Federal Court under the Commonwealth </w:t>
      </w:r>
      <w:r w:rsidRPr="00186CEE">
        <w:rPr>
          <w:i/>
        </w:rPr>
        <w:t>Native Title Act 1993</w:t>
      </w:r>
      <w:r w:rsidRPr="00186CEE">
        <w:t xml:space="preserve"> that affect Victoria. It is not feasible at this time to quantify any future liability. </w:t>
      </w:r>
    </w:p>
    <w:p w14:paraId="329BD5E3" w14:textId="77777777" w:rsidR="00964B88" w:rsidRPr="00186CEE" w:rsidRDefault="00964B88" w:rsidP="00F53820">
      <w:pPr>
        <w:pStyle w:val="Heading30"/>
      </w:pPr>
      <w:r w:rsidRPr="00186CEE">
        <w:t>Motor Vehicle Duty</w:t>
      </w:r>
    </w:p>
    <w:p w14:paraId="1F692F59" w14:textId="77777777" w:rsidR="00964B88" w:rsidRPr="00186CEE" w:rsidRDefault="00964B88" w:rsidP="00F53820">
      <w:pPr>
        <w:ind w:right="-71"/>
      </w:pPr>
      <w:r w:rsidRPr="00186CEE">
        <w:t>A plaintiff has issued proceedings in the High Court against the State of Victoria and the Commissioner of State Revenue, challenging the constitutional validity of motor vehicle duty on applications for registrations of new motor vehicles and seeking restitution for any duty unlawfully collected by the Commissioner.</w:t>
      </w:r>
    </w:p>
    <w:p w14:paraId="214A208E" w14:textId="77777777" w:rsidR="00964B88" w:rsidRPr="00186CEE" w:rsidRDefault="00964B88" w:rsidP="00F53820">
      <w:pPr>
        <w:ind w:right="-71"/>
      </w:pPr>
      <w:r w:rsidRPr="00186CEE">
        <w:t>The proceedings are at an early stage and accordingly it is not feasible at this time to quantify any future liability.</w:t>
      </w:r>
    </w:p>
    <w:p w14:paraId="33CFBC68" w14:textId="77777777" w:rsidR="00964B88" w:rsidRDefault="00964B88">
      <w:pPr>
        <w:keepLines w:val="0"/>
        <w:rPr>
          <w:rFonts w:asciiTheme="majorHAnsi" w:eastAsiaTheme="majorEastAsia" w:hAnsiTheme="majorHAnsi" w:cstheme="majorBidi"/>
          <w:b/>
          <w:bCs/>
          <w:spacing w:val="-2"/>
          <w:szCs w:val="26"/>
        </w:rPr>
      </w:pPr>
      <w:r>
        <w:br w:type="page"/>
      </w:r>
    </w:p>
    <w:p w14:paraId="437BACEF" w14:textId="77777777" w:rsidR="00964B88" w:rsidRPr="00186CEE" w:rsidRDefault="00964B88" w:rsidP="00F53820">
      <w:pPr>
        <w:pStyle w:val="Heading30"/>
      </w:pPr>
      <w:r w:rsidRPr="00186CEE">
        <w:lastRenderedPageBreak/>
        <w:t>Victorian Managed Insurance Authority – insurance cover</w:t>
      </w:r>
    </w:p>
    <w:p w14:paraId="7AA62DC7" w14:textId="77777777" w:rsidR="00964B88" w:rsidRPr="00186CEE" w:rsidRDefault="00964B88" w:rsidP="003951F6">
      <w:pPr>
        <w:ind w:right="56"/>
      </w:pPr>
      <w:r w:rsidRPr="00186CEE">
        <w:t xml:space="preserve">The Victorian Managed Insurance Authority (VMIA) was established in 1996 as an insurer for State Government departments, participating bodies and other entities as defined under the </w:t>
      </w:r>
      <w:r w:rsidRPr="00186CEE">
        <w:rPr>
          <w:i/>
        </w:rPr>
        <w:t>Victorian Managed Insurance Authority Act 1996</w:t>
      </w:r>
      <w:r w:rsidRPr="00186CEE">
        <w:t xml:space="preserve">. The VMIA insures its clients for property, public and products liability, professional indemnity, contract works and domestic building insurance for the Victorian residential builders. </w:t>
      </w:r>
    </w:p>
    <w:p w14:paraId="54372D25" w14:textId="77777777" w:rsidR="00964B88" w:rsidRPr="00186CEE" w:rsidRDefault="00964B88" w:rsidP="00F53820">
      <w:r w:rsidRPr="00186CEE">
        <w:t xml:space="preserve">The VMIA reinsures in the private market for losses above $50 million arising out of any one occurrence, up to a limit of $950 million for public and products liability, and for losses above $50 million arising out of any one event, up to a limit of $3.6 billion for property. Further, the VMIA reinsures in the private market for losses above $10 million arising out of any one event, up to a limit of $1.5 billion for terrorism. The risk of losses above these reinsured levels is borne by the State. </w:t>
      </w:r>
    </w:p>
    <w:p w14:paraId="63CBB609" w14:textId="77777777" w:rsidR="00964B88" w:rsidRDefault="00964B88" w:rsidP="00D86C2F">
      <w:pPr>
        <w:ind w:right="-86"/>
      </w:pPr>
      <w:r w:rsidRPr="00186CEE">
        <w:t xml:space="preserve">The VMIA also insures the Department of Health and Human Services for all public sector medical indemnity claims incurred in each policy year from 1 July </w:t>
      </w:r>
      <w:r>
        <w:t>2003</w:t>
      </w:r>
      <w:r w:rsidRPr="00186CEE">
        <w:t>, regardless of when claims are finally settled. Under the indemnity deed to provide stop loss protection for the VMIA, the Department of Treasury and Finance has agreed to reimburse the VMIA if the ultimate claims payouts in any policy year from 1 July 2003 exceed the initial estimate, on which the risk premium was based, by more than 20 per cent.</w:t>
      </w:r>
    </w:p>
    <w:p w14:paraId="1913700E" w14:textId="77777777" w:rsidR="003951F6" w:rsidRDefault="003951F6">
      <w:pPr>
        <w:keepLines w:val="0"/>
      </w:pPr>
    </w:p>
    <w:p w14:paraId="19BE9B6F" w14:textId="77777777" w:rsidR="003951F6" w:rsidRDefault="003951F6" w:rsidP="0052294D"/>
    <w:p w14:paraId="405DBCB4" w14:textId="77777777" w:rsidR="003951F6" w:rsidRDefault="003951F6" w:rsidP="0052294D">
      <w:pPr>
        <w:sectPr w:rsidR="003951F6" w:rsidSect="009B6CF1">
          <w:headerReference w:type="even" r:id="rId80"/>
          <w:headerReference w:type="default" r:id="rId81"/>
          <w:footerReference w:type="even" r:id="rId82"/>
          <w:footerReference w:type="default" r:id="rId83"/>
          <w:headerReference w:type="first" r:id="rId84"/>
          <w:footerReference w:type="first" r:id="rId85"/>
          <w:pgSz w:w="9979" w:h="14175" w:code="34"/>
          <w:pgMar w:top="851" w:right="1134" w:bottom="851" w:left="1134" w:header="624" w:footer="567" w:gutter="0"/>
          <w:cols w:sep="1" w:space="567"/>
          <w:docGrid w:linePitch="360"/>
        </w:sectPr>
      </w:pPr>
    </w:p>
    <w:p w14:paraId="671D14E3" w14:textId="77777777" w:rsidR="00964B88" w:rsidRDefault="00964B88" w:rsidP="00495025">
      <w:pPr>
        <w:pStyle w:val="Chapterheading"/>
      </w:pPr>
      <w:bookmarkStart w:id="134" w:name="_Toc26788551"/>
      <w:r>
        <w:lastRenderedPageBreak/>
        <w:t>Appendix A – Specific policy initiatives affecting budget position</w:t>
      </w:r>
      <w:bookmarkEnd w:id="134"/>
    </w:p>
    <w:p w14:paraId="61B73DF3" w14:textId="77777777" w:rsidR="00964B88" w:rsidRDefault="00964B88" w:rsidP="00F53820">
      <w:r>
        <w:t xml:space="preserve">Appendix A outlines specific policy initiatives that affect outputs and assets, including Treasurer’s Advances, agreed by the Government since the </w:t>
      </w:r>
      <w:r>
        <w:rPr>
          <w:i/>
        </w:rPr>
        <w:t>2019-20 Budget</w:t>
      </w:r>
      <w:r>
        <w:t>.</w:t>
      </w:r>
    </w:p>
    <w:p w14:paraId="4DD08C49" w14:textId="77777777" w:rsidR="00964B88" w:rsidRDefault="00964B88" w:rsidP="00F53820">
      <w:r>
        <w:t>The following tables provide details of output and asset initiatives for departments.</w:t>
      </w:r>
    </w:p>
    <w:p w14:paraId="54A2B3C5" w14:textId="77777777" w:rsidR="00964B88" w:rsidRDefault="00964B88" w:rsidP="00F53820">
      <w:r>
        <w:t>Appendix A also includes a cross reference between initiatives and their relevant departmental outputs, which indicates the impact of policy decisions on relevant portfolios.</w:t>
      </w:r>
    </w:p>
    <w:p w14:paraId="00D771F3" w14:textId="77777777" w:rsidR="00964B88" w:rsidRDefault="00964B88" w:rsidP="00F53820">
      <w:r>
        <w:t>The figures included are the gross costs of decisions. Funding from reprioritisation and other sources has not been deducted from the total cost of new initiatives.</w:t>
      </w:r>
    </w:p>
    <w:p w14:paraId="643B2189" w14:textId="77777777" w:rsidR="00964B88" w:rsidRPr="00B30F8D" w:rsidRDefault="00964B88" w:rsidP="00F53820">
      <w:pPr>
        <w:jc w:val="center"/>
        <w:rPr>
          <w:rFonts w:eastAsia="Times New Roman" w:cs="Times New Roman"/>
        </w:rPr>
      </w:pPr>
    </w:p>
    <w:p w14:paraId="4B826FB1" w14:textId="77777777" w:rsidR="00964B88" w:rsidRDefault="00964B88">
      <w:pPr>
        <w:keepLines w:val="0"/>
      </w:pPr>
      <w:r>
        <w:br w:type="page"/>
      </w:r>
    </w:p>
    <w:p w14:paraId="6603C652" w14:textId="77777777" w:rsidR="00964B88" w:rsidRDefault="00964B88" w:rsidP="0073799D">
      <w:pPr>
        <w:pStyle w:val="Heading1Non-TOC"/>
      </w:pPr>
      <w:bookmarkStart w:id="135" w:name="_Toc500179545"/>
      <w:bookmarkStart w:id="136" w:name="_Toc500435587"/>
      <w:r>
        <w:lastRenderedPageBreak/>
        <w:t>Whole of Government – Additional support for drought</w:t>
      </w:r>
      <w:r>
        <w:noBreakHyphen/>
        <w:t>affected farmers</w:t>
      </w:r>
    </w:p>
    <w:p w14:paraId="39DC1CA5" w14:textId="77777777" w:rsidR="00964B88" w:rsidRPr="006D135B" w:rsidRDefault="00964B88" w:rsidP="00F53820">
      <w:pPr>
        <w:pStyle w:val="TableHeading"/>
        <w:spacing w:before="180"/>
        <w:rPr>
          <w:lang w:eastAsia="en-AU"/>
        </w:rPr>
      </w:pPr>
      <w:r>
        <w:rPr>
          <w:lang w:eastAsia="en-AU"/>
        </w:rPr>
        <w:t xml:space="preserve">Table A.1: </w:t>
      </w:r>
      <w:r>
        <w:rPr>
          <w:lang w:eastAsia="en-AU"/>
        </w:rPr>
        <w:tab/>
        <w:t xml:space="preserve">Output initiatives – Additional support for drought-affected farmers </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964B88" w:rsidRPr="001D5F3C" w14:paraId="4232E7AC"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14:paraId="4C43AC26" w14:textId="77777777" w:rsidR="00964B88" w:rsidRPr="001D5F3C" w:rsidRDefault="00964B88" w:rsidP="00F53820">
            <w:pPr>
              <w:keepLines w:val="0"/>
              <w:autoSpaceDE w:val="0"/>
              <w:autoSpaceDN w:val="0"/>
              <w:adjustRightInd w:val="0"/>
              <w:rPr>
                <w:rFonts w:eastAsiaTheme="minorEastAsia" w:cstheme="majorHAnsi"/>
                <w:color w:val="FFFFFF"/>
                <w:szCs w:val="20"/>
                <w:lang w:eastAsia="en-AU"/>
              </w:rPr>
            </w:pPr>
            <w:r w:rsidRPr="001D5F3C">
              <w:rPr>
                <w:rFonts w:eastAsiaTheme="minorEastAsia" w:cstheme="majorHAnsi"/>
                <w:color w:val="FFFFFF"/>
                <w:szCs w:val="20"/>
                <w:lang w:eastAsia="en-AU"/>
              </w:rPr>
              <w:t xml:space="preserve"> </w:t>
            </w:r>
          </w:p>
        </w:tc>
        <w:tc>
          <w:tcPr>
            <w:tcW w:w="850" w:type="dxa"/>
            <w:tcBorders>
              <w:top w:val="nil"/>
              <w:left w:val="nil"/>
              <w:bottom w:val="nil"/>
              <w:right w:val="nil"/>
            </w:tcBorders>
            <w:shd w:val="solid" w:color="000000" w:fill="auto"/>
          </w:tcPr>
          <w:p w14:paraId="5B300F36"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2019-20</w:t>
            </w:r>
          </w:p>
        </w:tc>
        <w:tc>
          <w:tcPr>
            <w:tcW w:w="850" w:type="dxa"/>
            <w:tcBorders>
              <w:top w:val="nil"/>
              <w:left w:val="nil"/>
              <w:bottom w:val="nil"/>
              <w:right w:val="nil"/>
            </w:tcBorders>
            <w:shd w:val="solid" w:color="000000" w:fill="auto"/>
          </w:tcPr>
          <w:p w14:paraId="5DC4698D"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2020-21</w:t>
            </w:r>
          </w:p>
        </w:tc>
        <w:tc>
          <w:tcPr>
            <w:tcW w:w="850" w:type="dxa"/>
            <w:tcBorders>
              <w:top w:val="nil"/>
              <w:left w:val="nil"/>
              <w:bottom w:val="nil"/>
              <w:right w:val="nil"/>
            </w:tcBorders>
            <w:shd w:val="solid" w:color="000000" w:fill="auto"/>
          </w:tcPr>
          <w:p w14:paraId="53122561"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2021-22</w:t>
            </w:r>
          </w:p>
        </w:tc>
        <w:tc>
          <w:tcPr>
            <w:tcW w:w="850" w:type="dxa"/>
            <w:tcBorders>
              <w:top w:val="nil"/>
              <w:left w:val="nil"/>
              <w:bottom w:val="nil"/>
              <w:right w:val="nil"/>
            </w:tcBorders>
            <w:shd w:val="solid" w:color="000000" w:fill="auto"/>
          </w:tcPr>
          <w:p w14:paraId="7A30EE4D"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2022-23</w:t>
            </w:r>
          </w:p>
        </w:tc>
      </w:tr>
      <w:tr w:rsidR="00964B88" w:rsidRPr="001D5F3C" w14:paraId="4ED22A22"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35EE9A4F" w14:textId="77777777" w:rsidR="00964B88" w:rsidRPr="001D5F3C" w:rsidRDefault="00964B88" w:rsidP="00F53820">
            <w:pPr>
              <w:keepLines w:val="0"/>
              <w:autoSpaceDE w:val="0"/>
              <w:autoSpaceDN w:val="0"/>
              <w:adjustRightInd w:val="0"/>
              <w:rPr>
                <w:rFonts w:eastAsiaTheme="minorEastAsia" w:cstheme="majorHAnsi"/>
                <w:color w:val="000000"/>
                <w:szCs w:val="20"/>
                <w:lang w:eastAsia="en-AU"/>
              </w:rPr>
            </w:pPr>
            <w:r w:rsidRPr="001D5F3C">
              <w:rPr>
                <w:rFonts w:eastAsiaTheme="minorEastAsia" w:cstheme="majorHAnsi"/>
                <w:color w:val="000000"/>
                <w:szCs w:val="20"/>
                <w:lang w:eastAsia="en-AU"/>
              </w:rPr>
              <w:t>Additional support for drought-affected farmers</w:t>
            </w:r>
          </w:p>
        </w:tc>
        <w:tc>
          <w:tcPr>
            <w:tcW w:w="850" w:type="dxa"/>
            <w:tcBorders>
              <w:top w:val="nil"/>
              <w:left w:val="nil"/>
              <w:bottom w:val="nil"/>
              <w:right w:val="nil"/>
            </w:tcBorders>
          </w:tcPr>
          <w:p w14:paraId="1DA2A6F6"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808080"/>
                <w:szCs w:val="20"/>
                <w:lang w:eastAsia="en-AU"/>
              </w:rPr>
            </w:pPr>
            <w:r w:rsidRPr="001D5F3C">
              <w:rPr>
                <w:rFonts w:eastAsiaTheme="minorEastAsia" w:cstheme="majorHAnsi"/>
                <w:szCs w:val="20"/>
                <w:lang w:eastAsia="en-AU"/>
              </w:rPr>
              <w:t>36.0</w:t>
            </w:r>
          </w:p>
        </w:tc>
        <w:tc>
          <w:tcPr>
            <w:tcW w:w="850" w:type="dxa"/>
            <w:tcBorders>
              <w:top w:val="nil"/>
              <w:left w:val="nil"/>
              <w:bottom w:val="nil"/>
              <w:right w:val="nil"/>
            </w:tcBorders>
          </w:tcPr>
          <w:p w14:paraId="03EBF22E" w14:textId="77777777" w:rsidR="00964B88" w:rsidRPr="0030107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30107C">
              <w:rPr>
                <w:rFonts w:eastAsiaTheme="minorEastAsia" w:cstheme="majorHAnsi"/>
                <w:szCs w:val="20"/>
                <w:lang w:eastAsia="en-AU"/>
              </w:rPr>
              <w:t>..</w:t>
            </w:r>
          </w:p>
        </w:tc>
        <w:tc>
          <w:tcPr>
            <w:tcW w:w="850" w:type="dxa"/>
            <w:tcBorders>
              <w:top w:val="nil"/>
              <w:left w:val="nil"/>
              <w:bottom w:val="nil"/>
              <w:right w:val="nil"/>
            </w:tcBorders>
          </w:tcPr>
          <w:p w14:paraId="0DB674C7" w14:textId="77777777" w:rsidR="00964B88" w:rsidRPr="0030107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30107C">
              <w:rPr>
                <w:rFonts w:eastAsiaTheme="minorEastAsia" w:cstheme="majorHAnsi"/>
                <w:szCs w:val="20"/>
                <w:lang w:eastAsia="en-AU"/>
              </w:rPr>
              <w:t>..</w:t>
            </w:r>
          </w:p>
        </w:tc>
        <w:tc>
          <w:tcPr>
            <w:tcW w:w="850" w:type="dxa"/>
            <w:tcBorders>
              <w:top w:val="nil"/>
              <w:left w:val="nil"/>
              <w:bottom w:val="nil"/>
              <w:right w:val="nil"/>
            </w:tcBorders>
          </w:tcPr>
          <w:p w14:paraId="2BAAB443" w14:textId="77777777" w:rsidR="00964B88" w:rsidRPr="0030107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30107C">
              <w:rPr>
                <w:rFonts w:eastAsiaTheme="minorEastAsia" w:cstheme="majorHAnsi"/>
                <w:szCs w:val="20"/>
                <w:lang w:eastAsia="en-AU"/>
              </w:rPr>
              <w:t>..</w:t>
            </w:r>
          </w:p>
        </w:tc>
      </w:tr>
      <w:tr w:rsidR="00964B88" w:rsidRPr="001D5F3C" w14:paraId="03ACE0B2"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14:paraId="6FA7323D" w14:textId="77777777" w:rsidR="00964B88" w:rsidRPr="001D5F3C" w:rsidRDefault="00964B88" w:rsidP="00F53820">
            <w:pPr>
              <w:keepLines w:val="0"/>
              <w:autoSpaceDE w:val="0"/>
              <w:autoSpaceDN w:val="0"/>
              <w:adjustRightInd w:val="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Total output initiatives</w:t>
            </w:r>
          </w:p>
        </w:tc>
        <w:tc>
          <w:tcPr>
            <w:tcW w:w="850" w:type="dxa"/>
            <w:tcBorders>
              <w:top w:val="single" w:sz="6" w:space="0" w:color="auto"/>
              <w:bottom w:val="single" w:sz="12" w:space="0" w:color="auto"/>
            </w:tcBorders>
          </w:tcPr>
          <w:p w14:paraId="7C3F50D5"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36.0</w:t>
            </w:r>
          </w:p>
        </w:tc>
        <w:tc>
          <w:tcPr>
            <w:tcW w:w="850" w:type="dxa"/>
            <w:tcBorders>
              <w:top w:val="single" w:sz="6" w:space="0" w:color="auto"/>
              <w:bottom w:val="single" w:sz="12" w:space="0" w:color="auto"/>
            </w:tcBorders>
          </w:tcPr>
          <w:p w14:paraId="240CF331"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c>
          <w:tcPr>
            <w:tcW w:w="850" w:type="dxa"/>
            <w:tcBorders>
              <w:top w:val="single" w:sz="6" w:space="0" w:color="auto"/>
              <w:bottom w:val="single" w:sz="12" w:space="0" w:color="auto"/>
            </w:tcBorders>
          </w:tcPr>
          <w:p w14:paraId="1FDA635D"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c>
          <w:tcPr>
            <w:tcW w:w="850" w:type="dxa"/>
            <w:tcBorders>
              <w:top w:val="single" w:sz="6" w:space="0" w:color="auto"/>
              <w:bottom w:val="single" w:sz="12" w:space="0" w:color="auto"/>
            </w:tcBorders>
          </w:tcPr>
          <w:p w14:paraId="1822A1FB"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r>
    </w:tbl>
    <w:p w14:paraId="1A34BD38" w14:textId="77777777" w:rsidR="00964B88" w:rsidRPr="00697E16" w:rsidRDefault="00964B88" w:rsidP="00F53820">
      <w:pPr>
        <w:pStyle w:val="Heading30"/>
      </w:pPr>
      <w:r w:rsidRPr="00697E16">
        <w:t>Additional support for drought-affected farmers</w:t>
      </w:r>
    </w:p>
    <w:p w14:paraId="744BDBCA" w14:textId="77777777" w:rsidR="00964B88" w:rsidRPr="007A1B3C" w:rsidRDefault="00964B88" w:rsidP="00F53820">
      <w:r w:rsidRPr="007A1B3C">
        <w:t xml:space="preserve">The Government </w:t>
      </w:r>
      <w:r>
        <w:t>will continue to</w:t>
      </w:r>
      <w:r w:rsidRPr="007A1B3C">
        <w:t xml:space="preserve"> provid</w:t>
      </w:r>
      <w:r>
        <w:t>e</w:t>
      </w:r>
      <w:r w:rsidRPr="007A1B3C">
        <w:t xml:space="preserve"> support to farmers affected by drought and dry conditions </w:t>
      </w:r>
      <w:r>
        <w:t>in</w:t>
      </w:r>
      <w:r w:rsidRPr="007A1B3C">
        <w:t xml:space="preserve"> Central and East Gippsland, the Millewa region and the Goulburn</w:t>
      </w:r>
      <w:r>
        <w:t xml:space="preserve"> </w:t>
      </w:r>
      <w:r w:rsidRPr="007A1B3C">
        <w:t>Murray Irrigation District</w:t>
      </w:r>
      <w:r>
        <w:t xml:space="preserve"> by</w:t>
      </w:r>
      <w:r w:rsidRPr="007A1B3C">
        <w:t xml:space="preserve"> deliver</w:t>
      </w:r>
      <w:r>
        <w:t>ing</w:t>
      </w:r>
      <w:r w:rsidRPr="007A1B3C">
        <w:t xml:space="preserve"> immediate relief and build</w:t>
      </w:r>
      <w:r>
        <w:t xml:space="preserve">ing </w:t>
      </w:r>
      <w:r w:rsidRPr="007A1B3C">
        <w:t>longer</w:t>
      </w:r>
      <w:r>
        <w:noBreakHyphen/>
      </w:r>
      <w:r w:rsidRPr="007A1B3C">
        <w:t>term resilience to alleviate future drought and climate change impacts</w:t>
      </w:r>
      <w:r>
        <w:t xml:space="preserve">. </w:t>
      </w:r>
    </w:p>
    <w:p w14:paraId="1D3BDB68" w14:textId="77777777" w:rsidR="00964B88" w:rsidRDefault="00964B88" w:rsidP="00F53820">
      <w:r w:rsidRPr="001A22A8">
        <w:t>Support for farming businesses and families will be provided by establishing a Farmers’ Drought Fund and delivering Farm Business Management and Planning Support services. The Local Government Service Support Payments and the Community Priorities Fund will help the East Gippsland, Wellington and Mildura Shires to meet the immediate needs of their communities.</w:t>
      </w:r>
    </w:p>
    <w:p w14:paraId="1C5CE48C" w14:textId="77777777" w:rsidR="00964B88" w:rsidRDefault="00964B88" w:rsidP="00F53820">
      <w:r w:rsidRPr="001A22A8">
        <w:t>The Catchment Management Authority Drought Employment Program will also be extended to provide off-farm employment and training opportunities and improvements to emergency water supply points will be made, including establishing new points and upgrading existing sites for better access and water flow. Additional mental health support services will be made available for farmers and their employees.</w:t>
      </w:r>
    </w:p>
    <w:p w14:paraId="32B89871" w14:textId="77777777" w:rsidR="00964B88" w:rsidRDefault="00964B88" w:rsidP="00F53820">
      <w:bookmarkStart w:id="137" w:name="_Hlk25135288"/>
      <w:r>
        <w:t>T</w:t>
      </w:r>
      <w:r w:rsidRPr="00B078B7">
        <w:t>his initiative contributes to the</w:t>
      </w:r>
      <w:r>
        <w:t>:</w:t>
      </w:r>
    </w:p>
    <w:p w14:paraId="6EBCE8C3" w14:textId="77777777" w:rsidR="00964B88" w:rsidRDefault="00964B88" w:rsidP="00F53820">
      <w:pPr>
        <w:pStyle w:val="ListBullet"/>
      </w:pPr>
      <w:r w:rsidRPr="00B078B7">
        <w:t xml:space="preserve">Department of Environment, Land, Water and Planning’s </w:t>
      </w:r>
      <w:r>
        <w:t>Effective Water Management and Supply</w:t>
      </w:r>
      <w:r w:rsidRPr="00B078B7">
        <w:t xml:space="preserve"> output</w:t>
      </w:r>
      <w:r>
        <w:t>;</w:t>
      </w:r>
    </w:p>
    <w:p w14:paraId="603A6624" w14:textId="77777777" w:rsidR="00964B88" w:rsidRDefault="00964B88" w:rsidP="00F53820">
      <w:pPr>
        <w:pStyle w:val="ListBullet"/>
      </w:pPr>
      <w:r w:rsidRPr="00C908A5">
        <w:t xml:space="preserve">Department of </w:t>
      </w:r>
      <w:r>
        <w:t>Health and Human Services</w:t>
      </w:r>
      <w:r w:rsidRPr="00C908A5">
        <w:t xml:space="preserve">’ </w:t>
      </w:r>
      <w:bookmarkStart w:id="138" w:name="_Hlk25135354"/>
      <w:r>
        <w:t xml:space="preserve">Mental Health Community Support Services </w:t>
      </w:r>
      <w:bookmarkEnd w:id="138"/>
      <w:r w:rsidRPr="00C908A5">
        <w:t>output</w:t>
      </w:r>
      <w:r>
        <w:t>; and</w:t>
      </w:r>
    </w:p>
    <w:p w14:paraId="3B6D6319" w14:textId="77777777" w:rsidR="00964B88" w:rsidRDefault="00964B88" w:rsidP="00F53820">
      <w:pPr>
        <w:pStyle w:val="ListBullet"/>
      </w:pPr>
      <w:r w:rsidRPr="00C908A5">
        <w:t>Department of Jobs, Precincts and Regions’ Agriculture output.</w:t>
      </w:r>
    </w:p>
    <w:bookmarkEnd w:id="137"/>
    <w:p w14:paraId="6E7F7EC3" w14:textId="77777777" w:rsidR="00964B88" w:rsidRDefault="00964B88">
      <w:pPr>
        <w:keepLines w:val="0"/>
        <w:rPr>
          <w:lang w:eastAsia="en-AU"/>
        </w:rPr>
      </w:pPr>
      <w:r>
        <w:rPr>
          <w:lang w:eastAsia="en-AU"/>
        </w:rPr>
        <w:br w:type="page"/>
      </w:r>
    </w:p>
    <w:p w14:paraId="2C2EE006" w14:textId="77777777" w:rsidR="00964B88" w:rsidRPr="000F2829" w:rsidRDefault="00964B88" w:rsidP="0073799D">
      <w:pPr>
        <w:pStyle w:val="Heading1Non-TOC"/>
      </w:pPr>
      <w:r>
        <w:lastRenderedPageBreak/>
        <w:t>Whole of Government – Victorian Forestry Plan</w:t>
      </w:r>
    </w:p>
    <w:p w14:paraId="1D551049" w14:textId="77777777" w:rsidR="00964B88" w:rsidRPr="006D135B" w:rsidRDefault="00964B88" w:rsidP="00F53820">
      <w:pPr>
        <w:pStyle w:val="TableHeading"/>
        <w:spacing w:before="180"/>
        <w:rPr>
          <w:lang w:eastAsia="en-AU"/>
        </w:rPr>
      </w:pPr>
      <w:r>
        <w:rPr>
          <w:lang w:eastAsia="en-AU"/>
        </w:rPr>
        <w:t>Table A.2:</w:t>
      </w:r>
      <w:r>
        <w:rPr>
          <w:lang w:eastAsia="en-AU"/>
        </w:rPr>
        <w:tab/>
        <w:t>Output initiatives – Victorian Forestry Plan</w:t>
      </w:r>
      <w:r>
        <w:rPr>
          <w:lang w:eastAsia="en-AU"/>
        </w:rPr>
        <w:tab/>
        <w:t xml:space="preserve"> ($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964B88" w:rsidRPr="001D5F3C" w14:paraId="5ABA984C"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14:paraId="635E8CA5" w14:textId="77777777" w:rsidR="00964B88" w:rsidRPr="001D5F3C" w:rsidRDefault="00964B88" w:rsidP="00F53820">
            <w:pPr>
              <w:keepLines w:val="0"/>
              <w:autoSpaceDE w:val="0"/>
              <w:autoSpaceDN w:val="0"/>
              <w:adjustRightInd w:val="0"/>
              <w:rPr>
                <w:rFonts w:eastAsiaTheme="minorEastAsia" w:cstheme="majorHAnsi"/>
                <w:color w:val="FFFFFF"/>
                <w:szCs w:val="20"/>
                <w:lang w:eastAsia="en-AU"/>
              </w:rPr>
            </w:pPr>
            <w:r w:rsidRPr="001D5F3C">
              <w:rPr>
                <w:rFonts w:eastAsiaTheme="minorEastAsia" w:cstheme="majorHAnsi"/>
                <w:color w:val="FFFFFF"/>
                <w:szCs w:val="20"/>
                <w:lang w:eastAsia="en-AU"/>
              </w:rPr>
              <w:t xml:space="preserve"> </w:t>
            </w:r>
          </w:p>
        </w:tc>
        <w:tc>
          <w:tcPr>
            <w:tcW w:w="850" w:type="dxa"/>
            <w:tcBorders>
              <w:top w:val="nil"/>
              <w:left w:val="nil"/>
              <w:bottom w:val="nil"/>
              <w:right w:val="nil"/>
            </w:tcBorders>
            <w:shd w:val="solid" w:color="000000" w:fill="auto"/>
          </w:tcPr>
          <w:p w14:paraId="3D4684C3"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2019-20</w:t>
            </w:r>
          </w:p>
        </w:tc>
        <w:tc>
          <w:tcPr>
            <w:tcW w:w="850" w:type="dxa"/>
            <w:tcBorders>
              <w:top w:val="nil"/>
              <w:left w:val="nil"/>
              <w:bottom w:val="nil"/>
              <w:right w:val="nil"/>
            </w:tcBorders>
            <w:shd w:val="solid" w:color="000000" w:fill="auto"/>
          </w:tcPr>
          <w:p w14:paraId="555FF91E"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2020-21</w:t>
            </w:r>
          </w:p>
        </w:tc>
        <w:tc>
          <w:tcPr>
            <w:tcW w:w="850" w:type="dxa"/>
            <w:tcBorders>
              <w:top w:val="nil"/>
              <w:left w:val="nil"/>
              <w:bottom w:val="nil"/>
              <w:right w:val="nil"/>
            </w:tcBorders>
            <w:shd w:val="solid" w:color="000000" w:fill="auto"/>
          </w:tcPr>
          <w:p w14:paraId="5DE4CA4A"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2021-22</w:t>
            </w:r>
          </w:p>
        </w:tc>
        <w:tc>
          <w:tcPr>
            <w:tcW w:w="850" w:type="dxa"/>
            <w:tcBorders>
              <w:top w:val="nil"/>
              <w:left w:val="nil"/>
              <w:bottom w:val="nil"/>
              <w:right w:val="nil"/>
            </w:tcBorders>
            <w:shd w:val="solid" w:color="000000" w:fill="auto"/>
          </w:tcPr>
          <w:p w14:paraId="2D316348"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2022-23</w:t>
            </w:r>
          </w:p>
        </w:tc>
      </w:tr>
      <w:tr w:rsidR="00964B88" w:rsidRPr="001D5F3C" w14:paraId="118B5597"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43717EF7" w14:textId="5B6EA1B6" w:rsidR="00964B88" w:rsidRPr="001D5F3C" w:rsidRDefault="00964B88" w:rsidP="00F53820">
            <w:pPr>
              <w:keepLines w:val="0"/>
              <w:autoSpaceDE w:val="0"/>
              <w:autoSpaceDN w:val="0"/>
              <w:adjustRightInd w:val="0"/>
              <w:rPr>
                <w:rFonts w:eastAsiaTheme="minorEastAsia" w:cstheme="majorHAnsi"/>
                <w:color w:val="000000"/>
                <w:szCs w:val="20"/>
                <w:lang w:eastAsia="en-AU"/>
              </w:rPr>
            </w:pPr>
            <w:r w:rsidRPr="001D5F3C">
              <w:rPr>
                <w:rFonts w:eastAsiaTheme="minorEastAsia" w:cstheme="majorHAnsi"/>
                <w:color w:val="000000"/>
                <w:szCs w:val="20"/>
                <w:lang w:eastAsia="en-AU"/>
              </w:rPr>
              <w:t>Victorian Forestry Plan</w:t>
            </w:r>
            <w:r w:rsidR="00CA35AE">
              <w:rPr>
                <w:rFonts w:eastAsiaTheme="minorEastAsia" w:cstheme="majorHAnsi"/>
                <w:color w:val="000000"/>
                <w:szCs w:val="20"/>
                <w:lang w:eastAsia="en-AU"/>
              </w:rPr>
              <w:t xml:space="preserve"> </w:t>
            </w:r>
            <w:r w:rsidR="00CA35AE" w:rsidRPr="00CA35AE">
              <w:rPr>
                <w:rFonts w:eastAsiaTheme="minorEastAsia" w:cstheme="majorHAnsi"/>
                <w:color w:val="000000"/>
                <w:szCs w:val="20"/>
                <w:vertAlign w:val="superscript"/>
                <w:lang w:eastAsia="en-AU"/>
              </w:rPr>
              <w:t>(a)</w:t>
            </w:r>
          </w:p>
        </w:tc>
        <w:tc>
          <w:tcPr>
            <w:tcW w:w="850" w:type="dxa"/>
            <w:tcBorders>
              <w:top w:val="nil"/>
              <w:left w:val="nil"/>
              <w:bottom w:val="nil"/>
              <w:right w:val="nil"/>
            </w:tcBorders>
          </w:tcPr>
          <w:p w14:paraId="74209E06"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1D5F3C">
              <w:rPr>
                <w:rFonts w:eastAsiaTheme="minorEastAsia" w:cstheme="majorHAnsi"/>
                <w:szCs w:val="20"/>
                <w:lang w:eastAsia="en-AU"/>
              </w:rPr>
              <w:t>21.3</w:t>
            </w:r>
          </w:p>
        </w:tc>
        <w:tc>
          <w:tcPr>
            <w:tcW w:w="850" w:type="dxa"/>
            <w:tcBorders>
              <w:top w:val="nil"/>
              <w:left w:val="nil"/>
              <w:bottom w:val="nil"/>
              <w:right w:val="nil"/>
            </w:tcBorders>
          </w:tcPr>
          <w:p w14:paraId="225B3348"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1D5F3C">
              <w:rPr>
                <w:rFonts w:eastAsiaTheme="minorEastAsia" w:cstheme="majorHAnsi"/>
                <w:szCs w:val="20"/>
                <w:lang w:eastAsia="en-AU"/>
              </w:rPr>
              <w:t>13.7</w:t>
            </w:r>
          </w:p>
        </w:tc>
        <w:tc>
          <w:tcPr>
            <w:tcW w:w="850" w:type="dxa"/>
            <w:tcBorders>
              <w:top w:val="nil"/>
              <w:left w:val="nil"/>
              <w:bottom w:val="nil"/>
              <w:right w:val="nil"/>
            </w:tcBorders>
          </w:tcPr>
          <w:p w14:paraId="1FCB289A"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1D5F3C">
              <w:rPr>
                <w:rFonts w:eastAsiaTheme="minorEastAsia" w:cstheme="majorHAnsi"/>
                <w:szCs w:val="20"/>
                <w:lang w:eastAsia="en-AU"/>
              </w:rPr>
              <w:t>10.6</w:t>
            </w:r>
          </w:p>
        </w:tc>
        <w:tc>
          <w:tcPr>
            <w:tcW w:w="850" w:type="dxa"/>
            <w:tcBorders>
              <w:top w:val="nil"/>
              <w:left w:val="nil"/>
              <w:bottom w:val="nil"/>
              <w:right w:val="nil"/>
            </w:tcBorders>
          </w:tcPr>
          <w:p w14:paraId="4FE14E72"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1D5F3C">
              <w:rPr>
                <w:rFonts w:eastAsiaTheme="minorEastAsia" w:cstheme="majorHAnsi"/>
                <w:szCs w:val="20"/>
                <w:lang w:eastAsia="en-AU"/>
              </w:rPr>
              <w:t>10.0</w:t>
            </w:r>
          </w:p>
        </w:tc>
      </w:tr>
      <w:tr w:rsidR="00964B88" w:rsidRPr="001D5F3C" w14:paraId="21251D24"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14:paraId="295F4418" w14:textId="77777777" w:rsidR="00964B88" w:rsidRPr="001D5F3C" w:rsidRDefault="00964B88" w:rsidP="00F53820">
            <w:pPr>
              <w:keepLines w:val="0"/>
              <w:autoSpaceDE w:val="0"/>
              <w:autoSpaceDN w:val="0"/>
              <w:adjustRightInd w:val="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Total output initiatives</w:t>
            </w:r>
          </w:p>
        </w:tc>
        <w:tc>
          <w:tcPr>
            <w:tcW w:w="850" w:type="dxa"/>
            <w:tcBorders>
              <w:top w:val="single" w:sz="6" w:space="0" w:color="auto"/>
              <w:bottom w:val="single" w:sz="12" w:space="0" w:color="auto"/>
            </w:tcBorders>
          </w:tcPr>
          <w:p w14:paraId="46C41613"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21.3</w:t>
            </w:r>
          </w:p>
        </w:tc>
        <w:tc>
          <w:tcPr>
            <w:tcW w:w="850" w:type="dxa"/>
            <w:tcBorders>
              <w:top w:val="single" w:sz="6" w:space="0" w:color="auto"/>
              <w:bottom w:val="single" w:sz="12" w:space="0" w:color="auto"/>
            </w:tcBorders>
          </w:tcPr>
          <w:p w14:paraId="6B8FAA12"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13.7</w:t>
            </w:r>
          </w:p>
        </w:tc>
        <w:tc>
          <w:tcPr>
            <w:tcW w:w="850" w:type="dxa"/>
            <w:tcBorders>
              <w:top w:val="single" w:sz="6" w:space="0" w:color="auto"/>
              <w:bottom w:val="single" w:sz="12" w:space="0" w:color="auto"/>
            </w:tcBorders>
          </w:tcPr>
          <w:p w14:paraId="017C6636"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10.6</w:t>
            </w:r>
          </w:p>
        </w:tc>
        <w:tc>
          <w:tcPr>
            <w:tcW w:w="850" w:type="dxa"/>
            <w:tcBorders>
              <w:top w:val="single" w:sz="6" w:space="0" w:color="auto"/>
              <w:bottom w:val="single" w:sz="12" w:space="0" w:color="auto"/>
            </w:tcBorders>
          </w:tcPr>
          <w:p w14:paraId="1C69C7DD"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10.0</w:t>
            </w:r>
          </w:p>
        </w:tc>
      </w:tr>
    </w:tbl>
    <w:p w14:paraId="034ED239" w14:textId="245F95EE" w:rsidR="00CA35AE" w:rsidRDefault="00CA35AE" w:rsidP="00CA35AE">
      <w:pPr>
        <w:pStyle w:val="Note"/>
        <w:rPr>
          <w:lang w:eastAsia="en-AU"/>
        </w:rPr>
      </w:pPr>
      <w:r>
        <w:rPr>
          <w:lang w:eastAsia="en-AU"/>
        </w:rPr>
        <w:t>Note:</w:t>
      </w:r>
    </w:p>
    <w:p w14:paraId="0207A408" w14:textId="64D3F8C4" w:rsidR="00CA35AE" w:rsidRDefault="00CA35AE" w:rsidP="00CA35AE">
      <w:pPr>
        <w:pStyle w:val="Note"/>
        <w:rPr>
          <w:lang w:eastAsia="en-AU"/>
        </w:rPr>
      </w:pPr>
      <w:r>
        <w:rPr>
          <w:lang w:eastAsia="en-AU"/>
        </w:rPr>
        <w:t>(a)</w:t>
      </w:r>
      <w:r>
        <w:rPr>
          <w:lang w:eastAsia="en-AU"/>
        </w:rPr>
        <w:tab/>
      </w:r>
      <w:r w:rsidRPr="00CA35AE">
        <w:rPr>
          <w:lang w:eastAsia="en-AU"/>
        </w:rPr>
        <w:t>This initiative includes funding beyond the forward estimates</w:t>
      </w:r>
      <w:r>
        <w:rPr>
          <w:lang w:eastAsia="en-AU"/>
        </w:rPr>
        <w:t>.</w:t>
      </w:r>
    </w:p>
    <w:p w14:paraId="27DBA15E" w14:textId="3E3E9E61" w:rsidR="00964B88" w:rsidRDefault="00964B88" w:rsidP="00F53820">
      <w:pPr>
        <w:pStyle w:val="Heading30"/>
        <w:rPr>
          <w:lang w:eastAsia="en-AU"/>
        </w:rPr>
      </w:pPr>
      <w:r w:rsidRPr="006D135B">
        <w:rPr>
          <w:lang w:eastAsia="en-AU"/>
        </w:rPr>
        <w:t xml:space="preserve">Victorian Forestry Plan </w:t>
      </w:r>
    </w:p>
    <w:p w14:paraId="2FCA6695" w14:textId="16BE28ED" w:rsidR="00964B88" w:rsidRDefault="00CA35AE" w:rsidP="003951F6">
      <w:pPr>
        <w:ind w:right="340"/>
      </w:pPr>
      <w:r w:rsidRPr="00CA35AE">
        <w:t>Funding will be provided for a transition package of more than $120 million to support a sustainable Victorian timber industry following the immediate cessation of logging of old growth forest in November 2019 and the phasing out of all timber harvesting in State forests by 2030. These measures will help support the timber industry transition to plantation timber and protect old growth forests and critically endangered fauna.</w:t>
      </w:r>
    </w:p>
    <w:p w14:paraId="02CE32A5" w14:textId="77777777" w:rsidR="00964B88" w:rsidRPr="00812343" w:rsidRDefault="00964B88" w:rsidP="00F53820">
      <w:pPr>
        <w:rPr>
          <w:highlight w:val="yellow"/>
        </w:rPr>
      </w:pPr>
      <w:r>
        <w:t>The</w:t>
      </w:r>
      <w:r w:rsidRPr="00F379CF">
        <w:t xml:space="preserve"> business, worker and community transition</w:t>
      </w:r>
      <w:r>
        <w:t xml:space="preserve"> support </w:t>
      </w:r>
      <w:r w:rsidRPr="00F379CF">
        <w:t xml:space="preserve">package will </w:t>
      </w:r>
      <w:r>
        <w:t>deliver</w:t>
      </w:r>
      <w:r w:rsidRPr="00F379CF">
        <w:t>:</w:t>
      </w:r>
      <w:r w:rsidRPr="00812343">
        <w:rPr>
          <w:highlight w:val="yellow"/>
        </w:rPr>
        <w:t xml:space="preserve">  </w:t>
      </w:r>
    </w:p>
    <w:p w14:paraId="3B798ADE" w14:textId="77777777" w:rsidR="00964B88" w:rsidRDefault="00964B88" w:rsidP="00F53820">
      <w:pPr>
        <w:pStyle w:val="ListBullet"/>
      </w:pPr>
      <w:r>
        <w:t xml:space="preserve">support for impacted workers through </w:t>
      </w:r>
      <w:r w:rsidRPr="00F379CF">
        <w:t>top</w:t>
      </w:r>
      <w:r>
        <w:t>-</w:t>
      </w:r>
      <w:r w:rsidRPr="00F379CF">
        <w:t>up redundancies</w:t>
      </w:r>
      <w:r>
        <w:t>, an extens</w:t>
      </w:r>
      <w:r w:rsidRPr="00841524">
        <w:t>ion to the Back</w:t>
      </w:r>
      <w:r w:rsidR="003951F6">
        <w:t> </w:t>
      </w:r>
      <w:r w:rsidRPr="00841524">
        <w:t>to Work scheme</w:t>
      </w:r>
      <w:r>
        <w:t xml:space="preserve">, </w:t>
      </w:r>
      <w:r w:rsidRPr="00F379CF">
        <w:t>retraining services</w:t>
      </w:r>
      <w:r>
        <w:t>,</w:t>
      </w:r>
      <w:r w:rsidRPr="00F379CF">
        <w:t xml:space="preserve"> </w:t>
      </w:r>
      <w:r>
        <w:t xml:space="preserve">mental health and wellbeing support </w:t>
      </w:r>
      <w:r w:rsidRPr="00F379CF">
        <w:t xml:space="preserve">and case management </w:t>
      </w:r>
      <w:r>
        <w:t>services</w:t>
      </w:r>
      <w:r w:rsidRPr="00F379CF">
        <w:t xml:space="preserve"> to assist impacted workers and their families find new job opportunities;</w:t>
      </w:r>
    </w:p>
    <w:p w14:paraId="40D13B35" w14:textId="77777777" w:rsidR="00964B88" w:rsidRPr="00F379CF" w:rsidRDefault="00964B88" w:rsidP="00F53820">
      <w:pPr>
        <w:pStyle w:val="ListBullet"/>
      </w:pPr>
      <w:r>
        <w:t>b</w:t>
      </w:r>
      <w:r w:rsidRPr="00841524">
        <w:t>usiness planning and transition support</w:t>
      </w:r>
      <w:r>
        <w:t>, including g</w:t>
      </w:r>
      <w:r w:rsidRPr="00F379CF">
        <w:t>rants to help leverage new innovative business opportunities and transition to new products and markets;</w:t>
      </w:r>
    </w:p>
    <w:p w14:paraId="35D93D2A" w14:textId="77777777" w:rsidR="00964B88" w:rsidRDefault="00964B88" w:rsidP="00F53820">
      <w:pPr>
        <w:pStyle w:val="ListBullet"/>
      </w:pPr>
      <w:r>
        <w:t>e</w:t>
      </w:r>
      <w:r w:rsidRPr="00F379CF">
        <w:t>conomic diversification planning and</w:t>
      </w:r>
      <w:r>
        <w:t xml:space="preserve"> the introduction of</w:t>
      </w:r>
      <w:r w:rsidRPr="00F379CF">
        <w:t xml:space="preserve"> a</w:t>
      </w:r>
      <w:r>
        <w:t xml:space="preserve"> new</w:t>
      </w:r>
      <w:r w:rsidRPr="00F379CF">
        <w:t xml:space="preserve"> Regional Growth Fund for economic</w:t>
      </w:r>
      <w:r>
        <w:t xml:space="preserve"> and community</w:t>
      </w:r>
      <w:r w:rsidRPr="00F379CF">
        <w:t xml:space="preserve"> development projects to generate economic activity and job growth in impacted regions</w:t>
      </w:r>
      <w:r>
        <w:t>; and</w:t>
      </w:r>
    </w:p>
    <w:p w14:paraId="6A0C5716" w14:textId="77777777" w:rsidR="00964B88" w:rsidRPr="00F379CF" w:rsidRDefault="00964B88" w:rsidP="00F53820">
      <w:pPr>
        <w:pStyle w:val="ListBullet"/>
      </w:pPr>
      <w:r>
        <w:t>i</w:t>
      </w:r>
      <w:r w:rsidRPr="004D494A">
        <w:t>mprovements to habitat and environmental condition</w:t>
      </w:r>
      <w:r>
        <w:t xml:space="preserve">s in designated Immediate Protection Areas to enhance </w:t>
      </w:r>
      <w:r w:rsidRPr="004D494A">
        <w:t xml:space="preserve">community </w:t>
      </w:r>
      <w:r>
        <w:t>access to</w:t>
      </w:r>
      <w:r w:rsidRPr="004D494A">
        <w:t xml:space="preserve"> camping and recreation facilities</w:t>
      </w:r>
      <w:r>
        <w:t>.</w:t>
      </w:r>
    </w:p>
    <w:p w14:paraId="7675D73B" w14:textId="77777777" w:rsidR="00964B88" w:rsidRPr="006D135B" w:rsidRDefault="00964B88" w:rsidP="00F53820">
      <w:r w:rsidRPr="006D135B">
        <w:t>This initiative contributes to the:</w:t>
      </w:r>
    </w:p>
    <w:p w14:paraId="21CEF662" w14:textId="77777777" w:rsidR="00964B88" w:rsidRPr="006D135B" w:rsidRDefault="00964B88" w:rsidP="00F53820">
      <w:pPr>
        <w:pStyle w:val="ListBullet"/>
      </w:pPr>
      <w:r w:rsidRPr="006D135B">
        <w:t xml:space="preserve">Department of Environment, Land, Water and Planning’s Management of Public Land and Forests output; and </w:t>
      </w:r>
    </w:p>
    <w:p w14:paraId="1BCEE27F" w14:textId="77777777" w:rsidR="00964B88" w:rsidRPr="006D135B" w:rsidRDefault="00964B88" w:rsidP="00F53820">
      <w:pPr>
        <w:pStyle w:val="ListBullet"/>
      </w:pPr>
      <w:r w:rsidRPr="006D135B">
        <w:t>Department of Jobs, Precincts and Regions’ Agriculture output.</w:t>
      </w:r>
    </w:p>
    <w:p w14:paraId="6AD3F441" w14:textId="77777777" w:rsidR="00964B88" w:rsidRDefault="00964B88" w:rsidP="00F53820">
      <w:pPr>
        <w:pStyle w:val="Heading10"/>
        <w:rPr>
          <w:lang w:eastAsia="en-AU"/>
        </w:rPr>
      </w:pPr>
      <w:r>
        <w:rPr>
          <w:lang w:eastAsia="en-AU"/>
        </w:rPr>
        <w:br w:type="page"/>
      </w:r>
    </w:p>
    <w:p w14:paraId="604E64D0" w14:textId="77777777" w:rsidR="00964B88" w:rsidRDefault="00964B88" w:rsidP="0073799D">
      <w:pPr>
        <w:pStyle w:val="Heading1Non-TOC"/>
      </w:pPr>
      <w:r>
        <w:lastRenderedPageBreak/>
        <w:t>Department of Education and Training</w:t>
      </w:r>
      <w:bookmarkEnd w:id="135"/>
      <w:bookmarkEnd w:id="136"/>
    </w:p>
    <w:p w14:paraId="3A7E5B80" w14:textId="77777777" w:rsidR="00964B88" w:rsidRDefault="00964B88" w:rsidP="00F53820">
      <w:pPr>
        <w:pStyle w:val="Heading20"/>
        <w:rPr>
          <w:lang w:eastAsia="en-AU"/>
        </w:rPr>
      </w:pPr>
      <w:r>
        <w:rPr>
          <w:lang w:eastAsia="en-AU"/>
        </w:rPr>
        <w:t>Output initiatives</w:t>
      </w:r>
    </w:p>
    <w:p w14:paraId="1C891279" w14:textId="77777777" w:rsidR="00964B88" w:rsidRPr="00A4773B" w:rsidRDefault="00964B88" w:rsidP="00F53820">
      <w:pPr>
        <w:pStyle w:val="TableHeading"/>
        <w:rPr>
          <w:rFonts w:asciiTheme="minorHAnsi" w:hAnsiTheme="minorHAnsi"/>
          <w:bCs/>
          <w:szCs w:val="22"/>
        </w:rPr>
      </w:pPr>
      <w:r>
        <w:rPr>
          <w:lang w:eastAsia="en-AU"/>
        </w:rPr>
        <w:t>Table A.3</w:t>
      </w:r>
      <w:r w:rsidRPr="003A70B8">
        <w:rPr>
          <w:lang w:eastAsia="en-AU"/>
        </w:rPr>
        <w:t>:</w:t>
      </w:r>
      <w:r>
        <w:rPr>
          <w:lang w:eastAsia="en-AU"/>
        </w:rPr>
        <w:tab/>
      </w:r>
      <w:r w:rsidRPr="003A70B8">
        <w:rPr>
          <w:lang w:eastAsia="en-AU"/>
        </w:rPr>
        <w:t>Output initiatives – Department of Education and Training</w:t>
      </w:r>
      <w:r>
        <w:rPr>
          <w:lang w:eastAsia="en-AU"/>
        </w:rPr>
        <w:tab/>
      </w:r>
      <w:r w:rsidRPr="003A70B8">
        <w:rPr>
          <w:lang w:eastAsia="en-AU"/>
        </w:rPr>
        <w:t xml:space="preserve"> ($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536"/>
        <w:gridCol w:w="807"/>
        <w:gridCol w:w="807"/>
        <w:gridCol w:w="807"/>
        <w:gridCol w:w="808"/>
      </w:tblGrid>
      <w:tr w:rsidR="00964B88" w:rsidRPr="00A4773B" w14:paraId="0C20F572" w14:textId="77777777" w:rsidTr="00395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shd w:val="solid" w:color="000000" w:fill="auto"/>
          </w:tcPr>
          <w:p w14:paraId="51965EAF" w14:textId="77777777" w:rsidR="00964B88" w:rsidRPr="00A4773B" w:rsidRDefault="00964B88" w:rsidP="00F53820">
            <w:pPr>
              <w:autoSpaceDE w:val="0"/>
              <w:autoSpaceDN w:val="0"/>
              <w:adjustRightInd w:val="0"/>
              <w:rPr>
                <w:rFonts w:eastAsiaTheme="minorEastAsia" w:cstheme="majorHAnsi"/>
                <w:color w:val="FFFFFF"/>
                <w:szCs w:val="20"/>
                <w:lang w:eastAsia="en-AU"/>
              </w:rPr>
            </w:pPr>
            <w:r w:rsidRPr="00A4773B">
              <w:rPr>
                <w:rFonts w:eastAsiaTheme="minorEastAsia" w:cstheme="majorHAnsi"/>
                <w:color w:val="FFFFFF"/>
                <w:szCs w:val="20"/>
                <w:lang w:eastAsia="en-AU"/>
              </w:rPr>
              <w:t xml:space="preserve"> </w:t>
            </w:r>
          </w:p>
        </w:tc>
        <w:tc>
          <w:tcPr>
            <w:tcW w:w="807" w:type="dxa"/>
            <w:tcBorders>
              <w:top w:val="nil"/>
              <w:left w:val="nil"/>
              <w:bottom w:val="nil"/>
              <w:right w:val="nil"/>
            </w:tcBorders>
            <w:shd w:val="solid" w:color="000000" w:fill="auto"/>
          </w:tcPr>
          <w:p w14:paraId="10BB384B" w14:textId="77777777" w:rsidR="00964B88" w:rsidRPr="00A4773B"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A4773B">
              <w:rPr>
                <w:rFonts w:eastAsiaTheme="minorEastAsia" w:cstheme="majorHAnsi"/>
                <w:iCs/>
                <w:color w:val="FFFFFF"/>
                <w:szCs w:val="20"/>
                <w:lang w:eastAsia="en-AU"/>
              </w:rPr>
              <w:t>2019-20</w:t>
            </w:r>
          </w:p>
        </w:tc>
        <w:tc>
          <w:tcPr>
            <w:tcW w:w="807" w:type="dxa"/>
            <w:tcBorders>
              <w:top w:val="nil"/>
              <w:left w:val="nil"/>
              <w:bottom w:val="nil"/>
              <w:right w:val="nil"/>
            </w:tcBorders>
            <w:shd w:val="solid" w:color="000000" w:fill="auto"/>
          </w:tcPr>
          <w:p w14:paraId="796B4B1E" w14:textId="77777777" w:rsidR="00964B88" w:rsidRPr="00A4773B"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A4773B">
              <w:rPr>
                <w:rFonts w:eastAsiaTheme="minorEastAsia" w:cstheme="majorHAnsi"/>
                <w:iCs/>
                <w:color w:val="FFFFFF"/>
                <w:szCs w:val="20"/>
                <w:lang w:eastAsia="en-AU"/>
              </w:rPr>
              <w:t>2020-21</w:t>
            </w:r>
          </w:p>
        </w:tc>
        <w:tc>
          <w:tcPr>
            <w:tcW w:w="807" w:type="dxa"/>
            <w:tcBorders>
              <w:top w:val="nil"/>
              <w:left w:val="nil"/>
              <w:bottom w:val="nil"/>
              <w:right w:val="nil"/>
            </w:tcBorders>
            <w:shd w:val="solid" w:color="000000" w:fill="auto"/>
          </w:tcPr>
          <w:p w14:paraId="242DAEBE" w14:textId="77777777" w:rsidR="00964B88" w:rsidRPr="00A4773B"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A4773B">
              <w:rPr>
                <w:rFonts w:eastAsiaTheme="minorEastAsia" w:cstheme="majorHAnsi"/>
                <w:iCs/>
                <w:color w:val="FFFFFF"/>
                <w:szCs w:val="20"/>
                <w:lang w:eastAsia="en-AU"/>
              </w:rPr>
              <w:t>2021-22</w:t>
            </w:r>
          </w:p>
        </w:tc>
        <w:tc>
          <w:tcPr>
            <w:tcW w:w="808" w:type="dxa"/>
            <w:tcBorders>
              <w:top w:val="nil"/>
              <w:left w:val="nil"/>
              <w:bottom w:val="nil"/>
              <w:right w:val="nil"/>
            </w:tcBorders>
            <w:shd w:val="solid" w:color="000000" w:fill="auto"/>
          </w:tcPr>
          <w:p w14:paraId="079577C8" w14:textId="77777777" w:rsidR="00964B88" w:rsidRPr="00A4773B"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A4773B">
              <w:rPr>
                <w:rFonts w:eastAsiaTheme="minorEastAsia" w:cstheme="majorHAnsi"/>
                <w:iCs/>
                <w:color w:val="FFFFFF"/>
                <w:szCs w:val="20"/>
                <w:lang w:eastAsia="en-AU"/>
              </w:rPr>
              <w:t>2022-23</w:t>
            </w:r>
          </w:p>
        </w:tc>
      </w:tr>
      <w:tr w:rsidR="00964B88" w:rsidRPr="00A4773B" w14:paraId="17FA9812"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6774DC52" w14:textId="77777777" w:rsidR="00964B88" w:rsidRPr="00A4773B" w:rsidRDefault="00964B88" w:rsidP="00F53820">
            <w:pPr>
              <w:keepLines w:val="0"/>
              <w:autoSpaceDE w:val="0"/>
              <w:autoSpaceDN w:val="0"/>
              <w:adjustRightInd w:val="0"/>
              <w:rPr>
                <w:rFonts w:eastAsiaTheme="minorEastAsia" w:cstheme="majorHAnsi"/>
                <w:color w:val="000000"/>
                <w:szCs w:val="20"/>
                <w:lang w:eastAsia="en-AU"/>
              </w:rPr>
            </w:pPr>
            <w:r w:rsidRPr="00A4773B">
              <w:rPr>
                <w:rFonts w:eastAsiaTheme="minorEastAsia" w:cstheme="majorHAnsi"/>
                <w:color w:val="000000"/>
                <w:szCs w:val="20"/>
                <w:lang w:eastAsia="en-AU"/>
              </w:rPr>
              <w:t>Affordable School Uniforms</w:t>
            </w:r>
          </w:p>
        </w:tc>
        <w:tc>
          <w:tcPr>
            <w:tcW w:w="807" w:type="dxa"/>
            <w:tcBorders>
              <w:top w:val="nil"/>
              <w:left w:val="nil"/>
              <w:bottom w:val="nil"/>
              <w:right w:val="nil"/>
            </w:tcBorders>
          </w:tcPr>
          <w:p w14:paraId="093521B1"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4773B">
              <w:rPr>
                <w:rFonts w:eastAsiaTheme="minorEastAsia" w:cstheme="majorHAnsi"/>
                <w:color w:val="000000"/>
                <w:szCs w:val="20"/>
                <w:lang w:eastAsia="en-AU"/>
              </w:rPr>
              <w:t>..</w:t>
            </w:r>
          </w:p>
        </w:tc>
        <w:tc>
          <w:tcPr>
            <w:tcW w:w="807" w:type="dxa"/>
            <w:tcBorders>
              <w:top w:val="nil"/>
              <w:left w:val="nil"/>
              <w:bottom w:val="nil"/>
              <w:right w:val="nil"/>
            </w:tcBorders>
          </w:tcPr>
          <w:p w14:paraId="565A25FE"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5.5</w:t>
            </w:r>
          </w:p>
        </w:tc>
        <w:tc>
          <w:tcPr>
            <w:tcW w:w="807" w:type="dxa"/>
            <w:tcBorders>
              <w:top w:val="nil"/>
              <w:left w:val="nil"/>
              <w:bottom w:val="nil"/>
              <w:right w:val="nil"/>
            </w:tcBorders>
          </w:tcPr>
          <w:p w14:paraId="5B705EEF"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6.1</w:t>
            </w:r>
          </w:p>
        </w:tc>
        <w:tc>
          <w:tcPr>
            <w:tcW w:w="808" w:type="dxa"/>
            <w:tcBorders>
              <w:top w:val="nil"/>
              <w:left w:val="nil"/>
              <w:bottom w:val="nil"/>
              <w:right w:val="nil"/>
            </w:tcBorders>
          </w:tcPr>
          <w:p w14:paraId="00F6D29E"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6.7</w:t>
            </w:r>
          </w:p>
        </w:tc>
      </w:tr>
      <w:tr w:rsidR="00964B88" w:rsidRPr="00A4773B" w14:paraId="6606137A"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03A8A583" w14:textId="77777777" w:rsidR="00964B88" w:rsidRPr="00A4773B" w:rsidRDefault="00964B88" w:rsidP="00F53820">
            <w:pPr>
              <w:keepLines w:val="0"/>
              <w:autoSpaceDE w:val="0"/>
              <w:autoSpaceDN w:val="0"/>
              <w:adjustRightInd w:val="0"/>
            </w:pPr>
            <w:r w:rsidRPr="00A4773B">
              <w:rPr>
                <w:rFonts w:eastAsiaTheme="minorEastAsia" w:cstheme="majorHAnsi"/>
                <w:color w:val="000000"/>
                <w:szCs w:val="20"/>
                <w:lang w:eastAsia="en-AU"/>
              </w:rPr>
              <w:t>Camps, Sports and</w:t>
            </w:r>
            <w:r w:rsidRPr="00A4773B">
              <w:t xml:space="preserve"> Excursions Fund</w:t>
            </w:r>
          </w:p>
        </w:tc>
        <w:tc>
          <w:tcPr>
            <w:tcW w:w="807" w:type="dxa"/>
            <w:tcBorders>
              <w:top w:val="nil"/>
              <w:left w:val="nil"/>
              <w:bottom w:val="nil"/>
              <w:right w:val="nil"/>
            </w:tcBorders>
          </w:tcPr>
          <w:p w14:paraId="77E24FB1"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37.6</w:t>
            </w:r>
          </w:p>
        </w:tc>
        <w:tc>
          <w:tcPr>
            <w:tcW w:w="807" w:type="dxa"/>
            <w:tcBorders>
              <w:top w:val="nil"/>
              <w:left w:val="nil"/>
              <w:bottom w:val="nil"/>
              <w:right w:val="nil"/>
            </w:tcBorders>
          </w:tcPr>
          <w:p w14:paraId="40182B3B"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39.3</w:t>
            </w:r>
          </w:p>
        </w:tc>
        <w:tc>
          <w:tcPr>
            <w:tcW w:w="807" w:type="dxa"/>
            <w:tcBorders>
              <w:top w:val="nil"/>
              <w:left w:val="nil"/>
              <w:bottom w:val="nil"/>
              <w:right w:val="nil"/>
            </w:tcBorders>
          </w:tcPr>
          <w:p w14:paraId="7A3F4448"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41.1</w:t>
            </w:r>
          </w:p>
        </w:tc>
        <w:tc>
          <w:tcPr>
            <w:tcW w:w="808" w:type="dxa"/>
            <w:tcBorders>
              <w:top w:val="nil"/>
              <w:left w:val="nil"/>
              <w:bottom w:val="nil"/>
              <w:right w:val="nil"/>
            </w:tcBorders>
          </w:tcPr>
          <w:p w14:paraId="682B73CB"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43.0</w:t>
            </w:r>
          </w:p>
        </w:tc>
      </w:tr>
      <w:tr w:rsidR="00964B88" w:rsidRPr="00A4773B" w14:paraId="5A07311A"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12261C45" w14:textId="77777777" w:rsidR="00964B88" w:rsidRPr="00A4773B" w:rsidRDefault="00964B88" w:rsidP="00F53820">
            <w:pPr>
              <w:keepLines w:val="0"/>
              <w:autoSpaceDE w:val="0"/>
              <w:autoSpaceDN w:val="0"/>
              <w:adjustRightInd w:val="0"/>
              <w:rPr>
                <w:rFonts w:eastAsiaTheme="minorEastAsia" w:cstheme="majorHAnsi"/>
                <w:color w:val="000000"/>
                <w:szCs w:val="20"/>
                <w:lang w:eastAsia="en-AU"/>
              </w:rPr>
            </w:pPr>
            <w:r w:rsidRPr="00A4773B">
              <w:rPr>
                <w:rFonts w:eastAsiaTheme="minorEastAsia" w:cstheme="majorHAnsi"/>
                <w:color w:val="000000"/>
                <w:szCs w:val="20"/>
                <w:lang w:eastAsia="en-AU"/>
              </w:rPr>
              <w:t>Education State initiatives</w:t>
            </w:r>
          </w:p>
        </w:tc>
        <w:tc>
          <w:tcPr>
            <w:tcW w:w="807" w:type="dxa"/>
            <w:tcBorders>
              <w:top w:val="nil"/>
              <w:left w:val="nil"/>
              <w:bottom w:val="nil"/>
              <w:right w:val="nil"/>
            </w:tcBorders>
          </w:tcPr>
          <w:p w14:paraId="5B173A96"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28.8</w:t>
            </w:r>
          </w:p>
        </w:tc>
        <w:tc>
          <w:tcPr>
            <w:tcW w:w="807" w:type="dxa"/>
            <w:tcBorders>
              <w:top w:val="nil"/>
              <w:left w:val="nil"/>
              <w:bottom w:val="nil"/>
              <w:right w:val="nil"/>
            </w:tcBorders>
          </w:tcPr>
          <w:p w14:paraId="252F7D30"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63.8</w:t>
            </w:r>
          </w:p>
        </w:tc>
        <w:tc>
          <w:tcPr>
            <w:tcW w:w="807" w:type="dxa"/>
            <w:tcBorders>
              <w:top w:val="nil"/>
              <w:left w:val="nil"/>
              <w:bottom w:val="nil"/>
              <w:right w:val="nil"/>
            </w:tcBorders>
          </w:tcPr>
          <w:p w14:paraId="29E2551C"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62.9</w:t>
            </w:r>
          </w:p>
        </w:tc>
        <w:tc>
          <w:tcPr>
            <w:tcW w:w="808" w:type="dxa"/>
            <w:tcBorders>
              <w:top w:val="nil"/>
              <w:left w:val="nil"/>
              <w:bottom w:val="nil"/>
              <w:right w:val="nil"/>
            </w:tcBorders>
          </w:tcPr>
          <w:p w14:paraId="6AE7CF43"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55.0</w:t>
            </w:r>
          </w:p>
        </w:tc>
      </w:tr>
      <w:tr w:rsidR="00964B88" w:rsidRPr="00A4773B" w14:paraId="7CF80DF9"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60F3A4B6" w14:textId="77777777" w:rsidR="00964B88" w:rsidRPr="00A4773B" w:rsidRDefault="00964B88" w:rsidP="00F53820">
            <w:pPr>
              <w:keepLines w:val="0"/>
              <w:autoSpaceDE w:val="0"/>
              <w:autoSpaceDN w:val="0"/>
              <w:adjustRightInd w:val="0"/>
              <w:rPr>
                <w:rFonts w:eastAsiaTheme="minorEastAsia" w:cstheme="majorHAnsi"/>
                <w:color w:val="000000"/>
                <w:szCs w:val="20"/>
                <w:lang w:eastAsia="en-AU"/>
              </w:rPr>
            </w:pPr>
            <w:r w:rsidRPr="00A4773B">
              <w:rPr>
                <w:rFonts w:eastAsiaTheme="minorEastAsia" w:cstheme="majorHAnsi"/>
                <w:color w:val="000000"/>
                <w:szCs w:val="20"/>
                <w:lang w:eastAsia="en-AU"/>
              </w:rPr>
              <w:t>Engaging at-risk youth</w:t>
            </w:r>
          </w:p>
        </w:tc>
        <w:tc>
          <w:tcPr>
            <w:tcW w:w="807" w:type="dxa"/>
            <w:tcBorders>
              <w:top w:val="nil"/>
              <w:left w:val="nil"/>
              <w:bottom w:val="nil"/>
              <w:right w:val="nil"/>
            </w:tcBorders>
          </w:tcPr>
          <w:p w14:paraId="7E02B407"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4773B">
              <w:rPr>
                <w:rFonts w:eastAsiaTheme="minorEastAsia" w:cstheme="majorHAnsi"/>
                <w:szCs w:val="20"/>
                <w:lang w:eastAsia="en-AU"/>
              </w:rPr>
              <w:t>..</w:t>
            </w:r>
          </w:p>
        </w:tc>
        <w:tc>
          <w:tcPr>
            <w:tcW w:w="807" w:type="dxa"/>
            <w:tcBorders>
              <w:top w:val="nil"/>
              <w:left w:val="nil"/>
              <w:bottom w:val="nil"/>
              <w:right w:val="nil"/>
            </w:tcBorders>
          </w:tcPr>
          <w:p w14:paraId="48C16F8C"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A4773B">
              <w:rPr>
                <w:rFonts w:eastAsiaTheme="minorEastAsia" w:cstheme="majorHAnsi"/>
                <w:szCs w:val="20"/>
                <w:lang w:eastAsia="en-AU"/>
              </w:rPr>
              <w:t>2.1</w:t>
            </w:r>
          </w:p>
        </w:tc>
        <w:tc>
          <w:tcPr>
            <w:tcW w:w="807" w:type="dxa"/>
            <w:tcBorders>
              <w:top w:val="nil"/>
              <w:left w:val="nil"/>
              <w:bottom w:val="nil"/>
              <w:right w:val="nil"/>
            </w:tcBorders>
          </w:tcPr>
          <w:p w14:paraId="3FE12334"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A4773B">
              <w:rPr>
                <w:rFonts w:eastAsiaTheme="minorEastAsia" w:cstheme="majorHAnsi"/>
                <w:szCs w:val="20"/>
                <w:lang w:eastAsia="en-AU"/>
              </w:rPr>
              <w:t>2.3</w:t>
            </w:r>
          </w:p>
        </w:tc>
        <w:tc>
          <w:tcPr>
            <w:tcW w:w="808" w:type="dxa"/>
            <w:tcBorders>
              <w:top w:val="nil"/>
              <w:left w:val="nil"/>
              <w:bottom w:val="nil"/>
              <w:right w:val="nil"/>
            </w:tcBorders>
          </w:tcPr>
          <w:p w14:paraId="3B105776"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A4773B">
              <w:rPr>
                <w:rFonts w:eastAsiaTheme="minorEastAsia" w:cstheme="majorHAnsi"/>
                <w:szCs w:val="20"/>
                <w:lang w:eastAsia="en-AU"/>
              </w:rPr>
              <w:t>2.5</w:t>
            </w:r>
          </w:p>
        </w:tc>
      </w:tr>
      <w:tr w:rsidR="00964B88" w:rsidRPr="00A4773B" w14:paraId="5898E821"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533D0DEE" w14:textId="77777777" w:rsidR="00964B88" w:rsidRPr="00A4773B" w:rsidRDefault="00964B88" w:rsidP="00F53820">
            <w:pPr>
              <w:keepLines w:val="0"/>
              <w:autoSpaceDE w:val="0"/>
              <w:autoSpaceDN w:val="0"/>
              <w:adjustRightInd w:val="0"/>
            </w:pPr>
            <w:r w:rsidRPr="00A4773B">
              <w:rPr>
                <w:rFonts w:eastAsiaTheme="minorEastAsia" w:cstheme="majorHAnsi"/>
                <w:color w:val="000000"/>
                <w:szCs w:val="20"/>
                <w:lang w:eastAsia="en-AU"/>
              </w:rPr>
              <w:t xml:space="preserve">English as an </w:t>
            </w:r>
            <w:r w:rsidRPr="00A4773B">
              <w:t>Additional Language</w:t>
            </w:r>
          </w:p>
        </w:tc>
        <w:tc>
          <w:tcPr>
            <w:tcW w:w="807" w:type="dxa"/>
            <w:tcBorders>
              <w:top w:val="nil"/>
              <w:left w:val="nil"/>
              <w:bottom w:val="nil"/>
              <w:right w:val="nil"/>
            </w:tcBorders>
          </w:tcPr>
          <w:p w14:paraId="684C42B1"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25.7</w:t>
            </w:r>
          </w:p>
        </w:tc>
        <w:tc>
          <w:tcPr>
            <w:tcW w:w="807" w:type="dxa"/>
            <w:tcBorders>
              <w:top w:val="nil"/>
              <w:left w:val="nil"/>
              <w:bottom w:val="nil"/>
              <w:right w:val="nil"/>
            </w:tcBorders>
          </w:tcPr>
          <w:p w14:paraId="50A77B55"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23.9</w:t>
            </w:r>
          </w:p>
        </w:tc>
        <w:tc>
          <w:tcPr>
            <w:tcW w:w="807" w:type="dxa"/>
            <w:tcBorders>
              <w:top w:val="nil"/>
              <w:left w:val="nil"/>
              <w:bottom w:val="nil"/>
              <w:right w:val="nil"/>
            </w:tcBorders>
          </w:tcPr>
          <w:p w14:paraId="44334F75"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4773B">
              <w:rPr>
                <w:rFonts w:eastAsiaTheme="minorEastAsia" w:cstheme="majorHAnsi"/>
                <w:color w:val="000000"/>
                <w:szCs w:val="20"/>
                <w:lang w:eastAsia="en-AU"/>
              </w:rPr>
              <w:t>..</w:t>
            </w:r>
          </w:p>
        </w:tc>
        <w:tc>
          <w:tcPr>
            <w:tcW w:w="808" w:type="dxa"/>
            <w:tcBorders>
              <w:top w:val="nil"/>
              <w:left w:val="nil"/>
              <w:bottom w:val="nil"/>
              <w:right w:val="nil"/>
            </w:tcBorders>
          </w:tcPr>
          <w:p w14:paraId="7F7C24B3"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4773B">
              <w:rPr>
                <w:rFonts w:eastAsiaTheme="minorEastAsia" w:cstheme="majorHAnsi"/>
                <w:color w:val="000000"/>
                <w:szCs w:val="20"/>
                <w:lang w:eastAsia="en-AU"/>
              </w:rPr>
              <w:t>..</w:t>
            </w:r>
          </w:p>
        </w:tc>
      </w:tr>
      <w:tr w:rsidR="00964B88" w:rsidRPr="00A4773B" w14:paraId="484631EA"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7D0E12A0" w14:textId="77777777" w:rsidR="00964B88" w:rsidRPr="00A4773B" w:rsidRDefault="00964B88" w:rsidP="00F53820">
            <w:pPr>
              <w:keepLines w:val="0"/>
              <w:autoSpaceDE w:val="0"/>
              <w:autoSpaceDN w:val="0"/>
              <w:adjustRightInd w:val="0"/>
            </w:pPr>
            <w:r w:rsidRPr="00A4773B">
              <w:rPr>
                <w:rFonts w:eastAsiaTheme="minorEastAsia" w:cstheme="majorHAnsi"/>
                <w:color w:val="000000"/>
                <w:szCs w:val="20"/>
                <w:lang w:eastAsia="en-AU"/>
              </w:rPr>
              <w:t xml:space="preserve">Enhanced behaviour support and intervention </w:t>
            </w:r>
            <w:r w:rsidRPr="00A4773B">
              <w:t>for schools</w:t>
            </w:r>
          </w:p>
        </w:tc>
        <w:tc>
          <w:tcPr>
            <w:tcW w:w="807" w:type="dxa"/>
            <w:tcBorders>
              <w:top w:val="nil"/>
              <w:left w:val="nil"/>
              <w:bottom w:val="nil"/>
              <w:right w:val="nil"/>
            </w:tcBorders>
          </w:tcPr>
          <w:p w14:paraId="1FED7FC2"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1.1</w:t>
            </w:r>
          </w:p>
        </w:tc>
        <w:tc>
          <w:tcPr>
            <w:tcW w:w="807" w:type="dxa"/>
            <w:tcBorders>
              <w:top w:val="nil"/>
              <w:left w:val="nil"/>
              <w:bottom w:val="nil"/>
              <w:right w:val="nil"/>
            </w:tcBorders>
          </w:tcPr>
          <w:p w14:paraId="754B0439"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2.5</w:t>
            </w:r>
          </w:p>
        </w:tc>
        <w:tc>
          <w:tcPr>
            <w:tcW w:w="807" w:type="dxa"/>
            <w:tcBorders>
              <w:top w:val="nil"/>
              <w:left w:val="nil"/>
              <w:bottom w:val="nil"/>
              <w:right w:val="nil"/>
            </w:tcBorders>
          </w:tcPr>
          <w:p w14:paraId="59EDFB3D"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1.2</w:t>
            </w:r>
          </w:p>
        </w:tc>
        <w:tc>
          <w:tcPr>
            <w:tcW w:w="808" w:type="dxa"/>
            <w:tcBorders>
              <w:top w:val="nil"/>
              <w:left w:val="nil"/>
              <w:bottom w:val="nil"/>
              <w:right w:val="nil"/>
            </w:tcBorders>
          </w:tcPr>
          <w:p w14:paraId="19CC28CE"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w:t>
            </w:r>
          </w:p>
        </w:tc>
      </w:tr>
      <w:tr w:rsidR="00964B88" w:rsidRPr="00A4773B" w14:paraId="0E2521B8"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47F5B7FF" w14:textId="77777777" w:rsidR="00964B88" w:rsidRPr="00A4773B" w:rsidRDefault="00964B88" w:rsidP="00F53820">
            <w:pPr>
              <w:keepLines w:val="0"/>
              <w:autoSpaceDE w:val="0"/>
              <w:autoSpaceDN w:val="0"/>
              <w:adjustRightInd w:val="0"/>
              <w:rPr>
                <w:rFonts w:eastAsiaTheme="minorEastAsia" w:cstheme="majorHAnsi"/>
                <w:color w:val="000000"/>
                <w:szCs w:val="20"/>
                <w:lang w:eastAsia="en-AU"/>
              </w:rPr>
            </w:pPr>
            <w:r w:rsidRPr="00A4773B">
              <w:rPr>
                <w:rFonts w:eastAsiaTheme="minorEastAsia" w:cstheme="majorHAnsi"/>
                <w:color w:val="000000"/>
                <w:szCs w:val="20"/>
                <w:lang w:eastAsia="en-AU"/>
              </w:rPr>
              <w:t>Essential maintenance and compliance</w:t>
            </w:r>
          </w:p>
        </w:tc>
        <w:tc>
          <w:tcPr>
            <w:tcW w:w="807" w:type="dxa"/>
            <w:tcBorders>
              <w:top w:val="nil"/>
              <w:left w:val="nil"/>
              <w:bottom w:val="nil"/>
              <w:right w:val="nil"/>
            </w:tcBorders>
          </w:tcPr>
          <w:p w14:paraId="38A0913F"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162.0</w:t>
            </w:r>
          </w:p>
        </w:tc>
        <w:tc>
          <w:tcPr>
            <w:tcW w:w="807" w:type="dxa"/>
            <w:tcBorders>
              <w:top w:val="nil"/>
              <w:left w:val="nil"/>
              <w:bottom w:val="nil"/>
              <w:right w:val="nil"/>
            </w:tcBorders>
          </w:tcPr>
          <w:p w14:paraId="02F0EF0A"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148.8</w:t>
            </w:r>
          </w:p>
        </w:tc>
        <w:tc>
          <w:tcPr>
            <w:tcW w:w="807" w:type="dxa"/>
            <w:tcBorders>
              <w:top w:val="nil"/>
              <w:left w:val="nil"/>
              <w:bottom w:val="nil"/>
              <w:right w:val="nil"/>
            </w:tcBorders>
          </w:tcPr>
          <w:p w14:paraId="700EFB3E"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44.2</w:t>
            </w:r>
          </w:p>
        </w:tc>
        <w:tc>
          <w:tcPr>
            <w:tcW w:w="808" w:type="dxa"/>
            <w:tcBorders>
              <w:top w:val="nil"/>
              <w:left w:val="nil"/>
              <w:bottom w:val="nil"/>
              <w:right w:val="nil"/>
            </w:tcBorders>
          </w:tcPr>
          <w:p w14:paraId="09C9649A"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43.8</w:t>
            </w:r>
          </w:p>
        </w:tc>
      </w:tr>
      <w:tr w:rsidR="00964B88" w:rsidRPr="00A4773B" w14:paraId="65A582C4"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418B450B" w14:textId="77777777" w:rsidR="00964B88" w:rsidRPr="00A4773B" w:rsidRDefault="00964B88" w:rsidP="00F53820">
            <w:pPr>
              <w:keepLines w:val="0"/>
              <w:autoSpaceDE w:val="0"/>
              <w:autoSpaceDN w:val="0"/>
              <w:adjustRightInd w:val="0"/>
              <w:rPr>
                <w:rFonts w:eastAsiaTheme="minorEastAsia" w:cstheme="majorHAnsi"/>
                <w:color w:val="000000"/>
                <w:szCs w:val="20"/>
                <w:lang w:eastAsia="en-AU"/>
              </w:rPr>
            </w:pPr>
            <w:r w:rsidRPr="00A4773B">
              <w:rPr>
                <w:rFonts w:eastAsiaTheme="minorEastAsia" w:cstheme="majorHAnsi"/>
                <w:color w:val="000000"/>
                <w:szCs w:val="20"/>
                <w:lang w:eastAsia="en-AU"/>
              </w:rPr>
              <w:t>Expanding Professional Learning Communities</w:t>
            </w:r>
          </w:p>
        </w:tc>
        <w:tc>
          <w:tcPr>
            <w:tcW w:w="807" w:type="dxa"/>
            <w:tcBorders>
              <w:top w:val="nil"/>
              <w:left w:val="nil"/>
              <w:bottom w:val="nil"/>
              <w:right w:val="nil"/>
            </w:tcBorders>
          </w:tcPr>
          <w:p w14:paraId="16E48F7D"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13.6</w:t>
            </w:r>
          </w:p>
        </w:tc>
        <w:tc>
          <w:tcPr>
            <w:tcW w:w="807" w:type="dxa"/>
            <w:tcBorders>
              <w:top w:val="nil"/>
              <w:left w:val="nil"/>
              <w:bottom w:val="nil"/>
              <w:right w:val="nil"/>
            </w:tcBorders>
          </w:tcPr>
          <w:p w14:paraId="596175BE"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10.2</w:t>
            </w:r>
          </w:p>
        </w:tc>
        <w:tc>
          <w:tcPr>
            <w:tcW w:w="807" w:type="dxa"/>
            <w:tcBorders>
              <w:top w:val="nil"/>
              <w:left w:val="nil"/>
              <w:bottom w:val="nil"/>
              <w:right w:val="nil"/>
            </w:tcBorders>
          </w:tcPr>
          <w:p w14:paraId="0AEED0DE"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14.5</w:t>
            </w:r>
          </w:p>
        </w:tc>
        <w:tc>
          <w:tcPr>
            <w:tcW w:w="808" w:type="dxa"/>
            <w:tcBorders>
              <w:top w:val="nil"/>
              <w:left w:val="nil"/>
              <w:bottom w:val="nil"/>
              <w:right w:val="nil"/>
            </w:tcBorders>
          </w:tcPr>
          <w:p w14:paraId="06CF9C22"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14.9</w:t>
            </w:r>
          </w:p>
        </w:tc>
      </w:tr>
      <w:tr w:rsidR="00964B88" w:rsidRPr="00A4773B" w14:paraId="6D51927F"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19967ECF" w14:textId="77777777" w:rsidR="00964B88" w:rsidRPr="00A4773B" w:rsidRDefault="00964B88" w:rsidP="00F53820">
            <w:pPr>
              <w:keepLines w:val="0"/>
              <w:autoSpaceDE w:val="0"/>
              <w:autoSpaceDN w:val="0"/>
              <w:adjustRightInd w:val="0"/>
              <w:rPr>
                <w:rFonts w:eastAsiaTheme="minorEastAsia" w:cstheme="majorHAnsi"/>
                <w:color w:val="000000"/>
                <w:szCs w:val="20"/>
                <w:lang w:eastAsia="en-AU"/>
              </w:rPr>
            </w:pPr>
            <w:r w:rsidRPr="00A4773B">
              <w:rPr>
                <w:rFonts w:eastAsiaTheme="minorEastAsia" w:cstheme="majorHAnsi"/>
                <w:color w:val="000000"/>
                <w:szCs w:val="20"/>
                <w:lang w:eastAsia="en-AU"/>
              </w:rPr>
              <w:t>Glasses for Kids</w:t>
            </w:r>
          </w:p>
        </w:tc>
        <w:tc>
          <w:tcPr>
            <w:tcW w:w="807" w:type="dxa"/>
            <w:tcBorders>
              <w:top w:val="nil"/>
              <w:left w:val="nil"/>
              <w:bottom w:val="nil"/>
              <w:right w:val="nil"/>
            </w:tcBorders>
          </w:tcPr>
          <w:p w14:paraId="3D8B8A5D"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4773B">
              <w:rPr>
                <w:rFonts w:eastAsiaTheme="minorEastAsia" w:cstheme="majorHAnsi"/>
                <w:color w:val="000000"/>
                <w:szCs w:val="20"/>
                <w:lang w:eastAsia="en-AU"/>
              </w:rPr>
              <w:t>..</w:t>
            </w:r>
          </w:p>
        </w:tc>
        <w:tc>
          <w:tcPr>
            <w:tcW w:w="807" w:type="dxa"/>
            <w:tcBorders>
              <w:top w:val="nil"/>
              <w:left w:val="nil"/>
              <w:bottom w:val="nil"/>
              <w:right w:val="nil"/>
            </w:tcBorders>
          </w:tcPr>
          <w:p w14:paraId="2D47F059"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0.4</w:t>
            </w:r>
          </w:p>
        </w:tc>
        <w:tc>
          <w:tcPr>
            <w:tcW w:w="807" w:type="dxa"/>
            <w:tcBorders>
              <w:top w:val="nil"/>
              <w:left w:val="nil"/>
              <w:bottom w:val="nil"/>
              <w:right w:val="nil"/>
            </w:tcBorders>
          </w:tcPr>
          <w:p w14:paraId="3BDC42A6"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0.4</w:t>
            </w:r>
          </w:p>
        </w:tc>
        <w:tc>
          <w:tcPr>
            <w:tcW w:w="808" w:type="dxa"/>
            <w:tcBorders>
              <w:top w:val="nil"/>
              <w:left w:val="nil"/>
              <w:bottom w:val="nil"/>
              <w:right w:val="nil"/>
            </w:tcBorders>
          </w:tcPr>
          <w:p w14:paraId="0BF5BC9D"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0.4</w:t>
            </w:r>
          </w:p>
        </w:tc>
      </w:tr>
      <w:tr w:rsidR="00964B88" w:rsidRPr="00A4773B" w14:paraId="59A8B2B1"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6D6E0C91" w14:textId="77777777" w:rsidR="00964B88" w:rsidRPr="00A4773B" w:rsidRDefault="00964B88" w:rsidP="00F53820">
            <w:pPr>
              <w:keepLines w:val="0"/>
              <w:autoSpaceDE w:val="0"/>
              <w:autoSpaceDN w:val="0"/>
              <w:adjustRightInd w:val="0"/>
            </w:pPr>
            <w:r w:rsidRPr="00A4773B">
              <w:rPr>
                <w:rFonts w:eastAsiaTheme="minorEastAsia" w:cstheme="majorHAnsi"/>
                <w:color w:val="000000"/>
                <w:szCs w:val="20"/>
                <w:lang w:eastAsia="en-AU"/>
              </w:rPr>
              <w:t xml:space="preserve">Learning specialists leading </w:t>
            </w:r>
            <w:r w:rsidRPr="00A4773B">
              <w:t xml:space="preserve">excellence in teaching and learning </w:t>
            </w:r>
          </w:p>
        </w:tc>
        <w:tc>
          <w:tcPr>
            <w:tcW w:w="807" w:type="dxa"/>
            <w:tcBorders>
              <w:top w:val="nil"/>
              <w:left w:val="nil"/>
              <w:bottom w:val="nil"/>
              <w:right w:val="nil"/>
            </w:tcBorders>
          </w:tcPr>
          <w:p w14:paraId="31E50F63"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4.6</w:t>
            </w:r>
          </w:p>
        </w:tc>
        <w:tc>
          <w:tcPr>
            <w:tcW w:w="807" w:type="dxa"/>
            <w:tcBorders>
              <w:top w:val="nil"/>
              <w:left w:val="nil"/>
              <w:bottom w:val="nil"/>
              <w:right w:val="nil"/>
            </w:tcBorders>
          </w:tcPr>
          <w:p w14:paraId="3B8C146B"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4.3</w:t>
            </w:r>
          </w:p>
        </w:tc>
        <w:tc>
          <w:tcPr>
            <w:tcW w:w="807" w:type="dxa"/>
            <w:tcBorders>
              <w:top w:val="nil"/>
              <w:left w:val="nil"/>
              <w:bottom w:val="nil"/>
              <w:right w:val="nil"/>
            </w:tcBorders>
          </w:tcPr>
          <w:p w14:paraId="07F82358"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4.8</w:t>
            </w:r>
          </w:p>
        </w:tc>
        <w:tc>
          <w:tcPr>
            <w:tcW w:w="808" w:type="dxa"/>
            <w:tcBorders>
              <w:top w:val="nil"/>
              <w:left w:val="nil"/>
              <w:bottom w:val="nil"/>
              <w:right w:val="nil"/>
            </w:tcBorders>
          </w:tcPr>
          <w:p w14:paraId="55708B9C"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5.5</w:t>
            </w:r>
          </w:p>
        </w:tc>
      </w:tr>
      <w:tr w:rsidR="00964B88" w:rsidRPr="00A4773B" w14:paraId="08B647FD"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37DC1408" w14:textId="77777777" w:rsidR="00964B88" w:rsidRPr="00A4773B" w:rsidRDefault="00964B88" w:rsidP="00F53820">
            <w:pPr>
              <w:keepLines w:val="0"/>
              <w:autoSpaceDE w:val="0"/>
              <w:autoSpaceDN w:val="0"/>
              <w:adjustRightInd w:val="0"/>
              <w:rPr>
                <w:rFonts w:eastAsiaTheme="minorEastAsia" w:cstheme="majorHAnsi"/>
                <w:color w:val="000000"/>
                <w:szCs w:val="20"/>
                <w:lang w:eastAsia="en-AU"/>
              </w:rPr>
            </w:pPr>
            <w:r w:rsidRPr="00A4773B">
              <w:rPr>
                <w:rFonts w:eastAsiaTheme="minorEastAsia" w:cstheme="majorHAnsi"/>
                <w:color w:val="000000"/>
                <w:szCs w:val="20"/>
                <w:lang w:eastAsia="en-AU"/>
              </w:rPr>
              <w:t>Lifting the digital experience of connected learners</w:t>
            </w:r>
          </w:p>
        </w:tc>
        <w:tc>
          <w:tcPr>
            <w:tcW w:w="807" w:type="dxa"/>
            <w:tcBorders>
              <w:top w:val="nil"/>
              <w:left w:val="nil"/>
              <w:bottom w:val="nil"/>
              <w:right w:val="nil"/>
            </w:tcBorders>
          </w:tcPr>
          <w:p w14:paraId="10F947AF"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3.9</w:t>
            </w:r>
          </w:p>
        </w:tc>
        <w:tc>
          <w:tcPr>
            <w:tcW w:w="807" w:type="dxa"/>
            <w:tcBorders>
              <w:top w:val="nil"/>
              <w:left w:val="nil"/>
              <w:bottom w:val="nil"/>
              <w:right w:val="nil"/>
            </w:tcBorders>
          </w:tcPr>
          <w:p w14:paraId="463FB0B5"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8.1</w:t>
            </w:r>
          </w:p>
        </w:tc>
        <w:tc>
          <w:tcPr>
            <w:tcW w:w="807" w:type="dxa"/>
            <w:tcBorders>
              <w:top w:val="nil"/>
              <w:left w:val="nil"/>
              <w:bottom w:val="nil"/>
              <w:right w:val="nil"/>
            </w:tcBorders>
          </w:tcPr>
          <w:p w14:paraId="146AE912"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11.2</w:t>
            </w:r>
          </w:p>
        </w:tc>
        <w:tc>
          <w:tcPr>
            <w:tcW w:w="808" w:type="dxa"/>
            <w:tcBorders>
              <w:top w:val="nil"/>
              <w:left w:val="nil"/>
              <w:bottom w:val="nil"/>
              <w:right w:val="nil"/>
            </w:tcBorders>
          </w:tcPr>
          <w:p w14:paraId="647C1ECB"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14.6</w:t>
            </w:r>
          </w:p>
        </w:tc>
      </w:tr>
      <w:tr w:rsidR="00964B88" w:rsidRPr="00A4773B" w14:paraId="6DADA46E"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53F45A26" w14:textId="77777777" w:rsidR="00964B88" w:rsidRPr="00A4773B" w:rsidRDefault="00964B88" w:rsidP="00F53820">
            <w:pPr>
              <w:keepLines w:val="0"/>
              <w:autoSpaceDE w:val="0"/>
              <w:autoSpaceDN w:val="0"/>
              <w:adjustRightInd w:val="0"/>
              <w:rPr>
                <w:rFonts w:eastAsiaTheme="minorEastAsia" w:cstheme="majorHAnsi"/>
                <w:color w:val="000000"/>
                <w:szCs w:val="20"/>
                <w:lang w:eastAsia="en-AU"/>
              </w:rPr>
            </w:pPr>
            <w:r w:rsidRPr="00A4773B">
              <w:rPr>
                <w:rFonts w:eastAsiaTheme="minorEastAsia" w:cstheme="majorHAnsi"/>
                <w:color w:val="000000"/>
                <w:szCs w:val="20"/>
                <w:lang w:eastAsia="en-AU"/>
              </w:rPr>
              <w:t xml:space="preserve">Mobile phones in schools </w:t>
            </w:r>
          </w:p>
        </w:tc>
        <w:tc>
          <w:tcPr>
            <w:tcW w:w="807" w:type="dxa"/>
            <w:tcBorders>
              <w:top w:val="nil"/>
              <w:left w:val="nil"/>
              <w:bottom w:val="nil"/>
              <w:right w:val="nil"/>
            </w:tcBorders>
          </w:tcPr>
          <w:p w14:paraId="60334835"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12.4</w:t>
            </w:r>
          </w:p>
        </w:tc>
        <w:tc>
          <w:tcPr>
            <w:tcW w:w="807" w:type="dxa"/>
            <w:tcBorders>
              <w:top w:val="nil"/>
              <w:left w:val="nil"/>
              <w:bottom w:val="nil"/>
              <w:right w:val="nil"/>
            </w:tcBorders>
          </w:tcPr>
          <w:p w14:paraId="2A660261"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4773B">
              <w:rPr>
                <w:rFonts w:eastAsiaTheme="minorEastAsia" w:cstheme="majorHAnsi"/>
                <w:color w:val="000000"/>
                <w:szCs w:val="20"/>
                <w:lang w:eastAsia="en-AU"/>
              </w:rPr>
              <w:t>..</w:t>
            </w:r>
          </w:p>
        </w:tc>
        <w:tc>
          <w:tcPr>
            <w:tcW w:w="807" w:type="dxa"/>
            <w:tcBorders>
              <w:top w:val="nil"/>
              <w:left w:val="nil"/>
              <w:bottom w:val="nil"/>
              <w:right w:val="nil"/>
            </w:tcBorders>
          </w:tcPr>
          <w:p w14:paraId="26761703"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4773B">
              <w:rPr>
                <w:rFonts w:eastAsiaTheme="minorEastAsia" w:cstheme="majorHAnsi"/>
                <w:color w:val="000000"/>
                <w:szCs w:val="20"/>
                <w:lang w:eastAsia="en-AU"/>
              </w:rPr>
              <w:t>..</w:t>
            </w:r>
          </w:p>
        </w:tc>
        <w:tc>
          <w:tcPr>
            <w:tcW w:w="808" w:type="dxa"/>
            <w:tcBorders>
              <w:top w:val="nil"/>
              <w:left w:val="nil"/>
              <w:bottom w:val="nil"/>
              <w:right w:val="nil"/>
            </w:tcBorders>
          </w:tcPr>
          <w:p w14:paraId="1B5D846A"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4773B">
              <w:rPr>
                <w:rFonts w:eastAsiaTheme="minorEastAsia" w:cstheme="majorHAnsi"/>
                <w:color w:val="000000"/>
                <w:szCs w:val="20"/>
                <w:lang w:eastAsia="en-AU"/>
              </w:rPr>
              <w:t>..</w:t>
            </w:r>
          </w:p>
        </w:tc>
      </w:tr>
      <w:tr w:rsidR="00964B88" w:rsidRPr="00A4773B" w14:paraId="2217385D"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398A0C91" w14:textId="77777777" w:rsidR="00964B88" w:rsidRPr="00A4773B" w:rsidRDefault="00964B88" w:rsidP="00F53820">
            <w:pPr>
              <w:keepLines w:val="0"/>
              <w:autoSpaceDE w:val="0"/>
              <w:autoSpaceDN w:val="0"/>
              <w:adjustRightInd w:val="0"/>
            </w:pPr>
            <w:r w:rsidRPr="00A4773B">
              <w:rPr>
                <w:rFonts w:eastAsiaTheme="minorEastAsia" w:cstheme="majorHAnsi"/>
                <w:color w:val="000000"/>
                <w:szCs w:val="20"/>
                <w:lang w:eastAsia="en-AU"/>
              </w:rPr>
              <w:t>Onsite school technical support and</w:t>
            </w:r>
            <w:r w:rsidRPr="00A4773B">
              <w:t xml:space="preserve"> digital connectivity</w:t>
            </w:r>
          </w:p>
        </w:tc>
        <w:tc>
          <w:tcPr>
            <w:tcW w:w="807" w:type="dxa"/>
            <w:tcBorders>
              <w:top w:val="nil"/>
              <w:left w:val="nil"/>
              <w:bottom w:val="nil"/>
              <w:right w:val="nil"/>
            </w:tcBorders>
          </w:tcPr>
          <w:p w14:paraId="0010F337"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4773B">
              <w:rPr>
                <w:rFonts w:eastAsiaTheme="minorEastAsia" w:cstheme="majorHAnsi"/>
                <w:color w:val="000000"/>
                <w:szCs w:val="20"/>
                <w:lang w:eastAsia="en-AU"/>
              </w:rPr>
              <w:t>..</w:t>
            </w:r>
          </w:p>
        </w:tc>
        <w:tc>
          <w:tcPr>
            <w:tcW w:w="807" w:type="dxa"/>
            <w:tcBorders>
              <w:top w:val="nil"/>
              <w:left w:val="nil"/>
              <w:bottom w:val="nil"/>
              <w:right w:val="nil"/>
            </w:tcBorders>
          </w:tcPr>
          <w:p w14:paraId="254F44F9"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2.2</w:t>
            </w:r>
          </w:p>
        </w:tc>
        <w:tc>
          <w:tcPr>
            <w:tcW w:w="807" w:type="dxa"/>
            <w:tcBorders>
              <w:top w:val="nil"/>
              <w:left w:val="nil"/>
              <w:bottom w:val="nil"/>
              <w:right w:val="nil"/>
            </w:tcBorders>
          </w:tcPr>
          <w:p w14:paraId="6D15BC94"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2.2</w:t>
            </w:r>
          </w:p>
        </w:tc>
        <w:tc>
          <w:tcPr>
            <w:tcW w:w="808" w:type="dxa"/>
            <w:tcBorders>
              <w:top w:val="nil"/>
              <w:left w:val="nil"/>
              <w:bottom w:val="nil"/>
              <w:right w:val="nil"/>
            </w:tcBorders>
          </w:tcPr>
          <w:p w14:paraId="75F0631D"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2.2</w:t>
            </w:r>
          </w:p>
        </w:tc>
      </w:tr>
      <w:tr w:rsidR="00964B88" w:rsidRPr="00A4773B" w14:paraId="47C914D3"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6FD9FFC1" w14:textId="77777777" w:rsidR="00964B88" w:rsidRPr="00A4773B" w:rsidRDefault="00964B88" w:rsidP="00F53820">
            <w:pPr>
              <w:keepLines w:val="0"/>
              <w:autoSpaceDE w:val="0"/>
              <w:autoSpaceDN w:val="0"/>
              <w:adjustRightInd w:val="0"/>
              <w:rPr>
                <w:rFonts w:eastAsiaTheme="minorEastAsia" w:cstheme="majorHAnsi"/>
                <w:color w:val="000000"/>
                <w:szCs w:val="20"/>
                <w:lang w:eastAsia="en-AU"/>
              </w:rPr>
            </w:pPr>
            <w:r w:rsidRPr="00A4773B">
              <w:rPr>
                <w:rFonts w:eastAsiaTheme="minorEastAsia" w:cstheme="majorHAnsi"/>
                <w:color w:val="000000"/>
                <w:szCs w:val="20"/>
                <w:lang w:eastAsia="en-AU"/>
              </w:rPr>
              <w:t>Refugee education support</w:t>
            </w:r>
          </w:p>
        </w:tc>
        <w:tc>
          <w:tcPr>
            <w:tcW w:w="807" w:type="dxa"/>
            <w:tcBorders>
              <w:top w:val="nil"/>
              <w:left w:val="nil"/>
              <w:bottom w:val="nil"/>
              <w:right w:val="nil"/>
            </w:tcBorders>
          </w:tcPr>
          <w:p w14:paraId="19358341"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1.4</w:t>
            </w:r>
          </w:p>
        </w:tc>
        <w:tc>
          <w:tcPr>
            <w:tcW w:w="807" w:type="dxa"/>
            <w:tcBorders>
              <w:top w:val="nil"/>
              <w:left w:val="nil"/>
              <w:bottom w:val="nil"/>
              <w:right w:val="nil"/>
            </w:tcBorders>
          </w:tcPr>
          <w:p w14:paraId="34F91D12"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2.7</w:t>
            </w:r>
          </w:p>
        </w:tc>
        <w:tc>
          <w:tcPr>
            <w:tcW w:w="807" w:type="dxa"/>
            <w:tcBorders>
              <w:top w:val="nil"/>
              <w:left w:val="nil"/>
              <w:bottom w:val="nil"/>
              <w:right w:val="nil"/>
            </w:tcBorders>
          </w:tcPr>
          <w:p w14:paraId="53DD07D1"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2.9</w:t>
            </w:r>
          </w:p>
        </w:tc>
        <w:tc>
          <w:tcPr>
            <w:tcW w:w="808" w:type="dxa"/>
            <w:tcBorders>
              <w:top w:val="nil"/>
              <w:left w:val="nil"/>
              <w:bottom w:val="nil"/>
              <w:right w:val="nil"/>
            </w:tcBorders>
          </w:tcPr>
          <w:p w14:paraId="6181B351"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2.9</w:t>
            </w:r>
          </w:p>
        </w:tc>
      </w:tr>
      <w:tr w:rsidR="00964B88" w:rsidRPr="00A4773B" w14:paraId="2A299506"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0830B9CC" w14:textId="77777777" w:rsidR="00964B88" w:rsidRPr="00A4773B" w:rsidRDefault="00964B88" w:rsidP="00F53820">
            <w:pPr>
              <w:keepLines w:val="0"/>
              <w:autoSpaceDE w:val="0"/>
              <w:autoSpaceDN w:val="0"/>
              <w:adjustRightInd w:val="0"/>
            </w:pPr>
            <w:r w:rsidRPr="00A4773B">
              <w:rPr>
                <w:rFonts w:eastAsiaTheme="minorEastAsia" w:cstheme="majorHAnsi"/>
                <w:color w:val="000000"/>
                <w:szCs w:val="20"/>
                <w:lang w:eastAsia="en-AU"/>
              </w:rPr>
              <w:t xml:space="preserve">Rural and regional </w:t>
            </w:r>
            <w:r w:rsidRPr="00A4773B">
              <w:t>school reform</w:t>
            </w:r>
          </w:p>
        </w:tc>
        <w:tc>
          <w:tcPr>
            <w:tcW w:w="807" w:type="dxa"/>
            <w:tcBorders>
              <w:top w:val="nil"/>
              <w:left w:val="nil"/>
              <w:bottom w:val="nil"/>
              <w:right w:val="nil"/>
            </w:tcBorders>
          </w:tcPr>
          <w:p w14:paraId="5054841A"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7.0</w:t>
            </w:r>
          </w:p>
        </w:tc>
        <w:tc>
          <w:tcPr>
            <w:tcW w:w="807" w:type="dxa"/>
            <w:tcBorders>
              <w:top w:val="nil"/>
              <w:left w:val="nil"/>
              <w:bottom w:val="nil"/>
              <w:right w:val="nil"/>
            </w:tcBorders>
          </w:tcPr>
          <w:p w14:paraId="555CADBD"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8.4</w:t>
            </w:r>
          </w:p>
        </w:tc>
        <w:tc>
          <w:tcPr>
            <w:tcW w:w="807" w:type="dxa"/>
            <w:tcBorders>
              <w:top w:val="nil"/>
              <w:left w:val="nil"/>
              <w:bottom w:val="nil"/>
              <w:right w:val="nil"/>
            </w:tcBorders>
          </w:tcPr>
          <w:p w14:paraId="5F8212C3"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8.7</w:t>
            </w:r>
          </w:p>
        </w:tc>
        <w:tc>
          <w:tcPr>
            <w:tcW w:w="808" w:type="dxa"/>
            <w:tcBorders>
              <w:top w:val="nil"/>
              <w:left w:val="nil"/>
              <w:bottom w:val="nil"/>
              <w:right w:val="nil"/>
            </w:tcBorders>
          </w:tcPr>
          <w:p w14:paraId="1C169A49"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9.1</w:t>
            </w:r>
          </w:p>
        </w:tc>
      </w:tr>
      <w:tr w:rsidR="00964B88" w:rsidRPr="00A4773B" w14:paraId="63758607"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1846CAFE" w14:textId="77777777" w:rsidR="00964B88" w:rsidRPr="00A4773B" w:rsidRDefault="00964B88" w:rsidP="00F53820">
            <w:pPr>
              <w:keepLines w:val="0"/>
              <w:autoSpaceDE w:val="0"/>
              <w:autoSpaceDN w:val="0"/>
              <w:adjustRightInd w:val="0"/>
            </w:pPr>
            <w:r w:rsidRPr="00A4773B">
              <w:rPr>
                <w:rFonts w:eastAsiaTheme="minorEastAsia" w:cstheme="majorHAnsi"/>
                <w:color w:val="000000"/>
                <w:szCs w:val="20"/>
                <w:lang w:eastAsia="en-AU"/>
              </w:rPr>
              <w:t xml:space="preserve">Support for excellent </w:t>
            </w:r>
            <w:r w:rsidRPr="00A4773B">
              <w:t>school leaders</w:t>
            </w:r>
          </w:p>
        </w:tc>
        <w:tc>
          <w:tcPr>
            <w:tcW w:w="807" w:type="dxa"/>
            <w:tcBorders>
              <w:top w:val="nil"/>
              <w:left w:val="nil"/>
              <w:bottom w:val="nil"/>
              <w:right w:val="nil"/>
            </w:tcBorders>
          </w:tcPr>
          <w:p w14:paraId="6EE63482"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6.1</w:t>
            </w:r>
          </w:p>
        </w:tc>
        <w:tc>
          <w:tcPr>
            <w:tcW w:w="807" w:type="dxa"/>
            <w:tcBorders>
              <w:top w:val="nil"/>
              <w:left w:val="nil"/>
              <w:bottom w:val="nil"/>
              <w:right w:val="nil"/>
            </w:tcBorders>
          </w:tcPr>
          <w:p w14:paraId="10794EF3"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11.2</w:t>
            </w:r>
          </w:p>
        </w:tc>
        <w:tc>
          <w:tcPr>
            <w:tcW w:w="807" w:type="dxa"/>
            <w:tcBorders>
              <w:top w:val="nil"/>
              <w:left w:val="nil"/>
              <w:bottom w:val="nil"/>
              <w:right w:val="nil"/>
            </w:tcBorders>
          </w:tcPr>
          <w:p w14:paraId="18D66D2A"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14.0</w:t>
            </w:r>
          </w:p>
        </w:tc>
        <w:tc>
          <w:tcPr>
            <w:tcW w:w="808" w:type="dxa"/>
            <w:tcBorders>
              <w:top w:val="nil"/>
              <w:left w:val="nil"/>
              <w:bottom w:val="nil"/>
              <w:right w:val="nil"/>
            </w:tcBorders>
          </w:tcPr>
          <w:p w14:paraId="7526902A"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17.0</w:t>
            </w:r>
          </w:p>
        </w:tc>
      </w:tr>
      <w:tr w:rsidR="00964B88" w:rsidRPr="00A4773B" w14:paraId="0424AD94"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2EA3B49A" w14:textId="77777777" w:rsidR="00964B88" w:rsidRPr="00A4773B" w:rsidRDefault="00964B88" w:rsidP="00F53820">
            <w:pPr>
              <w:keepLines w:val="0"/>
              <w:autoSpaceDE w:val="0"/>
              <w:autoSpaceDN w:val="0"/>
              <w:adjustRightInd w:val="0"/>
            </w:pPr>
            <w:r w:rsidRPr="00A4773B">
              <w:rPr>
                <w:rFonts w:eastAsiaTheme="minorEastAsia" w:cstheme="majorHAnsi"/>
                <w:color w:val="000000"/>
                <w:szCs w:val="20"/>
                <w:lang w:eastAsia="en-AU"/>
              </w:rPr>
              <w:t xml:space="preserve">Support for students with disabilities </w:t>
            </w:r>
            <w:r w:rsidRPr="00A4773B">
              <w:t>and additional needs</w:t>
            </w:r>
          </w:p>
        </w:tc>
        <w:tc>
          <w:tcPr>
            <w:tcW w:w="807" w:type="dxa"/>
            <w:tcBorders>
              <w:top w:val="nil"/>
              <w:left w:val="nil"/>
              <w:bottom w:val="nil"/>
              <w:right w:val="nil"/>
            </w:tcBorders>
          </w:tcPr>
          <w:p w14:paraId="59544DA9"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4773B">
              <w:rPr>
                <w:rFonts w:eastAsiaTheme="minorEastAsia" w:cstheme="majorHAnsi"/>
                <w:color w:val="000000"/>
                <w:szCs w:val="20"/>
                <w:lang w:eastAsia="en-AU"/>
              </w:rPr>
              <w:t>..</w:t>
            </w:r>
          </w:p>
        </w:tc>
        <w:tc>
          <w:tcPr>
            <w:tcW w:w="807" w:type="dxa"/>
            <w:tcBorders>
              <w:top w:val="nil"/>
              <w:left w:val="nil"/>
              <w:bottom w:val="nil"/>
              <w:right w:val="nil"/>
            </w:tcBorders>
          </w:tcPr>
          <w:p w14:paraId="123444CF"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9.4</w:t>
            </w:r>
          </w:p>
        </w:tc>
        <w:tc>
          <w:tcPr>
            <w:tcW w:w="807" w:type="dxa"/>
            <w:tcBorders>
              <w:top w:val="nil"/>
              <w:left w:val="nil"/>
              <w:bottom w:val="nil"/>
              <w:right w:val="nil"/>
            </w:tcBorders>
          </w:tcPr>
          <w:p w14:paraId="7A4068B3"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4.1</w:t>
            </w:r>
          </w:p>
        </w:tc>
        <w:tc>
          <w:tcPr>
            <w:tcW w:w="808" w:type="dxa"/>
            <w:tcBorders>
              <w:top w:val="nil"/>
              <w:left w:val="nil"/>
              <w:bottom w:val="nil"/>
              <w:right w:val="nil"/>
            </w:tcBorders>
          </w:tcPr>
          <w:p w14:paraId="13FDA160"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A4773B">
              <w:rPr>
                <w:rFonts w:eastAsiaTheme="minorEastAsia" w:cstheme="majorHAnsi"/>
                <w:color w:val="000000"/>
                <w:szCs w:val="20"/>
                <w:lang w:eastAsia="en-AU"/>
              </w:rPr>
              <w:t>..</w:t>
            </w:r>
          </w:p>
        </w:tc>
      </w:tr>
      <w:tr w:rsidR="00964B88" w:rsidRPr="00A4773B" w14:paraId="573F4218"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0E23C81B" w14:textId="77777777" w:rsidR="00964B88" w:rsidRPr="00A4773B" w:rsidRDefault="00964B88" w:rsidP="00F53820">
            <w:pPr>
              <w:keepLines w:val="0"/>
              <w:autoSpaceDE w:val="0"/>
              <w:autoSpaceDN w:val="0"/>
              <w:adjustRightInd w:val="0"/>
            </w:pPr>
            <w:r w:rsidRPr="00A4773B">
              <w:rPr>
                <w:rFonts w:eastAsiaTheme="minorEastAsia" w:cstheme="majorHAnsi"/>
                <w:color w:val="000000"/>
                <w:szCs w:val="20"/>
                <w:lang w:eastAsia="en-AU"/>
              </w:rPr>
              <w:t xml:space="preserve">Supporting high ability students in </w:t>
            </w:r>
            <w:r w:rsidRPr="00A4773B">
              <w:t>every classroom</w:t>
            </w:r>
          </w:p>
        </w:tc>
        <w:tc>
          <w:tcPr>
            <w:tcW w:w="807" w:type="dxa"/>
            <w:tcBorders>
              <w:top w:val="nil"/>
              <w:left w:val="nil"/>
              <w:bottom w:val="nil"/>
              <w:right w:val="nil"/>
            </w:tcBorders>
          </w:tcPr>
          <w:p w14:paraId="0DC07646"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10.5</w:t>
            </w:r>
          </w:p>
        </w:tc>
        <w:tc>
          <w:tcPr>
            <w:tcW w:w="807" w:type="dxa"/>
            <w:tcBorders>
              <w:top w:val="nil"/>
              <w:left w:val="nil"/>
              <w:bottom w:val="nil"/>
              <w:right w:val="nil"/>
            </w:tcBorders>
          </w:tcPr>
          <w:p w14:paraId="2B861354"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20.8</w:t>
            </w:r>
          </w:p>
        </w:tc>
        <w:tc>
          <w:tcPr>
            <w:tcW w:w="807" w:type="dxa"/>
            <w:tcBorders>
              <w:top w:val="nil"/>
              <w:left w:val="nil"/>
              <w:bottom w:val="nil"/>
              <w:right w:val="nil"/>
            </w:tcBorders>
          </w:tcPr>
          <w:p w14:paraId="51A04452"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20.3</w:t>
            </w:r>
          </w:p>
        </w:tc>
        <w:tc>
          <w:tcPr>
            <w:tcW w:w="808" w:type="dxa"/>
            <w:tcBorders>
              <w:top w:val="nil"/>
              <w:left w:val="nil"/>
              <w:bottom w:val="nil"/>
              <w:right w:val="nil"/>
            </w:tcBorders>
          </w:tcPr>
          <w:p w14:paraId="0C69F095"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10.4</w:t>
            </w:r>
          </w:p>
        </w:tc>
      </w:tr>
      <w:tr w:rsidR="00964B88" w:rsidRPr="00A4773B" w14:paraId="450D7C02"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14:paraId="30D774E0" w14:textId="77777777" w:rsidR="00964B88" w:rsidRPr="00A4773B" w:rsidRDefault="00964B88" w:rsidP="00F53820">
            <w:pPr>
              <w:keepLines w:val="0"/>
              <w:autoSpaceDE w:val="0"/>
              <w:autoSpaceDN w:val="0"/>
              <w:adjustRightInd w:val="0"/>
            </w:pPr>
            <w:r w:rsidRPr="00A4773B">
              <w:rPr>
                <w:rFonts w:eastAsiaTheme="minorEastAsia" w:cstheme="majorHAnsi"/>
                <w:color w:val="000000"/>
                <w:szCs w:val="20"/>
                <w:lang w:eastAsia="en-AU"/>
              </w:rPr>
              <w:t xml:space="preserve">Targeted initiatives to attract more </w:t>
            </w:r>
            <w:r w:rsidRPr="00A4773B">
              <w:t xml:space="preserve">teachers </w:t>
            </w:r>
          </w:p>
        </w:tc>
        <w:tc>
          <w:tcPr>
            <w:tcW w:w="807" w:type="dxa"/>
            <w:tcBorders>
              <w:top w:val="nil"/>
              <w:left w:val="nil"/>
              <w:bottom w:val="nil"/>
              <w:right w:val="nil"/>
            </w:tcBorders>
          </w:tcPr>
          <w:p w14:paraId="54AB8D44"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14.8</w:t>
            </w:r>
          </w:p>
        </w:tc>
        <w:tc>
          <w:tcPr>
            <w:tcW w:w="807" w:type="dxa"/>
            <w:tcBorders>
              <w:top w:val="nil"/>
              <w:left w:val="nil"/>
              <w:bottom w:val="nil"/>
              <w:right w:val="nil"/>
            </w:tcBorders>
          </w:tcPr>
          <w:p w14:paraId="54574604"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28.7</w:t>
            </w:r>
          </w:p>
        </w:tc>
        <w:tc>
          <w:tcPr>
            <w:tcW w:w="807" w:type="dxa"/>
            <w:tcBorders>
              <w:top w:val="nil"/>
              <w:left w:val="nil"/>
              <w:bottom w:val="nil"/>
              <w:right w:val="nil"/>
            </w:tcBorders>
          </w:tcPr>
          <w:p w14:paraId="3325D8E7"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38.1</w:t>
            </w:r>
          </w:p>
        </w:tc>
        <w:tc>
          <w:tcPr>
            <w:tcW w:w="808" w:type="dxa"/>
            <w:tcBorders>
              <w:top w:val="nil"/>
              <w:left w:val="nil"/>
              <w:bottom w:val="nil"/>
              <w:right w:val="nil"/>
            </w:tcBorders>
          </w:tcPr>
          <w:p w14:paraId="4DFEDA67"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22.3</w:t>
            </w:r>
          </w:p>
        </w:tc>
      </w:tr>
      <w:tr w:rsidR="00964B88" w:rsidRPr="00A4773B" w14:paraId="4E63333C" w14:textId="77777777" w:rsidTr="003951F6">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single" w:sz="4" w:space="0" w:color="auto"/>
              <w:right w:val="nil"/>
            </w:tcBorders>
          </w:tcPr>
          <w:p w14:paraId="315B235B" w14:textId="77777777" w:rsidR="00964B88" w:rsidRPr="00A4773B" w:rsidRDefault="00964B88" w:rsidP="00F53820">
            <w:pPr>
              <w:keepLines w:val="0"/>
              <w:autoSpaceDE w:val="0"/>
              <w:autoSpaceDN w:val="0"/>
              <w:adjustRightInd w:val="0"/>
            </w:pPr>
            <w:r w:rsidRPr="00A4773B">
              <w:rPr>
                <w:rFonts w:eastAsiaTheme="minorEastAsia" w:cstheme="majorHAnsi"/>
                <w:color w:val="000000"/>
                <w:szCs w:val="20"/>
                <w:lang w:eastAsia="en-AU"/>
              </w:rPr>
              <w:t xml:space="preserve">Victorian Young Leaders </w:t>
            </w:r>
            <w:r w:rsidRPr="00A4773B">
              <w:t>to Indonesia program</w:t>
            </w:r>
          </w:p>
        </w:tc>
        <w:tc>
          <w:tcPr>
            <w:tcW w:w="807" w:type="dxa"/>
            <w:tcBorders>
              <w:top w:val="nil"/>
              <w:left w:val="nil"/>
              <w:bottom w:val="single" w:sz="4" w:space="0" w:color="auto"/>
              <w:right w:val="nil"/>
            </w:tcBorders>
          </w:tcPr>
          <w:p w14:paraId="1068309B"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0.1</w:t>
            </w:r>
          </w:p>
        </w:tc>
        <w:tc>
          <w:tcPr>
            <w:tcW w:w="807" w:type="dxa"/>
            <w:tcBorders>
              <w:top w:val="nil"/>
              <w:left w:val="nil"/>
              <w:bottom w:val="single" w:sz="4" w:space="0" w:color="auto"/>
              <w:right w:val="nil"/>
            </w:tcBorders>
          </w:tcPr>
          <w:p w14:paraId="081D55EC"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0.6</w:t>
            </w:r>
          </w:p>
        </w:tc>
        <w:tc>
          <w:tcPr>
            <w:tcW w:w="807" w:type="dxa"/>
            <w:tcBorders>
              <w:top w:val="nil"/>
              <w:left w:val="nil"/>
              <w:bottom w:val="single" w:sz="4" w:space="0" w:color="auto"/>
              <w:right w:val="nil"/>
            </w:tcBorders>
          </w:tcPr>
          <w:p w14:paraId="6875E745"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w:t>
            </w:r>
          </w:p>
        </w:tc>
        <w:tc>
          <w:tcPr>
            <w:tcW w:w="808" w:type="dxa"/>
            <w:tcBorders>
              <w:top w:val="nil"/>
              <w:left w:val="nil"/>
              <w:bottom w:val="single" w:sz="4" w:space="0" w:color="auto"/>
              <w:right w:val="nil"/>
            </w:tcBorders>
          </w:tcPr>
          <w:p w14:paraId="0E36262D" w14:textId="77777777" w:rsidR="00964B88" w:rsidRPr="00A4773B"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A4773B">
              <w:rPr>
                <w:rFonts w:eastAsiaTheme="minorEastAsia" w:cstheme="majorHAnsi"/>
                <w:color w:val="000000"/>
                <w:szCs w:val="20"/>
                <w:lang w:eastAsia="en-AU"/>
              </w:rPr>
              <w:t>..</w:t>
            </w:r>
          </w:p>
        </w:tc>
      </w:tr>
      <w:tr w:rsidR="00964B88" w:rsidRPr="00A4773B" w14:paraId="7E6099E6" w14:textId="77777777" w:rsidTr="003951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bottom w:val="single" w:sz="12" w:space="0" w:color="auto"/>
            </w:tcBorders>
          </w:tcPr>
          <w:p w14:paraId="4EB1690D" w14:textId="77777777" w:rsidR="00964B88" w:rsidRPr="00A4773B" w:rsidRDefault="00964B88" w:rsidP="00F53820">
            <w:pPr>
              <w:keepLines w:val="0"/>
              <w:autoSpaceDE w:val="0"/>
              <w:autoSpaceDN w:val="0"/>
              <w:adjustRightInd w:val="0"/>
              <w:rPr>
                <w:rFonts w:eastAsiaTheme="minorEastAsia" w:cstheme="majorHAnsi"/>
                <w:bCs/>
                <w:color w:val="000000"/>
                <w:szCs w:val="20"/>
                <w:lang w:eastAsia="en-AU"/>
              </w:rPr>
            </w:pPr>
            <w:r w:rsidRPr="00A4773B">
              <w:rPr>
                <w:rFonts w:eastAsiaTheme="minorEastAsia" w:cstheme="majorHAnsi"/>
                <w:bCs/>
                <w:color w:val="000000"/>
                <w:szCs w:val="20"/>
                <w:lang w:eastAsia="en-AU"/>
              </w:rPr>
              <w:t>Total output initiatives</w:t>
            </w:r>
            <w:r>
              <w:rPr>
                <w:rFonts w:eastAsiaTheme="minorEastAsia" w:cstheme="majorHAnsi"/>
                <w:bCs/>
                <w:color w:val="000000"/>
                <w:szCs w:val="20"/>
                <w:lang w:eastAsia="en-AU"/>
              </w:rPr>
              <w:t xml:space="preserve"> </w:t>
            </w:r>
            <w:r w:rsidRPr="00A4773B">
              <w:rPr>
                <w:rFonts w:eastAsiaTheme="minorEastAsia" w:cstheme="majorHAnsi"/>
                <w:bCs/>
                <w:color w:val="000000"/>
                <w:szCs w:val="20"/>
                <w:vertAlign w:val="superscript"/>
                <w:lang w:eastAsia="en-AU"/>
              </w:rPr>
              <w:t>(a)</w:t>
            </w:r>
          </w:p>
        </w:tc>
        <w:tc>
          <w:tcPr>
            <w:tcW w:w="807" w:type="dxa"/>
            <w:tcBorders>
              <w:top w:val="single" w:sz="4" w:space="0" w:color="auto"/>
              <w:bottom w:val="single" w:sz="12" w:space="0" w:color="auto"/>
            </w:tcBorders>
          </w:tcPr>
          <w:p w14:paraId="0717F2EA" w14:textId="77777777" w:rsidR="00964B88" w:rsidRPr="00A4773B"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20"/>
                <w:lang w:eastAsia="en-AU"/>
              </w:rPr>
            </w:pPr>
            <w:r w:rsidRPr="00A4773B">
              <w:rPr>
                <w:rFonts w:eastAsiaTheme="minorEastAsia" w:cstheme="majorHAnsi"/>
                <w:bCs/>
                <w:color w:val="000000"/>
                <w:szCs w:val="20"/>
                <w:lang w:eastAsia="en-AU"/>
              </w:rPr>
              <w:t>329.5</w:t>
            </w:r>
          </w:p>
        </w:tc>
        <w:tc>
          <w:tcPr>
            <w:tcW w:w="807" w:type="dxa"/>
            <w:tcBorders>
              <w:top w:val="single" w:sz="4" w:space="0" w:color="auto"/>
              <w:bottom w:val="single" w:sz="12" w:space="0" w:color="auto"/>
            </w:tcBorders>
          </w:tcPr>
          <w:p w14:paraId="3CCEB0A8" w14:textId="77777777" w:rsidR="00964B88" w:rsidRPr="00A4773B"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20"/>
                <w:lang w:eastAsia="en-AU"/>
              </w:rPr>
            </w:pPr>
            <w:r w:rsidRPr="00A4773B">
              <w:rPr>
                <w:rFonts w:eastAsiaTheme="minorEastAsia" w:cstheme="majorHAnsi"/>
                <w:bCs/>
                <w:color w:val="000000"/>
                <w:szCs w:val="20"/>
                <w:lang w:eastAsia="en-AU"/>
              </w:rPr>
              <w:t>393.0</w:t>
            </w:r>
          </w:p>
        </w:tc>
        <w:tc>
          <w:tcPr>
            <w:tcW w:w="807" w:type="dxa"/>
            <w:tcBorders>
              <w:top w:val="single" w:sz="4" w:space="0" w:color="auto"/>
              <w:bottom w:val="single" w:sz="12" w:space="0" w:color="auto"/>
            </w:tcBorders>
          </w:tcPr>
          <w:p w14:paraId="605BF8F7" w14:textId="77777777" w:rsidR="00964B88" w:rsidRPr="00A4773B"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20"/>
                <w:lang w:eastAsia="en-AU"/>
              </w:rPr>
            </w:pPr>
            <w:r w:rsidRPr="00A4773B">
              <w:rPr>
                <w:rFonts w:eastAsiaTheme="minorEastAsia" w:cstheme="majorHAnsi"/>
                <w:bCs/>
                <w:color w:val="000000"/>
                <w:szCs w:val="20"/>
                <w:lang w:eastAsia="en-AU"/>
              </w:rPr>
              <w:t>278.9</w:t>
            </w:r>
          </w:p>
        </w:tc>
        <w:tc>
          <w:tcPr>
            <w:tcW w:w="808" w:type="dxa"/>
            <w:tcBorders>
              <w:top w:val="single" w:sz="4" w:space="0" w:color="auto"/>
              <w:bottom w:val="single" w:sz="12" w:space="0" w:color="auto"/>
            </w:tcBorders>
          </w:tcPr>
          <w:p w14:paraId="436B1710" w14:textId="77777777" w:rsidR="00964B88" w:rsidRPr="00A4773B"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20"/>
                <w:lang w:eastAsia="en-AU"/>
              </w:rPr>
            </w:pPr>
            <w:r w:rsidRPr="00A4773B">
              <w:rPr>
                <w:rFonts w:eastAsiaTheme="minorEastAsia" w:cstheme="majorHAnsi"/>
                <w:bCs/>
                <w:color w:val="000000"/>
                <w:szCs w:val="20"/>
                <w:lang w:eastAsia="en-AU"/>
              </w:rPr>
              <w:t>250.0</w:t>
            </w:r>
          </w:p>
        </w:tc>
      </w:tr>
    </w:tbl>
    <w:p w14:paraId="5AFD0BA2" w14:textId="77777777" w:rsidR="00964B88" w:rsidRDefault="00964B88" w:rsidP="00F53820">
      <w:pPr>
        <w:pStyle w:val="Note"/>
      </w:pPr>
      <w:r>
        <w:t>Note:</w:t>
      </w:r>
    </w:p>
    <w:p w14:paraId="38B42217" w14:textId="77777777" w:rsidR="00964B88" w:rsidRDefault="00964B88" w:rsidP="00F53820">
      <w:pPr>
        <w:pStyle w:val="Note"/>
      </w:pPr>
      <w:r>
        <w:t xml:space="preserve">(a) </w:t>
      </w:r>
      <w:r>
        <w:tab/>
        <w:t>Table may not add due to rounding.</w:t>
      </w:r>
    </w:p>
    <w:p w14:paraId="718C96D5" w14:textId="77777777" w:rsidR="00964B88" w:rsidRPr="00D77BC3" w:rsidRDefault="00964B88" w:rsidP="00F53820">
      <w:pPr>
        <w:pStyle w:val="Heading30"/>
        <w:rPr>
          <w:highlight w:val="yellow"/>
        </w:rPr>
      </w:pPr>
      <w:r>
        <w:t>Affordable School Uniforms</w:t>
      </w:r>
    </w:p>
    <w:p w14:paraId="39835859" w14:textId="77777777" w:rsidR="00964B88" w:rsidRDefault="00964B88" w:rsidP="00F53820">
      <w:r>
        <w:t xml:space="preserve">Funding will be provided to enable State Schools’ Relief to continue to deliver free school uniform items and other essential items to government school students experiencing financial hardship. </w:t>
      </w:r>
    </w:p>
    <w:p w14:paraId="7EE1289E" w14:textId="77777777" w:rsidR="00964B88" w:rsidRDefault="00964B88" w:rsidP="00F53820">
      <w:r>
        <w:t>This initiative contributes to the Department of Education and Training’s Support Services Delivery output.</w:t>
      </w:r>
    </w:p>
    <w:p w14:paraId="1EE030E2" w14:textId="77777777" w:rsidR="00964B88" w:rsidRDefault="00964B88" w:rsidP="00F53820">
      <w:pPr>
        <w:pStyle w:val="Heading30"/>
      </w:pPr>
      <w:r>
        <w:t>Camps, Sports and Excursions Fund</w:t>
      </w:r>
    </w:p>
    <w:p w14:paraId="19C00EC4" w14:textId="77777777" w:rsidR="00964B88" w:rsidRDefault="00964B88" w:rsidP="00F53820">
      <w:r>
        <w:t xml:space="preserve">Funding will be provided to continue the Camps, Sports and Excursions Fund to deliver financial assistance to eligible students from families experiencing socio-economic disadvantage to help cover the costs of school trips, camps, excursions and sporting activities. </w:t>
      </w:r>
    </w:p>
    <w:p w14:paraId="780345AC" w14:textId="77777777" w:rsidR="00964B88" w:rsidRDefault="00964B88" w:rsidP="00F53820">
      <w:r>
        <w:t>This initiative contributes to the Department of Education and Training’s Support Services Delivery output.</w:t>
      </w:r>
    </w:p>
    <w:p w14:paraId="3094DAD6" w14:textId="77777777" w:rsidR="00964B88" w:rsidRDefault="00964B88" w:rsidP="00F53820">
      <w:pPr>
        <w:pStyle w:val="Heading30"/>
      </w:pPr>
      <w:r>
        <w:lastRenderedPageBreak/>
        <w:t>Education State initiatives</w:t>
      </w:r>
    </w:p>
    <w:p w14:paraId="599C0740" w14:textId="77777777" w:rsidR="00964B88" w:rsidRDefault="00964B88" w:rsidP="00F53820">
      <w:r w:rsidRPr="00A4773B">
        <w:t>Funding will be provided for targeted programs to improve student outcomes and support our teachers.</w:t>
      </w:r>
    </w:p>
    <w:p w14:paraId="51CF1557" w14:textId="77777777" w:rsidR="00964B88" w:rsidRDefault="00964B88" w:rsidP="00F53820">
      <w:r>
        <w:t>These initiatives contribute to the Department of Education and Training’s:</w:t>
      </w:r>
    </w:p>
    <w:p w14:paraId="10728473" w14:textId="77777777" w:rsidR="00964B88" w:rsidRDefault="00964B88" w:rsidP="00964B88">
      <w:pPr>
        <w:pStyle w:val="ListBullet"/>
        <w:keepLines w:val="0"/>
        <w:numPr>
          <w:ilvl w:val="0"/>
          <w:numId w:val="24"/>
        </w:numPr>
      </w:pPr>
      <w:r>
        <w:t>School Education – Primary output; and</w:t>
      </w:r>
    </w:p>
    <w:p w14:paraId="144FDB17" w14:textId="77777777" w:rsidR="00964B88" w:rsidRDefault="00964B88" w:rsidP="00964B88">
      <w:pPr>
        <w:pStyle w:val="ListBullet"/>
        <w:keepLines w:val="0"/>
        <w:numPr>
          <w:ilvl w:val="0"/>
          <w:numId w:val="24"/>
        </w:numPr>
      </w:pPr>
      <w:r>
        <w:t>School Education – Secondary output.</w:t>
      </w:r>
    </w:p>
    <w:p w14:paraId="5694B461" w14:textId="77777777" w:rsidR="00964B88" w:rsidRDefault="00964B88" w:rsidP="00F53820">
      <w:pPr>
        <w:pStyle w:val="Heading30"/>
      </w:pPr>
      <w:r>
        <w:t>E</w:t>
      </w:r>
      <w:r w:rsidRPr="002E0C49">
        <w:t xml:space="preserve">ngaging at-risk youth </w:t>
      </w:r>
    </w:p>
    <w:p w14:paraId="21D8E1D4" w14:textId="77777777" w:rsidR="00964B88" w:rsidRDefault="00964B88" w:rsidP="00F53820">
      <w:r>
        <w:t>Funding will be provided to continue the engaging at-risk youth program to deliver education programs for young people at risk of disengagement.</w:t>
      </w:r>
    </w:p>
    <w:p w14:paraId="185C4DC5" w14:textId="77777777" w:rsidR="00964B88" w:rsidRDefault="00964B88" w:rsidP="00F53820">
      <w:r>
        <w:t xml:space="preserve">This initiative contributes to the Department of Education and Training’s </w:t>
      </w:r>
      <w:r w:rsidRPr="00DD5527">
        <w:t xml:space="preserve">School Education </w:t>
      </w:r>
      <w:r w:rsidRPr="00E754E1">
        <w:t>–</w:t>
      </w:r>
      <w:r w:rsidRPr="00DD5527">
        <w:t xml:space="preserve"> Secondary output</w:t>
      </w:r>
      <w:r>
        <w:t>.</w:t>
      </w:r>
    </w:p>
    <w:p w14:paraId="28204A8C" w14:textId="77777777" w:rsidR="00964B88" w:rsidRDefault="00964B88" w:rsidP="00F53820">
      <w:pPr>
        <w:pStyle w:val="Heading30"/>
      </w:pPr>
      <w:r>
        <w:t xml:space="preserve">English as an Additional Language </w:t>
      </w:r>
    </w:p>
    <w:p w14:paraId="79D89760" w14:textId="77777777" w:rsidR="00964B88" w:rsidRPr="00E61D9F" w:rsidRDefault="00964B88" w:rsidP="003951F6">
      <w:pPr>
        <w:ind w:right="-227"/>
      </w:pPr>
      <w:r>
        <w:t>Funding will be provided for the English as an Additional Language program to support more students in the 2020 school year, due to enrolment growth. The program supports government school students who do not speak English at home, including</w:t>
      </w:r>
      <w:r w:rsidRPr="00B6721C">
        <w:t xml:space="preserve"> </w:t>
      </w:r>
      <w:r>
        <w:t>Australian</w:t>
      </w:r>
      <w:r>
        <w:noBreakHyphen/>
        <w:t>born students, newly arrived migrants and students from refugee and asylum seeker backgrounds, to become proficient in English.</w:t>
      </w:r>
    </w:p>
    <w:p w14:paraId="053438C3" w14:textId="77777777" w:rsidR="00964B88" w:rsidRDefault="00964B88" w:rsidP="00F53820">
      <w:r>
        <w:t>This initiative contributes to the Department of Education and Training’s:</w:t>
      </w:r>
    </w:p>
    <w:p w14:paraId="3F72401F" w14:textId="77777777" w:rsidR="00964B88" w:rsidRDefault="00964B88" w:rsidP="00F53820">
      <w:pPr>
        <w:pStyle w:val="ListBullet"/>
      </w:pPr>
      <w:r w:rsidRPr="00E754E1">
        <w:t xml:space="preserve">School Education – </w:t>
      </w:r>
      <w:r>
        <w:t>Primary output; and</w:t>
      </w:r>
    </w:p>
    <w:p w14:paraId="1D12B058" w14:textId="77777777" w:rsidR="00964B88" w:rsidRPr="00900FF0" w:rsidRDefault="00964B88" w:rsidP="00F53820">
      <w:pPr>
        <w:pStyle w:val="ListBullet"/>
      </w:pPr>
      <w:r>
        <w:t>School Education – Secondary output.</w:t>
      </w:r>
    </w:p>
    <w:p w14:paraId="7103D397" w14:textId="77777777" w:rsidR="00964B88" w:rsidRPr="00D77BC3" w:rsidRDefault="00964B88" w:rsidP="00F53820">
      <w:pPr>
        <w:pStyle w:val="Heading30"/>
        <w:rPr>
          <w:highlight w:val="yellow"/>
        </w:rPr>
      </w:pPr>
      <w:r>
        <w:t>Enhanced behaviour support and intervention for schools</w:t>
      </w:r>
    </w:p>
    <w:p w14:paraId="3AD94DD4" w14:textId="77777777" w:rsidR="00964B88" w:rsidRDefault="00964B88" w:rsidP="00F53820">
      <w:r>
        <w:t>Funding will be provided to continue building the capability of the school workforce to prevent and reduce behaviours of concern and enable students with additional needs to fully participate in their education.</w:t>
      </w:r>
    </w:p>
    <w:p w14:paraId="3D8B8F2A" w14:textId="77777777" w:rsidR="00964B88" w:rsidRPr="00A4773B" w:rsidRDefault="00964B88" w:rsidP="00F53820">
      <w:r w:rsidRPr="00A4773B">
        <w:t>This initiative contributes to the Department of Education and Training’s:</w:t>
      </w:r>
    </w:p>
    <w:p w14:paraId="2E000D3C" w14:textId="77777777" w:rsidR="00964B88" w:rsidRPr="00A4773B" w:rsidRDefault="00964B88" w:rsidP="00F53820">
      <w:pPr>
        <w:pStyle w:val="ListBullet"/>
      </w:pPr>
      <w:r w:rsidRPr="00A4773B">
        <w:t>School Education – Primary output; and</w:t>
      </w:r>
    </w:p>
    <w:p w14:paraId="53087B81" w14:textId="77777777" w:rsidR="00964B88" w:rsidRPr="00A4773B" w:rsidRDefault="00964B88" w:rsidP="00F53820">
      <w:pPr>
        <w:pStyle w:val="ListBullet"/>
      </w:pPr>
      <w:r w:rsidRPr="00A4773B">
        <w:t>School Education – Secondary output.</w:t>
      </w:r>
    </w:p>
    <w:p w14:paraId="0776F35C" w14:textId="77777777" w:rsidR="00964B88" w:rsidRPr="00D77BC3" w:rsidRDefault="00964B88" w:rsidP="00F53820">
      <w:pPr>
        <w:pStyle w:val="Heading30"/>
        <w:rPr>
          <w:highlight w:val="yellow"/>
        </w:rPr>
      </w:pPr>
      <w:r>
        <w:t>Essential maintenance and compliance</w:t>
      </w:r>
    </w:p>
    <w:p w14:paraId="7962CEAF" w14:textId="77777777" w:rsidR="00964B88" w:rsidRDefault="00964B88" w:rsidP="00F53820">
      <w:r>
        <w:t xml:space="preserve">Funding will be provided to facilitate proactive school maintenance and compliance </w:t>
      </w:r>
      <w:r w:rsidRPr="00A4773B">
        <w:t>activity. Funding will also be provided to increase investment by schools in maintenance and minor works.</w:t>
      </w:r>
      <w:r>
        <w:t xml:space="preserve"> </w:t>
      </w:r>
    </w:p>
    <w:p w14:paraId="5EA00D9A" w14:textId="77777777" w:rsidR="00964B88" w:rsidRDefault="00964B88" w:rsidP="00F53820">
      <w:r>
        <w:t xml:space="preserve">This initiative contributes to the Department of Education and Training’s: </w:t>
      </w:r>
    </w:p>
    <w:p w14:paraId="3D36BADE" w14:textId="77777777" w:rsidR="00964B88" w:rsidRDefault="00964B88" w:rsidP="00F53820">
      <w:pPr>
        <w:pStyle w:val="ListBullet"/>
      </w:pPr>
      <w:r>
        <w:t>School Education – Primary output; and</w:t>
      </w:r>
    </w:p>
    <w:p w14:paraId="77AB9C07" w14:textId="77777777" w:rsidR="00964B88" w:rsidRDefault="00964B88" w:rsidP="00F53820">
      <w:pPr>
        <w:pStyle w:val="ListBullet"/>
      </w:pPr>
      <w:r>
        <w:t>School Education – Secondary output.</w:t>
      </w:r>
    </w:p>
    <w:p w14:paraId="0D8DC064" w14:textId="77777777" w:rsidR="00964B88" w:rsidRDefault="00964B88" w:rsidP="00F53820">
      <w:pPr>
        <w:pStyle w:val="Heading30"/>
      </w:pPr>
      <w:r>
        <w:lastRenderedPageBreak/>
        <w:t xml:space="preserve">Expanding Professional Learning Communities </w:t>
      </w:r>
    </w:p>
    <w:p w14:paraId="121A7BF2" w14:textId="77777777" w:rsidR="00964B88" w:rsidRDefault="00964B88" w:rsidP="00F53820">
      <w:r>
        <w:t>Professional Learning Communities (PLCs) will be expanded to support all government schools to help improve student outcomes through further training and expanding the networked system. Funding will also increase the number of teaching practice instructors to support these new PLCs and introduce an accreditation tool to support best practice.</w:t>
      </w:r>
    </w:p>
    <w:p w14:paraId="1D11AE8F" w14:textId="77777777" w:rsidR="00964B88" w:rsidRDefault="00964B88" w:rsidP="00F53820">
      <w:r>
        <w:t xml:space="preserve">This initiative contributes to the Department of Education and Training’s: </w:t>
      </w:r>
    </w:p>
    <w:p w14:paraId="4A626DE7" w14:textId="77777777" w:rsidR="00964B88" w:rsidRDefault="00964B88" w:rsidP="00F53820">
      <w:pPr>
        <w:pStyle w:val="ListBullet"/>
      </w:pPr>
      <w:r>
        <w:t>School Education – Primary output; and</w:t>
      </w:r>
    </w:p>
    <w:p w14:paraId="3D1F1B79" w14:textId="77777777" w:rsidR="00964B88" w:rsidRDefault="00964B88" w:rsidP="00F53820">
      <w:pPr>
        <w:pStyle w:val="ListBullet"/>
      </w:pPr>
      <w:r>
        <w:t>School Education – Secondary output.</w:t>
      </w:r>
    </w:p>
    <w:p w14:paraId="6D6DC1A7" w14:textId="77777777" w:rsidR="00964B88" w:rsidRPr="00D77BC3" w:rsidRDefault="00964B88" w:rsidP="00F53820">
      <w:pPr>
        <w:pStyle w:val="Heading30"/>
        <w:rPr>
          <w:highlight w:val="yellow"/>
        </w:rPr>
      </w:pPr>
      <w:r>
        <w:t>Glasses for Kids</w:t>
      </w:r>
    </w:p>
    <w:p w14:paraId="26AB1590" w14:textId="77777777" w:rsidR="00964B88" w:rsidRDefault="00964B88" w:rsidP="003951F6">
      <w:pPr>
        <w:ind w:right="340"/>
      </w:pPr>
      <w:r>
        <w:t xml:space="preserve">Funding will be provided to continue the Glasses for Kids program to assist children with a visual impairment. Free vision screening and free glasses will be provided to Prep to Year 3 students in government schools in disadvantaged areas. </w:t>
      </w:r>
    </w:p>
    <w:p w14:paraId="0C66EC63" w14:textId="77777777" w:rsidR="00964B88" w:rsidRDefault="00964B88" w:rsidP="00F53820">
      <w:r>
        <w:t>This initiative contributes to the Department of Education and Training’s Support Services Delivery output.</w:t>
      </w:r>
    </w:p>
    <w:p w14:paraId="638758D8" w14:textId="77777777" w:rsidR="00964B88" w:rsidRDefault="00964B88" w:rsidP="00F53820">
      <w:pPr>
        <w:pStyle w:val="Heading30"/>
      </w:pPr>
      <w:r w:rsidRPr="00BF400C">
        <w:t xml:space="preserve">Learning </w:t>
      </w:r>
      <w:r>
        <w:t>s</w:t>
      </w:r>
      <w:r w:rsidRPr="00BF400C">
        <w:t xml:space="preserve">pecialists </w:t>
      </w:r>
      <w:r>
        <w:t>l</w:t>
      </w:r>
      <w:r w:rsidRPr="00BF400C">
        <w:t xml:space="preserve">eading </w:t>
      </w:r>
      <w:r>
        <w:t>e</w:t>
      </w:r>
      <w:r w:rsidRPr="00BF400C">
        <w:t xml:space="preserve">xcellence in </w:t>
      </w:r>
      <w:r>
        <w:t>t</w:t>
      </w:r>
      <w:r w:rsidRPr="00BF400C">
        <w:t xml:space="preserve">eaching and </w:t>
      </w:r>
      <w:r>
        <w:t>l</w:t>
      </w:r>
      <w:r w:rsidRPr="00BF400C">
        <w:t>earning</w:t>
      </w:r>
    </w:p>
    <w:p w14:paraId="5A68503A" w14:textId="77777777" w:rsidR="00964B88" w:rsidRDefault="00964B88" w:rsidP="003951F6">
      <w:pPr>
        <w:ind w:right="198"/>
      </w:pPr>
      <w:r w:rsidRPr="00D651DE">
        <w:t xml:space="preserve">Learning </w:t>
      </w:r>
      <w:r>
        <w:t>s</w:t>
      </w:r>
      <w:r w:rsidRPr="00D651DE">
        <w:t xml:space="preserve">pecialists are instructional leaders who focus on building the capabilities of teachers and improving student outcomes. Additional funding will be provided to </w:t>
      </w:r>
      <w:r>
        <w:t xml:space="preserve">lead and </w:t>
      </w:r>
      <w:r w:rsidRPr="00D651DE">
        <w:t>embed high</w:t>
      </w:r>
      <w:r>
        <w:t>-</w:t>
      </w:r>
      <w:r w:rsidRPr="00D651DE">
        <w:t>impact teaching strategies</w:t>
      </w:r>
      <w:r>
        <w:t xml:space="preserve">, </w:t>
      </w:r>
      <w:r w:rsidRPr="00D651DE">
        <w:t>share evidence-based best practices</w:t>
      </w:r>
      <w:r>
        <w:t xml:space="preserve"> across government schools and leverage national and international expertise.</w:t>
      </w:r>
    </w:p>
    <w:p w14:paraId="6EDAA147" w14:textId="77777777" w:rsidR="00964B88" w:rsidRDefault="00964B88" w:rsidP="00F53820">
      <w:r>
        <w:t xml:space="preserve">This initiative contributes to the Department of Education and Training’s: </w:t>
      </w:r>
    </w:p>
    <w:p w14:paraId="546A0353" w14:textId="77777777" w:rsidR="00964B88" w:rsidRDefault="00964B88" w:rsidP="00F53820">
      <w:pPr>
        <w:pStyle w:val="ListBullet"/>
      </w:pPr>
      <w:r>
        <w:t>School Education – Primary output; and</w:t>
      </w:r>
    </w:p>
    <w:p w14:paraId="020E5B9A" w14:textId="77777777" w:rsidR="00964B88" w:rsidRPr="00C50D17" w:rsidRDefault="00964B88" w:rsidP="00F53820">
      <w:pPr>
        <w:pStyle w:val="ListBullet"/>
      </w:pPr>
      <w:r>
        <w:t>School Education – Secondary output.</w:t>
      </w:r>
    </w:p>
    <w:p w14:paraId="7BDCCB41" w14:textId="77777777" w:rsidR="00964B88" w:rsidRDefault="00964B88" w:rsidP="00F53820">
      <w:pPr>
        <w:pStyle w:val="Heading30"/>
      </w:pPr>
      <w:r>
        <w:t>Lifting the digital experience of connected learners</w:t>
      </w:r>
    </w:p>
    <w:p w14:paraId="606E722D" w14:textId="77777777" w:rsidR="00964B88" w:rsidRDefault="00964B88" w:rsidP="00F53820">
      <w:r>
        <w:t>Funding will be provided to lift the digital experience of connected learners by delivering additional internet bandwidth to schools, giving every student and teacher access to essential digital resources.</w:t>
      </w:r>
    </w:p>
    <w:p w14:paraId="081F18F8" w14:textId="77777777" w:rsidR="00964B88" w:rsidRPr="00DD5527" w:rsidRDefault="00964B88" w:rsidP="00F53820">
      <w:r w:rsidRPr="00DD5527">
        <w:t>This initiative contributes to the Department of Education and Training</w:t>
      </w:r>
      <w:r>
        <w:t>’</w:t>
      </w:r>
      <w:r w:rsidRPr="00DD5527">
        <w:t>s:</w:t>
      </w:r>
    </w:p>
    <w:p w14:paraId="2C0D95CC" w14:textId="77777777" w:rsidR="00964B88" w:rsidRPr="00DD5527" w:rsidRDefault="00964B88" w:rsidP="00F53820">
      <w:pPr>
        <w:pStyle w:val="ListBullet"/>
      </w:pPr>
      <w:r w:rsidRPr="00DD5527">
        <w:t xml:space="preserve">School Education </w:t>
      </w:r>
      <w:r w:rsidRPr="00E754E1">
        <w:t>–</w:t>
      </w:r>
      <w:r w:rsidRPr="00DD5527">
        <w:t xml:space="preserve"> Primary output; and</w:t>
      </w:r>
    </w:p>
    <w:p w14:paraId="20387353" w14:textId="77777777" w:rsidR="00964B88" w:rsidRPr="004561C4" w:rsidRDefault="00964B88" w:rsidP="00F53820">
      <w:pPr>
        <w:pStyle w:val="ListBullet"/>
      </w:pPr>
      <w:r w:rsidRPr="00DD5527">
        <w:t xml:space="preserve">School Education </w:t>
      </w:r>
      <w:r w:rsidRPr="00E754E1">
        <w:t>–</w:t>
      </w:r>
      <w:r w:rsidRPr="00DD5527">
        <w:t xml:space="preserve"> Secondary output.</w:t>
      </w:r>
    </w:p>
    <w:p w14:paraId="30AD042E" w14:textId="77777777" w:rsidR="00964B88" w:rsidRPr="001D5F3C" w:rsidRDefault="00964B88" w:rsidP="00F53820">
      <w:pPr>
        <w:pStyle w:val="Heading30"/>
        <w:spacing w:before="200"/>
      </w:pPr>
      <w:r w:rsidRPr="001D5F3C">
        <w:t>Mobile phones in schools</w:t>
      </w:r>
    </w:p>
    <w:p w14:paraId="7886280F" w14:textId="77777777" w:rsidR="00964B88" w:rsidRPr="00A4773B" w:rsidRDefault="00964B88" w:rsidP="003951F6">
      <w:pPr>
        <w:ind w:right="340"/>
      </w:pPr>
      <w:r>
        <w:t xml:space="preserve">Funding will be provided to schools for secure storage options to support the Government’s policy </w:t>
      </w:r>
      <w:r w:rsidRPr="00A4773B">
        <w:t xml:space="preserve">requiring all </w:t>
      </w:r>
      <w:r>
        <w:t>government</w:t>
      </w:r>
      <w:r w:rsidRPr="00A4773B">
        <w:t xml:space="preserve"> school students to switch off and securely store phones during school hours. </w:t>
      </w:r>
    </w:p>
    <w:p w14:paraId="4DBBAF00" w14:textId="77777777" w:rsidR="00964B88" w:rsidRPr="004561C4" w:rsidRDefault="00964B88" w:rsidP="00F53820">
      <w:r w:rsidRPr="00A4773B">
        <w:t>This initiative contributes to the Department of Education and Training’s Support Services Delivery output.</w:t>
      </w:r>
    </w:p>
    <w:p w14:paraId="34356E0A" w14:textId="77777777" w:rsidR="00964B88" w:rsidRPr="001D5F3C" w:rsidRDefault="00964B88" w:rsidP="00F53820">
      <w:pPr>
        <w:pStyle w:val="Heading30"/>
        <w:spacing w:before="200"/>
      </w:pPr>
      <w:r w:rsidRPr="001D5F3C">
        <w:lastRenderedPageBreak/>
        <w:t>Onsite school technical support and digital connectivity</w:t>
      </w:r>
    </w:p>
    <w:p w14:paraId="00CB43B6" w14:textId="77777777" w:rsidR="00964B88" w:rsidRDefault="00964B88" w:rsidP="003951F6">
      <w:pPr>
        <w:ind w:right="56"/>
      </w:pPr>
      <w:r>
        <w:t>Funding will be provided to maintain frontline information technology service delivery for government schools, including school onsite technical support and digital connectivity services.</w:t>
      </w:r>
      <w:r w:rsidRPr="00862D03">
        <w:t xml:space="preserve"> This will equip and support schools to utilise</w:t>
      </w:r>
      <w:r>
        <w:t xml:space="preserve"> </w:t>
      </w:r>
      <w:r w:rsidRPr="00862D03">
        <w:t>technology in creating engaging learning opportunities</w:t>
      </w:r>
      <w:r>
        <w:t xml:space="preserve">. </w:t>
      </w:r>
    </w:p>
    <w:p w14:paraId="10F15AF0" w14:textId="77777777" w:rsidR="00964B88" w:rsidRPr="00DD5527" w:rsidRDefault="00964B88" w:rsidP="00F53820">
      <w:r w:rsidRPr="00DD5527">
        <w:t>This initiative contributes to the Department of Education and Training</w:t>
      </w:r>
      <w:r>
        <w:t>’</w:t>
      </w:r>
      <w:r w:rsidRPr="00DD5527">
        <w:t>s:</w:t>
      </w:r>
    </w:p>
    <w:p w14:paraId="163A570C" w14:textId="77777777" w:rsidR="00964B88" w:rsidRPr="00DD5527" w:rsidRDefault="00964B88" w:rsidP="00F53820">
      <w:pPr>
        <w:pStyle w:val="ListBullet"/>
      </w:pPr>
      <w:r w:rsidRPr="00DD5527">
        <w:t xml:space="preserve">School Education </w:t>
      </w:r>
      <w:r w:rsidRPr="00E754E1">
        <w:t>–</w:t>
      </w:r>
      <w:r w:rsidRPr="00DD5527">
        <w:t xml:space="preserve"> Primary output; and</w:t>
      </w:r>
    </w:p>
    <w:p w14:paraId="572A2CA1" w14:textId="77777777" w:rsidR="00964B88" w:rsidRPr="004561C4" w:rsidRDefault="00964B88" w:rsidP="00F53820">
      <w:pPr>
        <w:pStyle w:val="ListBullet"/>
      </w:pPr>
      <w:r w:rsidRPr="00DD5527">
        <w:t xml:space="preserve">School Education </w:t>
      </w:r>
      <w:r w:rsidRPr="00E754E1">
        <w:t>–</w:t>
      </w:r>
      <w:r w:rsidRPr="00DD5527">
        <w:t xml:space="preserve"> Secondary output.</w:t>
      </w:r>
    </w:p>
    <w:p w14:paraId="07FF06B4" w14:textId="77777777" w:rsidR="00964B88" w:rsidRPr="001D5F3C" w:rsidRDefault="00964B88" w:rsidP="00F53820">
      <w:pPr>
        <w:pStyle w:val="Heading30"/>
        <w:spacing w:before="200"/>
      </w:pPr>
      <w:r w:rsidRPr="001D5F3C">
        <w:t>Refugee education support</w:t>
      </w:r>
    </w:p>
    <w:p w14:paraId="5DB0D9E4" w14:textId="77777777" w:rsidR="00964B88" w:rsidRDefault="00964B88" w:rsidP="00F53820">
      <w:r>
        <w:t>Funding will be provided to continue the refugee education support programs to be delivered by Foundation House and the Centre for Multicultural Youth. These programs build the capacity of schools and early childhood services to meet the educational and wellbeing needs of children and young people from refugee backgrounds and their families.</w:t>
      </w:r>
    </w:p>
    <w:p w14:paraId="64A3EA00" w14:textId="77777777" w:rsidR="00964B88" w:rsidRDefault="00964B88" w:rsidP="00F53820">
      <w:r w:rsidRPr="00DD5527">
        <w:t>This initiative contributes to the Department of Education and Training</w:t>
      </w:r>
      <w:r>
        <w:t>’</w:t>
      </w:r>
      <w:r w:rsidRPr="00DD5527">
        <w:t>s</w:t>
      </w:r>
      <w:r>
        <w:t xml:space="preserve"> Support Services Delivery output.</w:t>
      </w:r>
    </w:p>
    <w:p w14:paraId="7F54EA99" w14:textId="77777777" w:rsidR="00964B88" w:rsidRPr="001D5F3C" w:rsidRDefault="00964B88" w:rsidP="00F53820">
      <w:pPr>
        <w:pStyle w:val="Heading30"/>
        <w:spacing w:before="200"/>
      </w:pPr>
      <w:r w:rsidRPr="001D5F3C">
        <w:t>Rural and regional school reform</w:t>
      </w:r>
    </w:p>
    <w:p w14:paraId="77B8DF4C" w14:textId="77777777" w:rsidR="00964B88" w:rsidRDefault="00964B88" w:rsidP="00F53820">
      <w:r>
        <w:t>Funding will be provided to improve outcomes for students in rural and regional Victoria. Reforms will include professional development outreach for teachers, support for school clusters to work together to strengthen curriculum delivery, free access to Virtual School Victoria, and access to Victorian Certificate of Education revision lectures and other resources.</w:t>
      </w:r>
    </w:p>
    <w:p w14:paraId="0A5B6039" w14:textId="77777777" w:rsidR="00964B88" w:rsidRPr="00DD5527" w:rsidRDefault="00964B88" w:rsidP="00F53820">
      <w:r w:rsidRPr="00DD5527">
        <w:t>This initiative contributes to the Department of Education and Training</w:t>
      </w:r>
      <w:r>
        <w:t>’</w:t>
      </w:r>
      <w:r w:rsidRPr="00DD5527">
        <w:t>s:</w:t>
      </w:r>
    </w:p>
    <w:p w14:paraId="6E8716B0" w14:textId="77777777" w:rsidR="00964B88" w:rsidRPr="00DD5527" w:rsidRDefault="00964B88" w:rsidP="00F53820">
      <w:pPr>
        <w:pStyle w:val="ListBullet"/>
      </w:pPr>
      <w:r w:rsidRPr="00DD5527">
        <w:t xml:space="preserve">School Education </w:t>
      </w:r>
      <w:r w:rsidRPr="00E754E1">
        <w:t>–</w:t>
      </w:r>
      <w:r w:rsidRPr="00DD5527">
        <w:t xml:space="preserve"> Primary output; and</w:t>
      </w:r>
    </w:p>
    <w:p w14:paraId="4F7E4FAE" w14:textId="77777777" w:rsidR="00964B88" w:rsidRPr="004561C4" w:rsidRDefault="00964B88" w:rsidP="00F53820">
      <w:pPr>
        <w:pStyle w:val="ListBullet"/>
      </w:pPr>
      <w:r w:rsidRPr="00DD5527">
        <w:t xml:space="preserve">School Education </w:t>
      </w:r>
      <w:r w:rsidRPr="00E754E1">
        <w:t>–</w:t>
      </w:r>
      <w:r w:rsidRPr="00DD5527">
        <w:t xml:space="preserve"> Secondary output.</w:t>
      </w:r>
    </w:p>
    <w:p w14:paraId="3BC395DC" w14:textId="77777777" w:rsidR="00964B88" w:rsidRDefault="00964B88" w:rsidP="00F53820">
      <w:pPr>
        <w:pStyle w:val="Heading30"/>
        <w:spacing w:before="200"/>
      </w:pPr>
      <w:r w:rsidRPr="00BF400C">
        <w:t xml:space="preserve">Support </w:t>
      </w:r>
      <w:r>
        <w:t>for e</w:t>
      </w:r>
      <w:r w:rsidRPr="00BF400C">
        <w:t xml:space="preserve">xcellent </w:t>
      </w:r>
      <w:r>
        <w:t>s</w:t>
      </w:r>
      <w:r w:rsidRPr="00BF400C">
        <w:t xml:space="preserve">chool </w:t>
      </w:r>
      <w:r>
        <w:t>l</w:t>
      </w:r>
      <w:r w:rsidRPr="00BF400C">
        <w:t>eaders</w:t>
      </w:r>
    </w:p>
    <w:p w14:paraId="5958F5FB" w14:textId="77777777" w:rsidR="00964B88" w:rsidRPr="009C0DBC" w:rsidRDefault="00964B88" w:rsidP="00F53820">
      <w:r>
        <w:t xml:space="preserve">The quality of school leadership is one of the most important drivers of student outcomes. Funding will be provided to support the best leaders to tackle the most </w:t>
      </w:r>
      <w:r w:rsidRPr="00A4773B">
        <w:t>challenging leadership roles in government schools and to expand the Turnaround Teams initiative to work with individual schools facing the greatest barriers to addressing underperformance.</w:t>
      </w:r>
    </w:p>
    <w:p w14:paraId="44E18EF3" w14:textId="77777777" w:rsidR="00964B88" w:rsidRPr="00DD5527" w:rsidRDefault="00964B88" w:rsidP="00F53820">
      <w:r w:rsidRPr="00DD5527">
        <w:t>This initiative contributes to the Department of Education and Training</w:t>
      </w:r>
      <w:r>
        <w:t>’</w:t>
      </w:r>
      <w:r w:rsidRPr="00DD5527">
        <w:t>s:</w:t>
      </w:r>
    </w:p>
    <w:p w14:paraId="1C35E848" w14:textId="77777777" w:rsidR="00964B88" w:rsidRPr="00DD5527" w:rsidRDefault="00964B88" w:rsidP="00F53820">
      <w:pPr>
        <w:pStyle w:val="ListBullet"/>
      </w:pPr>
      <w:r w:rsidRPr="00DD5527">
        <w:t xml:space="preserve">School Education </w:t>
      </w:r>
      <w:r w:rsidRPr="00E754E1">
        <w:t>–</w:t>
      </w:r>
      <w:r w:rsidRPr="00DD5527">
        <w:t xml:space="preserve"> Primary output; and</w:t>
      </w:r>
    </w:p>
    <w:p w14:paraId="5B1CCA20" w14:textId="77777777" w:rsidR="00964B88" w:rsidRPr="004561C4" w:rsidRDefault="00964B88" w:rsidP="00F53820">
      <w:pPr>
        <w:pStyle w:val="ListBullet"/>
      </w:pPr>
      <w:r w:rsidRPr="00DD5527">
        <w:t xml:space="preserve">School Education </w:t>
      </w:r>
      <w:r w:rsidRPr="00E754E1">
        <w:t>–</w:t>
      </w:r>
      <w:r w:rsidRPr="00DD5527">
        <w:t xml:space="preserve"> Secondary output.</w:t>
      </w:r>
    </w:p>
    <w:p w14:paraId="7A8321C3" w14:textId="77777777" w:rsidR="00964B88" w:rsidRDefault="00964B88" w:rsidP="003951F6"/>
    <w:p w14:paraId="13B32483" w14:textId="77777777" w:rsidR="00964B88" w:rsidRPr="00D77BC3" w:rsidRDefault="00964B88" w:rsidP="00F53820">
      <w:pPr>
        <w:pStyle w:val="Heading30"/>
        <w:spacing w:before="200"/>
        <w:rPr>
          <w:highlight w:val="yellow"/>
        </w:rPr>
      </w:pPr>
      <w:r w:rsidRPr="007D02E2">
        <w:lastRenderedPageBreak/>
        <w:t>Support for students with disabilities and additional needs</w:t>
      </w:r>
    </w:p>
    <w:p w14:paraId="5A8C7401" w14:textId="77777777" w:rsidR="00964B88" w:rsidRDefault="00964B88" w:rsidP="00F53820">
      <w:r>
        <w:t>Funding will be provided to continue programs to support students with disability and additional needs, including the Outside School Hours Care Demonstration program and Equipment Boost for Schools.</w:t>
      </w:r>
    </w:p>
    <w:p w14:paraId="594B2FF7" w14:textId="77777777" w:rsidR="00964B88" w:rsidRDefault="00964B88" w:rsidP="00F53820">
      <w:r>
        <w:t>This initiative contributes to the Department of Education and Training’s Support for Students with Disabilities output.</w:t>
      </w:r>
    </w:p>
    <w:p w14:paraId="347BFC42" w14:textId="77777777" w:rsidR="00964B88" w:rsidRPr="00A4773B" w:rsidRDefault="00964B88" w:rsidP="00F53820">
      <w:pPr>
        <w:pStyle w:val="Heading30"/>
      </w:pPr>
      <w:r w:rsidRPr="00A4773B">
        <w:t xml:space="preserve">Supporting high ability students </w:t>
      </w:r>
      <w:r w:rsidRPr="00A4773B">
        <w:rPr>
          <w:rFonts w:eastAsiaTheme="minorEastAsia" w:cstheme="majorHAnsi"/>
          <w:color w:val="000000"/>
          <w:szCs w:val="20"/>
          <w:lang w:eastAsia="en-AU"/>
        </w:rPr>
        <w:t>in every classroom</w:t>
      </w:r>
    </w:p>
    <w:p w14:paraId="13894E8A" w14:textId="77777777" w:rsidR="00964B88" w:rsidRPr="00A4773B" w:rsidRDefault="00964B88" w:rsidP="00F53820">
      <w:r w:rsidRPr="00A4773B">
        <w:t xml:space="preserve">High ability students will be supported to reach their full potential by providing enrichment opportunities, including through the Victorian High Ability Program and through </w:t>
      </w:r>
      <w:r>
        <w:t>partner organisations</w:t>
      </w:r>
      <w:r w:rsidRPr="00A4773B">
        <w:t>. This initiative will ensure every government primary and secondary school will have access to a High Ability Practice Leader and provide teachers with online professional learning and a toolkit of evidence-based resources.</w:t>
      </w:r>
    </w:p>
    <w:p w14:paraId="1596C074" w14:textId="77777777" w:rsidR="00964B88" w:rsidRPr="00A4773B" w:rsidRDefault="00964B88" w:rsidP="00F53820">
      <w:r w:rsidRPr="00A4773B">
        <w:t xml:space="preserve">This initiative contributes to the Department of Education and Training’s: </w:t>
      </w:r>
    </w:p>
    <w:p w14:paraId="5361DE15" w14:textId="77777777" w:rsidR="00964B88" w:rsidRPr="00A4773B" w:rsidRDefault="00964B88" w:rsidP="00F53820">
      <w:pPr>
        <w:pStyle w:val="ListBullet"/>
      </w:pPr>
      <w:r w:rsidRPr="00A4773B">
        <w:t>School Education – Primary output; and</w:t>
      </w:r>
    </w:p>
    <w:p w14:paraId="6C91B174" w14:textId="77777777" w:rsidR="00964B88" w:rsidRPr="00A4773B" w:rsidRDefault="00964B88" w:rsidP="00F53820">
      <w:pPr>
        <w:pStyle w:val="ListBullet"/>
      </w:pPr>
      <w:r w:rsidRPr="00A4773B">
        <w:t>School Education – Secondary output.</w:t>
      </w:r>
    </w:p>
    <w:p w14:paraId="2C51A993" w14:textId="77777777" w:rsidR="00964B88" w:rsidRDefault="00964B88" w:rsidP="00F53820">
      <w:pPr>
        <w:pStyle w:val="Heading30"/>
        <w:spacing w:before="200"/>
      </w:pPr>
      <w:r w:rsidRPr="00BF400C">
        <w:t xml:space="preserve">Targeted </w:t>
      </w:r>
      <w:r>
        <w:t>i</w:t>
      </w:r>
      <w:r w:rsidRPr="00BF400C">
        <w:t xml:space="preserve">nitiatives to </w:t>
      </w:r>
      <w:r>
        <w:t>a</w:t>
      </w:r>
      <w:r w:rsidRPr="00BF400C">
        <w:t xml:space="preserve">ttract </w:t>
      </w:r>
      <w:r>
        <w:t>m</w:t>
      </w:r>
      <w:r w:rsidRPr="00BF400C">
        <w:t xml:space="preserve">ore </w:t>
      </w:r>
      <w:r>
        <w:t>t</w:t>
      </w:r>
      <w:r w:rsidRPr="00BF400C">
        <w:t>eachers</w:t>
      </w:r>
    </w:p>
    <w:p w14:paraId="53E33EBF" w14:textId="77777777" w:rsidR="00964B88" w:rsidRDefault="00964B88" w:rsidP="00F53820">
      <w:r w:rsidRPr="002C6130">
        <w:t>Funding will be provided for financial incentives to encourage teachers to work in hard</w:t>
      </w:r>
      <w:r>
        <w:noBreakHyphen/>
      </w:r>
      <w:r w:rsidRPr="002C6130">
        <w:t>to</w:t>
      </w:r>
      <w:r>
        <w:noBreakHyphen/>
      </w:r>
      <w:r w:rsidRPr="002C6130">
        <w:t>staff positions and schools</w:t>
      </w:r>
      <w:r>
        <w:t xml:space="preserve">. Funding is also provided to increase the supply and quality of teachers specialising in vocational education and training through retraining, grants to schools and scholarships for teachers. </w:t>
      </w:r>
    </w:p>
    <w:p w14:paraId="4FEB1721" w14:textId="77777777" w:rsidR="00964B88" w:rsidRPr="00DD5527" w:rsidRDefault="00964B88" w:rsidP="00F53820">
      <w:r w:rsidRPr="00DD5527">
        <w:t>This initiative contributes to the Department of Education and Training</w:t>
      </w:r>
      <w:r>
        <w:t>’</w:t>
      </w:r>
      <w:r w:rsidRPr="00DD5527">
        <w:t>s:</w:t>
      </w:r>
    </w:p>
    <w:p w14:paraId="08E31C7E" w14:textId="77777777" w:rsidR="00964B88" w:rsidRPr="00DD5527" w:rsidRDefault="00964B88" w:rsidP="00F53820">
      <w:pPr>
        <w:pStyle w:val="ListBullet"/>
      </w:pPr>
      <w:r w:rsidRPr="00DD5527">
        <w:t xml:space="preserve">School Education </w:t>
      </w:r>
      <w:r w:rsidRPr="00E754E1">
        <w:t>–</w:t>
      </w:r>
      <w:r w:rsidRPr="00DD5527">
        <w:t xml:space="preserve"> Primary output; and</w:t>
      </w:r>
    </w:p>
    <w:p w14:paraId="0BC8B68A" w14:textId="77777777" w:rsidR="00964B88" w:rsidRPr="004561C4" w:rsidRDefault="00964B88" w:rsidP="00F53820">
      <w:pPr>
        <w:pStyle w:val="ListBullet"/>
      </w:pPr>
      <w:r w:rsidRPr="00DD5527">
        <w:t xml:space="preserve">School Education </w:t>
      </w:r>
      <w:r w:rsidRPr="00E754E1">
        <w:t>–</w:t>
      </w:r>
      <w:r w:rsidRPr="00DD5527">
        <w:t xml:space="preserve"> Secondary output.</w:t>
      </w:r>
    </w:p>
    <w:p w14:paraId="2E0F786B" w14:textId="77777777" w:rsidR="00964B88" w:rsidRPr="00D77BC3" w:rsidRDefault="00964B88" w:rsidP="00F53820">
      <w:pPr>
        <w:pStyle w:val="Heading30"/>
        <w:rPr>
          <w:highlight w:val="yellow"/>
        </w:rPr>
      </w:pPr>
      <w:r>
        <w:t>Victorian Young Leaders to Indonesia program</w:t>
      </w:r>
    </w:p>
    <w:p w14:paraId="228B61C3" w14:textId="77777777" w:rsidR="00964B88" w:rsidRPr="005123D7" w:rsidRDefault="00964B88" w:rsidP="00F53820">
      <w:r>
        <w:t>Funding will be provided for the</w:t>
      </w:r>
      <w:r w:rsidRPr="005123D7">
        <w:t xml:space="preserve"> </w:t>
      </w:r>
      <w:r>
        <w:t>Victorian Young Leaders to Indonesia program to support 40 Year 9 students to study in Indonesia for up to six weeks in 2020, to build their Indonesian language, intercultural and leadership capabilities.</w:t>
      </w:r>
    </w:p>
    <w:p w14:paraId="583234DA" w14:textId="77777777" w:rsidR="00964B88" w:rsidRDefault="00964B88" w:rsidP="00F53820">
      <w:r>
        <w:t>This initiative contributes to the Department of Education and Training’s School Education – Secondary output.</w:t>
      </w:r>
    </w:p>
    <w:p w14:paraId="1922862F" w14:textId="77777777" w:rsidR="00964B88" w:rsidRDefault="00964B88">
      <w:pPr>
        <w:keepLines w:val="0"/>
        <w:rPr>
          <w:rFonts w:asciiTheme="majorHAnsi" w:eastAsiaTheme="majorEastAsia" w:hAnsiTheme="majorHAnsi" w:cstheme="majorBidi"/>
          <w:b/>
          <w:bCs/>
          <w:caps/>
          <w:spacing w:val="-2"/>
          <w:sz w:val="26"/>
          <w:szCs w:val="28"/>
          <w:lang w:eastAsia="en-AU"/>
        </w:rPr>
      </w:pPr>
      <w:bookmarkStart w:id="139" w:name="_Toc500179546"/>
      <w:bookmarkStart w:id="140" w:name="_Toc500435588"/>
      <w:r>
        <w:rPr>
          <w:lang w:eastAsia="en-AU"/>
        </w:rPr>
        <w:br w:type="page"/>
      </w:r>
    </w:p>
    <w:p w14:paraId="5C827DA2" w14:textId="77777777" w:rsidR="00964B88" w:rsidRDefault="00964B88" w:rsidP="0073799D">
      <w:pPr>
        <w:pStyle w:val="Heading1Non-TOC"/>
      </w:pPr>
      <w:r>
        <w:lastRenderedPageBreak/>
        <w:t>Department of Environment, Land, Water and Planning</w:t>
      </w:r>
      <w:bookmarkEnd w:id="139"/>
      <w:bookmarkEnd w:id="140"/>
    </w:p>
    <w:p w14:paraId="151A9169" w14:textId="77777777" w:rsidR="00964B88" w:rsidRDefault="00964B88" w:rsidP="00F53820">
      <w:pPr>
        <w:pStyle w:val="Heading20"/>
        <w:rPr>
          <w:lang w:eastAsia="en-AU"/>
        </w:rPr>
      </w:pPr>
      <w:r>
        <w:rPr>
          <w:lang w:eastAsia="en-AU"/>
        </w:rPr>
        <w:t>Output initiatives</w:t>
      </w:r>
    </w:p>
    <w:p w14:paraId="37492FA7" w14:textId="77777777" w:rsidR="00964B88" w:rsidRPr="00D03313" w:rsidRDefault="00964B88" w:rsidP="00F53820">
      <w:pPr>
        <w:pStyle w:val="TableHeading"/>
      </w:pPr>
      <w:r w:rsidRPr="00D03313">
        <w:t>Table A.</w:t>
      </w:r>
      <w:r>
        <w:t>4</w:t>
      </w:r>
      <w:r w:rsidRPr="00D03313">
        <w:t>:</w:t>
      </w:r>
      <w:r w:rsidRPr="00D03313">
        <w:tab/>
        <w:t>Output initiatives – Department of Environment, Land, Water and Planning</w:t>
      </w:r>
    </w:p>
    <w:p w14:paraId="0DB5F097" w14:textId="77777777" w:rsidR="00964B88" w:rsidRPr="00F26DD1" w:rsidRDefault="00964B88" w:rsidP="00F53820">
      <w:pPr>
        <w:pStyle w:val="TableHeading"/>
        <w:spacing w:before="0"/>
        <w:jc w:val="right"/>
        <w:rPr>
          <w:rFonts w:asciiTheme="minorHAnsi" w:hAnsiTheme="minorHAnsi"/>
          <w:b w:val="0"/>
          <w:sz w:val="22"/>
          <w:szCs w:val="22"/>
        </w:rPr>
      </w:pPr>
      <w:r w:rsidRPr="00D03313">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536"/>
        <w:gridCol w:w="679"/>
        <w:gridCol w:w="850"/>
        <w:gridCol w:w="850"/>
        <w:gridCol w:w="850"/>
      </w:tblGrid>
      <w:tr w:rsidR="00964B88" w:rsidRPr="00F26DD1" w14:paraId="32D229EB" w14:textId="77777777" w:rsidTr="00F53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shd w:val="solid" w:color="000000" w:fill="auto"/>
          </w:tcPr>
          <w:p w14:paraId="17DB78F2" w14:textId="77777777" w:rsidR="00964B88" w:rsidRPr="00F26DD1" w:rsidRDefault="00964B88" w:rsidP="00F53820">
            <w:pPr>
              <w:keepLines w:val="0"/>
              <w:autoSpaceDE w:val="0"/>
              <w:autoSpaceDN w:val="0"/>
              <w:adjustRightInd w:val="0"/>
              <w:rPr>
                <w:rFonts w:eastAsiaTheme="minorEastAsia" w:cstheme="majorHAnsi"/>
                <w:color w:val="FFFFFF"/>
                <w:szCs w:val="20"/>
                <w:lang w:eastAsia="en-AU"/>
              </w:rPr>
            </w:pPr>
            <w:r w:rsidRPr="00F26DD1">
              <w:rPr>
                <w:rFonts w:eastAsiaTheme="minorEastAsia" w:cstheme="majorHAnsi"/>
                <w:color w:val="FFFFFF"/>
                <w:szCs w:val="20"/>
                <w:lang w:eastAsia="en-AU"/>
              </w:rPr>
              <w:t xml:space="preserve"> </w:t>
            </w:r>
          </w:p>
        </w:tc>
        <w:tc>
          <w:tcPr>
            <w:tcW w:w="679" w:type="dxa"/>
            <w:tcBorders>
              <w:top w:val="nil"/>
              <w:left w:val="nil"/>
              <w:bottom w:val="nil"/>
              <w:right w:val="nil"/>
            </w:tcBorders>
            <w:shd w:val="solid" w:color="000000" w:fill="auto"/>
          </w:tcPr>
          <w:p w14:paraId="59BB9635" w14:textId="77777777" w:rsidR="00964B88" w:rsidRPr="00F26DD1"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20"/>
                <w:lang w:eastAsia="en-AU"/>
              </w:rPr>
            </w:pPr>
            <w:r w:rsidRPr="00F26DD1">
              <w:rPr>
                <w:rFonts w:eastAsiaTheme="minorEastAsia" w:cstheme="majorHAnsi"/>
                <w:iCs/>
                <w:color w:val="FFFFFF"/>
                <w:szCs w:val="20"/>
                <w:lang w:eastAsia="en-AU"/>
              </w:rPr>
              <w:t>2019-20</w:t>
            </w:r>
          </w:p>
        </w:tc>
        <w:tc>
          <w:tcPr>
            <w:tcW w:w="850" w:type="dxa"/>
            <w:tcBorders>
              <w:top w:val="nil"/>
              <w:left w:val="nil"/>
              <w:bottom w:val="nil"/>
              <w:right w:val="nil"/>
            </w:tcBorders>
            <w:shd w:val="solid" w:color="000000" w:fill="auto"/>
          </w:tcPr>
          <w:p w14:paraId="0C7E553C" w14:textId="77777777" w:rsidR="00964B88" w:rsidRPr="00F26DD1"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20"/>
                <w:lang w:eastAsia="en-AU"/>
              </w:rPr>
            </w:pPr>
            <w:r w:rsidRPr="00F26DD1">
              <w:rPr>
                <w:rFonts w:eastAsiaTheme="minorEastAsia" w:cstheme="majorHAnsi"/>
                <w:iCs/>
                <w:color w:val="FFFFFF"/>
                <w:szCs w:val="20"/>
                <w:lang w:eastAsia="en-AU"/>
              </w:rPr>
              <w:t>2020-21</w:t>
            </w:r>
          </w:p>
        </w:tc>
        <w:tc>
          <w:tcPr>
            <w:tcW w:w="850" w:type="dxa"/>
            <w:tcBorders>
              <w:top w:val="nil"/>
              <w:left w:val="nil"/>
              <w:bottom w:val="nil"/>
              <w:right w:val="nil"/>
            </w:tcBorders>
            <w:shd w:val="solid" w:color="000000" w:fill="auto"/>
          </w:tcPr>
          <w:p w14:paraId="65989A70" w14:textId="77777777" w:rsidR="00964B88" w:rsidRPr="00F26DD1"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20"/>
                <w:lang w:eastAsia="en-AU"/>
              </w:rPr>
            </w:pPr>
            <w:r w:rsidRPr="00F26DD1">
              <w:rPr>
                <w:rFonts w:eastAsiaTheme="minorEastAsia" w:cstheme="majorHAnsi"/>
                <w:iCs/>
                <w:color w:val="FFFFFF"/>
                <w:szCs w:val="20"/>
                <w:lang w:eastAsia="en-AU"/>
              </w:rPr>
              <w:t>2021-22</w:t>
            </w:r>
          </w:p>
        </w:tc>
        <w:tc>
          <w:tcPr>
            <w:tcW w:w="850" w:type="dxa"/>
            <w:tcBorders>
              <w:top w:val="nil"/>
              <w:left w:val="nil"/>
              <w:bottom w:val="nil"/>
              <w:right w:val="nil"/>
            </w:tcBorders>
            <w:shd w:val="solid" w:color="000000" w:fill="auto"/>
          </w:tcPr>
          <w:p w14:paraId="2A69AB02" w14:textId="77777777" w:rsidR="00964B88" w:rsidRPr="00F26DD1"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20"/>
                <w:lang w:eastAsia="en-AU"/>
              </w:rPr>
            </w:pPr>
            <w:r w:rsidRPr="00F26DD1">
              <w:rPr>
                <w:rFonts w:eastAsiaTheme="minorEastAsia" w:cstheme="majorHAnsi"/>
                <w:iCs/>
                <w:color w:val="FFFFFF"/>
                <w:szCs w:val="20"/>
                <w:lang w:eastAsia="en-AU"/>
              </w:rPr>
              <w:t>2022-23</w:t>
            </w:r>
          </w:p>
        </w:tc>
      </w:tr>
      <w:tr w:rsidR="00964B88" w:rsidRPr="00F26DD1" w14:paraId="42536A27" w14:textId="77777777" w:rsidTr="00F53820">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shd w:val="solid" w:color="FFFFFF" w:fill="auto"/>
          </w:tcPr>
          <w:p w14:paraId="439EED12" w14:textId="77777777" w:rsidR="00964B88" w:rsidRPr="00F26DD1" w:rsidRDefault="00964B88" w:rsidP="00F53820">
            <w:pPr>
              <w:keepLines w:val="0"/>
              <w:autoSpaceDE w:val="0"/>
              <w:autoSpaceDN w:val="0"/>
              <w:adjustRightInd w:val="0"/>
              <w:rPr>
                <w:rFonts w:eastAsiaTheme="minorEastAsia" w:cstheme="majorHAnsi"/>
                <w:color w:val="000000"/>
                <w:szCs w:val="20"/>
                <w:lang w:eastAsia="en-AU"/>
              </w:rPr>
            </w:pPr>
            <w:r w:rsidRPr="00F26DD1">
              <w:rPr>
                <w:rFonts w:eastAsiaTheme="minorEastAsia" w:cstheme="majorHAnsi"/>
                <w:color w:val="000000"/>
                <w:szCs w:val="20"/>
                <w:lang w:eastAsia="en-AU"/>
              </w:rPr>
              <w:t>Aviation resources</w:t>
            </w:r>
          </w:p>
        </w:tc>
        <w:tc>
          <w:tcPr>
            <w:tcW w:w="679" w:type="dxa"/>
            <w:tcBorders>
              <w:top w:val="nil"/>
              <w:left w:val="nil"/>
              <w:bottom w:val="nil"/>
              <w:right w:val="nil"/>
            </w:tcBorders>
          </w:tcPr>
          <w:p w14:paraId="42F99711"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14.1</w:t>
            </w:r>
          </w:p>
        </w:tc>
        <w:tc>
          <w:tcPr>
            <w:tcW w:w="850" w:type="dxa"/>
            <w:tcBorders>
              <w:top w:val="nil"/>
              <w:left w:val="nil"/>
              <w:bottom w:val="nil"/>
              <w:right w:val="nil"/>
            </w:tcBorders>
          </w:tcPr>
          <w:p w14:paraId="7C25449C"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w:t>
            </w:r>
          </w:p>
        </w:tc>
        <w:tc>
          <w:tcPr>
            <w:tcW w:w="850" w:type="dxa"/>
            <w:tcBorders>
              <w:top w:val="nil"/>
              <w:left w:val="nil"/>
              <w:bottom w:val="nil"/>
              <w:right w:val="nil"/>
            </w:tcBorders>
          </w:tcPr>
          <w:p w14:paraId="3CC601EB"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w:t>
            </w:r>
          </w:p>
        </w:tc>
        <w:tc>
          <w:tcPr>
            <w:tcW w:w="850" w:type="dxa"/>
            <w:tcBorders>
              <w:top w:val="nil"/>
              <w:left w:val="nil"/>
              <w:bottom w:val="nil"/>
              <w:right w:val="nil"/>
            </w:tcBorders>
          </w:tcPr>
          <w:p w14:paraId="134467EB"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w:t>
            </w:r>
          </w:p>
        </w:tc>
      </w:tr>
      <w:tr w:rsidR="00964B88" w:rsidRPr="00F26DD1" w14:paraId="1AB18E30" w14:textId="77777777" w:rsidTr="00F53820">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shd w:val="solid" w:color="FFFFFF" w:fill="auto"/>
          </w:tcPr>
          <w:p w14:paraId="151C3476" w14:textId="77777777" w:rsidR="00964B88" w:rsidRPr="00F26DD1" w:rsidRDefault="00964B88" w:rsidP="00F53820">
            <w:pPr>
              <w:keepLines w:val="0"/>
              <w:autoSpaceDE w:val="0"/>
              <w:autoSpaceDN w:val="0"/>
              <w:adjustRightInd w:val="0"/>
              <w:rPr>
                <w:rFonts w:eastAsiaTheme="minorEastAsia" w:cstheme="majorHAnsi"/>
                <w:color w:val="000000"/>
                <w:szCs w:val="20"/>
                <w:lang w:eastAsia="en-AU"/>
              </w:rPr>
            </w:pPr>
            <w:r w:rsidRPr="00F26DD1">
              <w:rPr>
                <w:rFonts w:eastAsiaTheme="minorEastAsia" w:cstheme="majorHAnsi"/>
                <w:color w:val="000000"/>
                <w:szCs w:val="20"/>
                <w:lang w:eastAsia="en-AU"/>
              </w:rPr>
              <w:t>Cladding Rectification Program</w:t>
            </w:r>
            <w:r>
              <w:rPr>
                <w:rFonts w:eastAsiaTheme="minorEastAsia" w:cstheme="majorHAnsi"/>
                <w:color w:val="000000"/>
                <w:szCs w:val="20"/>
                <w:lang w:eastAsia="en-AU"/>
              </w:rPr>
              <w:t xml:space="preserve"> </w:t>
            </w:r>
            <w:r w:rsidRPr="00F26DD1">
              <w:rPr>
                <w:rFonts w:eastAsiaTheme="minorEastAsia" w:cstheme="majorHAnsi"/>
                <w:color w:val="000000"/>
                <w:szCs w:val="20"/>
                <w:vertAlign w:val="superscript"/>
                <w:lang w:eastAsia="en-AU"/>
              </w:rPr>
              <w:t>(a)</w:t>
            </w:r>
          </w:p>
        </w:tc>
        <w:tc>
          <w:tcPr>
            <w:tcW w:w="679" w:type="dxa"/>
            <w:tcBorders>
              <w:top w:val="nil"/>
              <w:left w:val="nil"/>
              <w:bottom w:val="nil"/>
              <w:right w:val="nil"/>
            </w:tcBorders>
          </w:tcPr>
          <w:p w14:paraId="7615419F"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93.8</w:t>
            </w:r>
          </w:p>
        </w:tc>
        <w:tc>
          <w:tcPr>
            <w:tcW w:w="850" w:type="dxa"/>
            <w:tcBorders>
              <w:top w:val="nil"/>
              <w:left w:val="nil"/>
              <w:bottom w:val="nil"/>
              <w:right w:val="nil"/>
            </w:tcBorders>
          </w:tcPr>
          <w:p w14:paraId="288357CA"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142.6</w:t>
            </w:r>
          </w:p>
        </w:tc>
        <w:tc>
          <w:tcPr>
            <w:tcW w:w="850" w:type="dxa"/>
            <w:tcBorders>
              <w:top w:val="nil"/>
              <w:left w:val="nil"/>
              <w:bottom w:val="nil"/>
              <w:right w:val="nil"/>
            </w:tcBorders>
          </w:tcPr>
          <w:p w14:paraId="51CBB0EE"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141.8</w:t>
            </w:r>
          </w:p>
        </w:tc>
        <w:tc>
          <w:tcPr>
            <w:tcW w:w="850" w:type="dxa"/>
            <w:tcBorders>
              <w:top w:val="nil"/>
              <w:left w:val="nil"/>
              <w:bottom w:val="nil"/>
              <w:right w:val="nil"/>
            </w:tcBorders>
          </w:tcPr>
          <w:p w14:paraId="0E4F7E6B"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142.7</w:t>
            </w:r>
          </w:p>
        </w:tc>
      </w:tr>
      <w:tr w:rsidR="00964B88" w:rsidRPr="00F26DD1" w14:paraId="5F7E8D0A" w14:textId="77777777" w:rsidTr="00F53820">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shd w:val="solid" w:color="FFFFFF" w:fill="auto"/>
          </w:tcPr>
          <w:p w14:paraId="12E60F8F" w14:textId="77777777" w:rsidR="00964B88" w:rsidRPr="00F26DD1" w:rsidRDefault="00964B88" w:rsidP="00F53820">
            <w:pPr>
              <w:keepLines w:val="0"/>
              <w:autoSpaceDE w:val="0"/>
              <w:autoSpaceDN w:val="0"/>
              <w:adjustRightInd w:val="0"/>
              <w:rPr>
                <w:rFonts w:eastAsiaTheme="minorEastAsia" w:cstheme="majorHAnsi"/>
                <w:color w:val="000000"/>
                <w:szCs w:val="20"/>
                <w:lang w:eastAsia="en-AU"/>
              </w:rPr>
            </w:pPr>
            <w:r w:rsidRPr="00F26DD1">
              <w:rPr>
                <w:rFonts w:eastAsiaTheme="minorEastAsia" w:cstheme="majorHAnsi"/>
                <w:color w:val="000000"/>
                <w:szCs w:val="20"/>
                <w:lang w:eastAsia="en-AU"/>
              </w:rPr>
              <w:t>Lara waste stockpile site rehabilitation</w:t>
            </w:r>
          </w:p>
        </w:tc>
        <w:tc>
          <w:tcPr>
            <w:tcW w:w="679" w:type="dxa"/>
            <w:tcBorders>
              <w:top w:val="nil"/>
              <w:left w:val="nil"/>
              <w:bottom w:val="nil"/>
              <w:right w:val="nil"/>
            </w:tcBorders>
          </w:tcPr>
          <w:p w14:paraId="1EEFAA75"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w:t>
            </w:r>
          </w:p>
        </w:tc>
        <w:tc>
          <w:tcPr>
            <w:tcW w:w="850" w:type="dxa"/>
            <w:tcBorders>
              <w:top w:val="nil"/>
              <w:left w:val="nil"/>
              <w:bottom w:val="nil"/>
              <w:right w:val="nil"/>
            </w:tcBorders>
          </w:tcPr>
          <w:p w14:paraId="6B6B053F"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43.6</w:t>
            </w:r>
          </w:p>
        </w:tc>
        <w:tc>
          <w:tcPr>
            <w:tcW w:w="850" w:type="dxa"/>
            <w:tcBorders>
              <w:top w:val="nil"/>
              <w:left w:val="nil"/>
              <w:bottom w:val="nil"/>
              <w:right w:val="nil"/>
            </w:tcBorders>
          </w:tcPr>
          <w:p w14:paraId="03B52B51"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32.3</w:t>
            </w:r>
          </w:p>
        </w:tc>
        <w:tc>
          <w:tcPr>
            <w:tcW w:w="850" w:type="dxa"/>
            <w:tcBorders>
              <w:top w:val="nil"/>
              <w:left w:val="nil"/>
              <w:bottom w:val="nil"/>
              <w:right w:val="nil"/>
            </w:tcBorders>
          </w:tcPr>
          <w:p w14:paraId="584B656B"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w:t>
            </w:r>
          </w:p>
        </w:tc>
      </w:tr>
      <w:tr w:rsidR="00964B88" w:rsidRPr="00F26DD1" w14:paraId="528A8746" w14:textId="77777777" w:rsidTr="00F53820">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shd w:val="solid" w:color="FFFFFF" w:fill="auto"/>
          </w:tcPr>
          <w:p w14:paraId="14F5AA4D" w14:textId="77777777" w:rsidR="00964B88" w:rsidRPr="00F26DD1" w:rsidRDefault="00964B88" w:rsidP="00F53820">
            <w:pPr>
              <w:keepLines w:val="0"/>
              <w:autoSpaceDE w:val="0"/>
              <w:autoSpaceDN w:val="0"/>
              <w:adjustRightInd w:val="0"/>
              <w:rPr>
                <w:rFonts w:eastAsiaTheme="minorEastAsia" w:cstheme="majorHAnsi"/>
                <w:color w:val="000000"/>
                <w:szCs w:val="20"/>
                <w:lang w:eastAsia="en-AU"/>
              </w:rPr>
            </w:pPr>
            <w:r w:rsidRPr="00F26DD1">
              <w:rPr>
                <w:rFonts w:eastAsiaTheme="minorEastAsia" w:cstheme="majorHAnsi"/>
                <w:color w:val="000000"/>
                <w:szCs w:val="20"/>
                <w:lang w:eastAsia="en-AU"/>
              </w:rPr>
              <w:t>Recycling Immediate Relief Package</w:t>
            </w:r>
          </w:p>
        </w:tc>
        <w:tc>
          <w:tcPr>
            <w:tcW w:w="679" w:type="dxa"/>
            <w:tcBorders>
              <w:top w:val="nil"/>
              <w:left w:val="nil"/>
              <w:bottom w:val="nil"/>
              <w:right w:val="nil"/>
            </w:tcBorders>
          </w:tcPr>
          <w:p w14:paraId="2F931481"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6.6</w:t>
            </w:r>
          </w:p>
        </w:tc>
        <w:tc>
          <w:tcPr>
            <w:tcW w:w="850" w:type="dxa"/>
            <w:tcBorders>
              <w:top w:val="nil"/>
              <w:left w:val="nil"/>
              <w:bottom w:val="nil"/>
              <w:right w:val="nil"/>
            </w:tcBorders>
          </w:tcPr>
          <w:p w14:paraId="38866C1C"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w:t>
            </w:r>
          </w:p>
        </w:tc>
        <w:tc>
          <w:tcPr>
            <w:tcW w:w="850" w:type="dxa"/>
            <w:tcBorders>
              <w:top w:val="nil"/>
              <w:left w:val="nil"/>
              <w:bottom w:val="nil"/>
              <w:right w:val="nil"/>
            </w:tcBorders>
          </w:tcPr>
          <w:p w14:paraId="17EE4072"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w:t>
            </w:r>
          </w:p>
        </w:tc>
        <w:tc>
          <w:tcPr>
            <w:tcW w:w="850" w:type="dxa"/>
            <w:tcBorders>
              <w:top w:val="nil"/>
              <w:left w:val="nil"/>
              <w:bottom w:val="nil"/>
              <w:right w:val="nil"/>
            </w:tcBorders>
          </w:tcPr>
          <w:p w14:paraId="2A2B19D3"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w:t>
            </w:r>
          </w:p>
        </w:tc>
      </w:tr>
      <w:tr w:rsidR="00964B88" w:rsidRPr="00F26DD1" w14:paraId="510CECBB" w14:textId="77777777" w:rsidTr="00F53820">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shd w:val="solid" w:color="FFFFFF" w:fill="auto"/>
          </w:tcPr>
          <w:p w14:paraId="2774572E" w14:textId="77777777" w:rsidR="00964B88" w:rsidRPr="00F26DD1" w:rsidRDefault="00964B88" w:rsidP="00F53820">
            <w:pPr>
              <w:keepLines w:val="0"/>
              <w:autoSpaceDE w:val="0"/>
              <w:autoSpaceDN w:val="0"/>
              <w:adjustRightInd w:val="0"/>
              <w:rPr>
                <w:rFonts w:eastAsiaTheme="minorEastAsia" w:cstheme="majorHAnsi"/>
                <w:color w:val="000000"/>
                <w:szCs w:val="20"/>
                <w:lang w:eastAsia="en-AU"/>
              </w:rPr>
            </w:pPr>
            <w:r w:rsidRPr="00F26DD1">
              <w:rPr>
                <w:rFonts w:eastAsiaTheme="minorEastAsia" w:cstheme="majorHAnsi"/>
                <w:color w:val="000000"/>
                <w:szCs w:val="20"/>
                <w:lang w:eastAsia="en-AU"/>
              </w:rPr>
              <w:t>Solar Homes Program Boost</w:t>
            </w:r>
          </w:p>
        </w:tc>
        <w:tc>
          <w:tcPr>
            <w:tcW w:w="679" w:type="dxa"/>
            <w:tcBorders>
              <w:top w:val="nil"/>
              <w:left w:val="nil"/>
              <w:bottom w:val="nil"/>
              <w:right w:val="nil"/>
            </w:tcBorders>
          </w:tcPr>
          <w:p w14:paraId="354155E1"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62.5</w:t>
            </w:r>
          </w:p>
        </w:tc>
        <w:tc>
          <w:tcPr>
            <w:tcW w:w="850" w:type="dxa"/>
            <w:tcBorders>
              <w:top w:val="nil"/>
              <w:left w:val="nil"/>
              <w:bottom w:val="nil"/>
              <w:right w:val="nil"/>
            </w:tcBorders>
          </w:tcPr>
          <w:p w14:paraId="26886E3C"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w:t>
            </w:r>
          </w:p>
        </w:tc>
        <w:tc>
          <w:tcPr>
            <w:tcW w:w="850" w:type="dxa"/>
            <w:tcBorders>
              <w:top w:val="nil"/>
              <w:left w:val="nil"/>
              <w:bottom w:val="nil"/>
              <w:right w:val="nil"/>
            </w:tcBorders>
          </w:tcPr>
          <w:p w14:paraId="5AF9B0F0"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w:t>
            </w:r>
          </w:p>
        </w:tc>
        <w:tc>
          <w:tcPr>
            <w:tcW w:w="850" w:type="dxa"/>
            <w:tcBorders>
              <w:top w:val="nil"/>
              <w:left w:val="nil"/>
              <w:bottom w:val="nil"/>
              <w:right w:val="nil"/>
            </w:tcBorders>
          </w:tcPr>
          <w:p w14:paraId="3805C96B" w14:textId="77777777" w:rsidR="00964B88" w:rsidRPr="00F26DD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F26DD1">
              <w:rPr>
                <w:rFonts w:eastAsiaTheme="minorEastAsia" w:cstheme="majorHAnsi"/>
                <w:color w:val="000000"/>
                <w:szCs w:val="20"/>
                <w:lang w:eastAsia="en-AU"/>
              </w:rPr>
              <w:t>..</w:t>
            </w:r>
          </w:p>
        </w:tc>
      </w:tr>
      <w:tr w:rsidR="00964B88" w:rsidRPr="00F26DD1" w14:paraId="3255D35E"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6" w:space="0" w:color="auto"/>
              <w:bottom w:val="single" w:sz="12" w:space="0" w:color="auto"/>
            </w:tcBorders>
          </w:tcPr>
          <w:p w14:paraId="77E29A1F" w14:textId="6DA472BC" w:rsidR="00964B88" w:rsidRPr="00F26DD1" w:rsidRDefault="00964B88" w:rsidP="00F53820">
            <w:pPr>
              <w:keepLines w:val="0"/>
              <w:autoSpaceDE w:val="0"/>
              <w:autoSpaceDN w:val="0"/>
              <w:adjustRightInd w:val="0"/>
              <w:rPr>
                <w:rFonts w:eastAsiaTheme="minorEastAsia" w:cstheme="majorHAnsi"/>
                <w:bCs/>
                <w:color w:val="000000"/>
                <w:szCs w:val="20"/>
                <w:lang w:eastAsia="en-AU"/>
              </w:rPr>
            </w:pPr>
            <w:r w:rsidRPr="00F26DD1">
              <w:rPr>
                <w:rFonts w:eastAsiaTheme="minorEastAsia" w:cstheme="majorHAnsi"/>
                <w:bCs/>
                <w:color w:val="000000"/>
                <w:szCs w:val="20"/>
                <w:lang w:eastAsia="en-AU"/>
              </w:rPr>
              <w:t xml:space="preserve">Total output initiatives </w:t>
            </w:r>
            <w:r w:rsidRPr="00F26DD1">
              <w:rPr>
                <w:rFonts w:eastAsiaTheme="minorEastAsia" w:cstheme="majorHAnsi"/>
                <w:bCs/>
                <w:color w:val="000000"/>
                <w:szCs w:val="20"/>
                <w:vertAlign w:val="superscript"/>
                <w:lang w:eastAsia="en-AU"/>
              </w:rPr>
              <w:t>(</w:t>
            </w:r>
            <w:r w:rsidR="0048693C">
              <w:rPr>
                <w:rFonts w:eastAsiaTheme="minorEastAsia" w:cstheme="majorHAnsi"/>
                <w:bCs/>
                <w:color w:val="000000"/>
                <w:szCs w:val="20"/>
                <w:vertAlign w:val="superscript"/>
                <w:lang w:eastAsia="en-AU"/>
              </w:rPr>
              <w:t>b</w:t>
            </w:r>
            <w:r w:rsidRPr="00F26DD1">
              <w:rPr>
                <w:rFonts w:eastAsiaTheme="minorEastAsia" w:cstheme="majorHAnsi"/>
                <w:bCs/>
                <w:color w:val="000000"/>
                <w:szCs w:val="20"/>
                <w:vertAlign w:val="superscript"/>
                <w:lang w:eastAsia="en-AU"/>
              </w:rPr>
              <w:t>)</w:t>
            </w:r>
          </w:p>
        </w:tc>
        <w:tc>
          <w:tcPr>
            <w:tcW w:w="679" w:type="dxa"/>
            <w:tcBorders>
              <w:top w:val="single" w:sz="6" w:space="0" w:color="auto"/>
              <w:bottom w:val="single" w:sz="12" w:space="0" w:color="auto"/>
            </w:tcBorders>
          </w:tcPr>
          <w:p w14:paraId="4B3F8F72" w14:textId="77777777" w:rsidR="00964B88" w:rsidRPr="00F26DD1"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20"/>
                <w:lang w:eastAsia="en-AU"/>
              </w:rPr>
            </w:pPr>
            <w:r w:rsidRPr="00F26DD1">
              <w:rPr>
                <w:rFonts w:eastAsiaTheme="minorEastAsia" w:cstheme="majorHAnsi"/>
                <w:bCs/>
                <w:color w:val="000000"/>
                <w:szCs w:val="20"/>
                <w:lang w:eastAsia="en-AU"/>
              </w:rPr>
              <w:t>177.0</w:t>
            </w:r>
          </w:p>
        </w:tc>
        <w:tc>
          <w:tcPr>
            <w:tcW w:w="850" w:type="dxa"/>
            <w:tcBorders>
              <w:top w:val="single" w:sz="6" w:space="0" w:color="auto"/>
              <w:bottom w:val="single" w:sz="12" w:space="0" w:color="auto"/>
            </w:tcBorders>
          </w:tcPr>
          <w:p w14:paraId="606EEFBD" w14:textId="77777777" w:rsidR="00964B88" w:rsidRPr="00F26DD1"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20"/>
                <w:lang w:eastAsia="en-AU"/>
              </w:rPr>
            </w:pPr>
            <w:r w:rsidRPr="00F26DD1">
              <w:rPr>
                <w:rFonts w:eastAsiaTheme="minorEastAsia" w:cstheme="majorHAnsi"/>
                <w:bCs/>
                <w:color w:val="000000"/>
                <w:szCs w:val="20"/>
                <w:lang w:eastAsia="en-AU"/>
              </w:rPr>
              <w:t>186.1</w:t>
            </w:r>
          </w:p>
        </w:tc>
        <w:tc>
          <w:tcPr>
            <w:tcW w:w="850" w:type="dxa"/>
            <w:tcBorders>
              <w:top w:val="single" w:sz="6" w:space="0" w:color="auto"/>
              <w:bottom w:val="single" w:sz="12" w:space="0" w:color="auto"/>
            </w:tcBorders>
          </w:tcPr>
          <w:p w14:paraId="1AF01202" w14:textId="77777777" w:rsidR="00964B88" w:rsidRPr="00F26DD1"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20"/>
                <w:lang w:eastAsia="en-AU"/>
              </w:rPr>
            </w:pPr>
            <w:r w:rsidRPr="00F26DD1">
              <w:rPr>
                <w:rFonts w:eastAsiaTheme="minorEastAsia" w:cstheme="majorHAnsi"/>
                <w:bCs/>
                <w:color w:val="000000"/>
                <w:szCs w:val="20"/>
                <w:lang w:eastAsia="en-AU"/>
              </w:rPr>
              <w:t>174.0</w:t>
            </w:r>
          </w:p>
        </w:tc>
        <w:tc>
          <w:tcPr>
            <w:tcW w:w="850" w:type="dxa"/>
            <w:tcBorders>
              <w:top w:val="single" w:sz="6" w:space="0" w:color="auto"/>
              <w:bottom w:val="single" w:sz="12" w:space="0" w:color="auto"/>
            </w:tcBorders>
          </w:tcPr>
          <w:p w14:paraId="06EFA33B" w14:textId="77777777" w:rsidR="00964B88" w:rsidRPr="00F26DD1"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20"/>
                <w:lang w:eastAsia="en-AU"/>
              </w:rPr>
            </w:pPr>
            <w:r w:rsidRPr="00F26DD1">
              <w:rPr>
                <w:rFonts w:eastAsiaTheme="minorEastAsia" w:cstheme="majorHAnsi"/>
                <w:bCs/>
                <w:color w:val="000000"/>
                <w:szCs w:val="20"/>
                <w:lang w:eastAsia="en-AU"/>
              </w:rPr>
              <w:t>142.7</w:t>
            </w:r>
          </w:p>
        </w:tc>
      </w:tr>
    </w:tbl>
    <w:p w14:paraId="219A9B30" w14:textId="77777777" w:rsidR="00964B88" w:rsidRDefault="00964B88" w:rsidP="00F53820">
      <w:pPr>
        <w:pStyle w:val="Note"/>
      </w:pPr>
      <w:r>
        <w:t>Notes:</w:t>
      </w:r>
    </w:p>
    <w:p w14:paraId="43403257" w14:textId="77777777" w:rsidR="00964B88" w:rsidRDefault="00964B88" w:rsidP="00F53820">
      <w:pPr>
        <w:pStyle w:val="Note"/>
      </w:pPr>
      <w:r>
        <w:t xml:space="preserve">(a) </w:t>
      </w:r>
      <w:r>
        <w:tab/>
        <w:t xml:space="preserve">This initiative incorporates reprioritised funding from the Cladding Rectification Program ($15.0 million) in the </w:t>
      </w:r>
      <w:r w:rsidRPr="00A5206E">
        <w:rPr>
          <w:i w:val="0"/>
        </w:rPr>
        <w:t>2019-20 Budget</w:t>
      </w:r>
      <w:r>
        <w:t>.</w:t>
      </w:r>
    </w:p>
    <w:p w14:paraId="4B6061E5" w14:textId="5174D676" w:rsidR="00964B88" w:rsidRDefault="00964B88" w:rsidP="00F53820">
      <w:pPr>
        <w:pStyle w:val="Note"/>
      </w:pPr>
      <w:r>
        <w:t>(</w:t>
      </w:r>
      <w:r w:rsidR="0048693C">
        <w:t>b</w:t>
      </w:r>
      <w:r>
        <w:t xml:space="preserve">) </w:t>
      </w:r>
      <w:r>
        <w:tab/>
        <w:t>Table may not add due to rounding.</w:t>
      </w:r>
    </w:p>
    <w:p w14:paraId="4B987AE9" w14:textId="77777777" w:rsidR="00964B88" w:rsidRDefault="00964B88" w:rsidP="00F53820">
      <w:pPr>
        <w:autoSpaceDE w:val="0"/>
        <w:autoSpaceDN w:val="0"/>
        <w:rPr>
          <w:rFonts w:ascii="Calibri-Bold" w:hAnsi="Calibri-Bold"/>
          <w:b/>
          <w:bCs/>
        </w:rPr>
      </w:pPr>
      <w:r>
        <w:rPr>
          <w:rFonts w:ascii="Calibri-Bold" w:hAnsi="Calibri-Bold"/>
          <w:b/>
          <w:bCs/>
        </w:rPr>
        <w:t>Aviation resources</w:t>
      </w:r>
    </w:p>
    <w:p w14:paraId="33B02BFD" w14:textId="77777777" w:rsidR="00964B88" w:rsidRDefault="00964B88" w:rsidP="00F53820">
      <w:pPr>
        <w:autoSpaceDE w:val="0"/>
        <w:autoSpaceDN w:val="0"/>
        <w:rPr>
          <w:rFonts w:ascii="Garamond" w:hAnsi="Garamond"/>
        </w:rPr>
      </w:pPr>
      <w:r>
        <w:rPr>
          <w:rFonts w:ascii="Garamond" w:hAnsi="Garamond"/>
        </w:rPr>
        <w:t>Additional firefighting aviation resources will be funded to support the State’s firefighting capability for the 2019-20 bushfire season. This additional funding will contribute to a fleet of 50 aircraft, which will include two large air tankers, space at the Avalon airbase and a number of specialist night-time aircraft.</w:t>
      </w:r>
    </w:p>
    <w:p w14:paraId="08945F9B" w14:textId="77777777" w:rsidR="00964B88" w:rsidRDefault="00964B88" w:rsidP="00F53820">
      <w:pPr>
        <w:autoSpaceDE w:val="0"/>
        <w:autoSpaceDN w:val="0"/>
        <w:rPr>
          <w:rFonts w:ascii="Garamond" w:hAnsi="Garamond"/>
        </w:rPr>
      </w:pPr>
      <w:r>
        <w:rPr>
          <w:rFonts w:ascii="Garamond" w:hAnsi="Garamond"/>
        </w:rPr>
        <w:t xml:space="preserve">This initiative contributes to the Department of Environment, Land, Water and Planning’s Fire and Emergency Management output. </w:t>
      </w:r>
    </w:p>
    <w:p w14:paraId="3F2476DB" w14:textId="77777777" w:rsidR="00964B88" w:rsidRDefault="00964B88" w:rsidP="00F53820">
      <w:pPr>
        <w:pStyle w:val="Heading30"/>
        <w:spacing w:before="180"/>
        <w:rPr>
          <w:lang w:eastAsia="en-AU"/>
        </w:rPr>
      </w:pPr>
      <w:r>
        <w:rPr>
          <w:lang w:eastAsia="en-AU"/>
        </w:rPr>
        <w:t>Cladding Rectification Program</w:t>
      </w:r>
    </w:p>
    <w:p w14:paraId="74F07637" w14:textId="77777777" w:rsidR="00964B88" w:rsidRDefault="00964B88" w:rsidP="00F53820">
      <w:r w:rsidRPr="00C80F88">
        <w:t xml:space="preserve">Funding </w:t>
      </w:r>
      <w:r>
        <w:t xml:space="preserve">is being provided </w:t>
      </w:r>
      <w:r w:rsidRPr="00C80F88">
        <w:t>to establish Cladding Safe</w:t>
      </w:r>
      <w:r>
        <w:t>ty</w:t>
      </w:r>
      <w:r w:rsidRPr="00C80F88">
        <w:t xml:space="preserve"> Victoria, a new entity to respond to buildings with combustible cladding. Rectification works on hundreds of buildings found to have high</w:t>
      </w:r>
      <w:r>
        <w:noBreakHyphen/>
      </w:r>
      <w:r w:rsidRPr="00C80F88">
        <w:t>risk cladding will be undertaken to ensure occupant safety and compliance with building regulations.</w:t>
      </w:r>
    </w:p>
    <w:p w14:paraId="47F400D5" w14:textId="77777777" w:rsidR="00964B88" w:rsidRDefault="00964B88" w:rsidP="00F53820">
      <w:r w:rsidRPr="00C80F88">
        <w:t>This initiative contributes to the Department of Environment, Land, Water and Planning’s Planning, Building and Heritage output.</w:t>
      </w:r>
    </w:p>
    <w:p w14:paraId="2EA18889" w14:textId="77777777" w:rsidR="00964B88" w:rsidRDefault="00964B88" w:rsidP="00F53820">
      <w:pPr>
        <w:pStyle w:val="Heading30"/>
      </w:pPr>
      <w:r>
        <w:rPr>
          <w:lang w:eastAsia="en-AU"/>
        </w:rPr>
        <w:t>Lara waste stockpile site rehabilitation</w:t>
      </w:r>
    </w:p>
    <w:p w14:paraId="05FFAE30" w14:textId="77777777" w:rsidR="00964B88" w:rsidRDefault="00964B88" w:rsidP="00F53820">
      <w:r>
        <w:t xml:space="preserve">Funding will be provided to the </w:t>
      </w:r>
      <w:r w:rsidRPr="007B49C2">
        <w:t>Environment Protection Authority</w:t>
      </w:r>
      <w:r>
        <w:t xml:space="preserve"> Victoria</w:t>
      </w:r>
      <w:r w:rsidRPr="007B49C2">
        <w:t xml:space="preserve"> </w:t>
      </w:r>
      <w:r>
        <w:t xml:space="preserve">(EPA) to clean up a large waste stockpile at Lara, taking action to reduce the risk to the community and the environment. This includes maintaining fire prevention measures and continuing works to clean up the site. The City of Greater Geelong will manage these works on behalf of the Government and the EPA. </w:t>
      </w:r>
    </w:p>
    <w:p w14:paraId="3CCA26AD" w14:textId="77777777" w:rsidR="00964B88" w:rsidRDefault="00964B88" w:rsidP="00F53820">
      <w:r>
        <w:t xml:space="preserve">This initiative will be funded from the Municipal and Industrial Landfill Levy. </w:t>
      </w:r>
    </w:p>
    <w:p w14:paraId="323AA060" w14:textId="77777777" w:rsidR="00964B88" w:rsidRPr="006A7479" w:rsidRDefault="00964B88" w:rsidP="00F53820">
      <w:r w:rsidRPr="00C80F88">
        <w:t>This initiative contributes to the Department of Environment, Land, Water and Planning’s Statutory Activities and Environment Protection output.</w:t>
      </w:r>
    </w:p>
    <w:p w14:paraId="0E276170" w14:textId="77777777" w:rsidR="00964B88" w:rsidRDefault="00964B88" w:rsidP="00F53820">
      <w:pPr>
        <w:pStyle w:val="Heading30"/>
        <w:rPr>
          <w:lang w:eastAsia="en-AU"/>
        </w:rPr>
      </w:pPr>
      <w:r w:rsidRPr="00921DB3">
        <w:rPr>
          <w:lang w:eastAsia="en-AU"/>
        </w:rPr>
        <w:lastRenderedPageBreak/>
        <w:t>Recycling Immediate Relief Package</w:t>
      </w:r>
    </w:p>
    <w:p w14:paraId="17D1C202" w14:textId="77777777" w:rsidR="00964B88" w:rsidRDefault="00964B88" w:rsidP="00F53820">
      <w:r>
        <w:t>Funding is being provided to councils to cover additional costs they face to manage their recyclable waste.</w:t>
      </w:r>
    </w:p>
    <w:p w14:paraId="650C82AB" w14:textId="77777777" w:rsidR="00964B88" w:rsidRDefault="00964B88" w:rsidP="00F53820">
      <w:r>
        <w:t>This initiative will be partly funded from the Sustainability Fund.</w:t>
      </w:r>
    </w:p>
    <w:p w14:paraId="2BFDBFF3" w14:textId="77777777" w:rsidR="00964B88" w:rsidRDefault="00964B88" w:rsidP="00F53820">
      <w:r w:rsidRPr="00814FFA">
        <w:t>This initiative contributes to the Department of Environment, Land, Water and Planning’s Environment and Biodiversity output.</w:t>
      </w:r>
    </w:p>
    <w:p w14:paraId="40B9A159" w14:textId="77777777" w:rsidR="00964B88" w:rsidRDefault="00964B88" w:rsidP="00F53820">
      <w:pPr>
        <w:pStyle w:val="Heading30"/>
        <w:spacing w:before="180"/>
        <w:rPr>
          <w:lang w:eastAsia="en-AU"/>
        </w:rPr>
      </w:pPr>
      <w:r>
        <w:rPr>
          <w:lang w:eastAsia="en-AU"/>
        </w:rPr>
        <w:t>Solar Homes Program Boost</w:t>
      </w:r>
    </w:p>
    <w:p w14:paraId="2C6FA588" w14:textId="77777777" w:rsidR="00964B88" w:rsidRDefault="00964B88" w:rsidP="00F53820">
      <w:r w:rsidRPr="000847A3">
        <w:t>Over 23 000 additional rebates will be available in 2019-20 to eligible households who install solar panels on their homes. Rebates will be released twice per month, rather than monthly.</w:t>
      </w:r>
    </w:p>
    <w:p w14:paraId="522E0FD9" w14:textId="77777777" w:rsidR="00964B88" w:rsidRDefault="00964B88" w:rsidP="00F53820">
      <w:r w:rsidRPr="00DE5786">
        <w:t xml:space="preserve">This initiative contributes to the Department of Environment, Land, Water and Planning’s </w:t>
      </w:r>
      <w:r>
        <w:t>Solar Homes</w:t>
      </w:r>
      <w:r w:rsidRPr="00DE5786">
        <w:t xml:space="preserve"> output.</w:t>
      </w:r>
    </w:p>
    <w:p w14:paraId="4C22CF93" w14:textId="77777777" w:rsidR="00964B88" w:rsidRDefault="00964B88" w:rsidP="00F53820">
      <w:pPr>
        <w:pStyle w:val="Heading30"/>
        <w:rPr>
          <w:lang w:eastAsia="en-AU"/>
        </w:rPr>
      </w:pPr>
      <w:r>
        <w:rPr>
          <w:lang w:eastAsia="en-AU"/>
        </w:rPr>
        <w:br w:type="page"/>
      </w:r>
    </w:p>
    <w:p w14:paraId="6E8208C6" w14:textId="77777777" w:rsidR="00964B88" w:rsidRDefault="00964B88" w:rsidP="0073799D">
      <w:pPr>
        <w:pStyle w:val="Heading1Non-TOC"/>
      </w:pPr>
      <w:bookmarkStart w:id="141" w:name="_Toc500435589"/>
      <w:r>
        <w:lastRenderedPageBreak/>
        <w:t>Department of Health and Human Services</w:t>
      </w:r>
      <w:bookmarkEnd w:id="141"/>
    </w:p>
    <w:p w14:paraId="0D9793FC" w14:textId="77777777" w:rsidR="00964B88" w:rsidRDefault="00964B88" w:rsidP="00F53820">
      <w:pPr>
        <w:pStyle w:val="Heading20"/>
        <w:rPr>
          <w:lang w:eastAsia="en-AU"/>
        </w:rPr>
      </w:pPr>
      <w:r>
        <w:rPr>
          <w:lang w:eastAsia="en-AU"/>
        </w:rPr>
        <w:t>Output initiatives</w:t>
      </w:r>
    </w:p>
    <w:p w14:paraId="0B14EE5C" w14:textId="77777777" w:rsidR="00964B88" w:rsidRDefault="00964B88" w:rsidP="00F53820">
      <w:pPr>
        <w:pStyle w:val="TableHeading"/>
        <w:rPr>
          <w:rFonts w:asciiTheme="minorHAnsi" w:hAnsiTheme="minorHAnsi"/>
          <w:bCs/>
          <w:szCs w:val="22"/>
        </w:rPr>
      </w:pPr>
      <w:r>
        <w:rPr>
          <w:lang w:eastAsia="en-AU"/>
        </w:rPr>
        <w:t>Table A.5:</w:t>
      </w:r>
      <w:r>
        <w:rPr>
          <w:lang w:eastAsia="en-AU"/>
        </w:rPr>
        <w:tab/>
        <w:t xml:space="preserve">Output </w:t>
      </w:r>
      <w:r w:rsidRPr="00330CC4">
        <w:t>initiatives</w:t>
      </w:r>
      <w:r>
        <w:rPr>
          <w:lang w:eastAsia="en-AU"/>
        </w:rPr>
        <w:t xml:space="preserve"> – Department of Health and Human Services</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964B88" w:rsidRPr="001D5F3C" w14:paraId="260E1860"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14:paraId="3D0901A9" w14:textId="77777777" w:rsidR="00964B88" w:rsidRPr="001D5F3C" w:rsidRDefault="00964B88" w:rsidP="00F53820">
            <w:pPr>
              <w:autoSpaceDE w:val="0"/>
              <w:autoSpaceDN w:val="0"/>
              <w:adjustRightInd w:val="0"/>
              <w:rPr>
                <w:rFonts w:eastAsiaTheme="minorEastAsia" w:cstheme="majorHAnsi"/>
                <w:color w:val="FFFFFF"/>
                <w:szCs w:val="20"/>
                <w:lang w:eastAsia="en-AU"/>
              </w:rPr>
            </w:pPr>
            <w:r w:rsidRPr="001D5F3C">
              <w:rPr>
                <w:rFonts w:eastAsiaTheme="minorEastAsia" w:cstheme="majorHAnsi"/>
                <w:color w:val="FFFFFF"/>
                <w:szCs w:val="20"/>
                <w:lang w:eastAsia="en-AU"/>
              </w:rPr>
              <w:t xml:space="preserve"> </w:t>
            </w:r>
          </w:p>
        </w:tc>
        <w:tc>
          <w:tcPr>
            <w:tcW w:w="850" w:type="dxa"/>
            <w:tcBorders>
              <w:top w:val="nil"/>
              <w:left w:val="nil"/>
              <w:bottom w:val="nil"/>
              <w:right w:val="nil"/>
            </w:tcBorders>
            <w:shd w:val="solid" w:color="000000" w:fill="auto"/>
          </w:tcPr>
          <w:p w14:paraId="1D9179C0"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2019-20</w:t>
            </w:r>
          </w:p>
        </w:tc>
        <w:tc>
          <w:tcPr>
            <w:tcW w:w="850" w:type="dxa"/>
            <w:tcBorders>
              <w:top w:val="nil"/>
              <w:left w:val="nil"/>
              <w:bottom w:val="nil"/>
              <w:right w:val="nil"/>
            </w:tcBorders>
            <w:shd w:val="solid" w:color="000000" w:fill="auto"/>
          </w:tcPr>
          <w:p w14:paraId="70F88DEB"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2020-21</w:t>
            </w:r>
          </w:p>
        </w:tc>
        <w:tc>
          <w:tcPr>
            <w:tcW w:w="850" w:type="dxa"/>
            <w:tcBorders>
              <w:top w:val="nil"/>
              <w:left w:val="nil"/>
              <w:bottom w:val="nil"/>
              <w:right w:val="nil"/>
            </w:tcBorders>
            <w:shd w:val="solid" w:color="000000" w:fill="auto"/>
          </w:tcPr>
          <w:p w14:paraId="0A69620A"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2021-22</w:t>
            </w:r>
          </w:p>
        </w:tc>
        <w:tc>
          <w:tcPr>
            <w:tcW w:w="850" w:type="dxa"/>
            <w:tcBorders>
              <w:top w:val="nil"/>
              <w:left w:val="nil"/>
              <w:bottom w:val="nil"/>
              <w:right w:val="nil"/>
            </w:tcBorders>
            <w:shd w:val="solid" w:color="000000" w:fill="auto"/>
          </w:tcPr>
          <w:p w14:paraId="07E2E23E"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2022-23</w:t>
            </w:r>
          </w:p>
        </w:tc>
      </w:tr>
      <w:tr w:rsidR="00964B88" w:rsidRPr="001D5F3C" w14:paraId="361B2118"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05C9E907" w14:textId="77777777" w:rsidR="00964B88" w:rsidRPr="001D5F3C" w:rsidRDefault="00964B88" w:rsidP="00F53820">
            <w:pPr>
              <w:keepLines w:val="0"/>
              <w:autoSpaceDE w:val="0"/>
              <w:autoSpaceDN w:val="0"/>
              <w:adjustRightInd w:val="0"/>
              <w:rPr>
                <w:rFonts w:eastAsiaTheme="minorEastAsia" w:cstheme="majorHAnsi"/>
                <w:color w:val="000000"/>
                <w:szCs w:val="20"/>
                <w:lang w:eastAsia="en-AU"/>
              </w:rPr>
            </w:pPr>
            <w:r w:rsidRPr="001D5F3C">
              <w:rPr>
                <w:rFonts w:eastAsiaTheme="minorEastAsia" w:cstheme="majorHAnsi"/>
                <w:color w:val="000000"/>
                <w:szCs w:val="20"/>
                <w:lang w:eastAsia="en-AU"/>
              </w:rPr>
              <w:t>Backing our hospitals with flu funding boost</w:t>
            </w:r>
          </w:p>
        </w:tc>
        <w:tc>
          <w:tcPr>
            <w:tcW w:w="850" w:type="dxa"/>
            <w:tcBorders>
              <w:top w:val="nil"/>
              <w:left w:val="nil"/>
              <w:bottom w:val="nil"/>
              <w:right w:val="nil"/>
            </w:tcBorders>
          </w:tcPr>
          <w:p w14:paraId="2DFD7654"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100.0</w:t>
            </w:r>
          </w:p>
        </w:tc>
        <w:tc>
          <w:tcPr>
            <w:tcW w:w="850" w:type="dxa"/>
            <w:tcBorders>
              <w:top w:val="nil"/>
              <w:left w:val="nil"/>
              <w:bottom w:val="nil"/>
              <w:right w:val="nil"/>
            </w:tcBorders>
          </w:tcPr>
          <w:p w14:paraId="6FB1449D"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w:t>
            </w:r>
          </w:p>
        </w:tc>
        <w:tc>
          <w:tcPr>
            <w:tcW w:w="850" w:type="dxa"/>
            <w:tcBorders>
              <w:top w:val="nil"/>
              <w:left w:val="nil"/>
              <w:bottom w:val="nil"/>
              <w:right w:val="nil"/>
            </w:tcBorders>
          </w:tcPr>
          <w:p w14:paraId="7EA21B8A"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w:t>
            </w:r>
          </w:p>
        </w:tc>
        <w:tc>
          <w:tcPr>
            <w:tcW w:w="850" w:type="dxa"/>
            <w:tcBorders>
              <w:top w:val="nil"/>
              <w:left w:val="nil"/>
              <w:bottom w:val="nil"/>
              <w:right w:val="nil"/>
            </w:tcBorders>
          </w:tcPr>
          <w:p w14:paraId="2C077B8A"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w:t>
            </w:r>
          </w:p>
        </w:tc>
      </w:tr>
      <w:tr w:rsidR="00964B88" w:rsidRPr="001D5F3C" w14:paraId="2A8F55AD"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49D165E4" w14:textId="77777777" w:rsidR="00964B88" w:rsidRPr="001D5F3C" w:rsidRDefault="00964B88" w:rsidP="00F53820">
            <w:pPr>
              <w:keepLines w:val="0"/>
              <w:autoSpaceDE w:val="0"/>
              <w:autoSpaceDN w:val="0"/>
              <w:adjustRightInd w:val="0"/>
              <w:rPr>
                <w:rFonts w:eastAsiaTheme="minorEastAsia" w:cstheme="majorHAnsi"/>
                <w:color w:val="000000"/>
                <w:szCs w:val="20"/>
                <w:lang w:eastAsia="en-AU"/>
              </w:rPr>
            </w:pPr>
            <w:r w:rsidRPr="001D5F3C">
              <w:rPr>
                <w:rFonts w:eastAsiaTheme="minorEastAsia" w:cstheme="majorHAnsi"/>
                <w:color w:val="000000"/>
                <w:szCs w:val="20"/>
                <w:lang w:eastAsia="en-AU"/>
              </w:rPr>
              <w:t xml:space="preserve">Increased demand for mental health supports and services </w:t>
            </w:r>
          </w:p>
        </w:tc>
        <w:tc>
          <w:tcPr>
            <w:tcW w:w="850" w:type="dxa"/>
            <w:tcBorders>
              <w:top w:val="nil"/>
              <w:left w:val="nil"/>
              <w:bottom w:val="nil"/>
              <w:right w:val="nil"/>
            </w:tcBorders>
          </w:tcPr>
          <w:p w14:paraId="013EC34F"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2.8</w:t>
            </w:r>
          </w:p>
        </w:tc>
        <w:tc>
          <w:tcPr>
            <w:tcW w:w="850" w:type="dxa"/>
            <w:tcBorders>
              <w:top w:val="nil"/>
              <w:left w:val="nil"/>
              <w:bottom w:val="nil"/>
              <w:right w:val="nil"/>
            </w:tcBorders>
          </w:tcPr>
          <w:p w14:paraId="5FD75B41"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w:t>
            </w:r>
          </w:p>
        </w:tc>
        <w:tc>
          <w:tcPr>
            <w:tcW w:w="850" w:type="dxa"/>
            <w:tcBorders>
              <w:top w:val="nil"/>
              <w:left w:val="nil"/>
              <w:bottom w:val="nil"/>
              <w:right w:val="nil"/>
            </w:tcBorders>
          </w:tcPr>
          <w:p w14:paraId="63D4B73C"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w:t>
            </w:r>
          </w:p>
        </w:tc>
        <w:tc>
          <w:tcPr>
            <w:tcW w:w="850" w:type="dxa"/>
            <w:tcBorders>
              <w:top w:val="nil"/>
              <w:left w:val="nil"/>
              <w:bottom w:val="nil"/>
              <w:right w:val="nil"/>
            </w:tcBorders>
          </w:tcPr>
          <w:p w14:paraId="7286704E"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w:t>
            </w:r>
          </w:p>
        </w:tc>
      </w:tr>
      <w:tr w:rsidR="00964B88" w:rsidRPr="001D5F3C" w14:paraId="4C014523"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14:paraId="57D692B5" w14:textId="77777777" w:rsidR="00964B88" w:rsidRPr="001D5F3C" w:rsidRDefault="00964B88" w:rsidP="00F53820">
            <w:pPr>
              <w:keepLines w:val="0"/>
              <w:autoSpaceDE w:val="0"/>
              <w:autoSpaceDN w:val="0"/>
              <w:adjustRightInd w:val="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Total output initiatives</w:t>
            </w:r>
          </w:p>
        </w:tc>
        <w:tc>
          <w:tcPr>
            <w:tcW w:w="850" w:type="dxa"/>
            <w:tcBorders>
              <w:top w:val="single" w:sz="6" w:space="0" w:color="auto"/>
              <w:bottom w:val="single" w:sz="12" w:space="0" w:color="auto"/>
            </w:tcBorders>
            <w:shd w:val="solid" w:color="FFFFFF" w:fill="auto"/>
          </w:tcPr>
          <w:p w14:paraId="5DC700D2"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Pr>
                <w:rFonts w:eastAsiaTheme="minorEastAsia" w:cstheme="majorHAnsi"/>
                <w:bCs/>
                <w:color w:val="000000"/>
                <w:szCs w:val="20"/>
                <w:lang w:eastAsia="en-AU"/>
              </w:rPr>
              <w:t>102.8</w:t>
            </w:r>
          </w:p>
        </w:tc>
        <w:tc>
          <w:tcPr>
            <w:tcW w:w="850" w:type="dxa"/>
            <w:tcBorders>
              <w:top w:val="single" w:sz="6" w:space="0" w:color="auto"/>
              <w:bottom w:val="single" w:sz="12" w:space="0" w:color="auto"/>
            </w:tcBorders>
            <w:shd w:val="solid" w:color="FFFFFF" w:fill="auto"/>
          </w:tcPr>
          <w:p w14:paraId="367754AD"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c>
          <w:tcPr>
            <w:tcW w:w="850" w:type="dxa"/>
            <w:tcBorders>
              <w:top w:val="single" w:sz="6" w:space="0" w:color="auto"/>
              <w:bottom w:val="single" w:sz="12" w:space="0" w:color="auto"/>
            </w:tcBorders>
            <w:shd w:val="solid" w:color="FFFFFF" w:fill="auto"/>
          </w:tcPr>
          <w:p w14:paraId="1AF84944"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c>
          <w:tcPr>
            <w:tcW w:w="850" w:type="dxa"/>
            <w:tcBorders>
              <w:top w:val="single" w:sz="6" w:space="0" w:color="auto"/>
              <w:bottom w:val="single" w:sz="12" w:space="0" w:color="auto"/>
            </w:tcBorders>
            <w:shd w:val="solid" w:color="FFFFFF" w:fill="auto"/>
          </w:tcPr>
          <w:p w14:paraId="421F7611"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r>
    </w:tbl>
    <w:p w14:paraId="67C63D2F" w14:textId="77777777" w:rsidR="00964B88" w:rsidRDefault="00964B88" w:rsidP="00F53820">
      <w:pPr>
        <w:pStyle w:val="Heading30"/>
        <w:rPr>
          <w:lang w:val="en-US" w:eastAsia="en-AU"/>
        </w:rPr>
      </w:pPr>
      <w:r w:rsidRPr="00555AA7">
        <w:rPr>
          <w:lang w:val="en-US" w:eastAsia="en-AU"/>
        </w:rPr>
        <w:t xml:space="preserve">Backing </w:t>
      </w:r>
      <w:r>
        <w:rPr>
          <w:lang w:val="en-US" w:eastAsia="en-AU"/>
        </w:rPr>
        <w:t>o</w:t>
      </w:r>
      <w:r w:rsidRPr="00555AA7">
        <w:rPr>
          <w:lang w:val="en-US" w:eastAsia="en-AU"/>
        </w:rPr>
        <w:t xml:space="preserve">ur </w:t>
      </w:r>
      <w:r>
        <w:rPr>
          <w:lang w:val="en-US" w:eastAsia="en-AU"/>
        </w:rPr>
        <w:t>h</w:t>
      </w:r>
      <w:r w:rsidRPr="00555AA7">
        <w:rPr>
          <w:lang w:val="en-US" w:eastAsia="en-AU"/>
        </w:rPr>
        <w:t xml:space="preserve">ospitals </w:t>
      </w:r>
      <w:r>
        <w:rPr>
          <w:lang w:val="en-US" w:eastAsia="en-AU"/>
        </w:rPr>
        <w:t>w</w:t>
      </w:r>
      <w:r w:rsidRPr="00555AA7">
        <w:rPr>
          <w:lang w:val="en-US" w:eastAsia="en-AU"/>
        </w:rPr>
        <w:t xml:space="preserve">ith </w:t>
      </w:r>
      <w:r>
        <w:rPr>
          <w:lang w:val="en-US" w:eastAsia="en-AU"/>
        </w:rPr>
        <w:t>f</w:t>
      </w:r>
      <w:r w:rsidRPr="00555AA7">
        <w:rPr>
          <w:lang w:val="en-US" w:eastAsia="en-AU"/>
        </w:rPr>
        <w:t xml:space="preserve">lu </w:t>
      </w:r>
      <w:r>
        <w:rPr>
          <w:lang w:val="en-US" w:eastAsia="en-AU"/>
        </w:rPr>
        <w:t>f</w:t>
      </w:r>
      <w:r w:rsidRPr="00555AA7">
        <w:rPr>
          <w:lang w:val="en-US" w:eastAsia="en-AU"/>
        </w:rPr>
        <w:t xml:space="preserve">unding </w:t>
      </w:r>
      <w:r>
        <w:rPr>
          <w:lang w:val="en-US" w:eastAsia="en-AU"/>
        </w:rPr>
        <w:t>b</w:t>
      </w:r>
      <w:r w:rsidRPr="00555AA7">
        <w:rPr>
          <w:lang w:val="en-US" w:eastAsia="en-AU"/>
        </w:rPr>
        <w:t>oost</w:t>
      </w:r>
    </w:p>
    <w:p w14:paraId="3B261C60" w14:textId="177CC88B" w:rsidR="00964B88" w:rsidRPr="00D61206" w:rsidRDefault="00A9147E" w:rsidP="00F53820">
      <w:r>
        <w:t>A</w:t>
      </w:r>
      <w:r w:rsidR="00964B88" w:rsidRPr="00D61206">
        <w:t xml:space="preserve">dditional funding </w:t>
      </w:r>
      <w:r>
        <w:t xml:space="preserve">of $100 million </w:t>
      </w:r>
      <w:r w:rsidR="00964B88">
        <w:t>is being</w:t>
      </w:r>
      <w:r w:rsidR="00964B88" w:rsidRPr="00D61206">
        <w:t xml:space="preserve"> provided to </w:t>
      </w:r>
      <w:r w:rsidR="00964B88">
        <w:t xml:space="preserve">hospitals to </w:t>
      </w:r>
      <w:r w:rsidR="00964B88" w:rsidRPr="00D61206">
        <w:t>support extra medical, allied health and nursing staff, as well as extra support services including emergency cubicles and more acute beds.</w:t>
      </w:r>
      <w:r>
        <w:t xml:space="preserve"> </w:t>
      </w:r>
      <w:r w:rsidRPr="00A9147E">
        <w:t>This will contribute to a total package of $200 million to back our hospitals following an unprecedented flu season</w:t>
      </w:r>
      <w:r>
        <w:t>.</w:t>
      </w:r>
    </w:p>
    <w:p w14:paraId="401B62B8" w14:textId="77777777" w:rsidR="00964B88" w:rsidRPr="00D61206" w:rsidRDefault="00964B88" w:rsidP="00F53820">
      <w:r w:rsidRPr="00D61206">
        <w:t>This initiative contributes to the Department of Health and Human Services’ A</w:t>
      </w:r>
      <w:r>
        <w:t>dmitted Services</w:t>
      </w:r>
      <w:r w:rsidRPr="00D61206">
        <w:t xml:space="preserve"> output.</w:t>
      </w:r>
    </w:p>
    <w:p w14:paraId="75A7107F" w14:textId="77777777" w:rsidR="00964B88" w:rsidRDefault="00964B88" w:rsidP="00F53820">
      <w:pPr>
        <w:pStyle w:val="Heading30"/>
        <w:rPr>
          <w:lang w:val="en-US" w:eastAsia="en-AU"/>
        </w:rPr>
      </w:pPr>
      <w:r w:rsidRPr="00921DB3">
        <w:rPr>
          <w:lang w:val="en-US" w:eastAsia="en-AU"/>
        </w:rPr>
        <w:t>Increased demand for mental health supports and services</w:t>
      </w:r>
    </w:p>
    <w:p w14:paraId="2530C84E" w14:textId="77777777" w:rsidR="00964B88" w:rsidRPr="00D61206" w:rsidRDefault="00964B88" w:rsidP="00F53820">
      <w:r w:rsidRPr="00D61206">
        <w:t xml:space="preserve">Funding </w:t>
      </w:r>
      <w:r>
        <w:t>is being</w:t>
      </w:r>
      <w:r w:rsidRPr="00D61206">
        <w:t xml:space="preserve"> provided to enable key non-government organisations to support people </w:t>
      </w:r>
      <w:r>
        <w:t>who</w:t>
      </w:r>
      <w:r w:rsidRPr="00D61206">
        <w:t xml:space="preserve"> participate in the Royal Commission</w:t>
      </w:r>
      <w:r>
        <w:t xml:space="preserve"> into Victoria’s Mental Health System</w:t>
      </w:r>
      <w:r w:rsidRPr="00D61206">
        <w:t>. This includes support for people with lived experience of mental illness</w:t>
      </w:r>
      <w:r>
        <w:t xml:space="preserve"> and</w:t>
      </w:r>
      <w:r w:rsidRPr="00D61206">
        <w:t xml:space="preserve"> their families and carers</w:t>
      </w:r>
      <w:r>
        <w:t>.</w:t>
      </w:r>
      <w:r w:rsidRPr="00D61206">
        <w:t xml:space="preserve"> </w:t>
      </w:r>
      <w:r>
        <w:t xml:space="preserve">Support will also be provided to </w:t>
      </w:r>
      <w:r w:rsidRPr="00D61206">
        <w:t>groups including Aboriginal communities and Victorians experiencing homelessness.</w:t>
      </w:r>
    </w:p>
    <w:p w14:paraId="5B812F07" w14:textId="77777777" w:rsidR="00964B88" w:rsidRPr="00D61206" w:rsidRDefault="00964B88" w:rsidP="00F53820">
      <w:r w:rsidRPr="00D61206">
        <w:t xml:space="preserve">This initiative contributes to the Department of Health and Human Services’ </w:t>
      </w:r>
      <w:r>
        <w:t xml:space="preserve">Mental Health Community Support Services </w:t>
      </w:r>
      <w:r w:rsidRPr="00D61206">
        <w:t>output.</w:t>
      </w:r>
    </w:p>
    <w:p w14:paraId="05F5FF74" w14:textId="77777777" w:rsidR="00964B88" w:rsidRPr="00D61206" w:rsidRDefault="00964B88" w:rsidP="00F53820">
      <w:pPr>
        <w:rPr>
          <w:lang w:val="en-US" w:eastAsia="en-AU"/>
        </w:rPr>
      </w:pPr>
    </w:p>
    <w:p w14:paraId="4955CBCC" w14:textId="77777777" w:rsidR="00964B88" w:rsidRDefault="00964B88">
      <w:pPr>
        <w:keepLines w:val="0"/>
        <w:rPr>
          <w:lang w:val="en-US" w:eastAsia="en-AU"/>
        </w:rPr>
      </w:pPr>
      <w:r>
        <w:rPr>
          <w:lang w:val="en-US" w:eastAsia="en-AU"/>
        </w:rPr>
        <w:br w:type="page"/>
      </w:r>
    </w:p>
    <w:p w14:paraId="7B7835F6" w14:textId="77777777" w:rsidR="00964B88" w:rsidRDefault="00964B88" w:rsidP="0073799D">
      <w:pPr>
        <w:pStyle w:val="Heading1Non-TOC"/>
      </w:pPr>
      <w:r>
        <w:lastRenderedPageBreak/>
        <w:t>Department of Jobs, Precincts and Regions</w:t>
      </w:r>
    </w:p>
    <w:p w14:paraId="4DBB0AF0" w14:textId="77777777" w:rsidR="00964B88" w:rsidRDefault="00964B88" w:rsidP="00F53820">
      <w:pPr>
        <w:pStyle w:val="Heading20"/>
        <w:rPr>
          <w:lang w:eastAsia="en-AU"/>
        </w:rPr>
      </w:pPr>
      <w:r>
        <w:rPr>
          <w:lang w:eastAsia="en-AU"/>
        </w:rPr>
        <w:t>Output initiatives</w:t>
      </w:r>
    </w:p>
    <w:p w14:paraId="1B9F7AAC" w14:textId="77777777" w:rsidR="00964B88" w:rsidRDefault="00964B88" w:rsidP="00F53820">
      <w:pPr>
        <w:pStyle w:val="TableHeading"/>
      </w:pPr>
      <w:r>
        <w:rPr>
          <w:lang w:eastAsia="en-AU"/>
        </w:rPr>
        <w:t>Table A.6:</w:t>
      </w:r>
      <w:r>
        <w:rPr>
          <w:lang w:eastAsia="en-AU"/>
        </w:rPr>
        <w:tab/>
        <w:t xml:space="preserve">Output </w:t>
      </w:r>
      <w:r w:rsidRPr="00330CC4">
        <w:t>initiatives</w:t>
      </w:r>
      <w:r>
        <w:rPr>
          <w:lang w:eastAsia="en-AU"/>
        </w:rPr>
        <w:t xml:space="preserve"> – Department of Jobs, Precincts and Regions</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964B88" w:rsidRPr="001D5F3C" w14:paraId="4CC283AF"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14:paraId="5031D806" w14:textId="77777777" w:rsidR="00964B88" w:rsidRPr="001D5F3C" w:rsidRDefault="00964B88" w:rsidP="00F53820">
            <w:pPr>
              <w:autoSpaceDE w:val="0"/>
              <w:autoSpaceDN w:val="0"/>
              <w:adjustRightInd w:val="0"/>
              <w:rPr>
                <w:rFonts w:eastAsiaTheme="minorEastAsia" w:cstheme="majorHAnsi"/>
                <w:color w:val="FFFFFF"/>
                <w:szCs w:val="20"/>
                <w:lang w:eastAsia="en-AU"/>
              </w:rPr>
            </w:pPr>
            <w:r w:rsidRPr="001D5F3C">
              <w:rPr>
                <w:rFonts w:eastAsiaTheme="minorEastAsia" w:cstheme="majorHAnsi"/>
                <w:color w:val="FFFFFF"/>
                <w:szCs w:val="20"/>
                <w:lang w:eastAsia="en-AU"/>
              </w:rPr>
              <w:t xml:space="preserve"> </w:t>
            </w:r>
          </w:p>
        </w:tc>
        <w:tc>
          <w:tcPr>
            <w:tcW w:w="850" w:type="dxa"/>
            <w:tcBorders>
              <w:top w:val="nil"/>
              <w:left w:val="nil"/>
              <w:bottom w:val="nil"/>
              <w:right w:val="nil"/>
            </w:tcBorders>
            <w:shd w:val="solid" w:color="000000" w:fill="auto"/>
          </w:tcPr>
          <w:p w14:paraId="23393938"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2019-20</w:t>
            </w:r>
          </w:p>
        </w:tc>
        <w:tc>
          <w:tcPr>
            <w:tcW w:w="850" w:type="dxa"/>
            <w:tcBorders>
              <w:top w:val="nil"/>
              <w:left w:val="nil"/>
              <w:bottom w:val="nil"/>
              <w:right w:val="nil"/>
            </w:tcBorders>
            <w:shd w:val="solid" w:color="000000" w:fill="auto"/>
          </w:tcPr>
          <w:p w14:paraId="6554E76B"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2020-21</w:t>
            </w:r>
          </w:p>
        </w:tc>
        <w:tc>
          <w:tcPr>
            <w:tcW w:w="850" w:type="dxa"/>
            <w:tcBorders>
              <w:top w:val="nil"/>
              <w:left w:val="nil"/>
              <w:bottom w:val="nil"/>
              <w:right w:val="nil"/>
            </w:tcBorders>
            <w:shd w:val="solid" w:color="000000" w:fill="auto"/>
          </w:tcPr>
          <w:p w14:paraId="053ED80E"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2021-22</w:t>
            </w:r>
          </w:p>
        </w:tc>
        <w:tc>
          <w:tcPr>
            <w:tcW w:w="850" w:type="dxa"/>
            <w:tcBorders>
              <w:top w:val="nil"/>
              <w:left w:val="nil"/>
              <w:bottom w:val="nil"/>
              <w:right w:val="nil"/>
            </w:tcBorders>
            <w:shd w:val="solid" w:color="000000" w:fill="auto"/>
          </w:tcPr>
          <w:p w14:paraId="56F33EF1"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2022-23</w:t>
            </w:r>
          </w:p>
        </w:tc>
      </w:tr>
      <w:tr w:rsidR="00964B88" w:rsidRPr="001D5F3C" w14:paraId="68759422"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5D42AC23" w14:textId="77777777" w:rsidR="00964B88" w:rsidRPr="001D5F3C" w:rsidRDefault="00964B88" w:rsidP="00F53820">
            <w:pPr>
              <w:keepLines w:val="0"/>
              <w:autoSpaceDE w:val="0"/>
              <w:autoSpaceDN w:val="0"/>
              <w:adjustRightInd w:val="0"/>
              <w:rPr>
                <w:rFonts w:eastAsiaTheme="minorEastAsia" w:cstheme="majorHAnsi"/>
                <w:szCs w:val="20"/>
                <w:lang w:eastAsia="en-AU"/>
              </w:rPr>
            </w:pPr>
            <w:r w:rsidRPr="001D5F3C">
              <w:rPr>
                <w:rFonts w:eastAsiaTheme="minorEastAsia" w:cstheme="majorHAnsi"/>
                <w:szCs w:val="20"/>
                <w:lang w:eastAsia="en-AU"/>
              </w:rPr>
              <w:t>Beckley Park racing precinct</w:t>
            </w:r>
          </w:p>
        </w:tc>
        <w:tc>
          <w:tcPr>
            <w:tcW w:w="850" w:type="dxa"/>
            <w:tcBorders>
              <w:top w:val="nil"/>
              <w:left w:val="nil"/>
              <w:bottom w:val="nil"/>
              <w:right w:val="nil"/>
            </w:tcBorders>
          </w:tcPr>
          <w:p w14:paraId="61D29334"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1D5F3C">
              <w:rPr>
                <w:rFonts w:eastAsiaTheme="minorEastAsia" w:cstheme="majorHAnsi"/>
                <w:szCs w:val="20"/>
                <w:lang w:eastAsia="en-AU"/>
              </w:rPr>
              <w:t>2.0</w:t>
            </w:r>
          </w:p>
        </w:tc>
        <w:tc>
          <w:tcPr>
            <w:tcW w:w="850" w:type="dxa"/>
            <w:tcBorders>
              <w:top w:val="nil"/>
              <w:left w:val="nil"/>
              <w:bottom w:val="nil"/>
              <w:right w:val="nil"/>
            </w:tcBorders>
          </w:tcPr>
          <w:p w14:paraId="66661F95"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1D5F3C">
              <w:rPr>
                <w:rFonts w:eastAsiaTheme="minorEastAsia" w:cstheme="majorHAnsi"/>
                <w:szCs w:val="20"/>
                <w:lang w:eastAsia="en-AU"/>
              </w:rPr>
              <w:t>..</w:t>
            </w:r>
          </w:p>
        </w:tc>
        <w:tc>
          <w:tcPr>
            <w:tcW w:w="850" w:type="dxa"/>
            <w:tcBorders>
              <w:top w:val="nil"/>
              <w:left w:val="nil"/>
              <w:bottom w:val="nil"/>
              <w:right w:val="nil"/>
            </w:tcBorders>
          </w:tcPr>
          <w:p w14:paraId="76D69455"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1D5F3C">
              <w:rPr>
                <w:rFonts w:eastAsiaTheme="minorEastAsia" w:cstheme="majorHAnsi"/>
                <w:szCs w:val="20"/>
                <w:lang w:eastAsia="en-AU"/>
              </w:rPr>
              <w:t>..</w:t>
            </w:r>
          </w:p>
        </w:tc>
        <w:tc>
          <w:tcPr>
            <w:tcW w:w="850" w:type="dxa"/>
            <w:tcBorders>
              <w:top w:val="nil"/>
              <w:left w:val="nil"/>
              <w:bottom w:val="nil"/>
              <w:right w:val="nil"/>
            </w:tcBorders>
          </w:tcPr>
          <w:p w14:paraId="21056EBA"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20"/>
                <w:lang w:eastAsia="en-AU"/>
              </w:rPr>
            </w:pPr>
            <w:r w:rsidRPr="001D5F3C">
              <w:rPr>
                <w:rFonts w:eastAsiaTheme="minorEastAsia" w:cstheme="majorHAnsi"/>
                <w:szCs w:val="20"/>
                <w:lang w:eastAsia="en-AU"/>
              </w:rPr>
              <w:t>..</w:t>
            </w:r>
          </w:p>
        </w:tc>
      </w:tr>
      <w:tr w:rsidR="00964B88" w:rsidRPr="001D5F3C" w14:paraId="08533DB7"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14:paraId="01C0CFE5" w14:textId="77777777" w:rsidR="00964B88" w:rsidRPr="001D5F3C" w:rsidRDefault="00964B88" w:rsidP="00F53820">
            <w:pPr>
              <w:keepLines w:val="0"/>
              <w:autoSpaceDE w:val="0"/>
              <w:autoSpaceDN w:val="0"/>
              <w:adjustRightInd w:val="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Total output initiatives</w:t>
            </w:r>
          </w:p>
        </w:tc>
        <w:tc>
          <w:tcPr>
            <w:tcW w:w="850" w:type="dxa"/>
            <w:tcBorders>
              <w:top w:val="single" w:sz="6" w:space="0" w:color="auto"/>
              <w:bottom w:val="single" w:sz="12" w:space="0" w:color="auto"/>
            </w:tcBorders>
          </w:tcPr>
          <w:p w14:paraId="5CF43B1D"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2.0</w:t>
            </w:r>
          </w:p>
        </w:tc>
        <w:tc>
          <w:tcPr>
            <w:tcW w:w="850" w:type="dxa"/>
            <w:tcBorders>
              <w:top w:val="single" w:sz="6" w:space="0" w:color="auto"/>
              <w:bottom w:val="single" w:sz="12" w:space="0" w:color="auto"/>
            </w:tcBorders>
          </w:tcPr>
          <w:p w14:paraId="208CA6D9"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c>
          <w:tcPr>
            <w:tcW w:w="850" w:type="dxa"/>
            <w:tcBorders>
              <w:top w:val="single" w:sz="6" w:space="0" w:color="auto"/>
              <w:bottom w:val="single" w:sz="12" w:space="0" w:color="auto"/>
            </w:tcBorders>
          </w:tcPr>
          <w:p w14:paraId="4EE99F1C"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c>
          <w:tcPr>
            <w:tcW w:w="850" w:type="dxa"/>
            <w:tcBorders>
              <w:top w:val="single" w:sz="6" w:space="0" w:color="auto"/>
              <w:bottom w:val="single" w:sz="12" w:space="0" w:color="auto"/>
            </w:tcBorders>
          </w:tcPr>
          <w:p w14:paraId="7389CB90"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r>
    </w:tbl>
    <w:p w14:paraId="7C734641" w14:textId="77777777" w:rsidR="00964B88" w:rsidRDefault="00964B88" w:rsidP="00F53820">
      <w:pPr>
        <w:pStyle w:val="Heading30"/>
        <w:rPr>
          <w:lang w:val="en-US" w:eastAsia="en-AU"/>
        </w:rPr>
      </w:pPr>
      <w:r w:rsidRPr="00EC748A">
        <w:rPr>
          <w:lang w:val="en-US" w:eastAsia="en-AU"/>
        </w:rPr>
        <w:t>Beckley Park racing precinct</w:t>
      </w:r>
    </w:p>
    <w:p w14:paraId="6D5B3554" w14:textId="77777777" w:rsidR="00964B88" w:rsidRDefault="00964B88" w:rsidP="00F53820">
      <w:pPr>
        <w:keepLines w:val="0"/>
      </w:pPr>
      <w:r>
        <w:t>Funding will be provided to the Beckley Park Committee of Management to deliver infrastructure upgrades at Beckley Park Racecourse Reserve, including grandstand renovations and refurbishment, improved car parking facilities and a 240 metre extension to the karting track. These upgrades will benefit harness, greyhound and kart racing in the Geelong region and enhance the experience of visitors to the venue.</w:t>
      </w:r>
    </w:p>
    <w:p w14:paraId="5F19D252" w14:textId="77777777" w:rsidR="00964B88" w:rsidRDefault="00964B88" w:rsidP="00F53820">
      <w:pPr>
        <w:keepLines w:val="0"/>
      </w:pPr>
      <w:r>
        <w:t>This initiative contributes to the Department of Jobs, Precincts and Regions’ Sport, Recreation and Racing output.</w:t>
      </w:r>
    </w:p>
    <w:p w14:paraId="7CA688E6" w14:textId="77777777" w:rsidR="00964B88" w:rsidRPr="00D61206" w:rsidRDefault="00964B88" w:rsidP="00F53820">
      <w:pPr>
        <w:keepLines w:val="0"/>
      </w:pPr>
      <w:r>
        <w:rPr>
          <w:lang w:val="en-US" w:eastAsia="en-AU"/>
        </w:rPr>
        <w:br w:type="page"/>
      </w:r>
    </w:p>
    <w:p w14:paraId="1BDEDC17" w14:textId="77777777" w:rsidR="00964B88" w:rsidRDefault="00964B88" w:rsidP="0073799D">
      <w:pPr>
        <w:pStyle w:val="Heading1Non-TOC"/>
      </w:pPr>
      <w:bookmarkStart w:id="142" w:name="_Toc500179549"/>
      <w:bookmarkStart w:id="143" w:name="_Toc500435591"/>
      <w:r>
        <w:lastRenderedPageBreak/>
        <w:t>Department of Justice and Community Safety</w:t>
      </w:r>
    </w:p>
    <w:p w14:paraId="4FAE0DA2" w14:textId="77777777" w:rsidR="00964B88" w:rsidRDefault="00964B88" w:rsidP="00F53820">
      <w:pPr>
        <w:pStyle w:val="Heading20"/>
        <w:rPr>
          <w:lang w:eastAsia="en-AU"/>
        </w:rPr>
      </w:pPr>
      <w:r>
        <w:rPr>
          <w:lang w:eastAsia="en-AU"/>
        </w:rPr>
        <w:t>Output initiatives</w:t>
      </w:r>
    </w:p>
    <w:p w14:paraId="634DF14B" w14:textId="77777777" w:rsidR="00964B88" w:rsidRPr="00EF5521" w:rsidRDefault="00964B88" w:rsidP="00F53820">
      <w:pPr>
        <w:pStyle w:val="TableHeading"/>
        <w:rPr>
          <w:lang w:eastAsia="en-AU"/>
        </w:rPr>
      </w:pPr>
      <w:r>
        <w:rPr>
          <w:lang w:eastAsia="en-AU"/>
        </w:rPr>
        <w:t>Table A.7:</w:t>
      </w:r>
      <w:r>
        <w:rPr>
          <w:lang w:eastAsia="en-AU"/>
        </w:rPr>
        <w:tab/>
        <w:t xml:space="preserve">Output </w:t>
      </w:r>
      <w:r w:rsidRPr="00330CC4">
        <w:t>initiatives</w:t>
      </w:r>
      <w:r>
        <w:rPr>
          <w:lang w:eastAsia="en-AU"/>
        </w:rPr>
        <w:t xml:space="preserve"> – Department of Justice and Community Safety</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964B88" w:rsidRPr="00EF5521" w14:paraId="36CA8B30" w14:textId="77777777" w:rsidTr="00F53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14:paraId="402EA43C" w14:textId="77777777" w:rsidR="00964B88" w:rsidRPr="00EF5521" w:rsidRDefault="00964B88" w:rsidP="00F53820">
            <w:pPr>
              <w:keepLines w:val="0"/>
              <w:autoSpaceDE w:val="0"/>
              <w:autoSpaceDN w:val="0"/>
              <w:adjustRightInd w:val="0"/>
              <w:rPr>
                <w:rFonts w:eastAsiaTheme="minorEastAsia" w:cstheme="majorHAnsi"/>
                <w:color w:val="FFFFFF"/>
                <w:szCs w:val="20"/>
                <w:lang w:eastAsia="en-AU"/>
              </w:rPr>
            </w:pPr>
            <w:r w:rsidRPr="00EF5521">
              <w:rPr>
                <w:rFonts w:eastAsiaTheme="minorEastAsia" w:cstheme="majorHAnsi"/>
                <w:color w:val="FFFFFF"/>
                <w:szCs w:val="20"/>
                <w:lang w:eastAsia="en-AU"/>
              </w:rPr>
              <w:t xml:space="preserve"> </w:t>
            </w:r>
          </w:p>
        </w:tc>
        <w:tc>
          <w:tcPr>
            <w:tcW w:w="850" w:type="dxa"/>
            <w:tcBorders>
              <w:top w:val="nil"/>
              <w:left w:val="nil"/>
              <w:bottom w:val="nil"/>
              <w:right w:val="nil"/>
            </w:tcBorders>
            <w:shd w:val="solid" w:color="000000" w:fill="auto"/>
          </w:tcPr>
          <w:p w14:paraId="585F7167" w14:textId="77777777" w:rsidR="00964B88" w:rsidRPr="00EF5521"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EF5521">
              <w:rPr>
                <w:rFonts w:eastAsiaTheme="minorEastAsia" w:cstheme="majorHAnsi"/>
                <w:iCs/>
                <w:color w:val="FFFFFF"/>
                <w:szCs w:val="20"/>
                <w:lang w:eastAsia="en-AU"/>
              </w:rPr>
              <w:t>2019-20</w:t>
            </w:r>
          </w:p>
        </w:tc>
        <w:tc>
          <w:tcPr>
            <w:tcW w:w="850" w:type="dxa"/>
            <w:tcBorders>
              <w:top w:val="nil"/>
              <w:left w:val="nil"/>
              <w:bottom w:val="nil"/>
              <w:right w:val="nil"/>
            </w:tcBorders>
            <w:shd w:val="solid" w:color="000000" w:fill="auto"/>
          </w:tcPr>
          <w:p w14:paraId="608E73ED" w14:textId="77777777" w:rsidR="00964B88" w:rsidRPr="00EF5521"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EF5521">
              <w:rPr>
                <w:rFonts w:eastAsiaTheme="minorEastAsia" w:cstheme="majorHAnsi"/>
                <w:iCs/>
                <w:color w:val="FFFFFF"/>
                <w:szCs w:val="20"/>
                <w:lang w:eastAsia="en-AU"/>
              </w:rPr>
              <w:t>2020-21</w:t>
            </w:r>
          </w:p>
        </w:tc>
        <w:tc>
          <w:tcPr>
            <w:tcW w:w="850" w:type="dxa"/>
            <w:tcBorders>
              <w:top w:val="nil"/>
              <w:left w:val="nil"/>
              <w:bottom w:val="nil"/>
              <w:right w:val="nil"/>
            </w:tcBorders>
            <w:shd w:val="solid" w:color="000000" w:fill="auto"/>
          </w:tcPr>
          <w:p w14:paraId="5402406F" w14:textId="77777777" w:rsidR="00964B88" w:rsidRPr="00EF5521"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EF5521">
              <w:rPr>
                <w:rFonts w:eastAsiaTheme="minorEastAsia" w:cstheme="majorHAnsi"/>
                <w:iCs/>
                <w:color w:val="FFFFFF"/>
                <w:szCs w:val="20"/>
                <w:lang w:eastAsia="en-AU"/>
              </w:rPr>
              <w:t>2021-22</w:t>
            </w:r>
          </w:p>
        </w:tc>
        <w:tc>
          <w:tcPr>
            <w:tcW w:w="850" w:type="dxa"/>
            <w:tcBorders>
              <w:top w:val="nil"/>
              <w:left w:val="nil"/>
              <w:bottom w:val="nil"/>
              <w:right w:val="nil"/>
            </w:tcBorders>
            <w:shd w:val="solid" w:color="000000" w:fill="auto"/>
          </w:tcPr>
          <w:p w14:paraId="756ECD65" w14:textId="77777777" w:rsidR="00964B88" w:rsidRPr="00EF5521"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EF5521">
              <w:rPr>
                <w:rFonts w:eastAsiaTheme="minorEastAsia" w:cstheme="majorHAnsi"/>
                <w:iCs/>
                <w:color w:val="FFFFFF"/>
                <w:szCs w:val="20"/>
                <w:lang w:eastAsia="en-AU"/>
              </w:rPr>
              <w:t>2022-23</w:t>
            </w:r>
          </w:p>
        </w:tc>
      </w:tr>
      <w:tr w:rsidR="00964B88" w:rsidRPr="00EF5521" w14:paraId="672BEF2A"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134A6EB5" w14:textId="77777777" w:rsidR="00964B88" w:rsidRPr="00EF5521" w:rsidRDefault="00964B88" w:rsidP="00F53820">
            <w:pPr>
              <w:keepLines w:val="0"/>
              <w:autoSpaceDE w:val="0"/>
              <w:autoSpaceDN w:val="0"/>
              <w:adjustRightInd w:val="0"/>
              <w:rPr>
                <w:rFonts w:eastAsiaTheme="minorEastAsia" w:cstheme="majorHAnsi"/>
                <w:color w:val="000000"/>
                <w:szCs w:val="20"/>
                <w:lang w:eastAsia="en-AU"/>
              </w:rPr>
            </w:pPr>
            <w:r w:rsidRPr="00EF5521">
              <w:rPr>
                <w:rFonts w:eastAsiaTheme="minorEastAsia" w:cstheme="majorHAnsi"/>
                <w:color w:val="000000"/>
                <w:szCs w:val="20"/>
                <w:lang w:eastAsia="en-AU"/>
              </w:rPr>
              <w:t>Emergency Services Telecommunications Authority</w:t>
            </w:r>
          </w:p>
        </w:tc>
        <w:tc>
          <w:tcPr>
            <w:tcW w:w="850" w:type="dxa"/>
            <w:tcBorders>
              <w:top w:val="nil"/>
              <w:left w:val="nil"/>
              <w:bottom w:val="nil"/>
              <w:right w:val="nil"/>
            </w:tcBorders>
          </w:tcPr>
          <w:p w14:paraId="2985C70F" w14:textId="77777777" w:rsidR="00964B88" w:rsidRPr="00EF552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EF5521">
              <w:rPr>
                <w:rFonts w:eastAsiaTheme="minorEastAsia" w:cstheme="majorHAnsi"/>
                <w:color w:val="000000"/>
                <w:szCs w:val="20"/>
                <w:lang w:eastAsia="en-AU"/>
              </w:rPr>
              <w:t>5.0</w:t>
            </w:r>
          </w:p>
        </w:tc>
        <w:tc>
          <w:tcPr>
            <w:tcW w:w="850" w:type="dxa"/>
            <w:tcBorders>
              <w:top w:val="nil"/>
              <w:left w:val="nil"/>
              <w:bottom w:val="nil"/>
              <w:right w:val="nil"/>
            </w:tcBorders>
          </w:tcPr>
          <w:p w14:paraId="0C3251DC" w14:textId="77777777" w:rsidR="00964B88" w:rsidRPr="00EF552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808080"/>
                <w:szCs w:val="20"/>
                <w:lang w:eastAsia="en-AU"/>
              </w:rPr>
            </w:pPr>
            <w:r w:rsidRPr="00EF5521">
              <w:rPr>
                <w:rFonts w:eastAsiaTheme="minorEastAsia" w:cstheme="majorHAnsi"/>
                <w:color w:val="808080"/>
                <w:szCs w:val="20"/>
                <w:lang w:eastAsia="en-AU"/>
              </w:rPr>
              <w:t>..</w:t>
            </w:r>
          </w:p>
        </w:tc>
        <w:tc>
          <w:tcPr>
            <w:tcW w:w="850" w:type="dxa"/>
            <w:tcBorders>
              <w:top w:val="nil"/>
              <w:left w:val="nil"/>
              <w:bottom w:val="nil"/>
              <w:right w:val="nil"/>
            </w:tcBorders>
          </w:tcPr>
          <w:p w14:paraId="017B1C5F" w14:textId="77777777" w:rsidR="00964B88" w:rsidRPr="00EF552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808080"/>
                <w:szCs w:val="20"/>
                <w:lang w:eastAsia="en-AU"/>
              </w:rPr>
            </w:pPr>
            <w:r w:rsidRPr="00EF5521">
              <w:rPr>
                <w:rFonts w:eastAsiaTheme="minorEastAsia" w:cstheme="majorHAnsi"/>
                <w:color w:val="808080"/>
                <w:szCs w:val="20"/>
                <w:lang w:eastAsia="en-AU"/>
              </w:rPr>
              <w:t>..</w:t>
            </w:r>
          </w:p>
        </w:tc>
        <w:tc>
          <w:tcPr>
            <w:tcW w:w="850" w:type="dxa"/>
            <w:tcBorders>
              <w:top w:val="nil"/>
              <w:left w:val="nil"/>
              <w:bottom w:val="nil"/>
              <w:right w:val="nil"/>
            </w:tcBorders>
          </w:tcPr>
          <w:p w14:paraId="6AFC2BDF" w14:textId="77777777" w:rsidR="00964B88" w:rsidRPr="00EF552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808080"/>
                <w:szCs w:val="20"/>
                <w:lang w:eastAsia="en-AU"/>
              </w:rPr>
            </w:pPr>
            <w:r w:rsidRPr="00EF5521">
              <w:rPr>
                <w:rFonts w:eastAsiaTheme="minorEastAsia" w:cstheme="majorHAnsi"/>
                <w:color w:val="808080"/>
                <w:szCs w:val="20"/>
                <w:lang w:eastAsia="en-AU"/>
              </w:rPr>
              <w:t>..</w:t>
            </w:r>
          </w:p>
        </w:tc>
      </w:tr>
      <w:tr w:rsidR="00964B88" w:rsidRPr="00EF5521" w14:paraId="2C773F9D"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0394BB78" w14:textId="77777777" w:rsidR="00964B88" w:rsidRPr="00EF5521" w:rsidRDefault="00964B88" w:rsidP="00F53820">
            <w:pPr>
              <w:keepLines w:val="0"/>
              <w:autoSpaceDE w:val="0"/>
              <w:autoSpaceDN w:val="0"/>
              <w:adjustRightInd w:val="0"/>
              <w:rPr>
                <w:rFonts w:eastAsiaTheme="minorEastAsia" w:cstheme="majorHAnsi"/>
                <w:color w:val="000000"/>
                <w:szCs w:val="20"/>
                <w:lang w:eastAsia="en-AU"/>
              </w:rPr>
            </w:pPr>
            <w:r w:rsidRPr="00EF5521">
              <w:rPr>
                <w:rFonts w:eastAsiaTheme="minorEastAsia" w:cstheme="majorHAnsi"/>
                <w:color w:val="000000"/>
                <w:szCs w:val="20"/>
                <w:lang w:eastAsia="en-AU"/>
              </w:rPr>
              <w:t>Summer fire information and education program</w:t>
            </w:r>
          </w:p>
        </w:tc>
        <w:tc>
          <w:tcPr>
            <w:tcW w:w="850" w:type="dxa"/>
            <w:tcBorders>
              <w:top w:val="nil"/>
              <w:left w:val="nil"/>
              <w:bottom w:val="nil"/>
              <w:right w:val="nil"/>
            </w:tcBorders>
          </w:tcPr>
          <w:p w14:paraId="7BE89227" w14:textId="77777777" w:rsidR="00964B88" w:rsidRPr="00EF552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EF5521">
              <w:rPr>
                <w:rFonts w:eastAsiaTheme="minorEastAsia" w:cstheme="majorHAnsi"/>
                <w:color w:val="000000"/>
                <w:szCs w:val="20"/>
                <w:lang w:eastAsia="en-AU"/>
              </w:rPr>
              <w:t>9.7</w:t>
            </w:r>
          </w:p>
        </w:tc>
        <w:tc>
          <w:tcPr>
            <w:tcW w:w="850" w:type="dxa"/>
            <w:tcBorders>
              <w:top w:val="nil"/>
              <w:left w:val="nil"/>
              <w:bottom w:val="nil"/>
              <w:right w:val="nil"/>
            </w:tcBorders>
          </w:tcPr>
          <w:p w14:paraId="243BDEC7" w14:textId="77777777" w:rsidR="00964B88" w:rsidRPr="00EF552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808080"/>
                <w:szCs w:val="20"/>
                <w:lang w:eastAsia="en-AU"/>
              </w:rPr>
            </w:pPr>
            <w:r w:rsidRPr="00EF5521">
              <w:rPr>
                <w:rFonts w:eastAsiaTheme="minorEastAsia" w:cstheme="majorHAnsi"/>
                <w:color w:val="808080"/>
                <w:szCs w:val="20"/>
                <w:lang w:eastAsia="en-AU"/>
              </w:rPr>
              <w:t>..</w:t>
            </w:r>
          </w:p>
        </w:tc>
        <w:tc>
          <w:tcPr>
            <w:tcW w:w="850" w:type="dxa"/>
            <w:tcBorders>
              <w:top w:val="nil"/>
              <w:left w:val="nil"/>
              <w:bottom w:val="nil"/>
              <w:right w:val="nil"/>
            </w:tcBorders>
          </w:tcPr>
          <w:p w14:paraId="27DE2E78" w14:textId="77777777" w:rsidR="00964B88" w:rsidRPr="00EF552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808080"/>
                <w:szCs w:val="20"/>
                <w:lang w:eastAsia="en-AU"/>
              </w:rPr>
            </w:pPr>
            <w:r w:rsidRPr="00EF5521">
              <w:rPr>
                <w:rFonts w:eastAsiaTheme="minorEastAsia" w:cstheme="majorHAnsi"/>
                <w:color w:val="808080"/>
                <w:szCs w:val="20"/>
                <w:lang w:eastAsia="en-AU"/>
              </w:rPr>
              <w:t>..</w:t>
            </w:r>
          </w:p>
        </w:tc>
        <w:tc>
          <w:tcPr>
            <w:tcW w:w="850" w:type="dxa"/>
            <w:tcBorders>
              <w:top w:val="nil"/>
              <w:left w:val="nil"/>
              <w:bottom w:val="nil"/>
              <w:right w:val="nil"/>
            </w:tcBorders>
          </w:tcPr>
          <w:p w14:paraId="11A97196" w14:textId="77777777" w:rsidR="00964B88" w:rsidRPr="00EF5521"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808080"/>
                <w:szCs w:val="20"/>
                <w:lang w:eastAsia="en-AU"/>
              </w:rPr>
            </w:pPr>
            <w:r w:rsidRPr="00EF5521">
              <w:rPr>
                <w:rFonts w:eastAsiaTheme="minorEastAsia" w:cstheme="majorHAnsi"/>
                <w:color w:val="808080"/>
                <w:szCs w:val="20"/>
                <w:lang w:eastAsia="en-AU"/>
              </w:rPr>
              <w:t>..</w:t>
            </w:r>
          </w:p>
        </w:tc>
      </w:tr>
      <w:tr w:rsidR="00964B88" w:rsidRPr="00EF5521" w14:paraId="788C243E"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14:paraId="75D045BF" w14:textId="77777777" w:rsidR="00964B88" w:rsidRPr="00EF5521" w:rsidRDefault="00964B88" w:rsidP="00F53820">
            <w:pPr>
              <w:keepLines w:val="0"/>
              <w:autoSpaceDE w:val="0"/>
              <w:autoSpaceDN w:val="0"/>
              <w:adjustRightInd w:val="0"/>
              <w:rPr>
                <w:rFonts w:eastAsiaTheme="minorEastAsia" w:cstheme="majorHAnsi"/>
                <w:b w:val="0"/>
                <w:bCs/>
                <w:color w:val="000000"/>
                <w:szCs w:val="20"/>
                <w:vertAlign w:val="superscript"/>
                <w:lang w:eastAsia="en-AU"/>
              </w:rPr>
            </w:pPr>
            <w:r w:rsidRPr="00EF5521">
              <w:rPr>
                <w:rFonts w:eastAsiaTheme="minorEastAsia" w:cstheme="majorHAnsi"/>
                <w:bCs/>
                <w:color w:val="000000"/>
                <w:szCs w:val="20"/>
                <w:lang w:eastAsia="en-AU"/>
              </w:rPr>
              <w:t>Total output initiatives</w:t>
            </w:r>
            <w:r>
              <w:rPr>
                <w:rFonts w:eastAsiaTheme="minorEastAsia" w:cstheme="majorHAnsi"/>
                <w:bCs/>
                <w:color w:val="000000"/>
                <w:szCs w:val="20"/>
                <w:lang w:eastAsia="en-AU"/>
              </w:rPr>
              <w:t xml:space="preserve"> </w:t>
            </w:r>
            <w:r w:rsidRPr="00EF5521">
              <w:rPr>
                <w:rFonts w:eastAsiaTheme="minorEastAsia" w:cstheme="majorHAnsi"/>
                <w:bCs/>
                <w:color w:val="000000"/>
                <w:szCs w:val="20"/>
                <w:vertAlign w:val="superscript"/>
                <w:lang w:eastAsia="en-AU"/>
              </w:rPr>
              <w:t>(a)</w:t>
            </w:r>
          </w:p>
        </w:tc>
        <w:tc>
          <w:tcPr>
            <w:tcW w:w="850" w:type="dxa"/>
            <w:tcBorders>
              <w:top w:val="single" w:sz="6" w:space="0" w:color="auto"/>
              <w:bottom w:val="single" w:sz="12" w:space="0" w:color="auto"/>
            </w:tcBorders>
          </w:tcPr>
          <w:p w14:paraId="521096D0" w14:textId="5EEFB680" w:rsidR="00964B88" w:rsidRPr="00EF5521" w:rsidRDefault="00592933"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Pr>
                <w:rFonts w:eastAsiaTheme="minorEastAsia" w:cstheme="majorHAnsi"/>
                <w:bCs/>
                <w:color w:val="000000"/>
                <w:szCs w:val="20"/>
                <w:lang w:eastAsia="en-AU"/>
              </w:rPr>
              <w:t>14.</w:t>
            </w:r>
            <w:r w:rsidR="0048693C">
              <w:rPr>
                <w:rFonts w:eastAsiaTheme="minorEastAsia" w:cstheme="majorHAnsi"/>
                <w:bCs/>
                <w:color w:val="000000"/>
                <w:szCs w:val="20"/>
                <w:lang w:eastAsia="en-AU"/>
              </w:rPr>
              <w:t>7</w:t>
            </w:r>
          </w:p>
        </w:tc>
        <w:tc>
          <w:tcPr>
            <w:tcW w:w="850" w:type="dxa"/>
            <w:tcBorders>
              <w:top w:val="single" w:sz="6" w:space="0" w:color="auto"/>
              <w:bottom w:val="single" w:sz="12" w:space="0" w:color="auto"/>
            </w:tcBorders>
          </w:tcPr>
          <w:p w14:paraId="61768F17" w14:textId="77777777" w:rsidR="00964B88" w:rsidRPr="00EF5521"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EF5521">
              <w:rPr>
                <w:rFonts w:eastAsiaTheme="minorEastAsia" w:cstheme="majorHAnsi"/>
                <w:bCs/>
                <w:color w:val="000000"/>
                <w:szCs w:val="20"/>
                <w:lang w:eastAsia="en-AU"/>
              </w:rPr>
              <w:t>..</w:t>
            </w:r>
          </w:p>
        </w:tc>
        <w:tc>
          <w:tcPr>
            <w:tcW w:w="850" w:type="dxa"/>
            <w:tcBorders>
              <w:top w:val="single" w:sz="6" w:space="0" w:color="auto"/>
              <w:bottom w:val="single" w:sz="12" w:space="0" w:color="auto"/>
            </w:tcBorders>
          </w:tcPr>
          <w:p w14:paraId="1C5C43EB" w14:textId="77777777" w:rsidR="00964B88" w:rsidRPr="00EF5521"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EF5521">
              <w:rPr>
                <w:rFonts w:eastAsiaTheme="minorEastAsia" w:cstheme="majorHAnsi"/>
                <w:bCs/>
                <w:color w:val="000000"/>
                <w:szCs w:val="20"/>
                <w:lang w:eastAsia="en-AU"/>
              </w:rPr>
              <w:t>..</w:t>
            </w:r>
          </w:p>
        </w:tc>
        <w:tc>
          <w:tcPr>
            <w:tcW w:w="850" w:type="dxa"/>
            <w:tcBorders>
              <w:top w:val="single" w:sz="6" w:space="0" w:color="auto"/>
              <w:bottom w:val="single" w:sz="12" w:space="0" w:color="auto"/>
            </w:tcBorders>
          </w:tcPr>
          <w:p w14:paraId="1AA64AB1" w14:textId="77777777" w:rsidR="00964B88" w:rsidRPr="00EF5521"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EF5521">
              <w:rPr>
                <w:rFonts w:eastAsiaTheme="minorEastAsia" w:cstheme="majorHAnsi"/>
                <w:bCs/>
                <w:color w:val="000000"/>
                <w:szCs w:val="20"/>
                <w:lang w:eastAsia="en-AU"/>
              </w:rPr>
              <w:t>..</w:t>
            </w:r>
          </w:p>
        </w:tc>
      </w:tr>
    </w:tbl>
    <w:p w14:paraId="3357445A" w14:textId="77777777" w:rsidR="00964B88" w:rsidRDefault="00964B88" w:rsidP="00F53820">
      <w:pPr>
        <w:pStyle w:val="Note"/>
      </w:pPr>
      <w:r>
        <w:t>Note:</w:t>
      </w:r>
    </w:p>
    <w:p w14:paraId="35E604D7" w14:textId="77777777" w:rsidR="00964B88" w:rsidRDefault="00964B88" w:rsidP="00F53820">
      <w:pPr>
        <w:pStyle w:val="Note"/>
      </w:pPr>
      <w:r>
        <w:t xml:space="preserve">(a) </w:t>
      </w:r>
      <w:r>
        <w:tab/>
        <w:t>Table may not add due to rounding.</w:t>
      </w:r>
    </w:p>
    <w:p w14:paraId="54548545" w14:textId="77777777" w:rsidR="00964B88" w:rsidRDefault="00964B88" w:rsidP="00F53820">
      <w:pPr>
        <w:pStyle w:val="Heading30"/>
        <w:rPr>
          <w:lang w:val="en-US" w:eastAsia="en-AU"/>
        </w:rPr>
      </w:pPr>
      <w:r w:rsidRPr="00EC748A">
        <w:rPr>
          <w:lang w:val="en-US" w:eastAsia="en-AU"/>
        </w:rPr>
        <w:t>Emergency Services Telecommunications Authority</w:t>
      </w:r>
    </w:p>
    <w:p w14:paraId="498987C0" w14:textId="77777777" w:rsidR="00964B88" w:rsidRDefault="00964B88" w:rsidP="00F53820">
      <w:r>
        <w:t xml:space="preserve">Funding will be provided to the Emergency Services Telecommunications Authority for the completion and commissioning of its communications centre at Williams Landing. </w:t>
      </w:r>
    </w:p>
    <w:p w14:paraId="3C29A8DE" w14:textId="77777777" w:rsidR="00964B88" w:rsidRPr="00D61206" w:rsidRDefault="00964B88" w:rsidP="00F53820">
      <w:r>
        <w:t xml:space="preserve">This initiative contributes to the Department of Justice and Community Safety’s Emergency Management Capability output. </w:t>
      </w:r>
    </w:p>
    <w:p w14:paraId="2FE7FB7D" w14:textId="77777777" w:rsidR="00964B88" w:rsidRDefault="00964B88" w:rsidP="00F53820">
      <w:pPr>
        <w:pStyle w:val="Heading30"/>
        <w:rPr>
          <w:lang w:val="en-US" w:eastAsia="en-AU"/>
        </w:rPr>
      </w:pPr>
      <w:r w:rsidRPr="00EC748A">
        <w:rPr>
          <w:lang w:val="en-US" w:eastAsia="en-AU"/>
        </w:rPr>
        <w:t>Summer fire information and education program</w:t>
      </w:r>
    </w:p>
    <w:p w14:paraId="71A7C3F2" w14:textId="77777777" w:rsidR="00964B88" w:rsidRDefault="00964B88" w:rsidP="00F53820">
      <w:bookmarkStart w:id="144" w:name="_Hlk26450275"/>
      <w:r>
        <w:t xml:space="preserve">A program of public fire safety information and education will be delivered through a combination of direct marketing, traditional and social media and public relations. </w:t>
      </w:r>
    </w:p>
    <w:p w14:paraId="4C151D70" w14:textId="77777777" w:rsidR="00964B88" w:rsidRDefault="00964B88" w:rsidP="00F53820">
      <w:r>
        <w:t xml:space="preserve">The program will provide safety advice and promote community awareness of fire risk and planning in preparation for the 2019-20 bushfire season. </w:t>
      </w:r>
    </w:p>
    <w:bookmarkEnd w:id="144"/>
    <w:p w14:paraId="61173BB6" w14:textId="77777777" w:rsidR="00964B88" w:rsidRDefault="00964B88" w:rsidP="00F53820">
      <w:r>
        <w:t>This initiative contributes to the Department of Justice and Community Safety’s Emergency Management Capability output.</w:t>
      </w:r>
    </w:p>
    <w:p w14:paraId="535A8FC8" w14:textId="77777777" w:rsidR="00964B88" w:rsidRPr="001D5F3C" w:rsidRDefault="00964B88" w:rsidP="00F53820">
      <w:r w:rsidRPr="001D5F3C">
        <w:br w:type="page"/>
      </w:r>
    </w:p>
    <w:p w14:paraId="544ABD41" w14:textId="77777777" w:rsidR="00964B88" w:rsidRDefault="00964B88" w:rsidP="0073799D">
      <w:pPr>
        <w:pStyle w:val="Heading1Non-TOC"/>
      </w:pPr>
      <w:r>
        <w:lastRenderedPageBreak/>
        <w:t>Department of Premier and Cabinet</w:t>
      </w:r>
      <w:bookmarkEnd w:id="142"/>
      <w:bookmarkEnd w:id="143"/>
    </w:p>
    <w:p w14:paraId="524B3909" w14:textId="77777777" w:rsidR="00964B88" w:rsidRDefault="00964B88" w:rsidP="00F53820">
      <w:pPr>
        <w:pStyle w:val="Heading20"/>
        <w:rPr>
          <w:lang w:eastAsia="en-AU"/>
        </w:rPr>
      </w:pPr>
      <w:r>
        <w:rPr>
          <w:lang w:eastAsia="en-AU"/>
        </w:rPr>
        <w:t>Output initiatives</w:t>
      </w:r>
    </w:p>
    <w:p w14:paraId="2AD7E09E" w14:textId="77777777" w:rsidR="00964B88" w:rsidRPr="006F2857" w:rsidRDefault="00964B88" w:rsidP="00F53820">
      <w:pPr>
        <w:pStyle w:val="TableHeading"/>
        <w:rPr>
          <w:rFonts w:asciiTheme="minorHAnsi" w:hAnsiTheme="minorHAnsi"/>
          <w:bCs/>
          <w:szCs w:val="22"/>
        </w:rPr>
      </w:pPr>
      <w:r w:rsidRPr="003A70B8">
        <w:rPr>
          <w:lang w:eastAsia="en-AU"/>
        </w:rPr>
        <w:t>Table A.</w:t>
      </w:r>
      <w:r>
        <w:rPr>
          <w:lang w:eastAsia="en-AU"/>
        </w:rPr>
        <w:t>8</w:t>
      </w:r>
      <w:r w:rsidRPr="003A70B8">
        <w:rPr>
          <w:lang w:eastAsia="en-AU"/>
        </w:rPr>
        <w:t xml:space="preserve">: </w:t>
      </w:r>
      <w:r>
        <w:rPr>
          <w:lang w:eastAsia="en-AU"/>
        </w:rPr>
        <w:tab/>
      </w:r>
      <w:r w:rsidRPr="003A70B8">
        <w:rPr>
          <w:lang w:eastAsia="en-AU"/>
        </w:rPr>
        <w:t>Output initiatives – Department of Premier and Cabinet</w:t>
      </w:r>
      <w:r>
        <w:rPr>
          <w:lang w:eastAsia="en-AU"/>
        </w:rPr>
        <w:tab/>
      </w:r>
      <w:r w:rsidRPr="003A70B8">
        <w:rPr>
          <w:lang w:eastAsia="en-AU"/>
        </w:rPr>
        <w:t xml:space="preserve"> ($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964B88" w:rsidRPr="006F2857" w14:paraId="19F06389" w14:textId="77777777" w:rsidTr="00F53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14:paraId="36D0D8C7" w14:textId="77777777" w:rsidR="00964B88" w:rsidRPr="006F2857" w:rsidRDefault="00964B88" w:rsidP="00F53820">
            <w:pPr>
              <w:autoSpaceDE w:val="0"/>
              <w:autoSpaceDN w:val="0"/>
              <w:adjustRightInd w:val="0"/>
              <w:rPr>
                <w:rFonts w:eastAsiaTheme="minorEastAsia" w:cstheme="majorHAnsi"/>
                <w:color w:val="FFFFFF"/>
                <w:szCs w:val="20"/>
                <w:lang w:eastAsia="en-AU"/>
              </w:rPr>
            </w:pPr>
            <w:r w:rsidRPr="006F2857">
              <w:rPr>
                <w:rFonts w:eastAsiaTheme="minorEastAsia" w:cstheme="majorHAnsi"/>
                <w:color w:val="FFFFFF"/>
                <w:szCs w:val="20"/>
                <w:lang w:eastAsia="en-AU"/>
              </w:rPr>
              <w:t xml:space="preserve"> </w:t>
            </w:r>
          </w:p>
        </w:tc>
        <w:tc>
          <w:tcPr>
            <w:tcW w:w="850" w:type="dxa"/>
            <w:tcBorders>
              <w:top w:val="nil"/>
              <w:left w:val="nil"/>
              <w:bottom w:val="nil"/>
              <w:right w:val="nil"/>
            </w:tcBorders>
            <w:shd w:val="solid" w:color="000000" w:fill="auto"/>
          </w:tcPr>
          <w:p w14:paraId="051919CC" w14:textId="77777777" w:rsidR="00964B88" w:rsidRPr="006F2857"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6F2857">
              <w:rPr>
                <w:rFonts w:eastAsiaTheme="minorEastAsia" w:cstheme="majorHAnsi"/>
                <w:iCs/>
                <w:color w:val="FFFFFF"/>
                <w:szCs w:val="20"/>
                <w:lang w:eastAsia="en-AU"/>
              </w:rPr>
              <w:t>2019-20</w:t>
            </w:r>
          </w:p>
        </w:tc>
        <w:tc>
          <w:tcPr>
            <w:tcW w:w="850" w:type="dxa"/>
            <w:tcBorders>
              <w:top w:val="nil"/>
              <w:left w:val="nil"/>
              <w:bottom w:val="nil"/>
              <w:right w:val="nil"/>
            </w:tcBorders>
            <w:shd w:val="solid" w:color="000000" w:fill="auto"/>
          </w:tcPr>
          <w:p w14:paraId="2EFF4FDF" w14:textId="77777777" w:rsidR="00964B88" w:rsidRPr="006F2857"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6F2857">
              <w:rPr>
                <w:rFonts w:eastAsiaTheme="minorEastAsia" w:cstheme="majorHAnsi"/>
                <w:iCs/>
                <w:color w:val="FFFFFF"/>
                <w:szCs w:val="20"/>
                <w:lang w:eastAsia="en-AU"/>
              </w:rPr>
              <w:t>2020-21</w:t>
            </w:r>
          </w:p>
        </w:tc>
        <w:tc>
          <w:tcPr>
            <w:tcW w:w="850" w:type="dxa"/>
            <w:tcBorders>
              <w:top w:val="nil"/>
              <w:left w:val="nil"/>
              <w:bottom w:val="nil"/>
              <w:right w:val="nil"/>
            </w:tcBorders>
            <w:shd w:val="solid" w:color="000000" w:fill="auto"/>
          </w:tcPr>
          <w:p w14:paraId="13A7F0A9" w14:textId="77777777" w:rsidR="00964B88" w:rsidRPr="006F2857"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6F2857">
              <w:rPr>
                <w:rFonts w:eastAsiaTheme="minorEastAsia" w:cstheme="majorHAnsi"/>
                <w:iCs/>
                <w:color w:val="FFFFFF"/>
                <w:szCs w:val="20"/>
                <w:lang w:eastAsia="en-AU"/>
              </w:rPr>
              <w:t>2021-22</w:t>
            </w:r>
          </w:p>
        </w:tc>
        <w:tc>
          <w:tcPr>
            <w:tcW w:w="850" w:type="dxa"/>
            <w:tcBorders>
              <w:top w:val="nil"/>
              <w:left w:val="nil"/>
              <w:bottom w:val="nil"/>
              <w:right w:val="nil"/>
            </w:tcBorders>
            <w:shd w:val="solid" w:color="000000" w:fill="auto"/>
          </w:tcPr>
          <w:p w14:paraId="2CC84449" w14:textId="77777777" w:rsidR="00964B88" w:rsidRPr="006F2857"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6F2857">
              <w:rPr>
                <w:rFonts w:eastAsiaTheme="minorEastAsia" w:cstheme="majorHAnsi"/>
                <w:iCs/>
                <w:color w:val="FFFFFF"/>
                <w:szCs w:val="20"/>
                <w:lang w:eastAsia="en-AU"/>
              </w:rPr>
              <w:t>2022-23</w:t>
            </w:r>
          </w:p>
        </w:tc>
      </w:tr>
      <w:tr w:rsidR="00964B88" w:rsidRPr="006F2857" w14:paraId="71C167EE"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36274F65" w14:textId="77777777" w:rsidR="00964B88" w:rsidRPr="006F2857" w:rsidRDefault="00964B88" w:rsidP="00F53820">
            <w:pPr>
              <w:keepLines w:val="0"/>
              <w:autoSpaceDE w:val="0"/>
              <w:autoSpaceDN w:val="0"/>
              <w:adjustRightInd w:val="0"/>
              <w:rPr>
                <w:rFonts w:eastAsiaTheme="minorEastAsia" w:cstheme="majorHAnsi"/>
                <w:color w:val="000000"/>
                <w:szCs w:val="20"/>
                <w:lang w:eastAsia="en-AU"/>
              </w:rPr>
            </w:pPr>
            <w:r w:rsidRPr="006F2857">
              <w:rPr>
                <w:rFonts w:eastAsiaTheme="minorEastAsia" w:cstheme="majorHAnsi"/>
                <w:color w:val="000000"/>
                <w:szCs w:val="20"/>
                <w:lang w:eastAsia="en-AU"/>
              </w:rPr>
              <w:t>Supporting the Royal Commission into Victoria's Mental Health System</w:t>
            </w:r>
          </w:p>
        </w:tc>
        <w:tc>
          <w:tcPr>
            <w:tcW w:w="850" w:type="dxa"/>
            <w:tcBorders>
              <w:top w:val="nil"/>
              <w:left w:val="nil"/>
              <w:bottom w:val="nil"/>
              <w:right w:val="nil"/>
            </w:tcBorders>
          </w:tcPr>
          <w:p w14:paraId="1D1D9A41" w14:textId="77777777" w:rsidR="00964B88" w:rsidRPr="006F2857"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6F2857">
              <w:rPr>
                <w:rFonts w:eastAsiaTheme="minorEastAsia" w:cstheme="majorHAnsi"/>
                <w:color w:val="000000"/>
                <w:szCs w:val="20"/>
                <w:lang w:eastAsia="en-AU"/>
              </w:rPr>
              <w:t>13.6</w:t>
            </w:r>
          </w:p>
        </w:tc>
        <w:tc>
          <w:tcPr>
            <w:tcW w:w="850" w:type="dxa"/>
            <w:tcBorders>
              <w:top w:val="nil"/>
              <w:left w:val="nil"/>
              <w:bottom w:val="nil"/>
              <w:right w:val="nil"/>
            </w:tcBorders>
          </w:tcPr>
          <w:p w14:paraId="13B36ACF" w14:textId="77777777" w:rsidR="00964B88" w:rsidRPr="006F2857"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6F2857">
              <w:rPr>
                <w:rFonts w:eastAsiaTheme="minorEastAsia" w:cstheme="majorHAnsi"/>
                <w:color w:val="000000"/>
                <w:szCs w:val="20"/>
                <w:lang w:eastAsia="en-AU"/>
              </w:rPr>
              <w:t>..</w:t>
            </w:r>
          </w:p>
        </w:tc>
        <w:tc>
          <w:tcPr>
            <w:tcW w:w="850" w:type="dxa"/>
            <w:tcBorders>
              <w:top w:val="nil"/>
              <w:left w:val="nil"/>
              <w:bottom w:val="nil"/>
              <w:right w:val="nil"/>
            </w:tcBorders>
          </w:tcPr>
          <w:p w14:paraId="65154DB4" w14:textId="77777777" w:rsidR="00964B88" w:rsidRPr="006F2857"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6F2857">
              <w:rPr>
                <w:rFonts w:eastAsiaTheme="minorEastAsia" w:cstheme="majorHAnsi"/>
                <w:color w:val="000000"/>
                <w:szCs w:val="20"/>
                <w:lang w:eastAsia="en-AU"/>
              </w:rPr>
              <w:t>..</w:t>
            </w:r>
          </w:p>
        </w:tc>
        <w:tc>
          <w:tcPr>
            <w:tcW w:w="850" w:type="dxa"/>
            <w:tcBorders>
              <w:top w:val="nil"/>
              <w:left w:val="nil"/>
              <w:bottom w:val="nil"/>
              <w:right w:val="nil"/>
            </w:tcBorders>
          </w:tcPr>
          <w:p w14:paraId="7D52EFAB" w14:textId="77777777" w:rsidR="00964B88" w:rsidRPr="006F2857"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6F2857">
              <w:rPr>
                <w:rFonts w:eastAsiaTheme="minorEastAsia" w:cstheme="majorHAnsi"/>
                <w:color w:val="000000"/>
                <w:szCs w:val="20"/>
                <w:lang w:eastAsia="en-AU"/>
              </w:rPr>
              <w:t>..</w:t>
            </w:r>
          </w:p>
        </w:tc>
      </w:tr>
      <w:tr w:rsidR="00964B88" w:rsidRPr="006F2857" w14:paraId="3E3EBE26"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14:paraId="23BD1C8F" w14:textId="77777777" w:rsidR="00964B88" w:rsidRPr="006F2857" w:rsidRDefault="00964B88" w:rsidP="00F53820">
            <w:pPr>
              <w:keepLines w:val="0"/>
              <w:autoSpaceDE w:val="0"/>
              <w:autoSpaceDN w:val="0"/>
              <w:adjustRightInd w:val="0"/>
              <w:rPr>
                <w:rFonts w:eastAsiaTheme="minorEastAsia" w:cstheme="majorHAnsi"/>
                <w:b w:val="0"/>
                <w:bCs/>
                <w:color w:val="000000"/>
                <w:szCs w:val="20"/>
                <w:lang w:eastAsia="en-AU"/>
              </w:rPr>
            </w:pPr>
            <w:r w:rsidRPr="006F2857">
              <w:rPr>
                <w:rFonts w:eastAsiaTheme="minorEastAsia" w:cstheme="majorHAnsi"/>
                <w:bCs/>
                <w:color w:val="000000"/>
                <w:szCs w:val="20"/>
                <w:lang w:eastAsia="en-AU"/>
              </w:rPr>
              <w:t>Total output initiatives</w:t>
            </w:r>
          </w:p>
        </w:tc>
        <w:tc>
          <w:tcPr>
            <w:tcW w:w="850" w:type="dxa"/>
            <w:tcBorders>
              <w:top w:val="single" w:sz="6" w:space="0" w:color="auto"/>
              <w:bottom w:val="single" w:sz="12" w:space="0" w:color="auto"/>
            </w:tcBorders>
          </w:tcPr>
          <w:p w14:paraId="28FD609C" w14:textId="77777777" w:rsidR="00964B88" w:rsidRPr="006F2857"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6F2857">
              <w:rPr>
                <w:rFonts w:eastAsiaTheme="minorEastAsia" w:cstheme="majorHAnsi"/>
                <w:bCs/>
                <w:color w:val="000000"/>
                <w:szCs w:val="20"/>
                <w:lang w:eastAsia="en-AU"/>
              </w:rPr>
              <w:t>13.6</w:t>
            </w:r>
          </w:p>
        </w:tc>
        <w:tc>
          <w:tcPr>
            <w:tcW w:w="850" w:type="dxa"/>
            <w:tcBorders>
              <w:top w:val="single" w:sz="6" w:space="0" w:color="auto"/>
              <w:bottom w:val="single" w:sz="12" w:space="0" w:color="auto"/>
            </w:tcBorders>
          </w:tcPr>
          <w:p w14:paraId="1B6FFF2A" w14:textId="77777777" w:rsidR="00964B88" w:rsidRPr="006F2857"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6F2857">
              <w:rPr>
                <w:rFonts w:eastAsiaTheme="minorEastAsia" w:cstheme="majorHAnsi"/>
                <w:bCs/>
                <w:color w:val="000000"/>
                <w:szCs w:val="20"/>
                <w:lang w:eastAsia="en-AU"/>
              </w:rPr>
              <w:t>..</w:t>
            </w:r>
          </w:p>
        </w:tc>
        <w:tc>
          <w:tcPr>
            <w:tcW w:w="850" w:type="dxa"/>
            <w:tcBorders>
              <w:top w:val="single" w:sz="6" w:space="0" w:color="auto"/>
              <w:bottom w:val="single" w:sz="12" w:space="0" w:color="auto"/>
            </w:tcBorders>
          </w:tcPr>
          <w:p w14:paraId="329CB477" w14:textId="77777777" w:rsidR="00964B88" w:rsidRPr="006F2857"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6F2857">
              <w:rPr>
                <w:rFonts w:eastAsiaTheme="minorEastAsia" w:cstheme="majorHAnsi"/>
                <w:bCs/>
                <w:color w:val="000000"/>
                <w:szCs w:val="20"/>
                <w:lang w:eastAsia="en-AU"/>
              </w:rPr>
              <w:t>..</w:t>
            </w:r>
          </w:p>
        </w:tc>
        <w:tc>
          <w:tcPr>
            <w:tcW w:w="850" w:type="dxa"/>
            <w:tcBorders>
              <w:top w:val="single" w:sz="6" w:space="0" w:color="auto"/>
              <w:bottom w:val="single" w:sz="12" w:space="0" w:color="auto"/>
            </w:tcBorders>
          </w:tcPr>
          <w:p w14:paraId="40C41AA3" w14:textId="77777777" w:rsidR="00964B88" w:rsidRPr="006F2857"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6F2857">
              <w:rPr>
                <w:rFonts w:eastAsiaTheme="minorEastAsia" w:cstheme="majorHAnsi"/>
                <w:bCs/>
                <w:color w:val="000000"/>
                <w:szCs w:val="20"/>
                <w:lang w:eastAsia="en-AU"/>
              </w:rPr>
              <w:t>..</w:t>
            </w:r>
          </w:p>
        </w:tc>
      </w:tr>
    </w:tbl>
    <w:p w14:paraId="081196F8" w14:textId="77777777" w:rsidR="00964B88" w:rsidRDefault="00964B88" w:rsidP="00F53820">
      <w:pPr>
        <w:pStyle w:val="Heading30"/>
      </w:pPr>
      <w:r w:rsidRPr="00555AA7">
        <w:t xml:space="preserve">Supporting </w:t>
      </w:r>
      <w:r>
        <w:t>the Royal Commission into Victoria's Mental Health System</w:t>
      </w:r>
    </w:p>
    <w:p w14:paraId="25D94F6F" w14:textId="77777777" w:rsidR="00964B88" w:rsidRPr="00555AA7" w:rsidRDefault="00964B88" w:rsidP="00F53820">
      <w:r>
        <w:t>Additional</w:t>
      </w:r>
      <w:r w:rsidRPr="00555AA7">
        <w:t xml:space="preserve"> funding </w:t>
      </w:r>
      <w:r>
        <w:t>is being</w:t>
      </w:r>
      <w:r w:rsidRPr="00555AA7">
        <w:t xml:space="preserve"> provided to support the operation of the Royal Commission into Victoria’s Mental Health System, including the delivery of an interim and final report.</w:t>
      </w:r>
    </w:p>
    <w:p w14:paraId="1CC916AA" w14:textId="77777777" w:rsidR="00964B88" w:rsidRPr="00555AA7" w:rsidRDefault="00964B88" w:rsidP="00F53820">
      <w:r w:rsidRPr="00555AA7">
        <w:t>This initiative contributes to the Department of Premier and Cabinet’s Government-wide Leadership, Reform and Implementation output.</w:t>
      </w:r>
    </w:p>
    <w:p w14:paraId="69773A38" w14:textId="77777777" w:rsidR="00964B88" w:rsidRPr="00D61206" w:rsidRDefault="00964B88" w:rsidP="00F53820">
      <w:pPr>
        <w:keepLines w:val="0"/>
      </w:pPr>
      <w:r>
        <w:rPr>
          <w:lang w:eastAsia="en-AU"/>
        </w:rPr>
        <w:br w:type="page"/>
      </w:r>
    </w:p>
    <w:p w14:paraId="1E01549B" w14:textId="77777777" w:rsidR="00964B88" w:rsidRDefault="00964B88" w:rsidP="0073799D">
      <w:pPr>
        <w:pStyle w:val="Heading1Non-TOC"/>
      </w:pPr>
      <w:r>
        <w:lastRenderedPageBreak/>
        <w:t>Department of Transport</w:t>
      </w:r>
    </w:p>
    <w:p w14:paraId="3417851E" w14:textId="77777777" w:rsidR="00964B88" w:rsidRDefault="00964B88" w:rsidP="00F53820">
      <w:pPr>
        <w:pStyle w:val="Heading20"/>
        <w:rPr>
          <w:lang w:eastAsia="en-AU"/>
        </w:rPr>
      </w:pPr>
      <w:r>
        <w:rPr>
          <w:lang w:eastAsia="en-AU"/>
        </w:rPr>
        <w:t>Asset initiatives</w:t>
      </w:r>
    </w:p>
    <w:p w14:paraId="055A9C54" w14:textId="77777777" w:rsidR="00964B88" w:rsidRPr="003507D8" w:rsidRDefault="00964B88" w:rsidP="00F53820">
      <w:pPr>
        <w:pStyle w:val="TableHeading"/>
        <w:rPr>
          <w:lang w:eastAsia="en-AU"/>
        </w:rPr>
      </w:pPr>
      <w:r>
        <w:rPr>
          <w:lang w:eastAsia="en-AU"/>
        </w:rPr>
        <w:t>Table A.9:</w:t>
      </w:r>
      <w:r>
        <w:rPr>
          <w:lang w:eastAsia="en-AU"/>
        </w:rPr>
        <w:tab/>
        <w:t xml:space="preserve">Asset </w:t>
      </w:r>
      <w:r w:rsidRPr="00330CC4">
        <w:t>initiatives</w:t>
      </w:r>
      <w:r>
        <w:rPr>
          <w:lang w:eastAsia="en-AU"/>
        </w:rPr>
        <w:t xml:space="preserve"> – Department of Transport</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964B88" w:rsidRPr="003507D8" w14:paraId="6587AA9A" w14:textId="77777777" w:rsidTr="00F53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single" w:sz="6" w:space="0" w:color="auto"/>
              <w:bottom w:val="single" w:sz="6" w:space="0" w:color="auto"/>
              <w:right w:val="nil"/>
            </w:tcBorders>
            <w:shd w:val="solid" w:color="000000" w:fill="auto"/>
          </w:tcPr>
          <w:p w14:paraId="002C007C" w14:textId="77777777" w:rsidR="00964B88" w:rsidRPr="003507D8" w:rsidRDefault="00964B88" w:rsidP="00F53820">
            <w:pPr>
              <w:keepLines w:val="0"/>
              <w:autoSpaceDE w:val="0"/>
              <w:autoSpaceDN w:val="0"/>
              <w:adjustRightInd w:val="0"/>
              <w:rPr>
                <w:rFonts w:eastAsiaTheme="minorEastAsia" w:cstheme="majorHAnsi"/>
                <w:color w:val="FFFFFF"/>
                <w:szCs w:val="20"/>
                <w:lang w:eastAsia="en-AU"/>
              </w:rPr>
            </w:pPr>
            <w:r w:rsidRPr="003507D8">
              <w:rPr>
                <w:rFonts w:eastAsiaTheme="minorEastAsia" w:cstheme="majorHAnsi"/>
                <w:color w:val="FFFFFF"/>
                <w:szCs w:val="20"/>
                <w:lang w:eastAsia="en-AU"/>
              </w:rPr>
              <w:t xml:space="preserve"> </w:t>
            </w:r>
          </w:p>
        </w:tc>
        <w:tc>
          <w:tcPr>
            <w:tcW w:w="850" w:type="dxa"/>
            <w:tcBorders>
              <w:top w:val="single" w:sz="6" w:space="0" w:color="auto"/>
              <w:left w:val="nil"/>
              <w:bottom w:val="single" w:sz="6" w:space="0" w:color="auto"/>
              <w:right w:val="nil"/>
            </w:tcBorders>
            <w:shd w:val="solid" w:color="000000" w:fill="auto"/>
          </w:tcPr>
          <w:p w14:paraId="331B50D7" w14:textId="77777777" w:rsidR="00964B88" w:rsidRPr="003507D8"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3507D8">
              <w:rPr>
                <w:rFonts w:eastAsiaTheme="minorEastAsia" w:cstheme="majorHAnsi"/>
                <w:iCs/>
                <w:color w:val="FFFFFF"/>
                <w:szCs w:val="20"/>
                <w:lang w:eastAsia="en-AU"/>
              </w:rPr>
              <w:t>2019-20</w:t>
            </w:r>
          </w:p>
        </w:tc>
        <w:tc>
          <w:tcPr>
            <w:tcW w:w="850" w:type="dxa"/>
            <w:tcBorders>
              <w:top w:val="single" w:sz="6" w:space="0" w:color="auto"/>
              <w:left w:val="nil"/>
              <w:bottom w:val="single" w:sz="6" w:space="0" w:color="auto"/>
              <w:right w:val="nil"/>
            </w:tcBorders>
            <w:shd w:val="solid" w:color="000000" w:fill="auto"/>
          </w:tcPr>
          <w:p w14:paraId="39F92000" w14:textId="77777777" w:rsidR="00964B88" w:rsidRPr="003507D8"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3507D8">
              <w:rPr>
                <w:rFonts w:eastAsiaTheme="minorEastAsia" w:cstheme="majorHAnsi"/>
                <w:iCs/>
                <w:color w:val="FFFFFF"/>
                <w:szCs w:val="20"/>
                <w:lang w:eastAsia="en-AU"/>
              </w:rPr>
              <w:t>2020-21</w:t>
            </w:r>
          </w:p>
        </w:tc>
        <w:tc>
          <w:tcPr>
            <w:tcW w:w="850" w:type="dxa"/>
            <w:tcBorders>
              <w:top w:val="single" w:sz="6" w:space="0" w:color="auto"/>
              <w:left w:val="nil"/>
              <w:bottom w:val="single" w:sz="6" w:space="0" w:color="auto"/>
              <w:right w:val="nil"/>
            </w:tcBorders>
            <w:shd w:val="solid" w:color="000000" w:fill="auto"/>
          </w:tcPr>
          <w:p w14:paraId="254D6456" w14:textId="77777777" w:rsidR="00964B88" w:rsidRPr="003507D8"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3507D8">
              <w:rPr>
                <w:rFonts w:eastAsiaTheme="minorEastAsia" w:cstheme="majorHAnsi"/>
                <w:iCs/>
                <w:color w:val="FFFFFF"/>
                <w:szCs w:val="20"/>
                <w:lang w:eastAsia="en-AU"/>
              </w:rPr>
              <w:t>2021-22</w:t>
            </w:r>
          </w:p>
        </w:tc>
        <w:tc>
          <w:tcPr>
            <w:tcW w:w="850" w:type="dxa"/>
            <w:tcBorders>
              <w:top w:val="single" w:sz="6" w:space="0" w:color="auto"/>
              <w:left w:val="nil"/>
              <w:bottom w:val="single" w:sz="6" w:space="0" w:color="auto"/>
              <w:right w:val="nil"/>
            </w:tcBorders>
            <w:shd w:val="solid" w:color="000000" w:fill="auto"/>
          </w:tcPr>
          <w:p w14:paraId="250F03E5" w14:textId="77777777" w:rsidR="00964B88" w:rsidRPr="003507D8"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3507D8">
              <w:rPr>
                <w:rFonts w:eastAsiaTheme="minorEastAsia" w:cstheme="majorHAnsi"/>
                <w:iCs/>
                <w:color w:val="FFFFFF"/>
                <w:szCs w:val="20"/>
                <w:lang w:eastAsia="en-AU"/>
              </w:rPr>
              <w:t>2022-23</w:t>
            </w:r>
          </w:p>
        </w:tc>
        <w:tc>
          <w:tcPr>
            <w:tcW w:w="850" w:type="dxa"/>
            <w:tcBorders>
              <w:top w:val="single" w:sz="6" w:space="0" w:color="auto"/>
              <w:left w:val="nil"/>
              <w:bottom w:val="single" w:sz="6" w:space="0" w:color="auto"/>
              <w:right w:val="nil"/>
            </w:tcBorders>
            <w:shd w:val="solid" w:color="000000" w:fill="auto"/>
          </w:tcPr>
          <w:p w14:paraId="4C153B10" w14:textId="77777777" w:rsidR="00964B88" w:rsidRPr="003507D8"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3507D8">
              <w:rPr>
                <w:rFonts w:eastAsiaTheme="minorEastAsia" w:cstheme="majorHAnsi"/>
                <w:iCs/>
                <w:color w:val="FFFFFF"/>
                <w:szCs w:val="20"/>
                <w:lang w:eastAsia="en-AU"/>
              </w:rPr>
              <w:t>TEI</w:t>
            </w:r>
          </w:p>
        </w:tc>
      </w:tr>
      <w:tr w:rsidR="00964B88" w:rsidRPr="003507D8" w14:paraId="4A289042" w14:textId="77777777" w:rsidTr="00F5382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14:paraId="20A8D553" w14:textId="77777777" w:rsidR="00964B88" w:rsidRPr="00A727EE" w:rsidRDefault="00964B88" w:rsidP="00F53820">
            <w:pPr>
              <w:keepLines w:val="0"/>
              <w:autoSpaceDE w:val="0"/>
              <w:autoSpaceDN w:val="0"/>
              <w:adjustRightInd w:val="0"/>
              <w:rPr>
                <w:rFonts w:eastAsiaTheme="minorEastAsia" w:cstheme="majorHAnsi"/>
                <w:color w:val="000000"/>
                <w:szCs w:val="20"/>
                <w:vertAlign w:val="superscript"/>
                <w:lang w:eastAsia="en-AU"/>
              </w:rPr>
            </w:pPr>
            <w:r w:rsidRPr="003507D8">
              <w:rPr>
                <w:rFonts w:eastAsiaTheme="minorEastAsia" w:cstheme="majorHAnsi"/>
                <w:color w:val="000000"/>
                <w:szCs w:val="20"/>
                <w:lang w:eastAsia="en-AU"/>
              </w:rPr>
              <w:t>Echuca-Moama Bridge Project</w:t>
            </w:r>
            <w:r>
              <w:rPr>
                <w:rFonts w:eastAsiaTheme="minorEastAsia" w:cstheme="majorHAnsi"/>
                <w:color w:val="000000"/>
                <w:szCs w:val="20"/>
                <w:lang w:eastAsia="en-AU"/>
              </w:rPr>
              <w:t xml:space="preserve"> </w:t>
            </w:r>
            <w:r>
              <w:rPr>
                <w:rFonts w:eastAsiaTheme="minorEastAsia" w:cstheme="majorHAnsi"/>
                <w:color w:val="000000"/>
                <w:szCs w:val="20"/>
                <w:vertAlign w:val="superscript"/>
                <w:lang w:eastAsia="en-AU"/>
              </w:rPr>
              <w:t>(a)</w:t>
            </w:r>
          </w:p>
        </w:tc>
        <w:tc>
          <w:tcPr>
            <w:tcW w:w="850" w:type="dxa"/>
            <w:tcBorders>
              <w:top w:val="nil"/>
              <w:left w:val="nil"/>
              <w:bottom w:val="nil"/>
              <w:right w:val="nil"/>
            </w:tcBorders>
          </w:tcPr>
          <w:p w14:paraId="080CA2E7"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w:t>
            </w:r>
          </w:p>
        </w:tc>
        <w:tc>
          <w:tcPr>
            <w:tcW w:w="850" w:type="dxa"/>
            <w:tcBorders>
              <w:top w:val="nil"/>
              <w:left w:val="nil"/>
              <w:bottom w:val="nil"/>
              <w:right w:val="nil"/>
            </w:tcBorders>
          </w:tcPr>
          <w:p w14:paraId="67D231E9"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w:t>
            </w:r>
          </w:p>
        </w:tc>
        <w:tc>
          <w:tcPr>
            <w:tcW w:w="850" w:type="dxa"/>
            <w:tcBorders>
              <w:top w:val="nil"/>
              <w:left w:val="nil"/>
              <w:bottom w:val="nil"/>
              <w:right w:val="nil"/>
            </w:tcBorders>
          </w:tcPr>
          <w:p w14:paraId="05D1A81E"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30.0</w:t>
            </w:r>
          </w:p>
        </w:tc>
        <w:tc>
          <w:tcPr>
            <w:tcW w:w="850" w:type="dxa"/>
            <w:tcBorders>
              <w:top w:val="nil"/>
              <w:left w:val="nil"/>
              <w:bottom w:val="nil"/>
              <w:right w:val="nil"/>
            </w:tcBorders>
          </w:tcPr>
          <w:p w14:paraId="572B2CA9"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13.7</w:t>
            </w:r>
          </w:p>
        </w:tc>
        <w:tc>
          <w:tcPr>
            <w:tcW w:w="850" w:type="dxa"/>
            <w:tcBorders>
              <w:top w:val="nil"/>
              <w:left w:val="nil"/>
              <w:bottom w:val="nil"/>
              <w:right w:val="nil"/>
            </w:tcBorders>
          </w:tcPr>
          <w:p w14:paraId="2E5D3E37"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43.7</w:t>
            </w:r>
          </w:p>
        </w:tc>
      </w:tr>
      <w:tr w:rsidR="00964B88" w:rsidRPr="003507D8" w14:paraId="742FFAC0" w14:textId="77777777" w:rsidTr="00F5382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14:paraId="11330A5F" w14:textId="77777777" w:rsidR="00964B88" w:rsidRPr="003507D8" w:rsidRDefault="00964B88" w:rsidP="00F53820">
            <w:pPr>
              <w:keepLines w:val="0"/>
              <w:autoSpaceDE w:val="0"/>
              <w:autoSpaceDN w:val="0"/>
              <w:adjustRightInd w:val="0"/>
              <w:rPr>
                <w:rFonts w:eastAsiaTheme="minorEastAsia" w:cstheme="majorHAnsi"/>
                <w:color w:val="000000"/>
                <w:szCs w:val="20"/>
                <w:lang w:eastAsia="en-AU"/>
              </w:rPr>
            </w:pPr>
            <w:r w:rsidRPr="003507D8">
              <w:rPr>
                <w:rFonts w:eastAsiaTheme="minorEastAsia" w:cstheme="majorHAnsi"/>
                <w:color w:val="000000"/>
                <w:szCs w:val="20"/>
                <w:lang w:eastAsia="en-AU"/>
              </w:rPr>
              <w:t>Improving the South Gippsland Highway</w:t>
            </w:r>
            <w:r>
              <w:rPr>
                <w:rFonts w:eastAsiaTheme="minorEastAsia" w:cstheme="majorHAnsi"/>
                <w:color w:val="000000"/>
                <w:szCs w:val="20"/>
                <w:lang w:eastAsia="en-AU"/>
              </w:rPr>
              <w:t xml:space="preserve"> </w:t>
            </w:r>
            <w:r>
              <w:rPr>
                <w:rFonts w:eastAsiaTheme="minorEastAsia" w:cstheme="majorHAnsi"/>
                <w:color w:val="000000"/>
                <w:szCs w:val="20"/>
                <w:vertAlign w:val="superscript"/>
                <w:lang w:eastAsia="en-AU"/>
              </w:rPr>
              <w:t>(a)</w:t>
            </w:r>
          </w:p>
        </w:tc>
        <w:tc>
          <w:tcPr>
            <w:tcW w:w="850" w:type="dxa"/>
            <w:tcBorders>
              <w:top w:val="nil"/>
              <w:left w:val="nil"/>
              <w:bottom w:val="nil"/>
              <w:right w:val="nil"/>
            </w:tcBorders>
          </w:tcPr>
          <w:p w14:paraId="6E21A28B"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11.6</w:t>
            </w:r>
          </w:p>
        </w:tc>
        <w:tc>
          <w:tcPr>
            <w:tcW w:w="850" w:type="dxa"/>
            <w:tcBorders>
              <w:top w:val="nil"/>
              <w:left w:val="nil"/>
              <w:bottom w:val="nil"/>
              <w:right w:val="nil"/>
            </w:tcBorders>
          </w:tcPr>
          <w:p w14:paraId="1B65AC01"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37.9</w:t>
            </w:r>
          </w:p>
        </w:tc>
        <w:tc>
          <w:tcPr>
            <w:tcW w:w="850" w:type="dxa"/>
            <w:tcBorders>
              <w:top w:val="nil"/>
              <w:left w:val="nil"/>
              <w:bottom w:val="nil"/>
              <w:right w:val="nil"/>
            </w:tcBorders>
          </w:tcPr>
          <w:p w14:paraId="26845F6F"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15.6</w:t>
            </w:r>
          </w:p>
        </w:tc>
        <w:tc>
          <w:tcPr>
            <w:tcW w:w="850" w:type="dxa"/>
            <w:tcBorders>
              <w:top w:val="nil"/>
              <w:left w:val="nil"/>
              <w:bottom w:val="nil"/>
              <w:right w:val="nil"/>
            </w:tcBorders>
          </w:tcPr>
          <w:p w14:paraId="3F4DDA39"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w:t>
            </w:r>
          </w:p>
        </w:tc>
        <w:tc>
          <w:tcPr>
            <w:tcW w:w="850" w:type="dxa"/>
            <w:tcBorders>
              <w:top w:val="nil"/>
              <w:left w:val="nil"/>
              <w:bottom w:val="nil"/>
              <w:right w:val="nil"/>
            </w:tcBorders>
          </w:tcPr>
          <w:p w14:paraId="28B99FB0"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65.1</w:t>
            </w:r>
          </w:p>
        </w:tc>
      </w:tr>
      <w:tr w:rsidR="00964B88" w:rsidRPr="003507D8" w14:paraId="344E03DD" w14:textId="77777777" w:rsidTr="00F5382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14:paraId="6FB39374" w14:textId="77777777" w:rsidR="00964B88" w:rsidRPr="003507D8" w:rsidRDefault="00964B88" w:rsidP="00F53820">
            <w:pPr>
              <w:keepLines w:val="0"/>
              <w:autoSpaceDE w:val="0"/>
              <w:autoSpaceDN w:val="0"/>
              <w:adjustRightInd w:val="0"/>
              <w:rPr>
                <w:rFonts w:eastAsiaTheme="minorEastAsia" w:cstheme="majorHAnsi"/>
                <w:color w:val="000000"/>
                <w:szCs w:val="20"/>
                <w:lang w:eastAsia="en-AU"/>
              </w:rPr>
            </w:pPr>
            <w:r w:rsidRPr="003507D8">
              <w:rPr>
                <w:rFonts w:eastAsiaTheme="minorEastAsia" w:cstheme="majorHAnsi"/>
                <w:color w:val="000000"/>
                <w:szCs w:val="20"/>
                <w:lang w:eastAsia="en-AU"/>
              </w:rPr>
              <w:t>Monash Freeway Upgrade Stage 2</w:t>
            </w:r>
            <w:r>
              <w:rPr>
                <w:rFonts w:eastAsiaTheme="minorEastAsia" w:cstheme="majorHAnsi"/>
                <w:color w:val="000000"/>
                <w:szCs w:val="20"/>
                <w:lang w:eastAsia="en-AU"/>
              </w:rPr>
              <w:t xml:space="preserve"> </w:t>
            </w:r>
            <w:r>
              <w:rPr>
                <w:rFonts w:eastAsiaTheme="minorEastAsia" w:cstheme="majorHAnsi"/>
                <w:color w:val="000000"/>
                <w:szCs w:val="20"/>
                <w:vertAlign w:val="superscript"/>
                <w:lang w:eastAsia="en-AU"/>
              </w:rPr>
              <w:t>(a)</w:t>
            </w:r>
          </w:p>
        </w:tc>
        <w:tc>
          <w:tcPr>
            <w:tcW w:w="850" w:type="dxa"/>
            <w:tcBorders>
              <w:top w:val="nil"/>
              <w:left w:val="nil"/>
              <w:bottom w:val="nil"/>
              <w:right w:val="nil"/>
            </w:tcBorders>
          </w:tcPr>
          <w:p w14:paraId="572CC525"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w:t>
            </w:r>
          </w:p>
        </w:tc>
        <w:tc>
          <w:tcPr>
            <w:tcW w:w="850" w:type="dxa"/>
            <w:tcBorders>
              <w:top w:val="nil"/>
              <w:left w:val="nil"/>
              <w:bottom w:val="nil"/>
              <w:right w:val="nil"/>
            </w:tcBorders>
          </w:tcPr>
          <w:p w14:paraId="6B940DF5"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80.5</w:t>
            </w:r>
          </w:p>
        </w:tc>
        <w:tc>
          <w:tcPr>
            <w:tcW w:w="850" w:type="dxa"/>
            <w:tcBorders>
              <w:top w:val="nil"/>
              <w:left w:val="nil"/>
              <w:bottom w:val="nil"/>
              <w:right w:val="nil"/>
            </w:tcBorders>
          </w:tcPr>
          <w:p w14:paraId="29E850F6"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134.8</w:t>
            </w:r>
          </w:p>
        </w:tc>
        <w:tc>
          <w:tcPr>
            <w:tcW w:w="850" w:type="dxa"/>
            <w:tcBorders>
              <w:top w:val="nil"/>
              <w:left w:val="nil"/>
              <w:bottom w:val="nil"/>
              <w:right w:val="nil"/>
            </w:tcBorders>
          </w:tcPr>
          <w:p w14:paraId="5076C901"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152.2</w:t>
            </w:r>
          </w:p>
        </w:tc>
        <w:tc>
          <w:tcPr>
            <w:tcW w:w="850" w:type="dxa"/>
            <w:tcBorders>
              <w:top w:val="nil"/>
              <w:left w:val="nil"/>
              <w:bottom w:val="nil"/>
              <w:right w:val="nil"/>
            </w:tcBorders>
          </w:tcPr>
          <w:p w14:paraId="780A0AD2"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367.5</w:t>
            </w:r>
          </w:p>
        </w:tc>
      </w:tr>
      <w:tr w:rsidR="00964B88" w:rsidRPr="003507D8" w14:paraId="1A1BFD1F" w14:textId="77777777" w:rsidTr="00F5382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14:paraId="2FF70C94" w14:textId="77777777" w:rsidR="00964B88" w:rsidRPr="003507D8" w:rsidRDefault="00964B88" w:rsidP="00F53820">
            <w:pPr>
              <w:keepLines w:val="0"/>
              <w:autoSpaceDE w:val="0"/>
              <w:autoSpaceDN w:val="0"/>
              <w:adjustRightInd w:val="0"/>
              <w:rPr>
                <w:rFonts w:eastAsiaTheme="minorEastAsia" w:cstheme="majorHAnsi"/>
                <w:color w:val="000000"/>
                <w:szCs w:val="20"/>
                <w:lang w:eastAsia="en-AU"/>
              </w:rPr>
            </w:pPr>
            <w:r w:rsidRPr="003507D8">
              <w:rPr>
                <w:rFonts w:eastAsiaTheme="minorEastAsia" w:cstheme="majorHAnsi"/>
                <w:color w:val="000000"/>
                <w:szCs w:val="20"/>
                <w:lang w:eastAsia="en-AU"/>
              </w:rPr>
              <w:t>Mordialloc Freeway</w:t>
            </w:r>
          </w:p>
        </w:tc>
        <w:tc>
          <w:tcPr>
            <w:tcW w:w="850" w:type="dxa"/>
            <w:tcBorders>
              <w:top w:val="nil"/>
              <w:left w:val="nil"/>
              <w:bottom w:val="nil"/>
              <w:right w:val="nil"/>
            </w:tcBorders>
          </w:tcPr>
          <w:p w14:paraId="33AA54B2"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11.8</w:t>
            </w:r>
          </w:p>
        </w:tc>
        <w:tc>
          <w:tcPr>
            <w:tcW w:w="850" w:type="dxa"/>
            <w:tcBorders>
              <w:top w:val="nil"/>
              <w:left w:val="nil"/>
              <w:bottom w:val="nil"/>
              <w:right w:val="nil"/>
            </w:tcBorders>
          </w:tcPr>
          <w:p w14:paraId="287FFCB8"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79.9</w:t>
            </w:r>
          </w:p>
        </w:tc>
        <w:tc>
          <w:tcPr>
            <w:tcW w:w="850" w:type="dxa"/>
            <w:tcBorders>
              <w:top w:val="nil"/>
              <w:left w:val="nil"/>
              <w:bottom w:val="nil"/>
              <w:right w:val="nil"/>
            </w:tcBorders>
          </w:tcPr>
          <w:p w14:paraId="510EE055"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56.5</w:t>
            </w:r>
          </w:p>
        </w:tc>
        <w:tc>
          <w:tcPr>
            <w:tcW w:w="850" w:type="dxa"/>
            <w:tcBorders>
              <w:top w:val="nil"/>
              <w:left w:val="nil"/>
              <w:bottom w:val="nil"/>
              <w:right w:val="nil"/>
            </w:tcBorders>
          </w:tcPr>
          <w:p w14:paraId="42C0ED47"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3507D8">
              <w:rPr>
                <w:rFonts w:eastAsiaTheme="minorEastAsia" w:cstheme="majorHAnsi"/>
                <w:color w:val="000000"/>
                <w:szCs w:val="20"/>
                <w:lang w:eastAsia="en-AU"/>
              </w:rPr>
              <w:t>..</w:t>
            </w:r>
          </w:p>
        </w:tc>
        <w:tc>
          <w:tcPr>
            <w:tcW w:w="850" w:type="dxa"/>
            <w:tcBorders>
              <w:top w:val="nil"/>
              <w:left w:val="nil"/>
              <w:bottom w:val="nil"/>
              <w:right w:val="nil"/>
            </w:tcBorders>
          </w:tcPr>
          <w:p w14:paraId="7E5B92CF" w14:textId="77777777" w:rsidR="00964B88" w:rsidRPr="003507D8"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3507D8">
              <w:rPr>
                <w:rFonts w:eastAsiaTheme="minorEastAsia" w:cstheme="majorHAnsi"/>
                <w:color w:val="000000"/>
                <w:szCs w:val="20"/>
                <w:lang w:eastAsia="en-AU"/>
              </w:rPr>
              <w:t>148.2</w:t>
            </w:r>
          </w:p>
        </w:tc>
      </w:tr>
      <w:tr w:rsidR="00964B88" w:rsidRPr="003507D8" w14:paraId="4CEE78F9"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14:paraId="3ECA53B8" w14:textId="77777777" w:rsidR="00964B88" w:rsidRPr="003507D8" w:rsidRDefault="00964B88" w:rsidP="00F53820">
            <w:pPr>
              <w:keepLines w:val="0"/>
              <w:autoSpaceDE w:val="0"/>
              <w:autoSpaceDN w:val="0"/>
              <w:adjustRightInd w:val="0"/>
              <w:rPr>
                <w:rFonts w:eastAsiaTheme="minorEastAsia" w:cstheme="majorHAnsi"/>
                <w:bCs/>
                <w:color w:val="000000"/>
                <w:szCs w:val="20"/>
                <w:lang w:eastAsia="en-AU"/>
              </w:rPr>
            </w:pPr>
            <w:r w:rsidRPr="003507D8">
              <w:rPr>
                <w:rFonts w:eastAsiaTheme="minorEastAsia" w:cstheme="majorHAnsi"/>
                <w:bCs/>
                <w:color w:val="000000"/>
                <w:szCs w:val="20"/>
                <w:lang w:eastAsia="en-AU"/>
              </w:rPr>
              <w:t>Total asset initiatives</w:t>
            </w:r>
          </w:p>
        </w:tc>
        <w:tc>
          <w:tcPr>
            <w:tcW w:w="850" w:type="dxa"/>
            <w:tcBorders>
              <w:top w:val="single" w:sz="6" w:space="0" w:color="auto"/>
              <w:bottom w:val="single" w:sz="12" w:space="0" w:color="auto"/>
            </w:tcBorders>
          </w:tcPr>
          <w:p w14:paraId="72FAA24A" w14:textId="77777777" w:rsidR="00964B88" w:rsidRPr="003507D8"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20"/>
                <w:lang w:eastAsia="en-AU"/>
              </w:rPr>
            </w:pPr>
            <w:r w:rsidRPr="003507D8">
              <w:rPr>
                <w:rFonts w:eastAsiaTheme="minorEastAsia" w:cstheme="majorHAnsi"/>
                <w:bCs/>
                <w:color w:val="000000"/>
                <w:szCs w:val="20"/>
                <w:lang w:eastAsia="en-AU"/>
              </w:rPr>
              <w:t>23.4</w:t>
            </w:r>
          </w:p>
        </w:tc>
        <w:tc>
          <w:tcPr>
            <w:tcW w:w="850" w:type="dxa"/>
            <w:tcBorders>
              <w:top w:val="single" w:sz="6" w:space="0" w:color="auto"/>
              <w:bottom w:val="single" w:sz="12" w:space="0" w:color="auto"/>
            </w:tcBorders>
          </w:tcPr>
          <w:p w14:paraId="1430F908" w14:textId="77777777" w:rsidR="00964B88" w:rsidRPr="003507D8"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3507D8">
              <w:rPr>
                <w:rFonts w:eastAsiaTheme="minorEastAsia" w:cstheme="majorHAnsi"/>
                <w:bCs/>
                <w:color w:val="000000"/>
                <w:szCs w:val="20"/>
                <w:lang w:eastAsia="en-AU"/>
              </w:rPr>
              <w:t>198.3</w:t>
            </w:r>
          </w:p>
        </w:tc>
        <w:tc>
          <w:tcPr>
            <w:tcW w:w="850" w:type="dxa"/>
            <w:tcBorders>
              <w:top w:val="single" w:sz="6" w:space="0" w:color="auto"/>
              <w:bottom w:val="single" w:sz="12" w:space="0" w:color="auto"/>
            </w:tcBorders>
          </w:tcPr>
          <w:p w14:paraId="35CE5D08" w14:textId="77777777" w:rsidR="00964B88" w:rsidRPr="003507D8"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3507D8">
              <w:rPr>
                <w:rFonts w:eastAsiaTheme="minorEastAsia" w:cstheme="majorHAnsi"/>
                <w:bCs/>
                <w:color w:val="000000"/>
                <w:szCs w:val="20"/>
                <w:lang w:eastAsia="en-AU"/>
              </w:rPr>
              <w:t>236.9</w:t>
            </w:r>
          </w:p>
        </w:tc>
        <w:tc>
          <w:tcPr>
            <w:tcW w:w="850" w:type="dxa"/>
            <w:tcBorders>
              <w:top w:val="single" w:sz="6" w:space="0" w:color="auto"/>
              <w:bottom w:val="single" w:sz="12" w:space="0" w:color="auto"/>
            </w:tcBorders>
          </w:tcPr>
          <w:p w14:paraId="48D3CD6E" w14:textId="77777777" w:rsidR="00964B88" w:rsidRPr="003507D8"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3507D8">
              <w:rPr>
                <w:rFonts w:eastAsiaTheme="minorEastAsia" w:cstheme="majorHAnsi"/>
                <w:bCs/>
                <w:color w:val="000000"/>
                <w:szCs w:val="20"/>
                <w:lang w:eastAsia="en-AU"/>
              </w:rPr>
              <w:t>165.9</w:t>
            </w:r>
          </w:p>
        </w:tc>
        <w:tc>
          <w:tcPr>
            <w:tcW w:w="850" w:type="dxa"/>
            <w:tcBorders>
              <w:top w:val="single" w:sz="6" w:space="0" w:color="auto"/>
              <w:bottom w:val="single" w:sz="12" w:space="0" w:color="auto"/>
            </w:tcBorders>
          </w:tcPr>
          <w:p w14:paraId="007CC06B" w14:textId="77777777" w:rsidR="00964B88" w:rsidRPr="003507D8"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3507D8">
              <w:rPr>
                <w:rFonts w:eastAsiaTheme="minorEastAsia" w:cstheme="majorHAnsi"/>
                <w:bCs/>
                <w:color w:val="000000"/>
                <w:szCs w:val="20"/>
                <w:lang w:eastAsia="en-AU"/>
              </w:rPr>
              <w:t>624.5</w:t>
            </w:r>
          </w:p>
        </w:tc>
      </w:tr>
    </w:tbl>
    <w:p w14:paraId="73A3D9D2" w14:textId="77777777" w:rsidR="00964B88" w:rsidRDefault="00964B88" w:rsidP="00F53820">
      <w:pPr>
        <w:pStyle w:val="Note"/>
      </w:pPr>
      <w:r>
        <w:t>Note:</w:t>
      </w:r>
    </w:p>
    <w:p w14:paraId="6FE85222" w14:textId="77777777" w:rsidR="00964B88" w:rsidRDefault="00964B88" w:rsidP="00F53820">
      <w:pPr>
        <w:pStyle w:val="Note"/>
      </w:pPr>
      <w:r>
        <w:t xml:space="preserve">(a) </w:t>
      </w:r>
      <w:r>
        <w:tab/>
        <w:t>This project includes Commonwealth funding.</w:t>
      </w:r>
    </w:p>
    <w:p w14:paraId="3EA3E481" w14:textId="77777777" w:rsidR="00964B88" w:rsidRPr="00F617B9" w:rsidRDefault="00964B88" w:rsidP="00F53820">
      <w:pPr>
        <w:pStyle w:val="Heading30"/>
        <w:rPr>
          <w:lang w:val="en-US" w:eastAsia="en-AU"/>
        </w:rPr>
      </w:pPr>
      <w:r w:rsidRPr="00F617B9">
        <w:rPr>
          <w:lang w:val="en-US" w:eastAsia="en-AU"/>
        </w:rPr>
        <w:t>Echuca-Moama Bridge Project</w:t>
      </w:r>
    </w:p>
    <w:p w14:paraId="3081EFF9" w14:textId="77777777" w:rsidR="00964B88" w:rsidRPr="00F617B9" w:rsidRDefault="00964B88" w:rsidP="00F53820">
      <w:pPr>
        <w:rPr>
          <w:lang w:val="en-US" w:eastAsia="en-AU"/>
        </w:rPr>
      </w:pPr>
      <w:r>
        <w:rPr>
          <w:lang w:val="en-US" w:eastAsia="en-AU"/>
        </w:rPr>
        <w:t>Funding will be provided to complete construction of</w:t>
      </w:r>
      <w:r w:rsidRPr="00F617B9">
        <w:rPr>
          <w:lang w:val="en-US" w:eastAsia="en-AU"/>
        </w:rPr>
        <w:t xml:space="preserve"> a second river crossing over the Murray River, a new crossing over the Campaspe River, and road and intersection upgrades connecting Echuca and Moama. The construction works will be undertaken in partnership with the New South Wales </w:t>
      </w:r>
      <w:r>
        <w:rPr>
          <w:lang w:val="en-US" w:eastAsia="en-AU"/>
        </w:rPr>
        <w:t>Government</w:t>
      </w:r>
      <w:r w:rsidRPr="00F617B9">
        <w:rPr>
          <w:lang w:val="en-US" w:eastAsia="en-AU"/>
        </w:rPr>
        <w:t xml:space="preserve">. Additional funding </w:t>
      </w:r>
      <w:r>
        <w:rPr>
          <w:lang w:val="en-US" w:eastAsia="en-AU"/>
        </w:rPr>
        <w:t>will be</w:t>
      </w:r>
      <w:r w:rsidRPr="00F617B9">
        <w:rPr>
          <w:lang w:val="en-US" w:eastAsia="en-AU"/>
        </w:rPr>
        <w:t xml:space="preserve"> provided to enhance the standard of the bridges in accordance with the </w:t>
      </w:r>
      <w:r>
        <w:rPr>
          <w:lang w:val="en-US" w:eastAsia="en-AU"/>
        </w:rPr>
        <w:t>high quality design</w:t>
      </w:r>
      <w:r w:rsidRPr="00F617B9">
        <w:rPr>
          <w:lang w:val="en-US" w:eastAsia="en-AU"/>
        </w:rPr>
        <w:t xml:space="preserve"> </w:t>
      </w:r>
      <w:r>
        <w:rPr>
          <w:lang w:val="en-US" w:eastAsia="en-AU"/>
        </w:rPr>
        <w:t>outcome</w:t>
      </w:r>
      <w:r w:rsidRPr="00F617B9">
        <w:rPr>
          <w:lang w:val="en-US" w:eastAsia="en-AU"/>
        </w:rPr>
        <w:t xml:space="preserve"> required </w:t>
      </w:r>
      <w:r>
        <w:rPr>
          <w:lang w:val="en-US" w:eastAsia="en-AU"/>
        </w:rPr>
        <w:t>to comply with</w:t>
      </w:r>
      <w:r w:rsidRPr="00F617B9">
        <w:rPr>
          <w:lang w:val="en-US" w:eastAsia="en-AU"/>
        </w:rPr>
        <w:t xml:space="preserve"> the Environment Effects Statement.</w:t>
      </w:r>
    </w:p>
    <w:p w14:paraId="03DFE566" w14:textId="77777777" w:rsidR="00964B88" w:rsidRPr="00F617B9" w:rsidRDefault="00964B88" w:rsidP="00F53820">
      <w:pPr>
        <w:rPr>
          <w:highlight w:val="yellow"/>
          <w:lang w:val="en-US" w:eastAsia="en-AU"/>
        </w:rPr>
      </w:pPr>
      <w:r w:rsidRPr="00F617B9">
        <w:rPr>
          <w:lang w:val="en-US" w:eastAsia="en-AU"/>
        </w:rPr>
        <w:t>This initiative contributes to the Department of Transport’s Road Operations output.</w:t>
      </w:r>
    </w:p>
    <w:p w14:paraId="3F702789" w14:textId="77777777" w:rsidR="00964B88" w:rsidRPr="00F617B9" w:rsidRDefault="00964B88" w:rsidP="00F53820">
      <w:pPr>
        <w:pStyle w:val="Heading30"/>
        <w:rPr>
          <w:lang w:val="en-US" w:eastAsia="en-AU"/>
        </w:rPr>
      </w:pPr>
      <w:r w:rsidRPr="00F617B9">
        <w:rPr>
          <w:lang w:val="en-US" w:eastAsia="en-AU"/>
        </w:rPr>
        <w:t>Improving the South Gippsland Highway</w:t>
      </w:r>
    </w:p>
    <w:p w14:paraId="4CA9966C" w14:textId="77777777" w:rsidR="00964B88" w:rsidRPr="00F617B9" w:rsidRDefault="00964B88" w:rsidP="00F53820">
      <w:pPr>
        <w:rPr>
          <w:lang w:val="en-US" w:eastAsia="en-AU"/>
        </w:rPr>
      </w:pPr>
      <w:r>
        <w:rPr>
          <w:lang w:val="en-US" w:eastAsia="en-AU"/>
        </w:rPr>
        <w:t xml:space="preserve">The </w:t>
      </w:r>
      <w:r w:rsidRPr="00F617B9">
        <w:rPr>
          <w:lang w:val="en-US" w:eastAsia="en-AU"/>
        </w:rPr>
        <w:t xml:space="preserve">South Gippsland Highway </w:t>
      </w:r>
      <w:r>
        <w:rPr>
          <w:lang w:val="en-US" w:eastAsia="en-AU"/>
        </w:rPr>
        <w:t>will be</w:t>
      </w:r>
      <w:r w:rsidRPr="00F617B9">
        <w:rPr>
          <w:lang w:val="en-US" w:eastAsia="en-AU"/>
        </w:rPr>
        <w:t xml:space="preserve"> realigned between Koonawarra and Meeniyan. Additional funding </w:t>
      </w:r>
      <w:r>
        <w:rPr>
          <w:lang w:val="en-US" w:eastAsia="en-AU"/>
        </w:rPr>
        <w:t>will be</w:t>
      </w:r>
      <w:r w:rsidRPr="00F617B9">
        <w:rPr>
          <w:lang w:val="en-US" w:eastAsia="en-AU"/>
        </w:rPr>
        <w:t xml:space="preserve"> provided to deliver the full scope of the road safety upgrades including safety improvements between Meeniyan and Yarram. Project works will improve road safety and reduce travel times for freight and local road users. </w:t>
      </w:r>
    </w:p>
    <w:p w14:paraId="20FC9D67" w14:textId="77777777" w:rsidR="00964B88" w:rsidRPr="00F617B9" w:rsidRDefault="00964B88" w:rsidP="00F53820">
      <w:pPr>
        <w:rPr>
          <w:highlight w:val="yellow"/>
          <w:lang w:val="en-US" w:eastAsia="en-AU"/>
        </w:rPr>
      </w:pPr>
      <w:r w:rsidRPr="00F617B9">
        <w:rPr>
          <w:lang w:val="en-US" w:eastAsia="en-AU"/>
        </w:rPr>
        <w:t>This initiative contributes to the Department of Transport's Road Operations output.</w:t>
      </w:r>
    </w:p>
    <w:p w14:paraId="162F4F0A" w14:textId="77777777" w:rsidR="00964B88" w:rsidRPr="00F617B9" w:rsidRDefault="00964B88" w:rsidP="00F53820">
      <w:pPr>
        <w:pStyle w:val="Heading30"/>
        <w:rPr>
          <w:lang w:val="en-US" w:eastAsia="en-AU"/>
        </w:rPr>
      </w:pPr>
      <w:r w:rsidRPr="00F617B9">
        <w:rPr>
          <w:lang w:val="en-US" w:eastAsia="en-AU"/>
        </w:rPr>
        <w:t>Monash Freeway Upgrade Stage 2</w:t>
      </w:r>
    </w:p>
    <w:p w14:paraId="2FF7E536" w14:textId="77777777" w:rsidR="00964B88" w:rsidRPr="00F617B9" w:rsidRDefault="00964B88" w:rsidP="00F53820">
      <w:pPr>
        <w:rPr>
          <w:lang w:val="en-US" w:eastAsia="en-AU"/>
        </w:rPr>
      </w:pPr>
      <w:r w:rsidRPr="00F617B9">
        <w:rPr>
          <w:lang w:val="en-US" w:eastAsia="en-AU"/>
        </w:rPr>
        <w:t xml:space="preserve">Additional funding </w:t>
      </w:r>
      <w:r>
        <w:rPr>
          <w:lang w:val="en-US" w:eastAsia="en-AU"/>
        </w:rPr>
        <w:t>will be</w:t>
      </w:r>
      <w:r w:rsidRPr="00F617B9">
        <w:rPr>
          <w:lang w:val="en-US" w:eastAsia="en-AU"/>
        </w:rPr>
        <w:t xml:space="preserve"> provided to complete the second stage of the Monash Freeway upgrade, which will expand the freeway from eight to ten lanes between Springvale Road and EastLink, and from four to six lanes between Clyde Road and Cardinia Road. </w:t>
      </w:r>
    </w:p>
    <w:p w14:paraId="54211365" w14:textId="77777777" w:rsidR="00964B88" w:rsidRPr="00F617B9" w:rsidRDefault="00964B88" w:rsidP="00F53820">
      <w:pPr>
        <w:rPr>
          <w:lang w:val="en-US" w:eastAsia="en-AU"/>
        </w:rPr>
      </w:pPr>
      <w:r w:rsidRPr="00F617B9">
        <w:rPr>
          <w:lang w:val="en-US" w:eastAsia="en-AU"/>
        </w:rPr>
        <w:t xml:space="preserve">An extra 36 kilometres of new lanes will be added to the Monash Freeway along with a range of other enhancements, significantly improving safety and reducing congestion for </w:t>
      </w:r>
      <w:r>
        <w:rPr>
          <w:lang w:val="en-US" w:eastAsia="en-AU"/>
        </w:rPr>
        <w:t xml:space="preserve">the </w:t>
      </w:r>
      <w:r w:rsidRPr="00F617B9">
        <w:rPr>
          <w:lang w:val="en-US" w:eastAsia="en-AU"/>
        </w:rPr>
        <w:t xml:space="preserve">drivers making </w:t>
      </w:r>
      <w:r w:rsidRPr="006C63EE">
        <w:rPr>
          <w:lang w:val="en-US" w:eastAsia="en-AU"/>
        </w:rPr>
        <w:t>470</w:t>
      </w:r>
      <w:r>
        <w:rPr>
          <w:lang w:val="en-US" w:eastAsia="en-AU"/>
        </w:rPr>
        <w:t> </w:t>
      </w:r>
      <w:r w:rsidRPr="006C63EE">
        <w:rPr>
          <w:lang w:val="en-US" w:eastAsia="en-AU"/>
        </w:rPr>
        <w:t xml:space="preserve">000 </w:t>
      </w:r>
      <w:r w:rsidRPr="00F617B9">
        <w:rPr>
          <w:lang w:val="en-US" w:eastAsia="en-AU"/>
        </w:rPr>
        <w:t xml:space="preserve">trips on the Monash </w:t>
      </w:r>
      <w:r>
        <w:rPr>
          <w:lang w:val="en-US" w:eastAsia="en-AU"/>
        </w:rPr>
        <w:t xml:space="preserve">Freeway </w:t>
      </w:r>
      <w:r w:rsidRPr="00F617B9">
        <w:rPr>
          <w:lang w:val="en-US" w:eastAsia="en-AU"/>
        </w:rPr>
        <w:t>each day.</w:t>
      </w:r>
    </w:p>
    <w:p w14:paraId="13F1EE2C" w14:textId="77777777" w:rsidR="00964B88" w:rsidRPr="00F617B9" w:rsidRDefault="00964B88" w:rsidP="00F53820">
      <w:pPr>
        <w:rPr>
          <w:lang w:val="en-US" w:eastAsia="en-AU"/>
        </w:rPr>
      </w:pPr>
      <w:r w:rsidRPr="00F617B9">
        <w:rPr>
          <w:lang w:val="en-US" w:eastAsia="en-AU"/>
        </w:rPr>
        <w:t xml:space="preserve">This builds on the significant investment already made by the Victorian and </w:t>
      </w:r>
      <w:r>
        <w:rPr>
          <w:lang w:val="en-US" w:eastAsia="en-AU"/>
        </w:rPr>
        <w:t>Commonwealth</w:t>
      </w:r>
      <w:r w:rsidRPr="00F617B9">
        <w:rPr>
          <w:lang w:val="en-US" w:eastAsia="en-AU"/>
        </w:rPr>
        <w:t xml:space="preserve"> Governments </w:t>
      </w:r>
      <w:r>
        <w:rPr>
          <w:lang w:val="en-US" w:eastAsia="en-AU"/>
        </w:rPr>
        <w:t>on</w:t>
      </w:r>
      <w:r w:rsidRPr="00F617B9">
        <w:rPr>
          <w:lang w:val="en-US" w:eastAsia="en-AU"/>
        </w:rPr>
        <w:t xml:space="preserve"> the Monash Freeway upgrade project.</w:t>
      </w:r>
    </w:p>
    <w:p w14:paraId="434AD7B7" w14:textId="77777777" w:rsidR="00964B88" w:rsidRPr="00F617B9" w:rsidRDefault="00964B88" w:rsidP="00F53820">
      <w:pPr>
        <w:rPr>
          <w:highlight w:val="yellow"/>
          <w:lang w:val="en-US" w:eastAsia="en-AU"/>
        </w:rPr>
      </w:pPr>
      <w:r w:rsidRPr="00F617B9">
        <w:rPr>
          <w:lang w:val="en-US" w:eastAsia="en-AU"/>
        </w:rPr>
        <w:t>This initiative contributes to the Department of Transport’s Road Operations output.</w:t>
      </w:r>
    </w:p>
    <w:p w14:paraId="29425722" w14:textId="77777777" w:rsidR="00964B88" w:rsidRDefault="00964B88" w:rsidP="00F53820">
      <w:pPr>
        <w:pStyle w:val="Heading30"/>
        <w:rPr>
          <w:lang w:val="en-US" w:eastAsia="en-AU"/>
        </w:rPr>
      </w:pPr>
      <w:bookmarkStart w:id="145" w:name="_Hlk25062182"/>
      <w:r w:rsidRPr="00F617B9">
        <w:rPr>
          <w:lang w:val="en-US" w:eastAsia="en-AU"/>
        </w:rPr>
        <w:lastRenderedPageBreak/>
        <w:t>Mordialloc Freeway</w:t>
      </w:r>
    </w:p>
    <w:p w14:paraId="71156A0C" w14:textId="77777777" w:rsidR="00964B88" w:rsidRPr="00F617B9" w:rsidRDefault="00964B88" w:rsidP="00F53820">
      <w:pPr>
        <w:keepLines w:val="0"/>
        <w:rPr>
          <w:lang w:val="en-US" w:eastAsia="en-AU"/>
        </w:rPr>
      </w:pPr>
      <w:r w:rsidRPr="00F617B9">
        <w:rPr>
          <w:lang w:val="en-US" w:eastAsia="en-AU"/>
        </w:rPr>
        <w:t xml:space="preserve">Additional funding </w:t>
      </w:r>
      <w:r>
        <w:rPr>
          <w:lang w:val="en-US" w:eastAsia="en-AU"/>
        </w:rPr>
        <w:t>will be</w:t>
      </w:r>
      <w:r w:rsidRPr="00F617B9">
        <w:rPr>
          <w:lang w:val="en-US" w:eastAsia="en-AU"/>
        </w:rPr>
        <w:t xml:space="preserve"> provided to deliver the full scope of the road connection and to address additional scope required as a result of the outcomes of the </w:t>
      </w:r>
      <w:r>
        <w:rPr>
          <w:lang w:val="en-US" w:eastAsia="en-AU"/>
        </w:rPr>
        <w:t>Environment Effects Statement</w:t>
      </w:r>
      <w:r w:rsidRPr="00F617B9">
        <w:rPr>
          <w:lang w:val="en-US" w:eastAsia="en-AU"/>
        </w:rPr>
        <w:t xml:space="preserve"> process, </w:t>
      </w:r>
      <w:r>
        <w:rPr>
          <w:lang w:val="en-US" w:eastAsia="en-AU"/>
        </w:rPr>
        <w:t>such as additional</w:t>
      </w:r>
      <w:r w:rsidRPr="00F617B9">
        <w:rPr>
          <w:lang w:val="en-US" w:eastAsia="en-AU"/>
        </w:rPr>
        <w:t xml:space="preserve"> noise attenuation requirements.</w:t>
      </w:r>
    </w:p>
    <w:bookmarkEnd w:id="145"/>
    <w:p w14:paraId="5D923F20" w14:textId="77777777" w:rsidR="00964B88" w:rsidRPr="00F617B9" w:rsidRDefault="00964B88" w:rsidP="00F53820">
      <w:pPr>
        <w:keepLines w:val="0"/>
        <w:rPr>
          <w:lang w:val="en-US" w:eastAsia="en-AU"/>
        </w:rPr>
      </w:pPr>
      <w:r w:rsidRPr="00F617B9">
        <w:rPr>
          <w:lang w:val="en-US" w:eastAsia="en-AU"/>
        </w:rPr>
        <w:t xml:space="preserve">The Mordialloc Freeway will connect the Mornington Peninsula Freeway at Springvale Road to the Dingley Bypass. The new link will increase the connectivity of the arterial road network and draw through traffic away from residential areas in Aspendale Gardens and Mordialloc. This will improve the local amenity in those areas as well as broader transport network efficiency in </w:t>
      </w:r>
      <w:r>
        <w:rPr>
          <w:lang w:val="en-US" w:eastAsia="en-AU"/>
        </w:rPr>
        <w:t>s</w:t>
      </w:r>
      <w:r w:rsidRPr="00F617B9">
        <w:rPr>
          <w:lang w:val="en-US" w:eastAsia="en-AU"/>
        </w:rPr>
        <w:t>outh-</w:t>
      </w:r>
      <w:r>
        <w:rPr>
          <w:lang w:val="en-US" w:eastAsia="en-AU"/>
        </w:rPr>
        <w:t>e</w:t>
      </w:r>
      <w:r w:rsidRPr="00F617B9">
        <w:rPr>
          <w:lang w:val="en-US" w:eastAsia="en-AU"/>
        </w:rPr>
        <w:t>ast Melbourne.</w:t>
      </w:r>
    </w:p>
    <w:p w14:paraId="4E8C96B3" w14:textId="77777777" w:rsidR="00964B88" w:rsidRDefault="00964B88" w:rsidP="00F53820">
      <w:pPr>
        <w:keepLines w:val="0"/>
        <w:rPr>
          <w:lang w:val="en-US" w:eastAsia="en-AU"/>
        </w:rPr>
      </w:pPr>
      <w:r w:rsidRPr="00F617B9">
        <w:rPr>
          <w:lang w:val="en-US" w:eastAsia="en-AU"/>
        </w:rPr>
        <w:t>This initiative contributes to the Department of Transport’s Road Operations output.</w:t>
      </w:r>
    </w:p>
    <w:p w14:paraId="027E3656" w14:textId="77777777" w:rsidR="00964B88" w:rsidRDefault="00964B88" w:rsidP="00F53820">
      <w:pPr>
        <w:keepLines w:val="0"/>
        <w:rPr>
          <w:lang w:val="en-US" w:eastAsia="en-AU"/>
        </w:rPr>
      </w:pPr>
      <w:r>
        <w:rPr>
          <w:lang w:val="en-US" w:eastAsia="en-AU"/>
        </w:rPr>
        <w:br w:type="page"/>
      </w:r>
    </w:p>
    <w:p w14:paraId="3EF72489" w14:textId="77777777" w:rsidR="00964B88" w:rsidRDefault="00964B88" w:rsidP="0073799D">
      <w:pPr>
        <w:pStyle w:val="Heading1Non-TOC"/>
      </w:pPr>
      <w:bookmarkStart w:id="146" w:name="_Toc500179552"/>
      <w:bookmarkStart w:id="147" w:name="_Toc500435594"/>
      <w:r>
        <w:lastRenderedPageBreak/>
        <w:t>Court Services Victoria</w:t>
      </w:r>
      <w:bookmarkEnd w:id="146"/>
      <w:bookmarkEnd w:id="147"/>
    </w:p>
    <w:p w14:paraId="2A416474" w14:textId="77777777" w:rsidR="00964B88" w:rsidRDefault="00964B88" w:rsidP="00F53820">
      <w:pPr>
        <w:pStyle w:val="Heading20"/>
        <w:rPr>
          <w:lang w:eastAsia="en-AU"/>
        </w:rPr>
      </w:pPr>
      <w:r>
        <w:rPr>
          <w:lang w:eastAsia="en-AU"/>
        </w:rPr>
        <w:t>Output initiatives</w:t>
      </w:r>
    </w:p>
    <w:p w14:paraId="29B787F7" w14:textId="77777777" w:rsidR="00964B88" w:rsidRDefault="00964B88" w:rsidP="00F53820">
      <w:pPr>
        <w:pStyle w:val="TableHeading"/>
        <w:rPr>
          <w:rFonts w:asciiTheme="minorHAnsi" w:hAnsiTheme="minorHAnsi"/>
          <w:bCs/>
          <w:szCs w:val="22"/>
        </w:rPr>
      </w:pPr>
      <w:r>
        <w:rPr>
          <w:lang w:eastAsia="en-AU"/>
        </w:rPr>
        <w:t>Table A.10:</w:t>
      </w:r>
      <w:r>
        <w:rPr>
          <w:lang w:eastAsia="en-AU"/>
        </w:rPr>
        <w:tab/>
        <w:t>Output initiatives – Court Services Victoria</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964B88" w:rsidRPr="001D5F3C" w14:paraId="2B8C0081" w14:textId="77777777" w:rsidTr="00F5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14:paraId="00E7CFB3" w14:textId="77777777" w:rsidR="00964B88" w:rsidRPr="001D5F3C" w:rsidRDefault="00964B88" w:rsidP="00F53820">
            <w:pPr>
              <w:autoSpaceDE w:val="0"/>
              <w:autoSpaceDN w:val="0"/>
              <w:adjustRightInd w:val="0"/>
              <w:rPr>
                <w:rFonts w:eastAsiaTheme="minorEastAsia" w:cstheme="majorHAnsi"/>
                <w:color w:val="FFFFFF"/>
                <w:szCs w:val="20"/>
                <w:lang w:eastAsia="en-AU"/>
              </w:rPr>
            </w:pPr>
            <w:r w:rsidRPr="001D5F3C">
              <w:rPr>
                <w:rFonts w:eastAsiaTheme="minorEastAsia" w:cstheme="majorHAnsi"/>
                <w:color w:val="FFFFFF"/>
                <w:szCs w:val="20"/>
                <w:lang w:eastAsia="en-AU"/>
              </w:rPr>
              <w:t xml:space="preserve"> </w:t>
            </w:r>
          </w:p>
        </w:tc>
        <w:tc>
          <w:tcPr>
            <w:tcW w:w="850" w:type="dxa"/>
            <w:tcBorders>
              <w:top w:val="nil"/>
              <w:left w:val="nil"/>
              <w:bottom w:val="nil"/>
              <w:right w:val="nil"/>
            </w:tcBorders>
            <w:shd w:val="solid" w:color="000000" w:fill="auto"/>
          </w:tcPr>
          <w:p w14:paraId="5817A5A5"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2019-20</w:t>
            </w:r>
          </w:p>
        </w:tc>
        <w:tc>
          <w:tcPr>
            <w:tcW w:w="850" w:type="dxa"/>
            <w:tcBorders>
              <w:top w:val="nil"/>
              <w:left w:val="nil"/>
              <w:bottom w:val="nil"/>
              <w:right w:val="nil"/>
            </w:tcBorders>
            <w:shd w:val="solid" w:color="000000" w:fill="auto"/>
          </w:tcPr>
          <w:p w14:paraId="1E3A9DCF"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2020-21</w:t>
            </w:r>
          </w:p>
        </w:tc>
        <w:tc>
          <w:tcPr>
            <w:tcW w:w="850" w:type="dxa"/>
            <w:tcBorders>
              <w:top w:val="nil"/>
              <w:left w:val="nil"/>
              <w:bottom w:val="nil"/>
              <w:right w:val="nil"/>
            </w:tcBorders>
            <w:shd w:val="solid" w:color="000000" w:fill="auto"/>
          </w:tcPr>
          <w:p w14:paraId="49C4DE99"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2021-22</w:t>
            </w:r>
          </w:p>
        </w:tc>
        <w:tc>
          <w:tcPr>
            <w:tcW w:w="850" w:type="dxa"/>
            <w:tcBorders>
              <w:top w:val="nil"/>
              <w:left w:val="nil"/>
              <w:bottom w:val="nil"/>
              <w:right w:val="nil"/>
            </w:tcBorders>
            <w:shd w:val="solid" w:color="000000" w:fill="auto"/>
          </w:tcPr>
          <w:p w14:paraId="209C699A" w14:textId="77777777" w:rsidR="00964B88" w:rsidRPr="001D5F3C" w:rsidRDefault="00964B88" w:rsidP="00F5382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color w:val="FFFFFF"/>
                <w:szCs w:val="20"/>
                <w:lang w:eastAsia="en-AU"/>
              </w:rPr>
            </w:pPr>
            <w:r w:rsidRPr="001D5F3C">
              <w:rPr>
                <w:rFonts w:eastAsiaTheme="minorEastAsia" w:cstheme="majorHAnsi"/>
                <w:iCs/>
                <w:color w:val="FFFFFF"/>
                <w:szCs w:val="20"/>
                <w:lang w:eastAsia="en-AU"/>
              </w:rPr>
              <w:t>2022-23</w:t>
            </w:r>
          </w:p>
        </w:tc>
      </w:tr>
      <w:tr w:rsidR="00964B88" w:rsidRPr="001D5F3C" w14:paraId="5A6A0830"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14:paraId="34FC1A3F" w14:textId="77777777" w:rsidR="00964B88" w:rsidRPr="001D5F3C" w:rsidRDefault="00964B88" w:rsidP="00F53820">
            <w:pPr>
              <w:keepLines w:val="0"/>
              <w:autoSpaceDE w:val="0"/>
              <w:autoSpaceDN w:val="0"/>
              <w:adjustRightInd w:val="0"/>
              <w:rPr>
                <w:rFonts w:eastAsiaTheme="minorEastAsia" w:cstheme="majorHAnsi"/>
                <w:color w:val="000000"/>
                <w:szCs w:val="20"/>
                <w:lang w:eastAsia="en-AU"/>
              </w:rPr>
            </w:pPr>
            <w:r w:rsidRPr="001D5F3C">
              <w:rPr>
                <w:rFonts w:eastAsiaTheme="minorEastAsia" w:cstheme="majorHAnsi"/>
                <w:color w:val="000000"/>
                <w:szCs w:val="20"/>
                <w:lang w:eastAsia="en-AU"/>
              </w:rPr>
              <w:t>Judicial Commission of Victoria</w:t>
            </w:r>
          </w:p>
        </w:tc>
        <w:tc>
          <w:tcPr>
            <w:tcW w:w="850" w:type="dxa"/>
            <w:tcBorders>
              <w:top w:val="nil"/>
              <w:left w:val="nil"/>
              <w:bottom w:val="nil"/>
              <w:right w:val="nil"/>
            </w:tcBorders>
          </w:tcPr>
          <w:p w14:paraId="4687C45E"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1.7</w:t>
            </w:r>
          </w:p>
        </w:tc>
        <w:tc>
          <w:tcPr>
            <w:tcW w:w="850" w:type="dxa"/>
            <w:tcBorders>
              <w:top w:val="nil"/>
              <w:left w:val="nil"/>
              <w:bottom w:val="nil"/>
              <w:right w:val="nil"/>
            </w:tcBorders>
          </w:tcPr>
          <w:p w14:paraId="6185300D"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w:t>
            </w:r>
          </w:p>
        </w:tc>
        <w:tc>
          <w:tcPr>
            <w:tcW w:w="850" w:type="dxa"/>
            <w:tcBorders>
              <w:top w:val="nil"/>
              <w:left w:val="nil"/>
              <w:bottom w:val="nil"/>
              <w:right w:val="nil"/>
            </w:tcBorders>
          </w:tcPr>
          <w:p w14:paraId="4D913DC3"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w:t>
            </w:r>
          </w:p>
        </w:tc>
        <w:tc>
          <w:tcPr>
            <w:tcW w:w="850" w:type="dxa"/>
            <w:tcBorders>
              <w:top w:val="nil"/>
              <w:left w:val="nil"/>
              <w:bottom w:val="nil"/>
              <w:right w:val="nil"/>
            </w:tcBorders>
          </w:tcPr>
          <w:p w14:paraId="57FB2FEA" w14:textId="77777777" w:rsidR="00964B88" w:rsidRPr="001D5F3C"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1D5F3C">
              <w:rPr>
                <w:rFonts w:eastAsiaTheme="minorEastAsia" w:cstheme="majorHAnsi"/>
                <w:color w:val="000000"/>
                <w:szCs w:val="20"/>
                <w:lang w:eastAsia="en-AU"/>
              </w:rPr>
              <w:t>..</w:t>
            </w:r>
          </w:p>
        </w:tc>
      </w:tr>
      <w:tr w:rsidR="00964B88" w:rsidRPr="001D5F3C" w14:paraId="4559B7C1"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14:paraId="30C8EDA8" w14:textId="77777777" w:rsidR="00964B88" w:rsidRPr="001D5F3C" w:rsidRDefault="00964B88" w:rsidP="00F53820">
            <w:pPr>
              <w:keepLines w:val="0"/>
              <w:autoSpaceDE w:val="0"/>
              <w:autoSpaceDN w:val="0"/>
              <w:adjustRightInd w:val="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Total output initiatives</w:t>
            </w:r>
          </w:p>
        </w:tc>
        <w:tc>
          <w:tcPr>
            <w:tcW w:w="850" w:type="dxa"/>
            <w:tcBorders>
              <w:top w:val="single" w:sz="6" w:space="0" w:color="auto"/>
              <w:bottom w:val="single" w:sz="12" w:space="0" w:color="auto"/>
            </w:tcBorders>
          </w:tcPr>
          <w:p w14:paraId="2752262B"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1.7</w:t>
            </w:r>
          </w:p>
        </w:tc>
        <w:tc>
          <w:tcPr>
            <w:tcW w:w="850" w:type="dxa"/>
            <w:tcBorders>
              <w:top w:val="single" w:sz="6" w:space="0" w:color="auto"/>
              <w:bottom w:val="single" w:sz="12" w:space="0" w:color="auto"/>
            </w:tcBorders>
          </w:tcPr>
          <w:p w14:paraId="158EF4D3"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c>
          <w:tcPr>
            <w:tcW w:w="850" w:type="dxa"/>
            <w:tcBorders>
              <w:top w:val="single" w:sz="6" w:space="0" w:color="auto"/>
              <w:bottom w:val="single" w:sz="12" w:space="0" w:color="auto"/>
            </w:tcBorders>
          </w:tcPr>
          <w:p w14:paraId="2852F4C8"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c>
          <w:tcPr>
            <w:tcW w:w="850" w:type="dxa"/>
            <w:tcBorders>
              <w:top w:val="single" w:sz="6" w:space="0" w:color="auto"/>
              <w:bottom w:val="single" w:sz="12" w:space="0" w:color="auto"/>
            </w:tcBorders>
          </w:tcPr>
          <w:p w14:paraId="118563FE" w14:textId="77777777" w:rsidR="00964B88" w:rsidRPr="001D5F3C" w:rsidRDefault="00964B88" w:rsidP="00F5382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20"/>
                <w:lang w:eastAsia="en-AU"/>
              </w:rPr>
            </w:pPr>
            <w:r w:rsidRPr="001D5F3C">
              <w:rPr>
                <w:rFonts w:eastAsiaTheme="minorEastAsia" w:cstheme="majorHAnsi"/>
                <w:bCs/>
                <w:color w:val="000000"/>
                <w:szCs w:val="20"/>
                <w:lang w:eastAsia="en-AU"/>
              </w:rPr>
              <w:t>..</w:t>
            </w:r>
          </w:p>
        </w:tc>
      </w:tr>
    </w:tbl>
    <w:p w14:paraId="1DEB2E99" w14:textId="77777777" w:rsidR="00964B88" w:rsidRDefault="00964B88" w:rsidP="00F53820">
      <w:pPr>
        <w:pStyle w:val="Heading30"/>
        <w:rPr>
          <w:lang w:val="en-US" w:eastAsia="en-AU"/>
        </w:rPr>
      </w:pPr>
      <w:r>
        <w:rPr>
          <w:lang w:val="en-US" w:eastAsia="en-AU"/>
        </w:rPr>
        <w:t>Judicial Commission of Victoria</w:t>
      </w:r>
    </w:p>
    <w:p w14:paraId="626761FF" w14:textId="77777777" w:rsidR="00964B88" w:rsidRDefault="00964B88" w:rsidP="00F53820">
      <w:r>
        <w:t xml:space="preserve">Funding will be provided to the Judicial Commission of Victoria to undertake investigations and other activities in line with its statutory responsibilities to maintain public confidence in Victorian courts. </w:t>
      </w:r>
    </w:p>
    <w:p w14:paraId="3327593E" w14:textId="77777777" w:rsidR="00964B88" w:rsidRPr="00D61206" w:rsidRDefault="00964B88" w:rsidP="00F53820">
      <w:r>
        <w:t xml:space="preserve">This initiative contributes to Court Services Victoria’s Courts output. </w:t>
      </w:r>
    </w:p>
    <w:p w14:paraId="07975EB1" w14:textId="77777777" w:rsidR="00964B88" w:rsidRDefault="00964B88" w:rsidP="0052294D"/>
    <w:p w14:paraId="5518647F" w14:textId="77777777" w:rsidR="005D6A22" w:rsidRDefault="005D6A22">
      <w:pPr>
        <w:keepLines w:val="0"/>
      </w:pPr>
      <w:r>
        <w:br w:type="page"/>
      </w:r>
    </w:p>
    <w:p w14:paraId="23D43ED2" w14:textId="77777777" w:rsidR="005D6A22" w:rsidRDefault="005D6A22" w:rsidP="0052294D"/>
    <w:p w14:paraId="207ABA3C" w14:textId="77777777" w:rsidR="005D6A22" w:rsidRDefault="005D6A22" w:rsidP="0052294D">
      <w:pPr>
        <w:sectPr w:rsidR="005D6A22" w:rsidSect="003951F6">
          <w:headerReference w:type="even" r:id="rId86"/>
          <w:headerReference w:type="default" r:id="rId87"/>
          <w:footerReference w:type="even" r:id="rId88"/>
          <w:footerReference w:type="default" r:id="rId89"/>
          <w:headerReference w:type="first" r:id="rId90"/>
          <w:footerReference w:type="first" r:id="rId91"/>
          <w:pgSz w:w="9979" w:h="14175" w:code="34"/>
          <w:pgMar w:top="851" w:right="1134" w:bottom="851" w:left="1134" w:header="624" w:footer="567" w:gutter="0"/>
          <w:cols w:sep="1" w:space="567"/>
          <w:docGrid w:linePitch="360"/>
        </w:sectPr>
      </w:pPr>
    </w:p>
    <w:p w14:paraId="1F474F43" w14:textId="77777777" w:rsidR="00964B88" w:rsidRDefault="00964B88" w:rsidP="000C43CD">
      <w:pPr>
        <w:pStyle w:val="Chapterheading"/>
      </w:pPr>
      <w:bookmarkStart w:id="148" w:name="_Toc26788552"/>
      <w:r>
        <w:lastRenderedPageBreak/>
        <w:t>Appendix B – Amendments to the 2019-20 output performance measures</w:t>
      </w:r>
      <w:bookmarkEnd w:id="148"/>
    </w:p>
    <w:p w14:paraId="0DB8916A" w14:textId="77777777" w:rsidR="00964B88" w:rsidRPr="0002410E" w:rsidRDefault="00964B88" w:rsidP="00F53820">
      <w:r w:rsidRPr="0002410E">
        <w:t xml:space="preserve">Output measures for all departments were published in Chapter 2 and Appendix A of Budget Paper No. 3 </w:t>
      </w:r>
      <w:r w:rsidRPr="0002410E">
        <w:rPr>
          <w:i/>
        </w:rPr>
        <w:t>Service Delivery</w:t>
      </w:r>
      <w:r w:rsidRPr="0002410E">
        <w:t xml:space="preserve">. The Public Accounts and Estimates Committee has completed its review of the measures which were substantially changed or proposed to be discontinued, and tabled its report in Parliament </w:t>
      </w:r>
      <w:r w:rsidRPr="00C04897">
        <w:t>on 29 October 2019. The</w:t>
      </w:r>
      <w:r w:rsidRPr="0002410E">
        <w:t xml:space="preserve"> Government will consider the Committee’s report and respond to the recommendations within the legislated timeline. All agreed changes to output performance measures will be reflected in the next budget publication.</w:t>
      </w:r>
    </w:p>
    <w:p w14:paraId="7CAF3B56" w14:textId="77777777" w:rsidR="00964B88" w:rsidRDefault="00964B88">
      <w:pPr>
        <w:keepLines w:val="0"/>
      </w:pPr>
      <w:r>
        <w:br w:type="page"/>
      </w:r>
    </w:p>
    <w:p w14:paraId="69845C68" w14:textId="77777777" w:rsidR="00964B88" w:rsidRDefault="00964B88" w:rsidP="004419CD"/>
    <w:p w14:paraId="15D9FFE3" w14:textId="77777777" w:rsidR="00964B88" w:rsidRDefault="00964B88" w:rsidP="0052294D">
      <w:pPr>
        <w:sectPr w:rsidR="00964B88" w:rsidSect="005D6A22">
          <w:headerReference w:type="even" r:id="rId92"/>
          <w:headerReference w:type="default" r:id="rId93"/>
          <w:footerReference w:type="even" r:id="rId94"/>
          <w:footerReference w:type="default" r:id="rId95"/>
          <w:headerReference w:type="first" r:id="rId96"/>
          <w:footerReference w:type="first" r:id="rId97"/>
          <w:pgSz w:w="9979" w:h="14175" w:code="9"/>
          <w:pgMar w:top="851" w:right="1134" w:bottom="851" w:left="1134" w:header="624" w:footer="567" w:gutter="0"/>
          <w:cols w:sep="1" w:space="567"/>
          <w:docGrid w:linePitch="360"/>
        </w:sectPr>
      </w:pPr>
    </w:p>
    <w:p w14:paraId="673A75D6" w14:textId="77777777" w:rsidR="00964B88" w:rsidRDefault="00964B88" w:rsidP="00F53820">
      <w:pPr>
        <w:pStyle w:val="Chapterheading"/>
      </w:pPr>
      <w:bookmarkStart w:id="149" w:name="_Toc26788553"/>
      <w:r>
        <w:lastRenderedPageBreak/>
        <w:t>Appendix C – Tax expenditures and concessions</w:t>
      </w:r>
      <w:bookmarkEnd w:id="149"/>
    </w:p>
    <w:p w14:paraId="48C792CB" w14:textId="77777777" w:rsidR="00964B88" w:rsidRPr="007A20E5" w:rsidRDefault="00964B88" w:rsidP="00F53820">
      <w:bookmarkStart w:id="150" w:name="_Toc500435597"/>
      <w:r w:rsidRPr="007A20E5">
        <w:t>Tax expenditures and concessions represent forgone revenue to the State. They take a number of different forms, for example, exemptions, benefits and incentives delivered through the tax system. Regardless of form, they preferentially benefit certain taxpayers, activities or assets compared with normal taxation treatment.</w:t>
      </w:r>
    </w:p>
    <w:p w14:paraId="2B575FD9" w14:textId="77777777" w:rsidR="00964B88" w:rsidRPr="004E2527" w:rsidRDefault="00964B88" w:rsidP="0073799D">
      <w:pPr>
        <w:pStyle w:val="Heading1Non-TOC"/>
      </w:pPr>
      <w:r w:rsidRPr="004E2527">
        <w:t>Tax expenditures</w:t>
      </w:r>
      <w:bookmarkEnd w:id="150"/>
    </w:p>
    <w:p w14:paraId="5204C319" w14:textId="77777777" w:rsidR="00964B88" w:rsidRPr="004E2527" w:rsidRDefault="00964B88" w:rsidP="00F53820">
      <w:r w:rsidRPr="004E2527">
        <w:t>Tax expenditures are estimated by taking the difference between the reduced tax paid by a person or entity receiving preferential treatment and the tax paid by taxpayers who do not receive that treatment. Benefits arising from marginal tax rates and tax-free thresholds are not considered to be tax expenditures, since they apply to all taxpayers. Accordingly, they are not included in this section.</w:t>
      </w:r>
    </w:p>
    <w:p w14:paraId="1BBD89EC" w14:textId="77777777" w:rsidR="00964B88" w:rsidRDefault="00964B88" w:rsidP="00F53820">
      <w:pPr>
        <w:ind w:right="-228"/>
      </w:pPr>
      <w:r w:rsidRPr="00EF385D">
        <w:t xml:space="preserve">Over the past decade, the State has </w:t>
      </w:r>
      <w:r w:rsidRPr="00617D1A">
        <w:t>forgone $54.</w:t>
      </w:r>
      <w:r>
        <w:t>4</w:t>
      </w:r>
      <w:r w:rsidRPr="00617D1A">
        <w:t> billion in revenue from tax expenditures. In 2019</w:t>
      </w:r>
      <w:r w:rsidRPr="00617D1A">
        <w:noBreakHyphen/>
        <w:t>20, tax expenditures are forecast to be about $9.</w:t>
      </w:r>
      <w:r>
        <w:t>5</w:t>
      </w:r>
      <w:r w:rsidRPr="00617D1A">
        <w:t> billion.</w:t>
      </w:r>
      <w:r>
        <w:t xml:space="preserve"> </w:t>
      </w:r>
    </w:p>
    <w:p w14:paraId="5160F588" w14:textId="77777777" w:rsidR="00964B88" w:rsidRDefault="00964B88" w:rsidP="00F53820">
      <w:r>
        <w:t xml:space="preserve">The tax expenditures outlined below include exemptions, reduced rates and deductions or rebates of tax for a certain type of taxpayer, activity or asset. </w:t>
      </w:r>
      <w:r w:rsidRPr="004E2527">
        <w:t>Table C.1 aggregates tax expenditure estimates by the main ta</w:t>
      </w:r>
      <w:r>
        <w:t>x categories for the period 2018-19 to 2022-23</w:t>
      </w:r>
      <w:r w:rsidRPr="004E2527">
        <w:t>. In</w:t>
      </w:r>
      <w:r>
        <w:t> </w:t>
      </w:r>
      <w:r w:rsidRPr="004E2527">
        <w:t>estimating tax expenditures, it is assumed that taxpayer behaviour is unchanged by the concession.</w:t>
      </w:r>
    </w:p>
    <w:p w14:paraId="0FB8313C" w14:textId="77777777" w:rsidR="00964B88" w:rsidRPr="000E0D1F" w:rsidRDefault="00964B88" w:rsidP="00F53820">
      <w:pPr>
        <w:pStyle w:val="TableHeading"/>
        <w:ind w:left="0" w:firstLine="0"/>
      </w:pPr>
      <w:r w:rsidRPr="00BF654B">
        <w:t xml:space="preserve">Table </w:t>
      </w:r>
      <w:r>
        <w:t>C</w:t>
      </w:r>
      <w:r w:rsidRPr="00BF654B">
        <w:t>.1:</w:t>
      </w:r>
      <w:r w:rsidRPr="00BF654B">
        <w:tab/>
        <w:t>Estimates of aggregate tax expenditures</w:t>
      </w:r>
      <w:r>
        <w:t xml:space="preserve"> </w:t>
      </w:r>
      <w:r w:rsidRPr="00BF654B">
        <w:t>by type of tax</w:t>
      </w:r>
      <w:r>
        <w:t xml:space="preserve"> </w:t>
      </w:r>
      <w:r w:rsidRPr="004E2527">
        <w:rPr>
          <w:vertAlign w:val="superscript"/>
        </w:rPr>
        <w:t>(a)</w:t>
      </w:r>
      <w:r w:rsidRPr="0060775E">
        <w:tab/>
      </w:r>
      <w:r w:rsidRPr="000573C2">
        <w:t>($</w:t>
      </w:r>
      <w:r>
        <w:t> million</w:t>
      </w:r>
      <w:r w:rsidRPr="000573C2">
        <w:t>)</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3517"/>
        <w:gridCol w:w="850"/>
        <w:gridCol w:w="850"/>
        <w:gridCol w:w="850"/>
        <w:gridCol w:w="850"/>
        <w:gridCol w:w="850"/>
      </w:tblGrid>
      <w:tr w:rsidR="00964B88" w:rsidRPr="00321654" w14:paraId="1B2443E1" w14:textId="77777777" w:rsidTr="00F538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shd w:val="solid" w:color="000000" w:fill="auto"/>
          </w:tcPr>
          <w:p w14:paraId="28458192" w14:textId="77777777" w:rsidR="00964B88" w:rsidRPr="00321654" w:rsidRDefault="00964B88" w:rsidP="00F53820">
            <w:pPr>
              <w:rPr>
                <w:rFonts w:cstheme="majorHAnsi"/>
                <w:i w:val="0"/>
                <w:lang w:eastAsia="en-AU"/>
              </w:rPr>
            </w:pPr>
            <w:r w:rsidRPr="00B344ED">
              <w:t>Description</w:t>
            </w:r>
          </w:p>
        </w:tc>
        <w:tc>
          <w:tcPr>
            <w:tcW w:w="850" w:type="dxa"/>
            <w:tcBorders>
              <w:top w:val="nil"/>
              <w:left w:val="nil"/>
              <w:bottom w:val="nil"/>
              <w:right w:val="nil"/>
            </w:tcBorders>
            <w:shd w:val="solid" w:color="000000" w:fill="auto"/>
          </w:tcPr>
          <w:p w14:paraId="0D888F6A" w14:textId="77777777" w:rsidR="00964B88" w:rsidRPr="00321654" w:rsidRDefault="00964B88" w:rsidP="00F53820">
            <w:pPr>
              <w:cnfStyle w:val="100000000000" w:firstRow="1" w:lastRow="0" w:firstColumn="0" w:lastColumn="0" w:oddVBand="0" w:evenVBand="0" w:oddHBand="0" w:evenHBand="0" w:firstRowFirstColumn="0" w:firstRowLastColumn="0" w:lastRowFirstColumn="0" w:lastRowLastColumn="0"/>
              <w:rPr>
                <w:rFonts w:cstheme="majorHAnsi"/>
                <w:i w:val="0"/>
                <w:lang w:eastAsia="en-AU"/>
              </w:rPr>
            </w:pPr>
            <w:r w:rsidRPr="005546A6">
              <w:t>2018-19</w:t>
            </w:r>
          </w:p>
        </w:tc>
        <w:tc>
          <w:tcPr>
            <w:tcW w:w="850" w:type="dxa"/>
            <w:tcBorders>
              <w:top w:val="nil"/>
              <w:left w:val="nil"/>
              <w:bottom w:val="nil"/>
              <w:right w:val="nil"/>
            </w:tcBorders>
            <w:shd w:val="solid" w:color="000000" w:fill="auto"/>
          </w:tcPr>
          <w:p w14:paraId="4AF29306" w14:textId="77777777" w:rsidR="00964B88" w:rsidRPr="00321654" w:rsidRDefault="00964B88" w:rsidP="00F53820">
            <w:pPr>
              <w:cnfStyle w:val="100000000000" w:firstRow="1" w:lastRow="0" w:firstColumn="0" w:lastColumn="0" w:oddVBand="0" w:evenVBand="0" w:oddHBand="0" w:evenHBand="0" w:firstRowFirstColumn="0" w:firstRowLastColumn="0" w:lastRowFirstColumn="0" w:lastRowLastColumn="0"/>
              <w:rPr>
                <w:rFonts w:cstheme="majorHAnsi"/>
                <w:i w:val="0"/>
                <w:lang w:eastAsia="en-AU"/>
              </w:rPr>
            </w:pPr>
            <w:r w:rsidRPr="005546A6">
              <w:t>2019-20</w:t>
            </w:r>
          </w:p>
        </w:tc>
        <w:tc>
          <w:tcPr>
            <w:tcW w:w="850" w:type="dxa"/>
            <w:tcBorders>
              <w:top w:val="nil"/>
              <w:left w:val="nil"/>
              <w:bottom w:val="nil"/>
              <w:right w:val="nil"/>
            </w:tcBorders>
            <w:shd w:val="solid" w:color="000000" w:fill="auto"/>
          </w:tcPr>
          <w:p w14:paraId="56FF2BE3" w14:textId="77777777" w:rsidR="00964B88" w:rsidRPr="00321654" w:rsidRDefault="00964B88" w:rsidP="00F53820">
            <w:pPr>
              <w:cnfStyle w:val="100000000000" w:firstRow="1" w:lastRow="0" w:firstColumn="0" w:lastColumn="0" w:oddVBand="0" w:evenVBand="0" w:oddHBand="0" w:evenHBand="0" w:firstRowFirstColumn="0" w:firstRowLastColumn="0" w:lastRowFirstColumn="0" w:lastRowLastColumn="0"/>
              <w:rPr>
                <w:rFonts w:cstheme="majorHAnsi"/>
                <w:i w:val="0"/>
                <w:lang w:eastAsia="en-AU"/>
              </w:rPr>
            </w:pPr>
            <w:r w:rsidRPr="005546A6">
              <w:t>2020-21</w:t>
            </w:r>
          </w:p>
        </w:tc>
        <w:tc>
          <w:tcPr>
            <w:tcW w:w="850" w:type="dxa"/>
            <w:tcBorders>
              <w:top w:val="nil"/>
              <w:left w:val="nil"/>
              <w:bottom w:val="nil"/>
              <w:right w:val="nil"/>
            </w:tcBorders>
            <w:shd w:val="solid" w:color="000000" w:fill="auto"/>
          </w:tcPr>
          <w:p w14:paraId="16439416" w14:textId="77777777" w:rsidR="00964B88" w:rsidRPr="00321654" w:rsidRDefault="00964B88" w:rsidP="00F53820">
            <w:pPr>
              <w:cnfStyle w:val="100000000000" w:firstRow="1" w:lastRow="0" w:firstColumn="0" w:lastColumn="0" w:oddVBand="0" w:evenVBand="0" w:oddHBand="0" w:evenHBand="0" w:firstRowFirstColumn="0" w:firstRowLastColumn="0" w:lastRowFirstColumn="0" w:lastRowLastColumn="0"/>
              <w:rPr>
                <w:rFonts w:cstheme="majorHAnsi"/>
                <w:i w:val="0"/>
                <w:lang w:eastAsia="en-AU"/>
              </w:rPr>
            </w:pPr>
            <w:r w:rsidRPr="005546A6">
              <w:t>2021-22</w:t>
            </w:r>
          </w:p>
        </w:tc>
        <w:tc>
          <w:tcPr>
            <w:tcW w:w="850" w:type="dxa"/>
            <w:tcBorders>
              <w:top w:val="nil"/>
              <w:left w:val="nil"/>
              <w:bottom w:val="nil"/>
              <w:right w:val="nil"/>
            </w:tcBorders>
            <w:shd w:val="solid" w:color="000000" w:fill="auto"/>
          </w:tcPr>
          <w:p w14:paraId="3994C3B2" w14:textId="77777777" w:rsidR="00964B88" w:rsidRPr="00321654" w:rsidRDefault="00964B88" w:rsidP="00F53820">
            <w:pPr>
              <w:cnfStyle w:val="100000000000" w:firstRow="1" w:lastRow="0" w:firstColumn="0" w:lastColumn="0" w:oddVBand="0" w:evenVBand="0" w:oddHBand="0" w:evenHBand="0" w:firstRowFirstColumn="0" w:firstRowLastColumn="0" w:lastRowFirstColumn="0" w:lastRowLastColumn="0"/>
              <w:rPr>
                <w:rFonts w:cstheme="majorHAnsi"/>
                <w:i w:val="0"/>
                <w:lang w:eastAsia="en-AU"/>
              </w:rPr>
            </w:pPr>
            <w:r w:rsidRPr="005546A6">
              <w:t>2022-23</w:t>
            </w:r>
          </w:p>
        </w:tc>
      </w:tr>
      <w:tr w:rsidR="00964B88" w:rsidRPr="00321654" w14:paraId="6434AE95"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shd w:val="solid" w:color="FFFFFF" w:fill="auto"/>
          </w:tcPr>
          <w:p w14:paraId="594CDBC3" w14:textId="77777777" w:rsidR="00964B88" w:rsidRPr="00321654" w:rsidRDefault="00964B88" w:rsidP="00F53820">
            <w:pPr>
              <w:rPr>
                <w:rFonts w:cstheme="majorHAnsi"/>
                <w:color w:val="000000"/>
                <w:lang w:eastAsia="en-AU"/>
              </w:rPr>
            </w:pPr>
            <w:r w:rsidRPr="00B344ED">
              <w:t>Land tax</w:t>
            </w:r>
          </w:p>
        </w:tc>
        <w:tc>
          <w:tcPr>
            <w:tcW w:w="850" w:type="dxa"/>
            <w:tcBorders>
              <w:top w:val="nil"/>
              <w:left w:val="nil"/>
              <w:bottom w:val="nil"/>
              <w:right w:val="nil"/>
            </w:tcBorders>
            <w:shd w:val="clear" w:color="000000" w:fill="FFFFFF"/>
          </w:tcPr>
          <w:p w14:paraId="7497BD8D" w14:textId="77777777" w:rsidR="00964B88" w:rsidRPr="004444B5"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5 922</w:t>
            </w:r>
          </w:p>
        </w:tc>
        <w:tc>
          <w:tcPr>
            <w:tcW w:w="850" w:type="dxa"/>
            <w:tcBorders>
              <w:top w:val="nil"/>
              <w:left w:val="nil"/>
              <w:bottom w:val="nil"/>
              <w:right w:val="nil"/>
            </w:tcBorders>
            <w:shd w:val="clear" w:color="000000" w:fill="FFFFFF"/>
          </w:tcPr>
          <w:p w14:paraId="7C4FB1C5" w14:textId="77777777" w:rsidR="00964B88" w:rsidRPr="004444B5"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5 642</w:t>
            </w:r>
          </w:p>
        </w:tc>
        <w:tc>
          <w:tcPr>
            <w:tcW w:w="850" w:type="dxa"/>
            <w:tcBorders>
              <w:top w:val="nil"/>
              <w:left w:val="nil"/>
              <w:bottom w:val="nil"/>
              <w:right w:val="nil"/>
            </w:tcBorders>
            <w:shd w:val="clear" w:color="000000" w:fill="FFFFFF"/>
          </w:tcPr>
          <w:p w14:paraId="1863D3F8" w14:textId="77777777" w:rsidR="00964B88" w:rsidRPr="004444B5"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5 787</w:t>
            </w:r>
          </w:p>
        </w:tc>
        <w:tc>
          <w:tcPr>
            <w:tcW w:w="850" w:type="dxa"/>
            <w:tcBorders>
              <w:top w:val="nil"/>
              <w:left w:val="nil"/>
              <w:bottom w:val="nil"/>
              <w:right w:val="nil"/>
            </w:tcBorders>
            <w:shd w:val="clear" w:color="000000" w:fill="FFFFFF"/>
          </w:tcPr>
          <w:p w14:paraId="48C79F3E" w14:textId="77777777" w:rsidR="00964B88" w:rsidRPr="004444B5"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6 373</w:t>
            </w:r>
          </w:p>
        </w:tc>
        <w:tc>
          <w:tcPr>
            <w:tcW w:w="850" w:type="dxa"/>
            <w:tcBorders>
              <w:top w:val="nil"/>
              <w:left w:val="nil"/>
              <w:bottom w:val="nil"/>
              <w:right w:val="nil"/>
            </w:tcBorders>
            <w:shd w:val="clear" w:color="000000" w:fill="FFFFFF"/>
          </w:tcPr>
          <w:p w14:paraId="2D34F8AC" w14:textId="77777777" w:rsidR="00964B88" w:rsidRPr="004444B5"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7 175</w:t>
            </w:r>
          </w:p>
        </w:tc>
      </w:tr>
      <w:tr w:rsidR="00964B88" w:rsidRPr="00321654" w14:paraId="2DAF194A"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shd w:val="solid" w:color="FFFFFF" w:fill="auto"/>
          </w:tcPr>
          <w:p w14:paraId="541A6AA3" w14:textId="77777777" w:rsidR="00964B88" w:rsidRPr="00321654" w:rsidRDefault="00964B88" w:rsidP="00F53820">
            <w:pPr>
              <w:rPr>
                <w:rFonts w:cstheme="majorHAnsi"/>
                <w:color w:val="000000"/>
                <w:lang w:eastAsia="en-AU"/>
              </w:rPr>
            </w:pPr>
            <w:r w:rsidRPr="00B344ED">
              <w:t>Fire Services Property Levy</w:t>
            </w:r>
          </w:p>
        </w:tc>
        <w:tc>
          <w:tcPr>
            <w:tcW w:w="850" w:type="dxa"/>
            <w:tcBorders>
              <w:top w:val="nil"/>
              <w:left w:val="nil"/>
              <w:bottom w:val="nil"/>
              <w:right w:val="nil"/>
            </w:tcBorders>
            <w:shd w:val="clear" w:color="000000" w:fill="FFFFFF"/>
          </w:tcPr>
          <w:p w14:paraId="1479C742" w14:textId="77777777" w:rsidR="00964B88" w:rsidRPr="00EF4A43"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22</w:t>
            </w:r>
          </w:p>
        </w:tc>
        <w:tc>
          <w:tcPr>
            <w:tcW w:w="850" w:type="dxa"/>
            <w:tcBorders>
              <w:top w:val="nil"/>
              <w:left w:val="nil"/>
              <w:bottom w:val="nil"/>
              <w:right w:val="nil"/>
            </w:tcBorders>
            <w:shd w:val="clear" w:color="000000" w:fill="FFFFFF"/>
          </w:tcPr>
          <w:p w14:paraId="1EDDF2DD" w14:textId="77777777" w:rsidR="00964B88" w:rsidRPr="00EF4A43"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22</w:t>
            </w:r>
          </w:p>
        </w:tc>
        <w:tc>
          <w:tcPr>
            <w:tcW w:w="850" w:type="dxa"/>
            <w:tcBorders>
              <w:top w:val="nil"/>
              <w:left w:val="nil"/>
              <w:bottom w:val="nil"/>
              <w:right w:val="nil"/>
            </w:tcBorders>
            <w:shd w:val="clear" w:color="000000" w:fill="FFFFFF"/>
          </w:tcPr>
          <w:p w14:paraId="43BAD17D" w14:textId="77777777" w:rsidR="00964B88" w:rsidRPr="00EF4A43"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22</w:t>
            </w:r>
          </w:p>
        </w:tc>
        <w:tc>
          <w:tcPr>
            <w:tcW w:w="850" w:type="dxa"/>
            <w:tcBorders>
              <w:top w:val="nil"/>
              <w:left w:val="nil"/>
              <w:bottom w:val="nil"/>
              <w:right w:val="nil"/>
            </w:tcBorders>
            <w:shd w:val="clear" w:color="000000" w:fill="FFFFFF"/>
          </w:tcPr>
          <w:p w14:paraId="71039401" w14:textId="77777777" w:rsidR="00964B88" w:rsidRPr="00EF4A43"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22</w:t>
            </w:r>
          </w:p>
        </w:tc>
        <w:tc>
          <w:tcPr>
            <w:tcW w:w="850" w:type="dxa"/>
            <w:tcBorders>
              <w:top w:val="nil"/>
              <w:left w:val="nil"/>
              <w:bottom w:val="nil"/>
              <w:right w:val="nil"/>
            </w:tcBorders>
            <w:shd w:val="clear" w:color="000000" w:fill="FFFFFF"/>
          </w:tcPr>
          <w:p w14:paraId="3151E446" w14:textId="77777777" w:rsidR="00964B88" w:rsidRPr="00EF4A43"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22</w:t>
            </w:r>
          </w:p>
        </w:tc>
      </w:tr>
      <w:tr w:rsidR="00964B88" w:rsidRPr="00321654" w14:paraId="7876E785"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shd w:val="solid" w:color="FFFFFF" w:fill="auto"/>
          </w:tcPr>
          <w:p w14:paraId="3169E6C7" w14:textId="77777777" w:rsidR="00964B88" w:rsidRPr="00321654" w:rsidRDefault="00964B88" w:rsidP="00F53820">
            <w:pPr>
              <w:rPr>
                <w:rFonts w:cstheme="majorHAnsi"/>
                <w:lang w:eastAsia="en-AU"/>
              </w:rPr>
            </w:pPr>
            <w:r w:rsidRPr="00B344ED">
              <w:t>Payroll tax</w:t>
            </w:r>
          </w:p>
        </w:tc>
        <w:tc>
          <w:tcPr>
            <w:tcW w:w="850" w:type="dxa"/>
            <w:tcBorders>
              <w:top w:val="nil"/>
              <w:left w:val="nil"/>
              <w:bottom w:val="nil"/>
              <w:right w:val="nil"/>
            </w:tcBorders>
            <w:shd w:val="clear" w:color="000000" w:fill="FFFFFF"/>
          </w:tcPr>
          <w:p w14:paraId="46C7314A" w14:textId="77777777" w:rsidR="00964B88" w:rsidRPr="00B836D3"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1 543</w:t>
            </w:r>
          </w:p>
        </w:tc>
        <w:tc>
          <w:tcPr>
            <w:tcW w:w="850" w:type="dxa"/>
            <w:tcBorders>
              <w:top w:val="nil"/>
              <w:left w:val="nil"/>
              <w:bottom w:val="nil"/>
              <w:right w:val="nil"/>
            </w:tcBorders>
            <w:shd w:val="clear" w:color="000000" w:fill="FFFFFF"/>
          </w:tcPr>
          <w:p w14:paraId="62BACB48" w14:textId="77777777" w:rsidR="00964B88" w:rsidRPr="00B836D3"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1 655</w:t>
            </w:r>
          </w:p>
        </w:tc>
        <w:tc>
          <w:tcPr>
            <w:tcW w:w="850" w:type="dxa"/>
            <w:tcBorders>
              <w:top w:val="nil"/>
              <w:left w:val="nil"/>
              <w:bottom w:val="nil"/>
              <w:right w:val="nil"/>
            </w:tcBorders>
            <w:shd w:val="clear" w:color="000000" w:fill="FFFFFF"/>
          </w:tcPr>
          <w:p w14:paraId="33157C79" w14:textId="77777777" w:rsidR="00964B88" w:rsidRPr="00B836D3"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1 768</w:t>
            </w:r>
          </w:p>
        </w:tc>
        <w:tc>
          <w:tcPr>
            <w:tcW w:w="850" w:type="dxa"/>
            <w:tcBorders>
              <w:top w:val="nil"/>
              <w:left w:val="nil"/>
              <w:bottom w:val="nil"/>
              <w:right w:val="nil"/>
            </w:tcBorders>
            <w:shd w:val="clear" w:color="000000" w:fill="FFFFFF"/>
          </w:tcPr>
          <w:p w14:paraId="5A54F656" w14:textId="77777777" w:rsidR="00964B88" w:rsidRPr="00B836D3"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1 885</w:t>
            </w:r>
          </w:p>
        </w:tc>
        <w:tc>
          <w:tcPr>
            <w:tcW w:w="850" w:type="dxa"/>
            <w:tcBorders>
              <w:top w:val="nil"/>
              <w:left w:val="nil"/>
              <w:bottom w:val="nil"/>
              <w:right w:val="nil"/>
            </w:tcBorders>
            <w:shd w:val="clear" w:color="000000" w:fill="FFFFFF"/>
          </w:tcPr>
          <w:p w14:paraId="087B2CEB" w14:textId="77777777" w:rsidR="00964B88" w:rsidRPr="00B836D3"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2 010</w:t>
            </w:r>
          </w:p>
        </w:tc>
      </w:tr>
      <w:tr w:rsidR="00964B88" w:rsidRPr="00321654" w14:paraId="06616B6D"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shd w:val="solid" w:color="FFFFFF" w:fill="auto"/>
          </w:tcPr>
          <w:p w14:paraId="049CC358" w14:textId="77777777" w:rsidR="00964B88" w:rsidRPr="00321654" w:rsidRDefault="00964B88" w:rsidP="00F53820">
            <w:pPr>
              <w:rPr>
                <w:rFonts w:cstheme="majorHAnsi"/>
                <w:color w:val="000000"/>
                <w:lang w:eastAsia="en-AU"/>
              </w:rPr>
            </w:pPr>
            <w:r w:rsidRPr="00B344ED">
              <w:t>Gambling tax</w:t>
            </w:r>
          </w:p>
        </w:tc>
        <w:tc>
          <w:tcPr>
            <w:tcW w:w="850" w:type="dxa"/>
            <w:tcBorders>
              <w:top w:val="nil"/>
              <w:left w:val="nil"/>
              <w:bottom w:val="nil"/>
              <w:right w:val="nil"/>
            </w:tcBorders>
            <w:shd w:val="clear" w:color="000000" w:fill="FFFFFF"/>
          </w:tcPr>
          <w:p w14:paraId="0CFEBB59" w14:textId="77777777" w:rsidR="00964B88" w:rsidRPr="009536E9"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78</w:t>
            </w:r>
          </w:p>
        </w:tc>
        <w:tc>
          <w:tcPr>
            <w:tcW w:w="850" w:type="dxa"/>
            <w:tcBorders>
              <w:top w:val="nil"/>
              <w:left w:val="nil"/>
              <w:bottom w:val="nil"/>
              <w:right w:val="nil"/>
            </w:tcBorders>
            <w:shd w:val="clear" w:color="000000" w:fill="FFFFFF"/>
          </w:tcPr>
          <w:p w14:paraId="2365F789" w14:textId="77777777" w:rsidR="00964B88" w:rsidRPr="009536E9"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78</w:t>
            </w:r>
          </w:p>
        </w:tc>
        <w:tc>
          <w:tcPr>
            <w:tcW w:w="850" w:type="dxa"/>
            <w:tcBorders>
              <w:top w:val="nil"/>
              <w:left w:val="nil"/>
              <w:bottom w:val="nil"/>
              <w:right w:val="nil"/>
            </w:tcBorders>
            <w:shd w:val="clear" w:color="000000" w:fill="FFFFFF"/>
          </w:tcPr>
          <w:p w14:paraId="19D61112" w14:textId="77777777" w:rsidR="00964B88" w:rsidRPr="009536E9"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79</w:t>
            </w:r>
          </w:p>
        </w:tc>
        <w:tc>
          <w:tcPr>
            <w:tcW w:w="850" w:type="dxa"/>
            <w:tcBorders>
              <w:top w:val="nil"/>
              <w:left w:val="nil"/>
              <w:bottom w:val="nil"/>
              <w:right w:val="nil"/>
            </w:tcBorders>
            <w:shd w:val="clear" w:color="000000" w:fill="FFFFFF"/>
          </w:tcPr>
          <w:p w14:paraId="4459B243" w14:textId="77777777" w:rsidR="00964B88" w:rsidRPr="009536E9"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80</w:t>
            </w:r>
          </w:p>
        </w:tc>
        <w:tc>
          <w:tcPr>
            <w:tcW w:w="850" w:type="dxa"/>
            <w:tcBorders>
              <w:top w:val="nil"/>
              <w:left w:val="nil"/>
              <w:bottom w:val="nil"/>
              <w:right w:val="nil"/>
            </w:tcBorders>
            <w:shd w:val="clear" w:color="000000" w:fill="FFFFFF"/>
          </w:tcPr>
          <w:p w14:paraId="40187C32" w14:textId="77777777" w:rsidR="00964B88" w:rsidRPr="009536E9"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78</w:t>
            </w:r>
          </w:p>
        </w:tc>
      </w:tr>
      <w:tr w:rsidR="00964B88" w:rsidRPr="00321654" w14:paraId="1E598FE1"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shd w:val="solid" w:color="FFFFFF" w:fill="auto"/>
          </w:tcPr>
          <w:p w14:paraId="6262DF3B" w14:textId="77777777" w:rsidR="00964B88" w:rsidRPr="00321654" w:rsidRDefault="00964B88" w:rsidP="00F53820">
            <w:pPr>
              <w:rPr>
                <w:rFonts w:cstheme="majorHAnsi"/>
                <w:color w:val="000000"/>
                <w:lang w:eastAsia="en-AU"/>
              </w:rPr>
            </w:pPr>
            <w:r w:rsidRPr="00B344ED">
              <w:t>Motor vehicle taxes</w:t>
            </w:r>
          </w:p>
        </w:tc>
        <w:tc>
          <w:tcPr>
            <w:tcW w:w="850" w:type="dxa"/>
            <w:tcBorders>
              <w:top w:val="nil"/>
              <w:left w:val="nil"/>
              <w:bottom w:val="nil"/>
              <w:right w:val="nil"/>
            </w:tcBorders>
            <w:shd w:val="clear" w:color="000000" w:fill="FFFFFF"/>
          </w:tcPr>
          <w:p w14:paraId="061AC1D7" w14:textId="77777777" w:rsidR="00964B88" w:rsidRPr="002E363D"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204</w:t>
            </w:r>
          </w:p>
        </w:tc>
        <w:tc>
          <w:tcPr>
            <w:tcW w:w="850" w:type="dxa"/>
            <w:tcBorders>
              <w:top w:val="nil"/>
              <w:left w:val="nil"/>
              <w:bottom w:val="nil"/>
              <w:right w:val="nil"/>
            </w:tcBorders>
            <w:shd w:val="clear" w:color="000000" w:fill="FFFFFF"/>
          </w:tcPr>
          <w:p w14:paraId="4B8AFBB1" w14:textId="77777777" w:rsidR="00964B88" w:rsidRPr="002E363D"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227</w:t>
            </w:r>
          </w:p>
        </w:tc>
        <w:tc>
          <w:tcPr>
            <w:tcW w:w="850" w:type="dxa"/>
            <w:tcBorders>
              <w:top w:val="nil"/>
              <w:left w:val="nil"/>
              <w:bottom w:val="nil"/>
              <w:right w:val="nil"/>
            </w:tcBorders>
            <w:shd w:val="clear" w:color="000000" w:fill="FFFFFF"/>
          </w:tcPr>
          <w:p w14:paraId="2DE6A40C" w14:textId="77777777" w:rsidR="00964B88" w:rsidRPr="002E363D"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237</w:t>
            </w:r>
          </w:p>
        </w:tc>
        <w:tc>
          <w:tcPr>
            <w:tcW w:w="850" w:type="dxa"/>
            <w:tcBorders>
              <w:top w:val="nil"/>
              <w:left w:val="nil"/>
              <w:bottom w:val="nil"/>
              <w:right w:val="nil"/>
            </w:tcBorders>
            <w:shd w:val="clear" w:color="000000" w:fill="FFFFFF"/>
          </w:tcPr>
          <w:p w14:paraId="043025AC" w14:textId="77777777" w:rsidR="00964B88" w:rsidRPr="002E363D"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246</w:t>
            </w:r>
          </w:p>
        </w:tc>
        <w:tc>
          <w:tcPr>
            <w:tcW w:w="850" w:type="dxa"/>
            <w:tcBorders>
              <w:top w:val="nil"/>
              <w:left w:val="nil"/>
              <w:bottom w:val="nil"/>
              <w:right w:val="nil"/>
            </w:tcBorders>
            <w:shd w:val="clear" w:color="000000" w:fill="FFFFFF"/>
          </w:tcPr>
          <w:p w14:paraId="4621EBA2" w14:textId="77777777" w:rsidR="00964B88" w:rsidRPr="002E363D"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257</w:t>
            </w:r>
          </w:p>
        </w:tc>
      </w:tr>
      <w:tr w:rsidR="00964B88" w:rsidRPr="00321654" w14:paraId="417B0132"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shd w:val="solid" w:color="FFFFFF" w:fill="auto"/>
          </w:tcPr>
          <w:p w14:paraId="6CF15F09" w14:textId="77777777" w:rsidR="00964B88" w:rsidRPr="00321654" w:rsidRDefault="00964B88" w:rsidP="00F53820">
            <w:pPr>
              <w:rPr>
                <w:rFonts w:cstheme="majorHAnsi"/>
                <w:color w:val="000000"/>
                <w:lang w:eastAsia="en-AU"/>
              </w:rPr>
            </w:pPr>
            <w:r w:rsidRPr="00B344ED">
              <w:t>Land transfer duties</w:t>
            </w:r>
            <w:r>
              <w:t xml:space="preserve"> </w:t>
            </w:r>
            <w:r w:rsidRPr="005D4802">
              <w:rPr>
                <w:vertAlign w:val="superscript"/>
              </w:rPr>
              <w:t>(</w:t>
            </w:r>
            <w:r>
              <w:rPr>
                <w:vertAlign w:val="superscript"/>
              </w:rPr>
              <w:t>b</w:t>
            </w:r>
            <w:r w:rsidRPr="005D4802">
              <w:rPr>
                <w:vertAlign w:val="superscript"/>
              </w:rPr>
              <w:t>)</w:t>
            </w:r>
            <w:r>
              <w:t xml:space="preserve"> </w:t>
            </w:r>
          </w:p>
        </w:tc>
        <w:tc>
          <w:tcPr>
            <w:tcW w:w="850" w:type="dxa"/>
            <w:tcBorders>
              <w:top w:val="nil"/>
              <w:left w:val="nil"/>
              <w:bottom w:val="nil"/>
              <w:right w:val="nil"/>
            </w:tcBorders>
            <w:shd w:val="clear" w:color="000000" w:fill="FFFFFF"/>
          </w:tcPr>
          <w:p w14:paraId="02D7D43C" w14:textId="77777777" w:rsidR="00964B88" w:rsidRPr="002E363D"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1 790</w:t>
            </w:r>
          </w:p>
        </w:tc>
        <w:tc>
          <w:tcPr>
            <w:tcW w:w="850" w:type="dxa"/>
            <w:tcBorders>
              <w:top w:val="nil"/>
              <w:left w:val="nil"/>
              <w:bottom w:val="nil"/>
              <w:right w:val="nil"/>
            </w:tcBorders>
            <w:shd w:val="clear" w:color="000000" w:fill="FFFFFF"/>
          </w:tcPr>
          <w:p w14:paraId="2CF5ADEE" w14:textId="77777777" w:rsidR="00964B88" w:rsidRPr="002E363D"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1 782</w:t>
            </w:r>
          </w:p>
        </w:tc>
        <w:tc>
          <w:tcPr>
            <w:tcW w:w="850" w:type="dxa"/>
            <w:tcBorders>
              <w:top w:val="nil"/>
              <w:left w:val="nil"/>
              <w:bottom w:val="nil"/>
              <w:right w:val="nil"/>
            </w:tcBorders>
            <w:shd w:val="clear" w:color="000000" w:fill="FFFFFF"/>
          </w:tcPr>
          <w:p w14:paraId="681E5CC7" w14:textId="77777777" w:rsidR="00964B88" w:rsidRPr="002E363D"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1 630</w:t>
            </w:r>
          </w:p>
        </w:tc>
        <w:tc>
          <w:tcPr>
            <w:tcW w:w="850" w:type="dxa"/>
            <w:tcBorders>
              <w:top w:val="nil"/>
              <w:left w:val="nil"/>
              <w:bottom w:val="nil"/>
              <w:right w:val="nil"/>
            </w:tcBorders>
            <w:shd w:val="clear" w:color="000000" w:fill="FFFFFF"/>
          </w:tcPr>
          <w:p w14:paraId="6FDA1C8D" w14:textId="77777777" w:rsidR="00964B88" w:rsidRPr="002E363D"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1 687</w:t>
            </w:r>
          </w:p>
        </w:tc>
        <w:tc>
          <w:tcPr>
            <w:tcW w:w="850" w:type="dxa"/>
            <w:tcBorders>
              <w:top w:val="nil"/>
              <w:left w:val="nil"/>
              <w:bottom w:val="nil"/>
              <w:right w:val="nil"/>
            </w:tcBorders>
            <w:shd w:val="clear" w:color="000000" w:fill="FFFFFF"/>
          </w:tcPr>
          <w:p w14:paraId="1D863A65" w14:textId="77777777" w:rsidR="00964B88" w:rsidRPr="002E363D"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1 807</w:t>
            </w:r>
          </w:p>
        </w:tc>
      </w:tr>
      <w:tr w:rsidR="00964B88" w:rsidRPr="00321654" w14:paraId="1436BABC" w14:textId="77777777" w:rsidTr="00F5382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shd w:val="solid" w:color="FFFFFF" w:fill="auto"/>
          </w:tcPr>
          <w:p w14:paraId="26E9A01A" w14:textId="77777777" w:rsidR="00964B88" w:rsidRPr="00321654" w:rsidRDefault="00964B88" w:rsidP="00F53820">
            <w:pPr>
              <w:rPr>
                <w:rFonts w:cstheme="majorHAnsi"/>
                <w:color w:val="000000"/>
                <w:lang w:eastAsia="en-AU"/>
              </w:rPr>
            </w:pPr>
            <w:r w:rsidRPr="00B344ED">
              <w:t>Congestion levy</w:t>
            </w:r>
          </w:p>
        </w:tc>
        <w:tc>
          <w:tcPr>
            <w:tcW w:w="850" w:type="dxa"/>
            <w:tcBorders>
              <w:top w:val="nil"/>
              <w:left w:val="nil"/>
              <w:bottom w:val="nil"/>
              <w:right w:val="nil"/>
            </w:tcBorders>
            <w:shd w:val="solid" w:color="FFFFFF" w:fill="auto"/>
          </w:tcPr>
          <w:p w14:paraId="6BAFBD1D" w14:textId="77777777" w:rsidR="00964B88" w:rsidRPr="00321654"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61</w:t>
            </w:r>
          </w:p>
        </w:tc>
        <w:tc>
          <w:tcPr>
            <w:tcW w:w="850" w:type="dxa"/>
            <w:tcBorders>
              <w:top w:val="nil"/>
              <w:left w:val="nil"/>
              <w:bottom w:val="nil"/>
              <w:right w:val="nil"/>
            </w:tcBorders>
            <w:shd w:val="solid" w:color="FFFFFF" w:fill="auto"/>
          </w:tcPr>
          <w:p w14:paraId="4FF7002A" w14:textId="77777777" w:rsidR="00964B88" w:rsidRPr="00321654"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62</w:t>
            </w:r>
          </w:p>
        </w:tc>
        <w:tc>
          <w:tcPr>
            <w:tcW w:w="850" w:type="dxa"/>
            <w:tcBorders>
              <w:top w:val="nil"/>
              <w:left w:val="nil"/>
              <w:bottom w:val="nil"/>
              <w:right w:val="nil"/>
            </w:tcBorders>
            <w:shd w:val="solid" w:color="FFFFFF" w:fill="auto"/>
          </w:tcPr>
          <w:p w14:paraId="51CE2432" w14:textId="77777777" w:rsidR="00964B88" w:rsidRPr="00321654"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63</w:t>
            </w:r>
          </w:p>
        </w:tc>
        <w:tc>
          <w:tcPr>
            <w:tcW w:w="850" w:type="dxa"/>
            <w:tcBorders>
              <w:top w:val="nil"/>
              <w:left w:val="nil"/>
              <w:bottom w:val="nil"/>
              <w:right w:val="nil"/>
            </w:tcBorders>
            <w:shd w:val="solid" w:color="FFFFFF" w:fill="auto"/>
          </w:tcPr>
          <w:p w14:paraId="6C4F834E" w14:textId="77777777" w:rsidR="00964B88" w:rsidRPr="00321654"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65</w:t>
            </w:r>
          </w:p>
        </w:tc>
        <w:tc>
          <w:tcPr>
            <w:tcW w:w="850" w:type="dxa"/>
            <w:tcBorders>
              <w:top w:val="nil"/>
              <w:left w:val="nil"/>
              <w:bottom w:val="nil"/>
              <w:right w:val="nil"/>
            </w:tcBorders>
            <w:shd w:val="solid" w:color="FFFFFF" w:fill="auto"/>
          </w:tcPr>
          <w:p w14:paraId="416D2BD1" w14:textId="77777777" w:rsidR="00964B88" w:rsidRPr="00321654" w:rsidRDefault="00964B88" w:rsidP="00F53820">
            <w:pPr>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546A6">
              <w:t xml:space="preserve"> 66</w:t>
            </w:r>
          </w:p>
        </w:tc>
      </w:tr>
      <w:tr w:rsidR="00964B88" w:rsidRPr="00321654" w14:paraId="71E6BDF0"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7" w:type="dxa"/>
            <w:tcBorders>
              <w:top w:val="single" w:sz="6" w:space="0" w:color="auto"/>
              <w:bottom w:val="single" w:sz="12" w:space="0" w:color="auto"/>
            </w:tcBorders>
            <w:shd w:val="solid" w:color="FFFFFF" w:fill="auto"/>
          </w:tcPr>
          <w:p w14:paraId="12A66E8E" w14:textId="77777777" w:rsidR="00964B88" w:rsidRPr="00321654" w:rsidRDefault="00964B88" w:rsidP="00F53820">
            <w:pPr>
              <w:rPr>
                <w:rFonts w:cstheme="majorHAnsi"/>
                <w:bCs/>
                <w:color w:val="000000"/>
                <w:lang w:eastAsia="en-AU"/>
              </w:rPr>
            </w:pPr>
            <w:r w:rsidRPr="00B344ED">
              <w:t>Total estimated tax expenditures</w:t>
            </w:r>
          </w:p>
        </w:tc>
        <w:tc>
          <w:tcPr>
            <w:tcW w:w="850" w:type="dxa"/>
            <w:tcBorders>
              <w:top w:val="single" w:sz="6" w:space="0" w:color="auto"/>
              <w:bottom w:val="single" w:sz="12" w:space="0" w:color="auto"/>
            </w:tcBorders>
            <w:shd w:val="solid" w:color="FFFFFF" w:fill="auto"/>
          </w:tcPr>
          <w:p w14:paraId="15EBF02A" w14:textId="77777777" w:rsidR="00964B88" w:rsidRPr="002E363D" w:rsidRDefault="00964B88" w:rsidP="00F53820">
            <w:pPr>
              <w:cnfStyle w:val="010000000000" w:firstRow="0" w:lastRow="1" w:firstColumn="0" w:lastColumn="0" w:oddVBand="0" w:evenVBand="0" w:oddHBand="0" w:evenHBand="0" w:firstRowFirstColumn="0" w:firstRowLastColumn="0" w:lastRowFirstColumn="0" w:lastRowLastColumn="0"/>
              <w:rPr>
                <w:rFonts w:cstheme="majorHAnsi"/>
                <w:bCs/>
                <w:color w:val="000000"/>
                <w:szCs w:val="17"/>
                <w:highlight w:val="yellow"/>
              </w:rPr>
            </w:pPr>
            <w:r w:rsidRPr="005546A6">
              <w:t>9 620</w:t>
            </w:r>
          </w:p>
        </w:tc>
        <w:tc>
          <w:tcPr>
            <w:tcW w:w="850" w:type="dxa"/>
            <w:tcBorders>
              <w:top w:val="single" w:sz="6" w:space="0" w:color="auto"/>
              <w:bottom w:val="single" w:sz="12" w:space="0" w:color="auto"/>
            </w:tcBorders>
            <w:shd w:val="solid" w:color="FFFFFF" w:fill="auto"/>
          </w:tcPr>
          <w:p w14:paraId="1769460A" w14:textId="77777777" w:rsidR="00964B88" w:rsidRPr="002E363D" w:rsidRDefault="00964B88" w:rsidP="00F53820">
            <w:pPr>
              <w:cnfStyle w:val="010000000000" w:firstRow="0" w:lastRow="1" w:firstColumn="0" w:lastColumn="0" w:oddVBand="0" w:evenVBand="0" w:oddHBand="0" w:evenHBand="0" w:firstRowFirstColumn="0" w:firstRowLastColumn="0" w:lastRowFirstColumn="0" w:lastRowLastColumn="0"/>
              <w:rPr>
                <w:rFonts w:cstheme="majorHAnsi"/>
                <w:bCs/>
                <w:color w:val="000000"/>
                <w:szCs w:val="17"/>
                <w:highlight w:val="yellow"/>
              </w:rPr>
            </w:pPr>
            <w:r w:rsidRPr="005546A6">
              <w:t>9 469</w:t>
            </w:r>
          </w:p>
        </w:tc>
        <w:tc>
          <w:tcPr>
            <w:tcW w:w="850" w:type="dxa"/>
            <w:tcBorders>
              <w:top w:val="single" w:sz="6" w:space="0" w:color="auto"/>
              <w:bottom w:val="single" w:sz="12" w:space="0" w:color="auto"/>
            </w:tcBorders>
            <w:shd w:val="solid" w:color="FFFFFF" w:fill="auto"/>
          </w:tcPr>
          <w:p w14:paraId="3CB0ABC0" w14:textId="77777777" w:rsidR="00964B88" w:rsidRPr="002E363D" w:rsidRDefault="00964B88" w:rsidP="00F53820">
            <w:pPr>
              <w:cnfStyle w:val="010000000000" w:firstRow="0" w:lastRow="1" w:firstColumn="0" w:lastColumn="0" w:oddVBand="0" w:evenVBand="0" w:oddHBand="0" w:evenHBand="0" w:firstRowFirstColumn="0" w:firstRowLastColumn="0" w:lastRowFirstColumn="0" w:lastRowLastColumn="0"/>
              <w:rPr>
                <w:rFonts w:cstheme="majorHAnsi"/>
                <w:bCs/>
                <w:color w:val="000000"/>
                <w:szCs w:val="17"/>
                <w:highlight w:val="yellow"/>
              </w:rPr>
            </w:pPr>
            <w:r w:rsidRPr="005546A6">
              <w:t>9 585</w:t>
            </w:r>
          </w:p>
        </w:tc>
        <w:tc>
          <w:tcPr>
            <w:tcW w:w="850" w:type="dxa"/>
            <w:tcBorders>
              <w:top w:val="single" w:sz="6" w:space="0" w:color="auto"/>
              <w:bottom w:val="single" w:sz="12" w:space="0" w:color="auto"/>
            </w:tcBorders>
            <w:shd w:val="solid" w:color="FFFFFF" w:fill="auto"/>
          </w:tcPr>
          <w:p w14:paraId="60B9AE7A" w14:textId="77777777" w:rsidR="00964B88" w:rsidRPr="002E363D" w:rsidRDefault="00964B88" w:rsidP="00F53820">
            <w:pPr>
              <w:cnfStyle w:val="010000000000" w:firstRow="0" w:lastRow="1" w:firstColumn="0" w:lastColumn="0" w:oddVBand="0" w:evenVBand="0" w:oddHBand="0" w:evenHBand="0" w:firstRowFirstColumn="0" w:firstRowLastColumn="0" w:lastRowFirstColumn="0" w:lastRowLastColumn="0"/>
              <w:rPr>
                <w:rFonts w:cstheme="majorHAnsi"/>
                <w:bCs/>
                <w:color w:val="000000"/>
                <w:szCs w:val="17"/>
                <w:highlight w:val="yellow"/>
              </w:rPr>
            </w:pPr>
            <w:r w:rsidRPr="005546A6">
              <w:t>10 357</w:t>
            </w:r>
          </w:p>
        </w:tc>
        <w:tc>
          <w:tcPr>
            <w:tcW w:w="850" w:type="dxa"/>
            <w:tcBorders>
              <w:top w:val="single" w:sz="6" w:space="0" w:color="auto"/>
              <w:bottom w:val="single" w:sz="12" w:space="0" w:color="auto"/>
            </w:tcBorders>
            <w:shd w:val="solid" w:color="FFFFFF" w:fill="auto"/>
          </w:tcPr>
          <w:p w14:paraId="4E677455" w14:textId="77777777" w:rsidR="00964B88" w:rsidRPr="002E363D" w:rsidRDefault="00964B88" w:rsidP="00F53820">
            <w:pPr>
              <w:cnfStyle w:val="010000000000" w:firstRow="0" w:lastRow="1" w:firstColumn="0" w:lastColumn="0" w:oddVBand="0" w:evenVBand="0" w:oddHBand="0" w:evenHBand="0" w:firstRowFirstColumn="0" w:firstRowLastColumn="0" w:lastRowFirstColumn="0" w:lastRowLastColumn="0"/>
              <w:rPr>
                <w:rFonts w:cstheme="majorHAnsi"/>
                <w:bCs/>
                <w:color w:val="000000"/>
                <w:szCs w:val="17"/>
                <w:highlight w:val="yellow"/>
              </w:rPr>
            </w:pPr>
            <w:r w:rsidRPr="005546A6">
              <w:t>11 415</w:t>
            </w:r>
          </w:p>
        </w:tc>
      </w:tr>
    </w:tbl>
    <w:p w14:paraId="3C1190F5" w14:textId="77777777" w:rsidR="00964B88" w:rsidRPr="004E2527" w:rsidRDefault="00964B88" w:rsidP="00F53820">
      <w:pPr>
        <w:pStyle w:val="Note"/>
      </w:pPr>
      <w:r w:rsidRPr="004E2527">
        <w:t>Notes:</w:t>
      </w:r>
    </w:p>
    <w:p w14:paraId="08F2C8B8" w14:textId="77777777" w:rsidR="00964B88" w:rsidRPr="00B353F3" w:rsidRDefault="00964B88" w:rsidP="00F53820">
      <w:pPr>
        <w:pStyle w:val="Note"/>
      </w:pPr>
      <w:r>
        <w:t>(a)</w:t>
      </w:r>
      <w:r>
        <w:tab/>
      </w:r>
      <w:r w:rsidRPr="00B353F3">
        <w:t>All amounts have been rounded to the nearest $1 million unless otherwise stated. Figures may not add due to rounding.</w:t>
      </w:r>
    </w:p>
    <w:p w14:paraId="650AF9C8" w14:textId="77777777" w:rsidR="00964B88" w:rsidRDefault="00964B88" w:rsidP="00F53820">
      <w:pPr>
        <w:pStyle w:val="Note"/>
      </w:pPr>
      <w:bookmarkStart w:id="151" w:name="_Toc500435598"/>
      <w:r>
        <w:t>(b)</w:t>
      </w:r>
      <w:r>
        <w:tab/>
      </w:r>
      <w:r w:rsidRPr="00346E23">
        <w:t xml:space="preserve">The estimated land transfer duty expenditures over the forward estimates have increased compared </w:t>
      </w:r>
      <w:r>
        <w:t>with</w:t>
      </w:r>
      <w:r w:rsidRPr="00346E23">
        <w:t xml:space="preserve"> the </w:t>
      </w:r>
      <w:r w:rsidRPr="00346E23">
        <w:rPr>
          <w:i w:val="0"/>
        </w:rPr>
        <w:t>2019-20 Budget</w:t>
      </w:r>
      <w:r w:rsidRPr="00346E23">
        <w:t xml:space="preserve">. This is largely due to an increase in the anticipated number and value of concessions for first home buyers and off-the-plan purchases, reflecting </w:t>
      </w:r>
      <w:r>
        <w:t>that property market conditions have improved earlier than expected.</w:t>
      </w:r>
    </w:p>
    <w:p w14:paraId="711D5DAC" w14:textId="77777777" w:rsidR="00964B88" w:rsidRPr="004E2527" w:rsidRDefault="00964B88" w:rsidP="0073799D">
      <w:pPr>
        <w:pStyle w:val="Heading1Non-TOC"/>
      </w:pPr>
      <w:r w:rsidRPr="004E2527">
        <w:lastRenderedPageBreak/>
        <w:t>Concessions</w:t>
      </w:r>
      <w:bookmarkEnd w:id="151"/>
    </w:p>
    <w:p w14:paraId="0E9F7E88" w14:textId="77777777" w:rsidR="00964B88" w:rsidRPr="004E2527" w:rsidRDefault="00964B88" w:rsidP="00F53820">
      <w:r w:rsidRPr="004E2527">
        <w:t xml:space="preserve">Concessions are direct budget outlays or reduced government charges that reduce the price of a good or service for particular groups. Over the past decade, the State has </w:t>
      </w:r>
      <w:r>
        <w:t>provided $</w:t>
      </w:r>
      <w:r w:rsidRPr="008F0250">
        <w:t>15.3 billion</w:t>
      </w:r>
      <w:r w:rsidRPr="004E2527">
        <w:t xml:space="preserve"> in concessi</w:t>
      </w:r>
      <w:r>
        <w:t>ons. In 2019-20</w:t>
      </w:r>
      <w:r w:rsidRPr="004E2527">
        <w:t>, concess</w:t>
      </w:r>
      <w:r>
        <w:t>ions are forecast to be about $</w:t>
      </w:r>
      <w:r w:rsidRPr="006F1293">
        <w:t>1.7 billion</w:t>
      </w:r>
      <w:r w:rsidRPr="004E2527">
        <w:t>.</w:t>
      </w:r>
    </w:p>
    <w:p w14:paraId="17C5E261" w14:textId="77777777" w:rsidR="00964B88" w:rsidRPr="004E2527" w:rsidRDefault="00964B88" w:rsidP="005D6A22">
      <w:pPr>
        <w:ind w:right="-86"/>
      </w:pPr>
      <w:r w:rsidRPr="004E2527">
        <w:t>Certain characteristics of a consumer, such as possession of a Commonwealth Government pension card or health care card, can be the basis for such entitlements. Concessions allow certain groups in the community to access or purchase important public services such as energy, education, health and transportation at a reduced cost. Table C.2 classifies the major concessions by category.</w:t>
      </w:r>
    </w:p>
    <w:p w14:paraId="1D8A54D8" w14:textId="77777777" w:rsidR="00964B88" w:rsidRPr="004E2527" w:rsidRDefault="00964B88" w:rsidP="00F53820">
      <w:r w:rsidRPr="004E2527">
        <w:t>Eligible concession card holders receive reduced bills for energy, municipal rates, water and sewerage, funded by the State and paid to service providers.</w:t>
      </w:r>
    </w:p>
    <w:p w14:paraId="5EE59F62" w14:textId="77777777" w:rsidR="00964B88" w:rsidRPr="004E2527" w:rsidRDefault="00964B88" w:rsidP="00F53820">
      <w:r w:rsidRPr="004E2527">
        <w:t>Education concessions include concessions for preschool and for vocational education and training.</w:t>
      </w:r>
    </w:p>
    <w:p w14:paraId="2A20664B" w14:textId="77777777" w:rsidR="00964B88" w:rsidRPr="004E2527" w:rsidRDefault="00964B88" w:rsidP="00F53820">
      <w:r w:rsidRPr="004E2527">
        <w:t>Hardship schemes include the Utility Relief Grant Scheme and payment to State Trustees through a Community Service Agreement. The Utility Relief Grant Scheme assists Victorians unable to pay utility bills due to temporary financial hardship. State Trustees provide trustee services, including managing the legal and financial affairs of Victorians unable to do so independently.</w:t>
      </w:r>
    </w:p>
    <w:p w14:paraId="3801101B" w14:textId="77777777" w:rsidR="00964B88" w:rsidRPr="004E2527" w:rsidRDefault="00964B88" w:rsidP="00F53820">
      <w:r w:rsidRPr="004E2527">
        <w:t>The social and community services category includes assistance to not</w:t>
      </w:r>
      <w:r w:rsidRPr="004E2527">
        <w:noBreakHyphen/>
        <w:t>for</w:t>
      </w:r>
      <w:r w:rsidRPr="004E2527">
        <w:noBreakHyphen/>
        <w:t xml:space="preserve">profit organisations such as Bereavement Assistance Limited, the Charity Freight Service and food relief organisations. </w:t>
      </w:r>
    </w:p>
    <w:p w14:paraId="1BD3B2E1" w14:textId="77777777" w:rsidR="00964B88" w:rsidRPr="004E2527" w:rsidRDefault="00964B88" w:rsidP="00F53820">
      <w:r w:rsidRPr="004E2527">
        <w:t>Private transport concessions consist of a discount on Transport Accident Commission premiums and funding the Multi</w:t>
      </w:r>
      <w:r>
        <w:t>-</w:t>
      </w:r>
      <w:r w:rsidRPr="004E2527">
        <w:t>Purpose Taxi Program.</w:t>
      </w:r>
    </w:p>
    <w:p w14:paraId="238217C3" w14:textId="77777777" w:rsidR="00964B88" w:rsidRDefault="00964B88" w:rsidP="00F53820">
      <w:pPr>
        <w:pStyle w:val="TableHeading"/>
      </w:pPr>
      <w:r w:rsidRPr="004E2527">
        <w:t>Table C.2:</w:t>
      </w:r>
      <w:r w:rsidRPr="004E2527">
        <w:tab/>
        <w:t xml:space="preserve">Concessions by category </w:t>
      </w:r>
      <w:r w:rsidRPr="004E2527">
        <w:rPr>
          <w:vertAlign w:val="superscript"/>
        </w:rPr>
        <w:t>(a)</w:t>
      </w:r>
      <w:r w:rsidRPr="004E2527">
        <w:tab/>
        <w:t>($ million)</w:t>
      </w:r>
      <w:r>
        <w:t xml:space="preserve"> </w:t>
      </w:r>
      <w:bookmarkStart w:id="152" w:name="RANGE!B4:F19"/>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6067"/>
        <w:gridCol w:w="850"/>
        <w:gridCol w:w="850"/>
      </w:tblGrid>
      <w:tr w:rsidR="00964B88" w:rsidRPr="005D6A22" w14:paraId="3FCD5C25" w14:textId="77777777" w:rsidTr="005D6A22">
        <w:trPr>
          <w:cnfStyle w:val="100000000000" w:firstRow="1" w:lastRow="0" w:firstColumn="0" w:lastColumn="0" w:oddVBand="0" w:evenVBand="0" w:oddHBand="0" w:evenHBand="0" w:firstRowFirstColumn="0" w:firstRowLastColumn="0" w:lastRowFirstColumn="0" w:lastRowLastColumn="0"/>
          <w:divId w:val="1007907802"/>
          <w:cantSplit/>
          <w:tblHeader/>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000000"/>
            <w:noWrap/>
            <w:hideMark/>
          </w:tcPr>
          <w:p w14:paraId="50D66C41" w14:textId="77777777" w:rsidR="00964B88" w:rsidRPr="005D6A22" w:rsidRDefault="00964B88" w:rsidP="005D6A22">
            <w:r w:rsidRPr="005D6A22">
              <w:t>Description</w:t>
            </w:r>
          </w:p>
        </w:tc>
        <w:tc>
          <w:tcPr>
            <w:tcW w:w="850" w:type="dxa"/>
            <w:tcBorders>
              <w:top w:val="nil"/>
              <w:left w:val="nil"/>
              <w:bottom w:val="nil"/>
              <w:right w:val="nil"/>
            </w:tcBorders>
            <w:shd w:val="clear" w:color="000000" w:fill="000000"/>
            <w:noWrap/>
            <w:hideMark/>
          </w:tcPr>
          <w:p w14:paraId="4D03E057" w14:textId="77777777" w:rsidR="00964B88" w:rsidRPr="005D6A22" w:rsidRDefault="00964B88" w:rsidP="005D6A22">
            <w:pPr>
              <w:keepLines w:val="0"/>
              <w:cnfStyle w:val="100000000000" w:firstRow="1" w:lastRow="0" w:firstColumn="0" w:lastColumn="0" w:oddVBand="0" w:evenVBand="0" w:oddHBand="0" w:evenHBand="0" w:firstRowFirstColumn="0" w:firstRowLastColumn="0" w:lastRowFirstColumn="0" w:lastRowLastColumn="0"/>
            </w:pPr>
            <w:r w:rsidRPr="005D6A22">
              <w:t>2018-19</w:t>
            </w:r>
          </w:p>
        </w:tc>
        <w:tc>
          <w:tcPr>
            <w:tcW w:w="850" w:type="dxa"/>
            <w:tcBorders>
              <w:top w:val="nil"/>
              <w:left w:val="nil"/>
              <w:bottom w:val="nil"/>
              <w:right w:val="nil"/>
            </w:tcBorders>
            <w:shd w:val="clear" w:color="000000" w:fill="000000"/>
            <w:noWrap/>
            <w:hideMark/>
          </w:tcPr>
          <w:p w14:paraId="28C24492" w14:textId="77777777" w:rsidR="00964B88" w:rsidRPr="005D6A22" w:rsidRDefault="00964B88" w:rsidP="005D6A22">
            <w:pPr>
              <w:keepLines w:val="0"/>
              <w:cnfStyle w:val="100000000000" w:firstRow="1" w:lastRow="0" w:firstColumn="0" w:lastColumn="0" w:oddVBand="0" w:evenVBand="0" w:oddHBand="0" w:evenHBand="0" w:firstRowFirstColumn="0" w:firstRowLastColumn="0" w:lastRowFirstColumn="0" w:lastRowLastColumn="0"/>
            </w:pPr>
            <w:r w:rsidRPr="005D6A22">
              <w:t>2019-20</w:t>
            </w:r>
          </w:p>
        </w:tc>
      </w:tr>
      <w:tr w:rsidR="00964B88" w:rsidRPr="005D6A22" w14:paraId="4A360924"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4454DFBE" w14:textId="77777777" w:rsidR="00964B88" w:rsidRPr="005D6A22" w:rsidRDefault="00964B88" w:rsidP="005D6A22">
            <w:pPr>
              <w:keepLines w:val="0"/>
              <w:rPr>
                <w:rFonts w:eastAsia="Times New Roman" w:cstheme="majorHAnsi"/>
                <w:szCs w:val="19"/>
                <w:lang w:eastAsia="en-AU"/>
              </w:rPr>
            </w:pPr>
            <w:r w:rsidRPr="005D6A22">
              <w:rPr>
                <w:rFonts w:eastAsia="Times New Roman" w:cstheme="majorHAnsi"/>
                <w:szCs w:val="19"/>
                <w:lang w:eastAsia="en-AU"/>
              </w:rPr>
              <w:t>Electricity</w:t>
            </w:r>
          </w:p>
        </w:tc>
        <w:tc>
          <w:tcPr>
            <w:tcW w:w="850" w:type="dxa"/>
            <w:tcBorders>
              <w:top w:val="nil"/>
              <w:left w:val="nil"/>
              <w:bottom w:val="nil"/>
              <w:right w:val="nil"/>
            </w:tcBorders>
            <w:shd w:val="clear" w:color="000000" w:fill="FFFFFF"/>
            <w:noWrap/>
            <w:vAlign w:val="bottom"/>
            <w:hideMark/>
          </w:tcPr>
          <w:p w14:paraId="07184FDF"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147</w:t>
            </w:r>
          </w:p>
        </w:tc>
        <w:tc>
          <w:tcPr>
            <w:tcW w:w="850" w:type="dxa"/>
            <w:tcBorders>
              <w:top w:val="nil"/>
              <w:left w:val="nil"/>
              <w:bottom w:val="nil"/>
              <w:right w:val="nil"/>
            </w:tcBorders>
            <w:shd w:val="clear" w:color="000000" w:fill="FFFFFF"/>
            <w:noWrap/>
            <w:vAlign w:val="bottom"/>
            <w:hideMark/>
          </w:tcPr>
          <w:p w14:paraId="4ABCDB4E"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155</w:t>
            </w:r>
          </w:p>
        </w:tc>
      </w:tr>
      <w:tr w:rsidR="00964B88" w:rsidRPr="005D6A22" w14:paraId="644BEE78"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160980B3" w14:textId="77777777" w:rsidR="00964B88" w:rsidRPr="005D6A22" w:rsidRDefault="00964B88" w:rsidP="005D6A22">
            <w:pPr>
              <w:keepLines w:val="0"/>
              <w:rPr>
                <w:rFonts w:eastAsia="Times New Roman" w:cstheme="majorHAnsi"/>
                <w:szCs w:val="19"/>
                <w:lang w:eastAsia="en-AU"/>
              </w:rPr>
            </w:pPr>
            <w:r w:rsidRPr="005D6A22">
              <w:rPr>
                <w:rFonts w:eastAsia="Times New Roman" w:cstheme="majorHAnsi"/>
                <w:szCs w:val="19"/>
                <w:lang w:eastAsia="en-AU"/>
              </w:rPr>
              <w:t>Mains gas</w:t>
            </w:r>
          </w:p>
        </w:tc>
        <w:tc>
          <w:tcPr>
            <w:tcW w:w="850" w:type="dxa"/>
            <w:tcBorders>
              <w:top w:val="nil"/>
              <w:left w:val="nil"/>
              <w:bottom w:val="nil"/>
              <w:right w:val="nil"/>
            </w:tcBorders>
            <w:shd w:val="clear" w:color="000000" w:fill="FFFFFF"/>
            <w:noWrap/>
            <w:vAlign w:val="bottom"/>
            <w:hideMark/>
          </w:tcPr>
          <w:p w14:paraId="059B059C"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71</w:t>
            </w:r>
          </w:p>
        </w:tc>
        <w:tc>
          <w:tcPr>
            <w:tcW w:w="850" w:type="dxa"/>
            <w:tcBorders>
              <w:top w:val="nil"/>
              <w:left w:val="nil"/>
              <w:bottom w:val="nil"/>
              <w:right w:val="nil"/>
            </w:tcBorders>
            <w:shd w:val="clear" w:color="000000" w:fill="FFFFFF"/>
            <w:noWrap/>
            <w:vAlign w:val="bottom"/>
            <w:hideMark/>
          </w:tcPr>
          <w:p w14:paraId="2732D617"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72</w:t>
            </w:r>
          </w:p>
        </w:tc>
      </w:tr>
      <w:tr w:rsidR="00964B88" w:rsidRPr="005D6A22" w14:paraId="154B7924"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500861B0" w14:textId="77777777" w:rsidR="00964B88" w:rsidRPr="005D6A22" w:rsidRDefault="00964B88" w:rsidP="005D6A22">
            <w:pPr>
              <w:keepLines w:val="0"/>
              <w:rPr>
                <w:rFonts w:eastAsia="Times New Roman" w:cstheme="majorHAnsi"/>
                <w:szCs w:val="19"/>
                <w:lang w:eastAsia="en-AU"/>
              </w:rPr>
            </w:pPr>
            <w:r w:rsidRPr="005D6A22">
              <w:rPr>
                <w:rFonts w:eastAsia="Times New Roman" w:cstheme="majorHAnsi"/>
                <w:szCs w:val="19"/>
                <w:lang w:eastAsia="en-AU"/>
              </w:rPr>
              <w:t>Municipal rates</w:t>
            </w:r>
          </w:p>
        </w:tc>
        <w:tc>
          <w:tcPr>
            <w:tcW w:w="850" w:type="dxa"/>
            <w:tcBorders>
              <w:top w:val="nil"/>
              <w:left w:val="nil"/>
              <w:bottom w:val="nil"/>
              <w:right w:val="nil"/>
            </w:tcBorders>
            <w:shd w:val="clear" w:color="000000" w:fill="FFFFFF"/>
            <w:noWrap/>
            <w:vAlign w:val="bottom"/>
            <w:hideMark/>
          </w:tcPr>
          <w:p w14:paraId="6C986C95"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97</w:t>
            </w:r>
          </w:p>
        </w:tc>
        <w:tc>
          <w:tcPr>
            <w:tcW w:w="850" w:type="dxa"/>
            <w:tcBorders>
              <w:top w:val="nil"/>
              <w:left w:val="nil"/>
              <w:bottom w:val="nil"/>
              <w:right w:val="nil"/>
            </w:tcBorders>
            <w:shd w:val="clear" w:color="000000" w:fill="FFFFFF"/>
            <w:noWrap/>
            <w:vAlign w:val="bottom"/>
            <w:hideMark/>
          </w:tcPr>
          <w:p w14:paraId="2E8A938E"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99</w:t>
            </w:r>
          </w:p>
        </w:tc>
      </w:tr>
      <w:tr w:rsidR="00964B88" w:rsidRPr="005D6A22" w14:paraId="1AD6EB6A"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0B7329A8" w14:textId="77777777" w:rsidR="00964B88" w:rsidRPr="005D6A22" w:rsidRDefault="00964B88" w:rsidP="005D6A22">
            <w:pPr>
              <w:keepLines w:val="0"/>
              <w:rPr>
                <w:rFonts w:eastAsia="Times New Roman" w:cstheme="majorHAnsi"/>
                <w:szCs w:val="19"/>
                <w:lang w:eastAsia="en-AU"/>
              </w:rPr>
            </w:pPr>
            <w:r w:rsidRPr="005D6A22">
              <w:rPr>
                <w:rFonts w:eastAsia="Times New Roman" w:cstheme="majorHAnsi"/>
                <w:szCs w:val="19"/>
                <w:lang w:eastAsia="en-AU"/>
              </w:rPr>
              <w:t>Water and sewerage</w:t>
            </w:r>
          </w:p>
        </w:tc>
        <w:tc>
          <w:tcPr>
            <w:tcW w:w="850" w:type="dxa"/>
            <w:tcBorders>
              <w:top w:val="nil"/>
              <w:left w:val="nil"/>
              <w:bottom w:val="nil"/>
              <w:right w:val="nil"/>
            </w:tcBorders>
            <w:shd w:val="clear" w:color="000000" w:fill="FFFFFF"/>
            <w:noWrap/>
            <w:vAlign w:val="bottom"/>
            <w:hideMark/>
          </w:tcPr>
          <w:p w14:paraId="5C11C1C2"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171</w:t>
            </w:r>
          </w:p>
        </w:tc>
        <w:tc>
          <w:tcPr>
            <w:tcW w:w="850" w:type="dxa"/>
            <w:tcBorders>
              <w:top w:val="nil"/>
              <w:left w:val="nil"/>
              <w:bottom w:val="nil"/>
              <w:right w:val="nil"/>
            </w:tcBorders>
            <w:shd w:val="clear" w:color="000000" w:fill="FFFFFF"/>
            <w:noWrap/>
            <w:vAlign w:val="bottom"/>
            <w:hideMark/>
          </w:tcPr>
          <w:p w14:paraId="3043245E"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174</w:t>
            </w:r>
          </w:p>
        </w:tc>
      </w:tr>
      <w:tr w:rsidR="00964B88" w:rsidRPr="005D6A22" w14:paraId="44856A38"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4211FD00" w14:textId="77777777" w:rsidR="00964B88" w:rsidRPr="005D6A22" w:rsidRDefault="00964B88" w:rsidP="005D6A22">
            <w:pPr>
              <w:keepLines w:val="0"/>
              <w:rPr>
                <w:rFonts w:eastAsia="Times New Roman" w:cstheme="majorHAnsi"/>
                <w:b/>
                <w:bCs/>
                <w:szCs w:val="19"/>
                <w:lang w:eastAsia="en-AU"/>
              </w:rPr>
            </w:pPr>
            <w:r w:rsidRPr="005D6A22">
              <w:rPr>
                <w:rFonts w:eastAsia="Times New Roman" w:cstheme="majorHAnsi"/>
                <w:b/>
                <w:bCs/>
                <w:szCs w:val="19"/>
                <w:lang w:eastAsia="en-AU"/>
              </w:rPr>
              <w:t>Total energy, municipal rates, water and sewerage</w:t>
            </w:r>
          </w:p>
        </w:tc>
        <w:tc>
          <w:tcPr>
            <w:tcW w:w="850" w:type="dxa"/>
            <w:tcBorders>
              <w:top w:val="nil"/>
              <w:left w:val="nil"/>
              <w:bottom w:val="nil"/>
              <w:right w:val="nil"/>
            </w:tcBorders>
            <w:shd w:val="clear" w:color="000000" w:fill="FFFFFF"/>
            <w:noWrap/>
            <w:vAlign w:val="bottom"/>
            <w:hideMark/>
          </w:tcPr>
          <w:p w14:paraId="4723CB61"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486</w:t>
            </w:r>
          </w:p>
        </w:tc>
        <w:tc>
          <w:tcPr>
            <w:tcW w:w="850" w:type="dxa"/>
            <w:tcBorders>
              <w:top w:val="nil"/>
              <w:left w:val="nil"/>
              <w:bottom w:val="nil"/>
              <w:right w:val="nil"/>
            </w:tcBorders>
            <w:shd w:val="clear" w:color="000000" w:fill="FFFFFF"/>
            <w:noWrap/>
            <w:vAlign w:val="bottom"/>
            <w:hideMark/>
          </w:tcPr>
          <w:p w14:paraId="433E3509"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501</w:t>
            </w:r>
          </w:p>
        </w:tc>
      </w:tr>
      <w:tr w:rsidR="00964B88" w:rsidRPr="005D6A22" w14:paraId="099050DA"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4D48B8EA" w14:textId="77777777" w:rsidR="00964B88" w:rsidRPr="005D6A22" w:rsidRDefault="00964B88" w:rsidP="005D6A22">
            <w:pPr>
              <w:keepLines w:val="0"/>
              <w:rPr>
                <w:rFonts w:eastAsia="Times New Roman" w:cstheme="majorHAnsi"/>
                <w:szCs w:val="19"/>
                <w:lang w:eastAsia="en-AU"/>
              </w:rPr>
            </w:pPr>
            <w:r w:rsidRPr="005D6A22">
              <w:rPr>
                <w:rFonts w:eastAsia="Times New Roman" w:cstheme="majorHAnsi"/>
                <w:szCs w:val="19"/>
                <w:lang w:eastAsia="en-AU"/>
              </w:rPr>
              <w:t>Ambulance</w:t>
            </w:r>
          </w:p>
        </w:tc>
        <w:tc>
          <w:tcPr>
            <w:tcW w:w="850" w:type="dxa"/>
            <w:tcBorders>
              <w:top w:val="nil"/>
              <w:left w:val="nil"/>
              <w:bottom w:val="nil"/>
              <w:right w:val="nil"/>
            </w:tcBorders>
            <w:shd w:val="clear" w:color="000000" w:fill="FFFFFF"/>
            <w:noWrap/>
            <w:vAlign w:val="bottom"/>
            <w:hideMark/>
          </w:tcPr>
          <w:p w14:paraId="79EAC94A"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412</w:t>
            </w:r>
          </w:p>
        </w:tc>
        <w:tc>
          <w:tcPr>
            <w:tcW w:w="850" w:type="dxa"/>
            <w:tcBorders>
              <w:top w:val="nil"/>
              <w:left w:val="nil"/>
              <w:bottom w:val="nil"/>
              <w:right w:val="nil"/>
            </w:tcBorders>
            <w:shd w:val="clear" w:color="000000" w:fill="FFFFFF"/>
            <w:noWrap/>
            <w:vAlign w:val="bottom"/>
            <w:hideMark/>
          </w:tcPr>
          <w:p w14:paraId="3F390562"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425</w:t>
            </w:r>
          </w:p>
        </w:tc>
      </w:tr>
      <w:tr w:rsidR="00964B88" w:rsidRPr="005D6A22" w14:paraId="51C5F842"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007A8348" w14:textId="77777777" w:rsidR="00964B88" w:rsidRPr="005D6A22" w:rsidRDefault="00964B88" w:rsidP="005D6A22">
            <w:pPr>
              <w:keepLines w:val="0"/>
              <w:rPr>
                <w:rFonts w:eastAsia="Times New Roman" w:cstheme="majorHAnsi"/>
                <w:szCs w:val="19"/>
                <w:lang w:eastAsia="en-AU"/>
              </w:rPr>
            </w:pPr>
            <w:r w:rsidRPr="005D6A22">
              <w:rPr>
                <w:rFonts w:eastAsia="Times New Roman" w:cstheme="majorHAnsi"/>
                <w:szCs w:val="19"/>
                <w:lang w:eastAsia="en-AU"/>
              </w:rPr>
              <w:t xml:space="preserve">Dental services and spectacles </w:t>
            </w:r>
          </w:p>
        </w:tc>
        <w:tc>
          <w:tcPr>
            <w:tcW w:w="850" w:type="dxa"/>
            <w:tcBorders>
              <w:top w:val="nil"/>
              <w:left w:val="nil"/>
              <w:bottom w:val="nil"/>
              <w:right w:val="nil"/>
            </w:tcBorders>
            <w:shd w:val="clear" w:color="000000" w:fill="FFFFFF"/>
            <w:noWrap/>
            <w:vAlign w:val="bottom"/>
            <w:hideMark/>
          </w:tcPr>
          <w:p w14:paraId="770B0A97"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153</w:t>
            </w:r>
          </w:p>
        </w:tc>
        <w:tc>
          <w:tcPr>
            <w:tcW w:w="850" w:type="dxa"/>
            <w:tcBorders>
              <w:top w:val="nil"/>
              <w:left w:val="nil"/>
              <w:bottom w:val="nil"/>
              <w:right w:val="nil"/>
            </w:tcBorders>
            <w:shd w:val="clear" w:color="000000" w:fill="FFFFFF"/>
            <w:noWrap/>
            <w:vAlign w:val="bottom"/>
            <w:hideMark/>
          </w:tcPr>
          <w:p w14:paraId="7DA22DDA"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152</w:t>
            </w:r>
          </w:p>
        </w:tc>
      </w:tr>
      <w:tr w:rsidR="00964B88" w:rsidRPr="005D6A22" w14:paraId="3006F666"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32D1E3C1" w14:textId="77777777" w:rsidR="00964B88" w:rsidRPr="005D6A22" w:rsidRDefault="00964B88" w:rsidP="005D6A22">
            <w:pPr>
              <w:keepLines w:val="0"/>
              <w:rPr>
                <w:rFonts w:eastAsia="Times New Roman" w:cstheme="majorHAnsi"/>
                <w:szCs w:val="19"/>
                <w:lang w:eastAsia="en-AU"/>
              </w:rPr>
            </w:pPr>
            <w:r w:rsidRPr="005D6A22">
              <w:rPr>
                <w:rFonts w:eastAsia="Times New Roman" w:cstheme="majorHAnsi"/>
                <w:szCs w:val="19"/>
                <w:lang w:eastAsia="en-AU"/>
              </w:rPr>
              <w:t>Community health programs</w:t>
            </w:r>
          </w:p>
        </w:tc>
        <w:tc>
          <w:tcPr>
            <w:tcW w:w="850" w:type="dxa"/>
            <w:tcBorders>
              <w:top w:val="nil"/>
              <w:left w:val="nil"/>
              <w:bottom w:val="nil"/>
              <w:right w:val="nil"/>
            </w:tcBorders>
            <w:shd w:val="clear" w:color="000000" w:fill="FFFFFF"/>
            <w:noWrap/>
            <w:vAlign w:val="bottom"/>
            <w:hideMark/>
          </w:tcPr>
          <w:p w14:paraId="391B2C8B"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105</w:t>
            </w:r>
          </w:p>
        </w:tc>
        <w:tc>
          <w:tcPr>
            <w:tcW w:w="850" w:type="dxa"/>
            <w:tcBorders>
              <w:top w:val="nil"/>
              <w:left w:val="nil"/>
              <w:bottom w:val="nil"/>
              <w:right w:val="nil"/>
            </w:tcBorders>
            <w:shd w:val="clear" w:color="000000" w:fill="FFFFFF"/>
            <w:noWrap/>
            <w:vAlign w:val="bottom"/>
            <w:hideMark/>
          </w:tcPr>
          <w:p w14:paraId="6288AAA2"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7"/>
                <w:lang w:eastAsia="en-AU"/>
              </w:rPr>
            </w:pPr>
            <w:r>
              <w:rPr>
                <w:rFonts w:cstheme="majorHAnsi"/>
                <w:szCs w:val="17"/>
              </w:rPr>
              <w:t>108</w:t>
            </w:r>
          </w:p>
        </w:tc>
      </w:tr>
      <w:tr w:rsidR="00964B88" w:rsidRPr="005D6A22" w14:paraId="3105DA40"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16276FF6" w14:textId="77777777" w:rsidR="00964B88" w:rsidRPr="005D6A22" w:rsidRDefault="00964B88" w:rsidP="005D6A22">
            <w:pPr>
              <w:keepLines w:val="0"/>
              <w:rPr>
                <w:rFonts w:eastAsia="Times New Roman" w:cstheme="majorHAnsi"/>
                <w:b/>
                <w:bCs/>
                <w:szCs w:val="19"/>
                <w:lang w:eastAsia="en-AU"/>
              </w:rPr>
            </w:pPr>
            <w:r w:rsidRPr="005D6A22">
              <w:rPr>
                <w:rFonts w:eastAsia="Times New Roman" w:cstheme="majorHAnsi"/>
                <w:b/>
                <w:bCs/>
                <w:szCs w:val="19"/>
                <w:lang w:eastAsia="en-AU"/>
              </w:rPr>
              <w:t>Total health</w:t>
            </w:r>
          </w:p>
        </w:tc>
        <w:tc>
          <w:tcPr>
            <w:tcW w:w="850" w:type="dxa"/>
            <w:tcBorders>
              <w:top w:val="nil"/>
              <w:left w:val="nil"/>
              <w:bottom w:val="nil"/>
              <w:right w:val="nil"/>
            </w:tcBorders>
            <w:shd w:val="clear" w:color="000000" w:fill="FFFFFF"/>
            <w:noWrap/>
            <w:vAlign w:val="bottom"/>
            <w:hideMark/>
          </w:tcPr>
          <w:p w14:paraId="01FF0018"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670</w:t>
            </w:r>
          </w:p>
        </w:tc>
        <w:tc>
          <w:tcPr>
            <w:tcW w:w="850" w:type="dxa"/>
            <w:tcBorders>
              <w:top w:val="nil"/>
              <w:left w:val="nil"/>
              <w:bottom w:val="nil"/>
              <w:right w:val="nil"/>
            </w:tcBorders>
            <w:shd w:val="clear" w:color="000000" w:fill="FFFFFF"/>
            <w:noWrap/>
            <w:vAlign w:val="bottom"/>
            <w:hideMark/>
          </w:tcPr>
          <w:p w14:paraId="2EB35663"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684</w:t>
            </w:r>
          </w:p>
        </w:tc>
      </w:tr>
      <w:tr w:rsidR="00964B88" w:rsidRPr="005D6A22" w14:paraId="2C21F0D2"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4892A244" w14:textId="77777777" w:rsidR="00964B88" w:rsidRPr="005D6A22" w:rsidRDefault="00964B88" w:rsidP="005D6A22">
            <w:pPr>
              <w:keepLines w:val="0"/>
              <w:rPr>
                <w:rFonts w:eastAsia="Times New Roman" w:cstheme="majorHAnsi"/>
                <w:b/>
                <w:bCs/>
                <w:szCs w:val="19"/>
                <w:lang w:eastAsia="en-AU"/>
              </w:rPr>
            </w:pPr>
            <w:r w:rsidRPr="005D6A22">
              <w:rPr>
                <w:rFonts w:eastAsia="Times New Roman" w:cstheme="majorHAnsi"/>
                <w:b/>
                <w:bCs/>
                <w:szCs w:val="19"/>
                <w:lang w:eastAsia="en-AU"/>
              </w:rPr>
              <w:t xml:space="preserve">Education </w:t>
            </w:r>
          </w:p>
        </w:tc>
        <w:tc>
          <w:tcPr>
            <w:tcW w:w="850" w:type="dxa"/>
            <w:tcBorders>
              <w:top w:val="nil"/>
              <w:left w:val="nil"/>
              <w:bottom w:val="nil"/>
              <w:right w:val="nil"/>
            </w:tcBorders>
            <w:shd w:val="clear" w:color="000000" w:fill="FFFFFF"/>
            <w:noWrap/>
            <w:vAlign w:val="bottom"/>
            <w:hideMark/>
          </w:tcPr>
          <w:p w14:paraId="3C67DC73"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83</w:t>
            </w:r>
          </w:p>
        </w:tc>
        <w:tc>
          <w:tcPr>
            <w:tcW w:w="850" w:type="dxa"/>
            <w:tcBorders>
              <w:top w:val="nil"/>
              <w:left w:val="nil"/>
              <w:bottom w:val="nil"/>
              <w:right w:val="nil"/>
            </w:tcBorders>
            <w:shd w:val="clear" w:color="000000" w:fill="FFFFFF"/>
            <w:noWrap/>
            <w:vAlign w:val="bottom"/>
            <w:hideMark/>
          </w:tcPr>
          <w:p w14:paraId="77810822"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63</w:t>
            </w:r>
          </w:p>
        </w:tc>
      </w:tr>
      <w:tr w:rsidR="00964B88" w:rsidRPr="005D6A22" w14:paraId="126B8958"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2D20747E" w14:textId="77777777" w:rsidR="00964B88" w:rsidRPr="005D6A22" w:rsidRDefault="00964B88" w:rsidP="005D6A22">
            <w:pPr>
              <w:keepLines w:val="0"/>
              <w:rPr>
                <w:rFonts w:eastAsia="Times New Roman" w:cstheme="majorHAnsi"/>
                <w:b/>
                <w:bCs/>
                <w:szCs w:val="19"/>
                <w:lang w:eastAsia="en-AU"/>
              </w:rPr>
            </w:pPr>
            <w:r w:rsidRPr="005D6A22">
              <w:rPr>
                <w:rFonts w:eastAsia="Times New Roman" w:cstheme="majorHAnsi"/>
                <w:b/>
                <w:bCs/>
                <w:szCs w:val="19"/>
                <w:lang w:eastAsia="en-AU"/>
              </w:rPr>
              <w:t>Hardship schemes</w:t>
            </w:r>
          </w:p>
        </w:tc>
        <w:tc>
          <w:tcPr>
            <w:tcW w:w="850" w:type="dxa"/>
            <w:tcBorders>
              <w:top w:val="nil"/>
              <w:left w:val="nil"/>
              <w:bottom w:val="nil"/>
              <w:right w:val="nil"/>
            </w:tcBorders>
            <w:shd w:val="clear" w:color="000000" w:fill="FFFFFF"/>
            <w:noWrap/>
            <w:vAlign w:val="bottom"/>
            <w:hideMark/>
          </w:tcPr>
          <w:p w14:paraId="5121D532"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48</w:t>
            </w:r>
          </w:p>
        </w:tc>
        <w:tc>
          <w:tcPr>
            <w:tcW w:w="850" w:type="dxa"/>
            <w:tcBorders>
              <w:top w:val="nil"/>
              <w:left w:val="nil"/>
              <w:bottom w:val="nil"/>
              <w:right w:val="nil"/>
            </w:tcBorders>
            <w:shd w:val="clear" w:color="000000" w:fill="FFFFFF"/>
            <w:noWrap/>
            <w:vAlign w:val="bottom"/>
            <w:hideMark/>
          </w:tcPr>
          <w:p w14:paraId="19FCCDB0"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50</w:t>
            </w:r>
          </w:p>
        </w:tc>
      </w:tr>
      <w:tr w:rsidR="00964B88" w:rsidRPr="005D6A22" w14:paraId="121E191C"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4280B57B" w14:textId="77777777" w:rsidR="00964B88" w:rsidRPr="005D6A22" w:rsidRDefault="00964B88" w:rsidP="005D6A22">
            <w:pPr>
              <w:keepLines w:val="0"/>
              <w:rPr>
                <w:rFonts w:eastAsia="Times New Roman" w:cstheme="majorHAnsi"/>
                <w:b/>
                <w:bCs/>
                <w:szCs w:val="19"/>
                <w:lang w:eastAsia="en-AU"/>
              </w:rPr>
            </w:pPr>
            <w:r w:rsidRPr="005D6A22">
              <w:rPr>
                <w:rFonts w:eastAsia="Times New Roman" w:cstheme="majorHAnsi"/>
                <w:b/>
                <w:bCs/>
                <w:szCs w:val="19"/>
                <w:lang w:eastAsia="en-AU"/>
              </w:rPr>
              <w:t>Social and community services</w:t>
            </w:r>
          </w:p>
        </w:tc>
        <w:tc>
          <w:tcPr>
            <w:tcW w:w="850" w:type="dxa"/>
            <w:tcBorders>
              <w:top w:val="nil"/>
              <w:left w:val="nil"/>
              <w:bottom w:val="nil"/>
              <w:right w:val="nil"/>
            </w:tcBorders>
            <w:shd w:val="clear" w:color="000000" w:fill="FFFFFF"/>
            <w:noWrap/>
            <w:vAlign w:val="bottom"/>
            <w:hideMark/>
          </w:tcPr>
          <w:p w14:paraId="5EBF1895"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6</w:t>
            </w:r>
          </w:p>
        </w:tc>
        <w:tc>
          <w:tcPr>
            <w:tcW w:w="850" w:type="dxa"/>
            <w:tcBorders>
              <w:top w:val="nil"/>
              <w:left w:val="nil"/>
              <w:bottom w:val="nil"/>
              <w:right w:val="nil"/>
            </w:tcBorders>
            <w:shd w:val="clear" w:color="000000" w:fill="FFFFFF"/>
            <w:noWrap/>
            <w:vAlign w:val="bottom"/>
            <w:hideMark/>
          </w:tcPr>
          <w:p w14:paraId="641EF15B"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6</w:t>
            </w:r>
          </w:p>
        </w:tc>
      </w:tr>
      <w:tr w:rsidR="00964B88" w:rsidRPr="005D6A22" w14:paraId="0220B562"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27B613FA" w14:textId="77777777" w:rsidR="00964B88" w:rsidRPr="005D6A22" w:rsidRDefault="00964B88" w:rsidP="005D6A22">
            <w:pPr>
              <w:keepLines w:val="0"/>
              <w:rPr>
                <w:rFonts w:eastAsia="Times New Roman" w:cstheme="majorHAnsi"/>
                <w:b/>
                <w:bCs/>
                <w:szCs w:val="19"/>
                <w:lang w:eastAsia="en-AU"/>
              </w:rPr>
            </w:pPr>
            <w:r w:rsidRPr="005D6A22">
              <w:rPr>
                <w:rFonts w:eastAsia="Times New Roman" w:cstheme="majorHAnsi"/>
                <w:b/>
                <w:bCs/>
                <w:szCs w:val="19"/>
                <w:lang w:eastAsia="en-AU"/>
              </w:rPr>
              <w:t>Private transport</w:t>
            </w:r>
          </w:p>
        </w:tc>
        <w:tc>
          <w:tcPr>
            <w:tcW w:w="850" w:type="dxa"/>
            <w:tcBorders>
              <w:top w:val="nil"/>
              <w:left w:val="nil"/>
              <w:bottom w:val="nil"/>
              <w:right w:val="nil"/>
            </w:tcBorders>
            <w:shd w:val="clear" w:color="000000" w:fill="FFFFFF"/>
            <w:noWrap/>
            <w:vAlign w:val="bottom"/>
            <w:hideMark/>
          </w:tcPr>
          <w:p w14:paraId="0F291845"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178</w:t>
            </w:r>
          </w:p>
        </w:tc>
        <w:tc>
          <w:tcPr>
            <w:tcW w:w="850" w:type="dxa"/>
            <w:tcBorders>
              <w:top w:val="nil"/>
              <w:left w:val="nil"/>
              <w:bottom w:val="nil"/>
              <w:right w:val="nil"/>
            </w:tcBorders>
            <w:shd w:val="clear" w:color="000000" w:fill="FFFFFF"/>
            <w:noWrap/>
            <w:vAlign w:val="bottom"/>
            <w:hideMark/>
          </w:tcPr>
          <w:p w14:paraId="3694B641"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187</w:t>
            </w:r>
          </w:p>
        </w:tc>
      </w:tr>
      <w:tr w:rsidR="00964B88" w:rsidRPr="005D6A22" w14:paraId="4B5BBF54" w14:textId="77777777" w:rsidTr="005D6A22">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14:paraId="3BDB14F1" w14:textId="77777777" w:rsidR="00964B88" w:rsidRPr="005D6A22" w:rsidRDefault="00964B88" w:rsidP="005D6A22">
            <w:pPr>
              <w:keepLines w:val="0"/>
              <w:rPr>
                <w:rFonts w:eastAsia="Times New Roman" w:cstheme="majorHAnsi"/>
                <w:b/>
                <w:bCs/>
                <w:szCs w:val="19"/>
                <w:lang w:eastAsia="en-AU"/>
              </w:rPr>
            </w:pPr>
            <w:r w:rsidRPr="005D6A22">
              <w:rPr>
                <w:rFonts w:eastAsia="Times New Roman" w:cstheme="majorHAnsi"/>
                <w:b/>
                <w:bCs/>
                <w:szCs w:val="19"/>
                <w:lang w:eastAsia="en-AU"/>
              </w:rPr>
              <w:t>Public transport</w:t>
            </w:r>
          </w:p>
        </w:tc>
        <w:tc>
          <w:tcPr>
            <w:tcW w:w="850" w:type="dxa"/>
            <w:tcBorders>
              <w:top w:val="nil"/>
              <w:left w:val="nil"/>
              <w:bottom w:val="nil"/>
              <w:right w:val="nil"/>
            </w:tcBorders>
            <w:shd w:val="clear" w:color="000000" w:fill="FFFFFF"/>
            <w:noWrap/>
            <w:vAlign w:val="bottom"/>
            <w:hideMark/>
          </w:tcPr>
          <w:p w14:paraId="5EBF3F10"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169</w:t>
            </w:r>
          </w:p>
        </w:tc>
        <w:tc>
          <w:tcPr>
            <w:tcW w:w="850" w:type="dxa"/>
            <w:tcBorders>
              <w:top w:val="nil"/>
              <w:left w:val="nil"/>
              <w:bottom w:val="nil"/>
              <w:right w:val="nil"/>
            </w:tcBorders>
            <w:shd w:val="clear" w:color="000000" w:fill="FFFFFF"/>
            <w:noWrap/>
            <w:vAlign w:val="bottom"/>
            <w:hideMark/>
          </w:tcPr>
          <w:p w14:paraId="69E32DAA" w14:textId="77777777" w:rsidR="00964B88" w:rsidRPr="005D6A22" w:rsidRDefault="005D6A22" w:rsidP="005D6A22">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7"/>
                <w:lang w:eastAsia="en-AU"/>
              </w:rPr>
            </w:pPr>
            <w:r>
              <w:rPr>
                <w:rFonts w:cstheme="majorHAnsi"/>
                <w:b/>
                <w:bCs/>
                <w:szCs w:val="17"/>
              </w:rPr>
              <w:t>176</w:t>
            </w:r>
          </w:p>
        </w:tc>
      </w:tr>
      <w:tr w:rsidR="00964B88" w:rsidRPr="005D6A22" w14:paraId="395018DC" w14:textId="77777777" w:rsidTr="005D6A22">
        <w:trPr>
          <w:cnfStyle w:val="010000000000" w:firstRow="0" w:lastRow="1" w:firstColumn="0" w:lastColumn="0" w:oddVBand="0" w:evenVBand="0" w:oddHBand="0" w:evenHBand="0" w:firstRowFirstColumn="0" w:firstRowLastColumn="0" w:lastRowFirstColumn="0" w:lastRowLastColumn="0"/>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single" w:sz="4" w:space="0" w:color="auto"/>
              <w:bottom w:val="single" w:sz="8" w:space="0" w:color="auto"/>
            </w:tcBorders>
            <w:shd w:val="clear" w:color="000000" w:fill="FFFFFF"/>
            <w:noWrap/>
            <w:vAlign w:val="bottom"/>
            <w:hideMark/>
          </w:tcPr>
          <w:p w14:paraId="19C7DAED" w14:textId="77777777" w:rsidR="00964B88" w:rsidRPr="005D6A22" w:rsidRDefault="00964B88" w:rsidP="005D6A22">
            <w:pPr>
              <w:keepLines w:val="0"/>
              <w:rPr>
                <w:rFonts w:eastAsia="Times New Roman" w:cstheme="majorHAnsi"/>
                <w:b w:val="0"/>
                <w:bCs/>
                <w:szCs w:val="19"/>
                <w:lang w:eastAsia="en-AU"/>
              </w:rPr>
            </w:pPr>
            <w:r w:rsidRPr="005D6A22">
              <w:rPr>
                <w:rFonts w:eastAsia="Times New Roman" w:cstheme="majorHAnsi"/>
                <w:bCs/>
                <w:szCs w:val="19"/>
                <w:lang w:eastAsia="en-AU"/>
              </w:rPr>
              <w:t>Total for items estimated</w:t>
            </w:r>
          </w:p>
        </w:tc>
        <w:tc>
          <w:tcPr>
            <w:tcW w:w="850" w:type="dxa"/>
            <w:tcBorders>
              <w:top w:val="single" w:sz="4" w:space="0" w:color="auto"/>
              <w:bottom w:val="single" w:sz="8" w:space="0" w:color="auto"/>
            </w:tcBorders>
            <w:shd w:val="clear" w:color="000000" w:fill="FFFFFF"/>
            <w:noWrap/>
            <w:vAlign w:val="bottom"/>
            <w:hideMark/>
          </w:tcPr>
          <w:p w14:paraId="23266EAC" w14:textId="77777777" w:rsidR="00964B88" w:rsidRPr="005D6A22" w:rsidRDefault="00964B88" w:rsidP="005D6A22">
            <w:pPr>
              <w:keepLines w:val="0"/>
              <w:cnfStyle w:val="010000000000" w:firstRow="0" w:lastRow="1" w:firstColumn="0" w:lastColumn="0" w:oddVBand="0" w:evenVBand="0" w:oddHBand="0" w:evenHBand="0" w:firstRowFirstColumn="0" w:firstRowLastColumn="0" w:lastRowFirstColumn="0" w:lastRowLastColumn="0"/>
              <w:rPr>
                <w:rFonts w:eastAsia="Times New Roman" w:cstheme="majorHAnsi"/>
                <w:b w:val="0"/>
                <w:bCs/>
                <w:szCs w:val="17"/>
                <w:lang w:eastAsia="en-AU"/>
              </w:rPr>
            </w:pPr>
            <w:r w:rsidRPr="005D6A22">
              <w:rPr>
                <w:rFonts w:cstheme="majorHAnsi"/>
                <w:b w:val="0"/>
                <w:bCs/>
                <w:szCs w:val="17"/>
              </w:rPr>
              <w:t>1 639</w:t>
            </w:r>
          </w:p>
        </w:tc>
        <w:tc>
          <w:tcPr>
            <w:tcW w:w="850" w:type="dxa"/>
            <w:tcBorders>
              <w:top w:val="single" w:sz="4" w:space="0" w:color="auto"/>
              <w:bottom w:val="single" w:sz="8" w:space="0" w:color="auto"/>
            </w:tcBorders>
            <w:shd w:val="clear" w:color="000000" w:fill="FFFFFF"/>
            <w:noWrap/>
            <w:vAlign w:val="bottom"/>
            <w:hideMark/>
          </w:tcPr>
          <w:p w14:paraId="14707548" w14:textId="77777777" w:rsidR="00964B88" w:rsidRPr="005D6A22" w:rsidRDefault="00964B88" w:rsidP="005D6A22">
            <w:pPr>
              <w:keepLines w:val="0"/>
              <w:cnfStyle w:val="010000000000" w:firstRow="0" w:lastRow="1" w:firstColumn="0" w:lastColumn="0" w:oddVBand="0" w:evenVBand="0" w:oddHBand="0" w:evenHBand="0" w:firstRowFirstColumn="0" w:firstRowLastColumn="0" w:lastRowFirstColumn="0" w:lastRowLastColumn="0"/>
              <w:rPr>
                <w:rFonts w:eastAsia="Times New Roman" w:cstheme="majorHAnsi"/>
                <w:b w:val="0"/>
                <w:bCs/>
                <w:szCs w:val="17"/>
                <w:lang w:eastAsia="en-AU"/>
              </w:rPr>
            </w:pPr>
            <w:r w:rsidRPr="005D6A22">
              <w:rPr>
                <w:rFonts w:cstheme="majorHAnsi"/>
                <w:b w:val="0"/>
                <w:bCs/>
                <w:szCs w:val="17"/>
              </w:rPr>
              <w:t>1 667</w:t>
            </w:r>
          </w:p>
        </w:tc>
      </w:tr>
    </w:tbl>
    <w:bookmarkEnd w:id="152"/>
    <w:p w14:paraId="50D67142" w14:textId="77777777" w:rsidR="00964B88" w:rsidRPr="004E2527" w:rsidRDefault="00964B88" w:rsidP="00F53820">
      <w:pPr>
        <w:pStyle w:val="Note"/>
      </w:pPr>
      <w:r w:rsidRPr="004E2527">
        <w:t>Note:</w:t>
      </w:r>
    </w:p>
    <w:p w14:paraId="4DC3D9CD" w14:textId="77777777" w:rsidR="00964B88" w:rsidRPr="004E2527" w:rsidRDefault="00964B88" w:rsidP="00F53820">
      <w:pPr>
        <w:pStyle w:val="Note"/>
      </w:pPr>
      <w:r w:rsidRPr="004E2527">
        <w:t>(a)</w:t>
      </w:r>
      <w:r w:rsidRPr="004E2527">
        <w:tab/>
        <w:t>All amounts have been rounded to the nearest $1 million unless otherwise stated. Figures may not add due to rounding.</w:t>
      </w:r>
    </w:p>
    <w:p w14:paraId="6D876BBB" w14:textId="77777777" w:rsidR="00964B88" w:rsidRDefault="00964B88" w:rsidP="0052294D">
      <w:pPr>
        <w:sectPr w:rsidR="00964B88" w:rsidSect="005D6A22">
          <w:headerReference w:type="even" r:id="rId98"/>
          <w:headerReference w:type="default" r:id="rId99"/>
          <w:footerReference w:type="even" r:id="rId100"/>
          <w:footerReference w:type="default" r:id="rId101"/>
          <w:headerReference w:type="first" r:id="rId102"/>
          <w:footerReference w:type="first" r:id="rId103"/>
          <w:pgSz w:w="9979" w:h="14175" w:code="34"/>
          <w:pgMar w:top="851" w:right="1134" w:bottom="851" w:left="1134" w:header="624" w:footer="567" w:gutter="0"/>
          <w:cols w:sep="1" w:space="567"/>
          <w:docGrid w:linePitch="360"/>
        </w:sectPr>
      </w:pPr>
    </w:p>
    <w:p w14:paraId="7F3CD21A" w14:textId="77777777" w:rsidR="00964B88" w:rsidRDefault="00964B88" w:rsidP="00F53820">
      <w:pPr>
        <w:pStyle w:val="Chapterheading"/>
        <w:pageBreakBefore/>
      </w:pPr>
      <w:bookmarkStart w:id="153" w:name="_Toc9436040"/>
      <w:bookmarkStart w:id="154" w:name="_Toc26788554"/>
      <w:r>
        <w:lastRenderedPageBreak/>
        <w:t>Appendix D – Sensitivity analysis</w:t>
      </w:r>
      <w:bookmarkEnd w:id="153"/>
      <w:bookmarkEnd w:id="154"/>
    </w:p>
    <w:p w14:paraId="5B55224F" w14:textId="77777777" w:rsidR="00964B88" w:rsidRDefault="00964B88" w:rsidP="005D6A22">
      <w:pPr>
        <w:ind w:right="198"/>
      </w:pPr>
      <w:r w:rsidRPr="002B2DAB">
        <w:t xml:space="preserve">The </w:t>
      </w:r>
      <w:r>
        <w:rPr>
          <w:i/>
        </w:rPr>
        <w:t>2019</w:t>
      </w:r>
      <w:r>
        <w:rPr>
          <w:i/>
        </w:rPr>
        <w:noBreakHyphen/>
        <w:t xml:space="preserve">20 </w:t>
      </w:r>
      <w:r w:rsidRPr="002B2DAB">
        <w:rPr>
          <w:i/>
        </w:rPr>
        <w:t>Budget</w:t>
      </w:r>
      <w:r>
        <w:rPr>
          <w:i/>
        </w:rPr>
        <w:t xml:space="preserve"> Update </w:t>
      </w:r>
      <w:r>
        <w:t>relies on</w:t>
      </w:r>
      <w:r w:rsidRPr="002B2DAB">
        <w:t xml:space="preserve"> forecasts and </w:t>
      </w:r>
      <w:r>
        <w:t xml:space="preserve">judgements about the </w:t>
      </w:r>
      <w:r w:rsidRPr="002B2DAB">
        <w:t>economic</w:t>
      </w:r>
      <w:r>
        <w:t xml:space="preserve">, operating and financial conditions for the Victorian general government sector. Uncertainty in these conditions, for example as a result of international developments and other risks to the national economy, may cause the actual results to differ from projections. </w:t>
      </w:r>
    </w:p>
    <w:p w14:paraId="6C121C12" w14:textId="77777777" w:rsidR="00964B88" w:rsidRDefault="00964B88" w:rsidP="00F53820">
      <w:r>
        <w:t xml:space="preserve">This sensitivity analysis explores the impact of variations in the macroeconomic outlook on key fiscal aggregates of the general government sector using two alternative approaches. </w:t>
      </w:r>
    </w:p>
    <w:p w14:paraId="0DCBC38C" w14:textId="77777777" w:rsidR="00964B88" w:rsidRDefault="00964B88" w:rsidP="00F53820">
      <w:r>
        <w:t xml:space="preserve">The first quantifies the fiscal impacts of scenarios involving simultaneous variations in economic parameters that represent key risks to the economic outlook described in Chapter 2 </w:t>
      </w:r>
      <w:r w:rsidRPr="00F6625A">
        <w:rPr>
          <w:i/>
        </w:rPr>
        <w:t>Economic</w:t>
      </w:r>
      <w:r>
        <w:rPr>
          <w:i/>
        </w:rPr>
        <w:t> Context</w:t>
      </w:r>
      <w:r w:rsidRPr="00F6625A">
        <w:t>.</w:t>
      </w:r>
      <w:r>
        <w:t xml:space="preserve"> These scenarios were selected to cover plausible shocks that could affect Victoria over the medium term, and the modelling takes account of linkages between key international, Australian and Victorian economic aggregates.</w:t>
      </w:r>
    </w:p>
    <w:p w14:paraId="5D197FA4" w14:textId="77777777" w:rsidR="00964B88" w:rsidRDefault="00964B88" w:rsidP="00F53820">
      <w:r>
        <w:t xml:space="preserve">The modelled outcomes are intended to be used as a guide and care should be exercised in interpreting the results. </w:t>
      </w:r>
      <w:r w:rsidRPr="00DF7EFD">
        <w:t xml:space="preserve">In </w:t>
      </w:r>
      <w:r>
        <w:t>particular</w:t>
      </w:r>
      <w:r w:rsidRPr="00DF7EFD">
        <w:t xml:space="preserve">, economic shocks tend to be idiosyncratic in nature, with the modelled scenarios </w:t>
      </w:r>
      <w:r>
        <w:t>unlikely</w:t>
      </w:r>
      <w:r w:rsidRPr="00DF7EFD">
        <w:t xml:space="preserve"> to completely reflect any future shock that could </w:t>
      </w:r>
      <w:r>
        <w:t>occur</w:t>
      </w:r>
      <w:r w:rsidRPr="00DF7EFD">
        <w:t>. Departures from these scenarios would be expected to result in di</w:t>
      </w:r>
      <w:r>
        <w:t xml:space="preserve">fferent impacts on the budget. </w:t>
      </w:r>
      <w:r w:rsidRPr="00DF7EFD">
        <w:t>Fu</w:t>
      </w:r>
      <w:r>
        <w:t>rthermore, the modelled results of the shocks do not incorporate</w:t>
      </w:r>
      <w:r w:rsidRPr="00DF7EFD">
        <w:t xml:space="preserve"> any policy response</w:t>
      </w:r>
      <w:r>
        <w:t>s</w:t>
      </w:r>
      <w:r w:rsidRPr="00DF7EFD">
        <w:t xml:space="preserve"> to the </w:t>
      </w:r>
      <w:r>
        <w:t xml:space="preserve">shocks or to the </w:t>
      </w:r>
      <w:r w:rsidRPr="00DF7EFD">
        <w:t xml:space="preserve">change in </w:t>
      </w:r>
      <w:r>
        <w:t xml:space="preserve">the economic </w:t>
      </w:r>
      <w:r w:rsidRPr="00DF7EFD">
        <w:t>outlook</w:t>
      </w:r>
      <w:r>
        <w:t xml:space="preserve">. </w:t>
      </w:r>
    </w:p>
    <w:p w14:paraId="36428FBE" w14:textId="77777777" w:rsidR="00964B88" w:rsidRDefault="00964B88" w:rsidP="00F53820">
      <w:r>
        <w:t>The second approach considers the fiscal impacts of independent variations in major macroeconomic parameters, holding constant all parameters other than the indicator of interest. This analysis may be useful for assessing the impact on fiscal aggregates of a forecast error in a single economic parameter. In practice, economic variations rarely occur in isolation, and scenario analysis is likely to be more appropriate to illustrate the fiscal impacts of an economic environment materially different from that presented in the budget papers.</w:t>
      </w:r>
    </w:p>
    <w:p w14:paraId="32914BB5" w14:textId="77777777" w:rsidR="00964B88" w:rsidRDefault="00964B88" w:rsidP="00F53820">
      <w:pPr>
        <w:pStyle w:val="Heading10"/>
      </w:pPr>
      <w:r>
        <w:br w:type="page"/>
      </w:r>
    </w:p>
    <w:p w14:paraId="0B1236E0" w14:textId="77777777" w:rsidR="00964B88" w:rsidRPr="00BB71B2" w:rsidRDefault="00964B88" w:rsidP="0073799D">
      <w:pPr>
        <w:pStyle w:val="Heading1Non-TOC"/>
      </w:pPr>
      <w:bookmarkStart w:id="155" w:name="_Toc9436041"/>
      <w:r w:rsidRPr="00BB71B2">
        <w:lastRenderedPageBreak/>
        <w:t>Fiscal impacts of variations to the economic outlook</w:t>
      </w:r>
      <w:bookmarkEnd w:id="155"/>
    </w:p>
    <w:p w14:paraId="54CFD3DD" w14:textId="77777777" w:rsidR="00964B88" w:rsidRDefault="00964B88" w:rsidP="00F53820">
      <w:pPr>
        <w:ind w:right="-227"/>
      </w:pPr>
      <w:r>
        <w:t xml:space="preserve">This part of the sensitivity analysis quantifies some of the key risks identified in Chapter 2 </w:t>
      </w:r>
      <w:r w:rsidRPr="00F6625A">
        <w:rPr>
          <w:i/>
        </w:rPr>
        <w:t>Economic </w:t>
      </w:r>
      <w:r>
        <w:rPr>
          <w:i/>
        </w:rPr>
        <w:t>Context</w:t>
      </w:r>
      <w:r>
        <w:t xml:space="preserve"> and </w:t>
      </w:r>
      <w:r w:rsidRPr="000A190C">
        <w:t>presents how these risks might affect the State’s economic and fiscal aggregates. Two scenarios are considered: a negative shock to population growth that affects growth in employment and</w:t>
      </w:r>
      <w:r>
        <w:t xml:space="preserve"> household consumption</w:t>
      </w:r>
      <w:r w:rsidRPr="00516DAA">
        <w:t>;</w:t>
      </w:r>
      <w:r>
        <w:t xml:space="preserve"> and a positive shock to Victoria’s labour market, modelled as a reduction in the assumed trend rate of unemployment, which results in higher employment and investment activity.</w:t>
      </w:r>
      <w:r>
        <w:rPr>
          <w:rStyle w:val="FootnoteReference"/>
        </w:rPr>
        <w:footnoteReference w:id="1"/>
      </w:r>
    </w:p>
    <w:p w14:paraId="43FFB0BB" w14:textId="77777777" w:rsidR="00964B88" w:rsidRPr="00C80C1F" w:rsidRDefault="00964B88" w:rsidP="00F53820">
      <w:pPr>
        <w:ind w:right="-86"/>
      </w:pPr>
      <w:r w:rsidRPr="00C80C1F">
        <w:t>The economic impacts of both scenarios have been modelled as deviations from a business</w:t>
      </w:r>
      <w:r>
        <w:t xml:space="preserve"> </w:t>
      </w:r>
      <w:r w:rsidRPr="00C80C1F">
        <w:t>as</w:t>
      </w:r>
      <w:r>
        <w:t xml:space="preserve"> </w:t>
      </w:r>
      <w:r w:rsidRPr="00C80C1F">
        <w:t>usual base</w:t>
      </w:r>
      <w:r>
        <w:t xml:space="preserve"> case </w:t>
      </w:r>
      <w:r w:rsidRPr="00AD0B5E">
        <w:t>generated from the Victoria University Regional Model (VURM).</w:t>
      </w:r>
      <w:r w:rsidRPr="00AD0B5E">
        <w:rPr>
          <w:rStyle w:val="FootnoteReference"/>
        </w:rPr>
        <w:footnoteReference w:id="2"/>
      </w:r>
      <w:r w:rsidRPr="00AD0B5E">
        <w:t xml:space="preserve"> The </w:t>
      </w:r>
      <w:r w:rsidRPr="00C80C1F">
        <w:t xml:space="preserve">changes in economic indicators resulting from the modelled shocks are then mapped into estimated revenue and expenditure impacts using elasticities that describe the historic relationship between fiscal outcomes and major macroeconomic parameters in </w:t>
      </w:r>
      <w:r>
        <w:t>Table D.</w:t>
      </w:r>
      <w:r w:rsidRPr="00C80C1F">
        <w:t>5.</w:t>
      </w:r>
      <w:r w:rsidRPr="00C80C1F">
        <w:rPr>
          <w:rStyle w:val="FootnoteReference"/>
        </w:rPr>
        <w:footnoteReference w:id="3"/>
      </w:r>
    </w:p>
    <w:p w14:paraId="432BE1E8" w14:textId="77777777" w:rsidR="00964B88" w:rsidRDefault="00964B88" w:rsidP="00F53820">
      <w:pPr>
        <w:pStyle w:val="Heading20"/>
      </w:pPr>
      <w:r w:rsidRPr="00C80C1F">
        <w:t xml:space="preserve">Downturn in </w:t>
      </w:r>
      <w:r>
        <w:t>Victorian population growth</w:t>
      </w:r>
    </w:p>
    <w:p w14:paraId="0586514F" w14:textId="77777777" w:rsidR="00964B88" w:rsidRDefault="00964B88" w:rsidP="00F53820">
      <w:r w:rsidRPr="00A44E05">
        <w:t xml:space="preserve">Population growth has been a key </w:t>
      </w:r>
      <w:r>
        <w:t>contributor to</w:t>
      </w:r>
      <w:r w:rsidRPr="00A44E05">
        <w:t xml:space="preserve"> Victoria</w:t>
      </w:r>
      <w:r>
        <w:t>’</w:t>
      </w:r>
      <w:r w:rsidRPr="00A44E05">
        <w:t xml:space="preserve">s recent economic </w:t>
      </w:r>
      <w:r>
        <w:t>performance</w:t>
      </w:r>
      <w:r w:rsidRPr="00A44E05">
        <w:t xml:space="preserve"> and remains </w:t>
      </w:r>
      <w:r>
        <w:t xml:space="preserve">significantly </w:t>
      </w:r>
      <w:r w:rsidRPr="00A44E05">
        <w:t xml:space="preserve">above its </w:t>
      </w:r>
      <w:r>
        <w:t>long-term average</w:t>
      </w:r>
      <w:r w:rsidRPr="00A44E05">
        <w:t xml:space="preserve">. The central forecasts are for population growth to moderate over the forward estimates period, </w:t>
      </w:r>
      <w:r>
        <w:rPr>
          <w:rFonts w:ascii="Garamond" w:hAnsi="Garamond"/>
        </w:rPr>
        <w:t xml:space="preserve">consistent with an assumed decline in the national net overseas migration pool. </w:t>
      </w:r>
      <w:r>
        <w:t>However, any</w:t>
      </w:r>
      <w:r w:rsidRPr="00A44E05">
        <w:t xml:space="preserve"> </w:t>
      </w:r>
      <w:r>
        <w:t>significant changes</w:t>
      </w:r>
      <w:r w:rsidRPr="00A44E05">
        <w:t xml:space="preserve"> in </w:t>
      </w:r>
      <w:r>
        <w:t xml:space="preserve">economic </w:t>
      </w:r>
      <w:r w:rsidRPr="00A44E05">
        <w:t>growth</w:t>
      </w:r>
      <w:r>
        <w:t xml:space="preserve"> in source countries of immigration, or changes to Commonwealth policy, </w:t>
      </w:r>
      <w:r w:rsidRPr="00A44E05">
        <w:t xml:space="preserve">could lead to a lower than forecast national net overseas migration </w:t>
      </w:r>
      <w:r>
        <w:t xml:space="preserve">(NOM) </w:t>
      </w:r>
      <w:r w:rsidRPr="00A44E05">
        <w:t xml:space="preserve">pool. This </w:t>
      </w:r>
      <w:r>
        <w:t>would directly impact</w:t>
      </w:r>
      <w:r w:rsidRPr="00A44E05">
        <w:t xml:space="preserve"> population growth in </w:t>
      </w:r>
      <w:r>
        <w:t xml:space="preserve">Australia and </w:t>
      </w:r>
      <w:r w:rsidRPr="00A44E05">
        <w:t>Victoria</w:t>
      </w:r>
      <w:r>
        <w:t>. An improvement in the labour market conditions of some other states, relative to Victoria, could result in Victoria’s share of national NOM declining, which would also lower the State’s population growth rate.</w:t>
      </w:r>
    </w:p>
    <w:p w14:paraId="0CE9F6E1" w14:textId="77777777" w:rsidR="00964B88" w:rsidRPr="00011BCA" w:rsidRDefault="00964B88" w:rsidP="005D6A22">
      <w:pPr>
        <w:ind w:right="56"/>
      </w:pPr>
      <w:bookmarkStart w:id="156" w:name="_Hlk21428426"/>
      <w:r w:rsidRPr="005D4904">
        <w:lastRenderedPageBreak/>
        <w:t xml:space="preserve">To model a lower population growth </w:t>
      </w:r>
      <w:r>
        <w:t xml:space="preserve">rate </w:t>
      </w:r>
      <w:r w:rsidRPr="005D4904">
        <w:t>scenario, a negative shock that lowers national NOM by 75 000 persons relative to the base case (</w:t>
      </w:r>
      <w:r>
        <w:t xml:space="preserve">that is, </w:t>
      </w:r>
      <w:r w:rsidRPr="005D4904">
        <w:t>from a forecast 240 000 in 2018</w:t>
      </w:r>
      <w:r w:rsidRPr="005D4904">
        <w:noBreakHyphen/>
        <w:t>19 to 165 000 in 2022</w:t>
      </w:r>
      <w:r w:rsidRPr="005D4904">
        <w:noBreakHyphen/>
        <w:t xml:space="preserve">23) has been applied in VURM. This shock has been calibrated to lower the ratio of annual NOM </w:t>
      </w:r>
      <w:r>
        <w:t xml:space="preserve">relative </w:t>
      </w:r>
      <w:r w:rsidRPr="005D4904">
        <w:t>to the national population to its long-run average of 0.7 per cent. In this scenario, national NOM in the budget year falls by 30 000</w:t>
      </w:r>
      <w:r w:rsidR="005D6A22">
        <w:t> </w:t>
      </w:r>
      <w:r w:rsidRPr="005D4904">
        <w:t>persons, with more incremental falls over the forward estimates period to 2022</w:t>
      </w:r>
      <w:r w:rsidRPr="005D4904">
        <w:noBreakHyphen/>
        <w:t xml:space="preserve">23. A national shock has been applied since the triggers for this type of downturn would likely apply to all states and territories, rather than Victoria in isolation. The scenario also assumes a reversion in Victoria’s share of national NOM from </w:t>
      </w:r>
      <w:r w:rsidRPr="00011BCA">
        <w:t>its current level of 35 per cent back to its historical average of 27 per cent.</w:t>
      </w:r>
      <w:r w:rsidRPr="00011BCA">
        <w:rPr>
          <w:rStyle w:val="FootnoteReference"/>
        </w:rPr>
        <w:footnoteReference w:id="4"/>
      </w:r>
      <w:r w:rsidRPr="00011BCA">
        <w:t xml:space="preserve"> </w:t>
      </w:r>
    </w:p>
    <w:p w14:paraId="06B0CB8A" w14:textId="77777777" w:rsidR="00964B88" w:rsidRPr="00A44E05" w:rsidRDefault="00964B88" w:rsidP="005D6A22">
      <w:pPr>
        <w:ind w:right="198"/>
      </w:pPr>
      <w:bookmarkStart w:id="157" w:name="_Hlk21428432"/>
      <w:bookmarkEnd w:id="156"/>
      <w:r w:rsidRPr="005D4904">
        <w:t>These factors imply a reduction in annual NOM flows into Victoria from a forecast 86 000 persons in 2018</w:t>
      </w:r>
      <w:r w:rsidRPr="005D4904">
        <w:noBreakHyphen/>
        <w:t>19 to 44 000 persons by 2022</w:t>
      </w:r>
      <w:r w:rsidRPr="005D4904">
        <w:noBreakHyphen/>
        <w:t>23</w:t>
      </w:r>
      <w:r>
        <w:t xml:space="preserve"> (Chart D.1). Similar to the national shock, most of the fall in Victorian NOM is experienced in the budget year. This </w:t>
      </w:r>
      <w:r w:rsidRPr="005D4904">
        <w:t>shock is similar to the reduction in Victorian NOM experienced during the global financial crisis.</w:t>
      </w:r>
      <w:r>
        <w:t xml:space="preserve"> </w:t>
      </w:r>
      <w:r w:rsidRPr="005D4904">
        <w:t xml:space="preserve">The shock implies that the Victorian population would be around 106 000 persons lower </w:t>
      </w:r>
      <w:r>
        <w:t>(cumulatively) in 2022</w:t>
      </w:r>
      <w:r>
        <w:noBreakHyphen/>
        <w:t>23 relative to the base case.</w:t>
      </w:r>
    </w:p>
    <w:bookmarkEnd w:id="157"/>
    <w:p w14:paraId="477D30A5" w14:textId="77777777" w:rsidR="00964B88" w:rsidRPr="0038250D" w:rsidRDefault="00964B88" w:rsidP="00F53820">
      <w:pPr>
        <w:pStyle w:val="TableHeading"/>
      </w:pPr>
      <w:r>
        <w:t>Chart D</w:t>
      </w:r>
      <w:r w:rsidRPr="0038250D">
        <w:t>.1:</w:t>
      </w:r>
      <w:r w:rsidRPr="0038250D">
        <w:tab/>
        <w:t>Victorian population components under the base case and scenario</w:t>
      </w:r>
    </w:p>
    <w:p w14:paraId="28BFF6AB" w14:textId="77777777" w:rsidR="00964B88" w:rsidRPr="007E6545" w:rsidRDefault="00F033D6" w:rsidP="00F53820">
      <w:pPr>
        <w:rPr>
          <w:color w:val="00B050"/>
        </w:rPr>
      </w:pPr>
      <w:r>
        <w:rPr>
          <w:color w:val="00B050"/>
        </w:rPr>
        <w:pict w14:anchorId="34BD9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25pt;height:252.45pt">
            <v:imagedata r:id="rId104" o:title=""/>
          </v:shape>
        </w:pict>
      </w:r>
    </w:p>
    <w:p w14:paraId="6766D7F5" w14:textId="77777777" w:rsidR="00964B88" w:rsidRDefault="00964B88" w:rsidP="00F53820">
      <w:pPr>
        <w:pStyle w:val="Source"/>
      </w:pPr>
      <w:r w:rsidRPr="00FB4A55">
        <w:t>Sources: Australian Bureau of Statistics</w:t>
      </w:r>
      <w:r>
        <w:t xml:space="preserve"> and the </w:t>
      </w:r>
      <w:r w:rsidRPr="00FB4A55">
        <w:t>Department of Treasury and Finance</w:t>
      </w:r>
    </w:p>
    <w:p w14:paraId="6F77CA09" w14:textId="77777777" w:rsidR="00964B88" w:rsidRPr="00BF096F" w:rsidRDefault="00964B88" w:rsidP="00F53820">
      <w:pPr>
        <w:pStyle w:val="Note"/>
      </w:pPr>
    </w:p>
    <w:p w14:paraId="618EBB05" w14:textId="77777777" w:rsidR="00964B88" w:rsidRPr="004678BE" w:rsidRDefault="00964B88" w:rsidP="00F53820">
      <w:pPr>
        <w:ind w:right="-86"/>
      </w:pPr>
      <w:r>
        <w:lastRenderedPageBreak/>
        <w:t>Table D</w:t>
      </w:r>
      <w:r w:rsidRPr="004678BE">
        <w:t xml:space="preserve">.1 summarises the economic effects of this downside scenario on the Victorian economy. </w:t>
      </w:r>
      <w:r>
        <w:t xml:space="preserve">Lower population growth decreases demand in the economy, with employment and gross state product (GSP) lower over the forward estimates period relative to the base case. The economic effects of a lower supply of labour also results in a small increase in the wage price index relative to the base case. Falls in </w:t>
      </w:r>
      <w:r w:rsidRPr="004678BE">
        <w:t>household consumption</w:t>
      </w:r>
      <w:r>
        <w:t>,</w:t>
      </w:r>
      <w:r w:rsidRPr="004678BE">
        <w:t xml:space="preserve"> and </w:t>
      </w:r>
      <w:r>
        <w:t xml:space="preserve">both </w:t>
      </w:r>
      <w:r w:rsidRPr="004678BE">
        <w:t xml:space="preserve">dwelling </w:t>
      </w:r>
      <w:r>
        <w:t>and non</w:t>
      </w:r>
      <w:r>
        <w:noBreakHyphen/>
        <w:t xml:space="preserve">dwelling </w:t>
      </w:r>
      <w:r w:rsidRPr="004678BE">
        <w:t>investment</w:t>
      </w:r>
      <w:r>
        <w:t>,</w:t>
      </w:r>
      <w:r w:rsidRPr="004678BE">
        <w:t xml:space="preserve"> </w:t>
      </w:r>
      <w:r>
        <w:t xml:space="preserve">are </w:t>
      </w:r>
      <w:r w:rsidRPr="004678BE">
        <w:t xml:space="preserve">partly offset by </w:t>
      </w:r>
      <w:r w:rsidRPr="00E8334B">
        <w:t>lower demand for imports. Overall, real GSP is lower by 0.24 per cent</w:t>
      </w:r>
      <w:r>
        <w:t xml:space="preserve"> relative to the baseline forecast</w:t>
      </w:r>
      <w:r w:rsidRPr="00E8334B">
        <w:t xml:space="preserve"> in 2022</w:t>
      </w:r>
      <w:r w:rsidRPr="00E8334B">
        <w:noBreakHyphen/>
        <w:t xml:space="preserve">23. Inflation is slightly lower over the forward estimates period, which reflects that lower overall demand in the economy more than offsets the rise in wage costs. </w:t>
      </w:r>
    </w:p>
    <w:p w14:paraId="3BA9A37B" w14:textId="77777777" w:rsidR="00964B88" w:rsidRPr="00134665" w:rsidRDefault="00964B88" w:rsidP="00F53820">
      <w:pPr>
        <w:pStyle w:val="TableHeading"/>
      </w:pPr>
      <w:r>
        <w:t>Table D</w:t>
      </w:r>
      <w:r w:rsidRPr="00134665">
        <w:t>.1:</w:t>
      </w:r>
      <w:r w:rsidRPr="00134665">
        <w:tab/>
      </w:r>
      <w:r w:rsidRPr="00134665">
        <w:rPr>
          <w:spacing w:val="-2"/>
        </w:rPr>
        <w:t>The effect of a downturn in population growth on major economic parameters</w:t>
      </w:r>
      <w:r w:rsidRPr="00134665">
        <w:t xml:space="preserve"> </w:t>
      </w:r>
      <w:r w:rsidRPr="00134665">
        <w:rPr>
          <w:vertAlign w:val="superscript"/>
        </w:rPr>
        <w:t xml:space="preserve">(a) </w:t>
      </w:r>
      <w:r w:rsidRPr="00134665">
        <w:rPr>
          <w:vertAlign w:val="superscript"/>
        </w:rPr>
        <w:tab/>
      </w:r>
      <w:r w:rsidRPr="00134665">
        <w:t>(per cent)</w:t>
      </w:r>
    </w:p>
    <w:tbl>
      <w:tblPr>
        <w:tblStyle w:val="DTFTable"/>
        <w:tblW w:w="7765" w:type="dxa"/>
        <w:tblBorders>
          <w:bottom w:val="single" w:sz="4" w:space="0" w:color="auto"/>
        </w:tblBorders>
        <w:tblLayout w:type="fixed"/>
        <w:tblLook w:val="06A0" w:firstRow="1" w:lastRow="0" w:firstColumn="1" w:lastColumn="0" w:noHBand="1" w:noVBand="1"/>
      </w:tblPr>
      <w:tblGrid>
        <w:gridCol w:w="4365"/>
        <w:gridCol w:w="850"/>
        <w:gridCol w:w="850"/>
        <w:gridCol w:w="850"/>
        <w:gridCol w:w="850"/>
      </w:tblGrid>
      <w:tr w:rsidR="005D6A22" w:rsidRPr="00134665" w14:paraId="4002E83A" w14:textId="77777777" w:rsidTr="005D6A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Pr>
          <w:p w14:paraId="75F17867" w14:textId="77777777" w:rsidR="005D6A22" w:rsidRPr="00134665" w:rsidRDefault="005D6A22" w:rsidP="005D6A22">
            <w:pPr>
              <w:keepLines w:val="0"/>
              <w:autoSpaceDE w:val="0"/>
              <w:autoSpaceDN w:val="0"/>
              <w:adjustRightInd w:val="0"/>
              <w:rPr>
                <w:rFonts w:eastAsiaTheme="minorEastAsia" w:cs="Calibri"/>
                <w:iCs/>
                <w:szCs w:val="17"/>
                <w:lang w:eastAsia="en-AU"/>
              </w:rPr>
            </w:pPr>
            <w:r w:rsidRPr="00134665">
              <w:rPr>
                <w:rFonts w:eastAsiaTheme="minorEastAsia" w:cs="Calibri"/>
                <w:iCs/>
                <w:szCs w:val="17"/>
                <w:lang w:eastAsia="en-AU"/>
              </w:rPr>
              <w:t xml:space="preserve">  </w:t>
            </w:r>
          </w:p>
        </w:tc>
        <w:tc>
          <w:tcPr>
            <w:tcW w:w="850" w:type="dxa"/>
          </w:tcPr>
          <w:p w14:paraId="4BA4F5A3" w14:textId="77777777" w:rsidR="005D6A22" w:rsidRPr="00134665"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134665">
              <w:rPr>
                <w:rFonts w:eastAsiaTheme="minorEastAsia" w:cs="Calibri"/>
                <w:iCs/>
                <w:szCs w:val="17"/>
                <w:lang w:eastAsia="en-AU"/>
              </w:rPr>
              <w:t>2019-20</w:t>
            </w:r>
            <w:r>
              <w:rPr>
                <w:rFonts w:eastAsiaTheme="minorEastAsia" w:cs="Calibri"/>
                <w:iCs/>
                <w:szCs w:val="17"/>
                <w:lang w:eastAsia="en-AU"/>
              </w:rPr>
              <w:br/>
            </w:r>
            <w:r w:rsidRPr="00134665">
              <w:rPr>
                <w:rFonts w:eastAsiaTheme="minorEastAsia" w:cs="Calibri"/>
                <w:iCs/>
                <w:szCs w:val="17"/>
                <w:lang w:eastAsia="en-AU"/>
              </w:rPr>
              <w:t>estimate</w:t>
            </w:r>
          </w:p>
        </w:tc>
        <w:tc>
          <w:tcPr>
            <w:tcW w:w="850" w:type="dxa"/>
          </w:tcPr>
          <w:p w14:paraId="12704F8D" w14:textId="77777777" w:rsidR="005D6A22" w:rsidRPr="00134665"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134665">
              <w:rPr>
                <w:rFonts w:eastAsiaTheme="minorEastAsia" w:cs="Calibri"/>
                <w:iCs/>
                <w:szCs w:val="17"/>
                <w:lang w:eastAsia="en-AU"/>
              </w:rPr>
              <w:t>2020-21</w:t>
            </w:r>
            <w:r>
              <w:rPr>
                <w:rFonts w:eastAsiaTheme="minorEastAsia" w:cs="Calibri"/>
                <w:iCs/>
                <w:szCs w:val="17"/>
                <w:lang w:eastAsia="en-AU"/>
              </w:rPr>
              <w:br/>
            </w:r>
            <w:r w:rsidRPr="00134665">
              <w:rPr>
                <w:rFonts w:eastAsiaTheme="minorEastAsia" w:cs="Calibri"/>
                <w:iCs/>
                <w:szCs w:val="17"/>
                <w:lang w:eastAsia="en-AU"/>
              </w:rPr>
              <w:t>estimate</w:t>
            </w:r>
          </w:p>
        </w:tc>
        <w:tc>
          <w:tcPr>
            <w:tcW w:w="850" w:type="dxa"/>
          </w:tcPr>
          <w:p w14:paraId="79A885D2" w14:textId="77777777" w:rsidR="005D6A22" w:rsidRPr="00134665"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134665">
              <w:rPr>
                <w:rFonts w:eastAsiaTheme="minorEastAsia" w:cs="Calibri"/>
                <w:iCs/>
                <w:szCs w:val="17"/>
                <w:lang w:eastAsia="en-AU"/>
              </w:rPr>
              <w:t>2021-22</w:t>
            </w:r>
            <w:r>
              <w:rPr>
                <w:rFonts w:eastAsiaTheme="minorEastAsia" w:cs="Calibri"/>
                <w:iCs/>
                <w:szCs w:val="17"/>
                <w:lang w:eastAsia="en-AU"/>
              </w:rPr>
              <w:br/>
            </w:r>
            <w:r w:rsidRPr="00134665">
              <w:rPr>
                <w:rFonts w:eastAsiaTheme="minorEastAsia" w:cs="Calibri"/>
                <w:iCs/>
                <w:szCs w:val="17"/>
                <w:lang w:eastAsia="en-AU"/>
              </w:rPr>
              <w:t>estimate</w:t>
            </w:r>
          </w:p>
        </w:tc>
        <w:tc>
          <w:tcPr>
            <w:tcW w:w="850" w:type="dxa"/>
          </w:tcPr>
          <w:p w14:paraId="5122D2EE" w14:textId="77777777" w:rsidR="005D6A22" w:rsidRPr="00134665"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134665">
              <w:rPr>
                <w:rFonts w:eastAsiaTheme="minorEastAsia" w:cs="Calibri"/>
                <w:iCs/>
                <w:szCs w:val="17"/>
                <w:lang w:eastAsia="en-AU"/>
              </w:rPr>
              <w:t>2022-23</w:t>
            </w:r>
            <w:r>
              <w:rPr>
                <w:rFonts w:eastAsiaTheme="minorEastAsia" w:cs="Calibri"/>
                <w:iCs/>
                <w:szCs w:val="17"/>
                <w:lang w:eastAsia="en-AU"/>
              </w:rPr>
              <w:br/>
            </w:r>
            <w:r w:rsidRPr="00134665">
              <w:rPr>
                <w:rFonts w:eastAsiaTheme="minorEastAsia" w:cs="Calibri"/>
                <w:iCs/>
                <w:szCs w:val="17"/>
                <w:lang w:eastAsia="en-AU"/>
              </w:rPr>
              <w:t>estimate</w:t>
            </w:r>
          </w:p>
        </w:tc>
      </w:tr>
      <w:tr w:rsidR="00964B88" w:rsidRPr="00134665" w14:paraId="17C47336" w14:textId="77777777" w:rsidTr="00F53820">
        <w:tc>
          <w:tcPr>
            <w:cnfStyle w:val="001000000000" w:firstRow="0" w:lastRow="0" w:firstColumn="1" w:lastColumn="0" w:oddVBand="0" w:evenVBand="0" w:oddHBand="0" w:evenHBand="0" w:firstRowFirstColumn="0" w:firstRowLastColumn="0" w:lastRowFirstColumn="0" w:lastRowLastColumn="0"/>
            <w:tcW w:w="4365" w:type="dxa"/>
          </w:tcPr>
          <w:p w14:paraId="4A93C4E6" w14:textId="77777777" w:rsidR="00964B88" w:rsidRPr="00134665" w:rsidRDefault="00964B88" w:rsidP="00F53820">
            <w:pPr>
              <w:keepLines w:val="0"/>
              <w:autoSpaceDE w:val="0"/>
              <w:autoSpaceDN w:val="0"/>
              <w:adjustRightInd w:val="0"/>
              <w:rPr>
                <w:rFonts w:eastAsiaTheme="minorEastAsia" w:cs="Calibri"/>
                <w:szCs w:val="17"/>
                <w:lang w:eastAsia="en-AU"/>
              </w:rPr>
            </w:pPr>
            <w:r w:rsidRPr="00134665">
              <w:rPr>
                <w:rFonts w:eastAsiaTheme="minorEastAsia" w:cs="Calibri"/>
                <w:szCs w:val="17"/>
                <w:lang w:eastAsia="en-AU"/>
              </w:rPr>
              <w:t>Real GSP</w:t>
            </w:r>
          </w:p>
        </w:tc>
        <w:tc>
          <w:tcPr>
            <w:tcW w:w="850" w:type="dxa"/>
            <w:shd w:val="clear" w:color="auto" w:fill="auto"/>
            <w:vAlign w:val="center"/>
          </w:tcPr>
          <w:p w14:paraId="21F57E81" w14:textId="77777777" w:rsidR="00964B88" w:rsidRPr="00134665" w:rsidRDefault="00964B88" w:rsidP="00F53820">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(0.03)</w:t>
            </w:r>
          </w:p>
        </w:tc>
        <w:tc>
          <w:tcPr>
            <w:tcW w:w="850" w:type="dxa"/>
            <w:shd w:val="clear" w:color="auto" w:fill="auto"/>
            <w:vAlign w:val="center"/>
          </w:tcPr>
          <w:p w14:paraId="6202D142"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(0.09)</w:t>
            </w:r>
          </w:p>
        </w:tc>
        <w:tc>
          <w:tcPr>
            <w:tcW w:w="850" w:type="dxa"/>
            <w:shd w:val="clear" w:color="auto" w:fill="auto"/>
            <w:vAlign w:val="center"/>
          </w:tcPr>
          <w:p w14:paraId="2122CC3C"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(0.16)</w:t>
            </w:r>
          </w:p>
        </w:tc>
        <w:tc>
          <w:tcPr>
            <w:tcW w:w="850" w:type="dxa"/>
            <w:shd w:val="clear" w:color="auto" w:fill="auto"/>
            <w:vAlign w:val="center"/>
          </w:tcPr>
          <w:p w14:paraId="4F01EBEB"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(0.24)</w:t>
            </w:r>
          </w:p>
        </w:tc>
      </w:tr>
      <w:tr w:rsidR="00964B88" w:rsidRPr="00134665" w14:paraId="2879E3B3" w14:textId="77777777" w:rsidTr="00F53820">
        <w:tc>
          <w:tcPr>
            <w:cnfStyle w:val="001000000000" w:firstRow="0" w:lastRow="0" w:firstColumn="1" w:lastColumn="0" w:oddVBand="0" w:evenVBand="0" w:oddHBand="0" w:evenHBand="0" w:firstRowFirstColumn="0" w:firstRowLastColumn="0" w:lastRowFirstColumn="0" w:lastRowLastColumn="0"/>
            <w:tcW w:w="4365" w:type="dxa"/>
          </w:tcPr>
          <w:p w14:paraId="6684941D" w14:textId="77777777" w:rsidR="00964B88" w:rsidRPr="00134665" w:rsidRDefault="00964B88" w:rsidP="00F53820">
            <w:pPr>
              <w:keepLines w:val="0"/>
              <w:autoSpaceDE w:val="0"/>
              <w:autoSpaceDN w:val="0"/>
              <w:adjustRightInd w:val="0"/>
              <w:rPr>
                <w:rFonts w:eastAsiaTheme="minorEastAsia" w:cs="Calibri"/>
                <w:szCs w:val="17"/>
                <w:lang w:eastAsia="en-AU"/>
              </w:rPr>
            </w:pPr>
            <w:r w:rsidRPr="00134665">
              <w:rPr>
                <w:rFonts w:eastAsiaTheme="minorEastAsia" w:cs="Calibri"/>
                <w:szCs w:val="17"/>
                <w:lang w:eastAsia="en-AU"/>
              </w:rPr>
              <w:t>Employment</w:t>
            </w:r>
          </w:p>
        </w:tc>
        <w:tc>
          <w:tcPr>
            <w:tcW w:w="850" w:type="dxa"/>
            <w:shd w:val="clear" w:color="auto" w:fill="auto"/>
            <w:vAlign w:val="center"/>
          </w:tcPr>
          <w:p w14:paraId="073310E7"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(0.04)</w:t>
            </w:r>
          </w:p>
        </w:tc>
        <w:tc>
          <w:tcPr>
            <w:tcW w:w="850" w:type="dxa"/>
            <w:shd w:val="clear" w:color="auto" w:fill="auto"/>
            <w:vAlign w:val="center"/>
          </w:tcPr>
          <w:p w14:paraId="4D1C24C4"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(0.13)</w:t>
            </w:r>
          </w:p>
        </w:tc>
        <w:tc>
          <w:tcPr>
            <w:tcW w:w="850" w:type="dxa"/>
            <w:shd w:val="clear" w:color="auto" w:fill="auto"/>
            <w:vAlign w:val="center"/>
          </w:tcPr>
          <w:p w14:paraId="4BBB4B8B"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(0.24)</w:t>
            </w:r>
          </w:p>
        </w:tc>
        <w:tc>
          <w:tcPr>
            <w:tcW w:w="850" w:type="dxa"/>
            <w:shd w:val="clear" w:color="auto" w:fill="auto"/>
            <w:vAlign w:val="center"/>
          </w:tcPr>
          <w:p w14:paraId="6B4DF341"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(0.34)</w:t>
            </w:r>
          </w:p>
        </w:tc>
      </w:tr>
      <w:tr w:rsidR="00964B88" w:rsidRPr="00134665" w14:paraId="05181922"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bottom w:val="nil"/>
            </w:tcBorders>
          </w:tcPr>
          <w:p w14:paraId="672110D5" w14:textId="77777777" w:rsidR="00964B88" w:rsidRPr="00134665" w:rsidRDefault="00964B88" w:rsidP="00F53820">
            <w:pPr>
              <w:keepLines w:val="0"/>
              <w:autoSpaceDE w:val="0"/>
              <w:autoSpaceDN w:val="0"/>
              <w:adjustRightInd w:val="0"/>
              <w:rPr>
                <w:rFonts w:eastAsiaTheme="minorEastAsia" w:cs="Calibri"/>
                <w:szCs w:val="17"/>
                <w:lang w:eastAsia="en-AU"/>
              </w:rPr>
            </w:pPr>
            <w:r w:rsidRPr="00134665">
              <w:rPr>
                <w:rFonts w:eastAsiaTheme="minorEastAsia" w:cs="Calibri"/>
                <w:szCs w:val="17"/>
                <w:lang w:eastAsia="en-AU"/>
              </w:rPr>
              <w:t>Consumer price index</w:t>
            </w:r>
          </w:p>
        </w:tc>
        <w:tc>
          <w:tcPr>
            <w:tcW w:w="850" w:type="dxa"/>
            <w:tcBorders>
              <w:bottom w:val="nil"/>
            </w:tcBorders>
            <w:shd w:val="clear" w:color="auto" w:fill="auto"/>
            <w:vAlign w:val="center"/>
          </w:tcPr>
          <w:p w14:paraId="7A8FAE2A"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(0.02)</w:t>
            </w:r>
          </w:p>
        </w:tc>
        <w:tc>
          <w:tcPr>
            <w:tcW w:w="850" w:type="dxa"/>
            <w:tcBorders>
              <w:bottom w:val="nil"/>
            </w:tcBorders>
            <w:shd w:val="clear" w:color="auto" w:fill="auto"/>
            <w:vAlign w:val="center"/>
          </w:tcPr>
          <w:p w14:paraId="75198BF2"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(0.03)</w:t>
            </w:r>
          </w:p>
        </w:tc>
        <w:tc>
          <w:tcPr>
            <w:tcW w:w="850" w:type="dxa"/>
            <w:tcBorders>
              <w:bottom w:val="nil"/>
            </w:tcBorders>
            <w:shd w:val="clear" w:color="auto" w:fill="auto"/>
            <w:vAlign w:val="center"/>
          </w:tcPr>
          <w:p w14:paraId="701ACB81"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(0.0</w:t>
            </w:r>
            <w:r>
              <w:rPr>
                <w:rFonts w:ascii="Calibri" w:hAnsi="Calibri" w:cs="Calibri"/>
                <w:szCs w:val="17"/>
              </w:rPr>
              <w:t>2</w:t>
            </w:r>
            <w:r w:rsidRPr="00134665">
              <w:rPr>
                <w:rFonts w:ascii="Calibri" w:hAnsi="Calibri" w:cs="Calibri"/>
                <w:szCs w:val="17"/>
              </w:rPr>
              <w:t>)</w:t>
            </w:r>
          </w:p>
        </w:tc>
        <w:tc>
          <w:tcPr>
            <w:tcW w:w="850" w:type="dxa"/>
            <w:tcBorders>
              <w:bottom w:val="nil"/>
            </w:tcBorders>
            <w:shd w:val="clear" w:color="auto" w:fill="auto"/>
            <w:vAlign w:val="center"/>
          </w:tcPr>
          <w:p w14:paraId="4EFE1929"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34665">
              <w:rPr>
                <w:rFonts w:ascii="Calibri" w:hAnsi="Calibri" w:cs="Calibri"/>
                <w:szCs w:val="17"/>
              </w:rPr>
              <w:t>(0.0</w:t>
            </w:r>
            <w:r>
              <w:rPr>
                <w:rFonts w:ascii="Calibri" w:hAnsi="Calibri" w:cs="Calibri"/>
                <w:szCs w:val="17"/>
              </w:rPr>
              <w:t>1</w:t>
            </w:r>
            <w:r w:rsidRPr="00134665">
              <w:rPr>
                <w:rFonts w:ascii="Calibri" w:hAnsi="Calibri" w:cs="Calibri"/>
                <w:szCs w:val="17"/>
              </w:rPr>
              <w:t>)</w:t>
            </w:r>
          </w:p>
        </w:tc>
      </w:tr>
      <w:tr w:rsidR="00964B88" w:rsidRPr="00134665" w14:paraId="69B7C0B9"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bottom w:val="single" w:sz="12" w:space="0" w:color="auto"/>
            </w:tcBorders>
          </w:tcPr>
          <w:p w14:paraId="0888DBA9" w14:textId="77777777" w:rsidR="00964B88" w:rsidRPr="00134665" w:rsidRDefault="00964B88" w:rsidP="00F53820">
            <w:pPr>
              <w:keepLines w:val="0"/>
              <w:autoSpaceDE w:val="0"/>
              <w:autoSpaceDN w:val="0"/>
              <w:adjustRightInd w:val="0"/>
              <w:rPr>
                <w:rFonts w:eastAsiaTheme="minorEastAsia" w:cs="Calibri"/>
                <w:b/>
                <w:szCs w:val="17"/>
                <w:lang w:eastAsia="en-AU"/>
              </w:rPr>
            </w:pPr>
            <w:r w:rsidRPr="00134665">
              <w:rPr>
                <w:rFonts w:eastAsiaTheme="minorEastAsia" w:cs="Calibri"/>
                <w:szCs w:val="17"/>
                <w:lang w:eastAsia="en-AU"/>
              </w:rPr>
              <w:t>Wage price index</w:t>
            </w:r>
          </w:p>
        </w:tc>
        <w:tc>
          <w:tcPr>
            <w:tcW w:w="850" w:type="dxa"/>
            <w:tcBorders>
              <w:bottom w:val="single" w:sz="12" w:space="0" w:color="auto"/>
            </w:tcBorders>
            <w:shd w:val="clear" w:color="auto" w:fill="auto"/>
            <w:vAlign w:val="center"/>
          </w:tcPr>
          <w:p w14:paraId="055F9F9D"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134665">
              <w:rPr>
                <w:rFonts w:ascii="Calibri" w:hAnsi="Calibri" w:cs="Calibri"/>
                <w:szCs w:val="17"/>
              </w:rPr>
              <w:t>0.02</w:t>
            </w:r>
          </w:p>
        </w:tc>
        <w:tc>
          <w:tcPr>
            <w:tcW w:w="850" w:type="dxa"/>
            <w:tcBorders>
              <w:bottom w:val="single" w:sz="12" w:space="0" w:color="auto"/>
            </w:tcBorders>
            <w:shd w:val="clear" w:color="auto" w:fill="auto"/>
            <w:vAlign w:val="center"/>
          </w:tcPr>
          <w:p w14:paraId="407B0CDF"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134665">
              <w:rPr>
                <w:rFonts w:ascii="Calibri" w:hAnsi="Calibri" w:cs="Calibri"/>
                <w:szCs w:val="17"/>
              </w:rPr>
              <w:t>0.09</w:t>
            </w:r>
          </w:p>
        </w:tc>
        <w:tc>
          <w:tcPr>
            <w:tcW w:w="850" w:type="dxa"/>
            <w:tcBorders>
              <w:bottom w:val="single" w:sz="12" w:space="0" w:color="auto"/>
            </w:tcBorders>
            <w:shd w:val="clear" w:color="auto" w:fill="auto"/>
            <w:vAlign w:val="center"/>
          </w:tcPr>
          <w:p w14:paraId="4BA9A1C0"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134665">
              <w:rPr>
                <w:rFonts w:ascii="Calibri" w:hAnsi="Calibri" w:cs="Calibri"/>
                <w:szCs w:val="17"/>
              </w:rPr>
              <w:t>0.20</w:t>
            </w:r>
          </w:p>
        </w:tc>
        <w:tc>
          <w:tcPr>
            <w:tcW w:w="850" w:type="dxa"/>
            <w:tcBorders>
              <w:bottom w:val="single" w:sz="12" w:space="0" w:color="auto"/>
            </w:tcBorders>
            <w:shd w:val="clear" w:color="auto" w:fill="auto"/>
            <w:vAlign w:val="center"/>
          </w:tcPr>
          <w:p w14:paraId="45AF1B51" w14:textId="77777777" w:rsidR="00964B88" w:rsidRPr="00134665" w:rsidRDefault="00964B88" w:rsidP="00F53820">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134665">
              <w:rPr>
                <w:rFonts w:ascii="Calibri" w:hAnsi="Calibri" w:cs="Calibri"/>
                <w:szCs w:val="17"/>
              </w:rPr>
              <w:t>0.30</w:t>
            </w:r>
          </w:p>
        </w:tc>
      </w:tr>
    </w:tbl>
    <w:p w14:paraId="4969724A" w14:textId="77777777" w:rsidR="00964B88" w:rsidRPr="00134665" w:rsidRDefault="00964B88" w:rsidP="00F53820">
      <w:pPr>
        <w:pStyle w:val="Note"/>
      </w:pPr>
      <w:r w:rsidRPr="00134665">
        <w:t xml:space="preserve">Note: </w:t>
      </w:r>
    </w:p>
    <w:p w14:paraId="6D526F1A" w14:textId="77777777" w:rsidR="00964B88" w:rsidRPr="00134665" w:rsidRDefault="00964B88" w:rsidP="00F53820">
      <w:pPr>
        <w:pStyle w:val="Note"/>
      </w:pPr>
      <w:r w:rsidRPr="00134665">
        <w:t>(a)</w:t>
      </w:r>
      <w:r w:rsidRPr="00134665">
        <w:tab/>
        <w:t xml:space="preserve">Figures reported are the change in the level of each parameter relative to the baseline </w:t>
      </w:r>
      <w:r w:rsidRPr="00205F4E">
        <w:t>forecasts</w:t>
      </w:r>
      <w:r>
        <w:t xml:space="preserve"> as presented</w:t>
      </w:r>
      <w:r w:rsidRPr="00205F4E">
        <w:t xml:space="preserve"> in Chapter 2 </w:t>
      </w:r>
      <w:r w:rsidRPr="00431DD5">
        <w:rPr>
          <w:i w:val="0"/>
        </w:rPr>
        <w:t>Economic Context</w:t>
      </w:r>
      <w:r w:rsidRPr="00205F4E">
        <w:t>.</w:t>
      </w:r>
    </w:p>
    <w:p w14:paraId="0E7D19B5" w14:textId="77777777" w:rsidR="00964B88" w:rsidRPr="005F6283" w:rsidRDefault="00964B88" w:rsidP="00F53820">
      <w:pPr>
        <w:pStyle w:val="Note"/>
      </w:pPr>
    </w:p>
    <w:p w14:paraId="704FDF89" w14:textId="77777777" w:rsidR="00964B88" w:rsidRPr="001E2EC6" w:rsidRDefault="00964B88" w:rsidP="00F53820">
      <w:r>
        <w:t>Table D</w:t>
      </w:r>
      <w:r w:rsidRPr="006F38A1">
        <w:t>.2 summarises the fiscal impacts of this scenario. With slower growth in real</w:t>
      </w:r>
      <w:r>
        <w:t> </w:t>
      </w:r>
      <w:r w:rsidRPr="006F38A1">
        <w:t xml:space="preserve">GSP </w:t>
      </w:r>
      <w:r>
        <w:t xml:space="preserve">and </w:t>
      </w:r>
      <w:r w:rsidRPr="006F38A1">
        <w:t>employment, income from transactions is lower</w:t>
      </w:r>
      <w:r>
        <w:t xml:space="preserve"> over the forward estimates. This largely reflects </w:t>
      </w:r>
      <w:r w:rsidRPr="006F38A1">
        <w:t>reduced GST grants revenue because of a smaller national GST pool</w:t>
      </w:r>
      <w:r>
        <w:t>, and a lower Victorian population share,</w:t>
      </w:r>
      <w:r w:rsidRPr="006F38A1">
        <w:t xml:space="preserve"> relative to the base case</w:t>
      </w:r>
      <w:r>
        <w:t>. Lower demand for housing also results in a reduction in property-related revenues. E</w:t>
      </w:r>
      <w:r w:rsidRPr="001E2EC6">
        <w:t xml:space="preserve">xpenses from transactions </w:t>
      </w:r>
      <w:r>
        <w:t>are</w:t>
      </w:r>
      <w:r w:rsidRPr="001E2EC6">
        <w:t xml:space="preserve"> marginally lower in the scenario relative to the base case</w:t>
      </w:r>
      <w:r>
        <w:t>, consistent with a smaller population and slightly lower consumer prices</w:t>
      </w:r>
      <w:r w:rsidRPr="001E2EC6">
        <w:t xml:space="preserve">. </w:t>
      </w:r>
      <w:r>
        <w:t>Overall, the impact on revenue more than offsets the lower expenses, resulting in a negative impact on the net result from transactions.</w:t>
      </w:r>
    </w:p>
    <w:p w14:paraId="433F801B" w14:textId="77777777" w:rsidR="00964B88" w:rsidRPr="00874CA8" w:rsidRDefault="00964B88" w:rsidP="00F53820">
      <w:pPr>
        <w:pStyle w:val="TableHeading"/>
      </w:pPr>
      <w:r>
        <w:t>Table D</w:t>
      </w:r>
      <w:r w:rsidRPr="00874CA8">
        <w:t>.2:</w:t>
      </w:r>
      <w:r w:rsidRPr="00874CA8">
        <w:tab/>
        <w:t xml:space="preserve">Projected fiscal impact of lower Victorian population growth </w:t>
      </w:r>
      <w:r w:rsidRPr="00134665">
        <w:rPr>
          <w:vertAlign w:val="superscript"/>
        </w:rPr>
        <w:t>(a)</w:t>
      </w:r>
      <w:r w:rsidRPr="00874CA8">
        <w:tab/>
        <w:t>($ million)</w:t>
      </w:r>
    </w:p>
    <w:tbl>
      <w:tblPr>
        <w:tblStyle w:val="DTFTable"/>
        <w:tblW w:w="7765" w:type="dxa"/>
        <w:tblLayout w:type="fixed"/>
        <w:tblLook w:val="06E0" w:firstRow="1" w:lastRow="1" w:firstColumn="1" w:lastColumn="0" w:noHBand="1" w:noVBand="1"/>
      </w:tblPr>
      <w:tblGrid>
        <w:gridCol w:w="4365"/>
        <w:gridCol w:w="850"/>
        <w:gridCol w:w="850"/>
        <w:gridCol w:w="850"/>
        <w:gridCol w:w="850"/>
      </w:tblGrid>
      <w:tr w:rsidR="005D6A22" w:rsidRPr="003B6233" w14:paraId="5DF345E2" w14:textId="77777777" w:rsidTr="005D6A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Pr>
          <w:p w14:paraId="76227707" w14:textId="77777777" w:rsidR="005D6A22" w:rsidRPr="003B6233" w:rsidRDefault="005D6A22" w:rsidP="005D6A22">
            <w:pPr>
              <w:autoSpaceDE w:val="0"/>
              <w:autoSpaceDN w:val="0"/>
              <w:adjustRightInd w:val="0"/>
              <w:rPr>
                <w:rFonts w:eastAsiaTheme="minorEastAsia" w:cs="Calibri"/>
                <w:iCs/>
                <w:color w:val="000000"/>
                <w:szCs w:val="17"/>
                <w:lang w:eastAsia="en-AU"/>
              </w:rPr>
            </w:pPr>
            <w:r w:rsidRPr="003B6233">
              <w:rPr>
                <w:rFonts w:eastAsiaTheme="minorEastAsia" w:cs="Calibri"/>
                <w:iCs/>
                <w:color w:val="000000"/>
                <w:szCs w:val="17"/>
                <w:lang w:eastAsia="en-AU"/>
              </w:rPr>
              <w:t xml:space="preserve"> </w:t>
            </w:r>
          </w:p>
        </w:tc>
        <w:tc>
          <w:tcPr>
            <w:tcW w:w="850" w:type="dxa"/>
          </w:tcPr>
          <w:p w14:paraId="233D44FA" w14:textId="77777777" w:rsidR="005D6A22" w:rsidRPr="007C6619"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201</w:t>
            </w:r>
            <w:r>
              <w:rPr>
                <w:rFonts w:eastAsiaTheme="minorEastAsia" w:cs="Calibri"/>
                <w:iCs/>
                <w:color w:val="FFFFFF"/>
                <w:szCs w:val="17"/>
                <w:lang w:eastAsia="en-AU"/>
              </w:rPr>
              <w:t>9-20</w:t>
            </w:r>
            <w:r>
              <w:rPr>
                <w:rFonts w:eastAsiaTheme="minorEastAsia" w:cs="Calibri"/>
                <w:iCs/>
                <w:color w:val="FFFFFF"/>
                <w:szCs w:val="17"/>
                <w:lang w:eastAsia="en-AU"/>
              </w:rPr>
              <w:br/>
            </w:r>
            <w:r w:rsidRPr="003B6233">
              <w:rPr>
                <w:rFonts w:eastAsiaTheme="minorEastAsia" w:cs="Calibri"/>
                <w:iCs/>
                <w:color w:val="FFFFFF"/>
                <w:szCs w:val="17"/>
                <w:lang w:eastAsia="en-AU"/>
              </w:rPr>
              <w:t>estimate</w:t>
            </w:r>
          </w:p>
        </w:tc>
        <w:tc>
          <w:tcPr>
            <w:tcW w:w="850" w:type="dxa"/>
          </w:tcPr>
          <w:p w14:paraId="008BE0FF" w14:textId="77777777" w:rsidR="005D6A22" w:rsidRPr="007C6619"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w:t>
            </w:r>
            <w:r>
              <w:rPr>
                <w:rFonts w:eastAsiaTheme="minorEastAsia" w:cs="Calibri"/>
                <w:iCs/>
                <w:color w:val="FFFFFF"/>
                <w:szCs w:val="17"/>
                <w:lang w:eastAsia="en-AU"/>
              </w:rPr>
              <w:t>20</w:t>
            </w:r>
            <w:r w:rsidRPr="007C6619">
              <w:rPr>
                <w:rFonts w:eastAsiaTheme="minorEastAsia" w:cs="Calibri"/>
                <w:iCs/>
                <w:color w:val="FFFFFF"/>
                <w:szCs w:val="17"/>
                <w:lang w:eastAsia="en-AU"/>
              </w:rPr>
              <w:t>-2</w:t>
            </w:r>
            <w:r>
              <w:rPr>
                <w:rFonts w:eastAsiaTheme="minorEastAsia" w:cs="Calibri"/>
                <w:iCs/>
                <w:color w:val="FFFFFF"/>
                <w:szCs w:val="17"/>
                <w:lang w:eastAsia="en-AU"/>
              </w:rPr>
              <w:t>1</w:t>
            </w:r>
            <w:r>
              <w:rPr>
                <w:rFonts w:eastAsiaTheme="minorEastAsia" w:cs="Calibri"/>
                <w:iCs/>
                <w:color w:val="FFFFFF"/>
                <w:szCs w:val="17"/>
                <w:lang w:eastAsia="en-AU"/>
              </w:rPr>
              <w:br/>
            </w:r>
            <w:r w:rsidRPr="003B6233">
              <w:rPr>
                <w:rFonts w:eastAsiaTheme="minorEastAsia" w:cs="Calibri"/>
                <w:iCs/>
                <w:color w:val="FFFFFF"/>
                <w:szCs w:val="17"/>
                <w:lang w:eastAsia="en-AU"/>
              </w:rPr>
              <w:t>estimate</w:t>
            </w:r>
          </w:p>
        </w:tc>
        <w:tc>
          <w:tcPr>
            <w:tcW w:w="850" w:type="dxa"/>
          </w:tcPr>
          <w:p w14:paraId="114356A1" w14:textId="77777777" w:rsidR="005D6A22" w:rsidRPr="007C6619"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202</w:t>
            </w:r>
            <w:r>
              <w:rPr>
                <w:rFonts w:eastAsiaTheme="minorEastAsia" w:cs="Calibri"/>
                <w:iCs/>
                <w:color w:val="FFFFFF"/>
                <w:szCs w:val="17"/>
                <w:lang w:eastAsia="en-AU"/>
              </w:rPr>
              <w:t>1</w:t>
            </w:r>
            <w:r w:rsidRPr="007C6619">
              <w:rPr>
                <w:rFonts w:eastAsiaTheme="minorEastAsia" w:cs="Calibri"/>
                <w:iCs/>
                <w:color w:val="FFFFFF"/>
                <w:szCs w:val="17"/>
                <w:lang w:eastAsia="en-AU"/>
              </w:rPr>
              <w:t>-2</w:t>
            </w:r>
            <w:r>
              <w:rPr>
                <w:rFonts w:eastAsiaTheme="minorEastAsia" w:cs="Calibri"/>
                <w:iCs/>
                <w:color w:val="FFFFFF"/>
                <w:szCs w:val="17"/>
                <w:lang w:eastAsia="en-AU"/>
              </w:rPr>
              <w:t>2</w:t>
            </w:r>
            <w:r>
              <w:rPr>
                <w:rFonts w:eastAsiaTheme="minorEastAsia" w:cs="Calibri"/>
                <w:iCs/>
                <w:color w:val="FFFFFF"/>
                <w:szCs w:val="17"/>
                <w:lang w:eastAsia="en-AU"/>
              </w:rPr>
              <w:br/>
            </w:r>
            <w:r w:rsidRPr="003B6233">
              <w:rPr>
                <w:rFonts w:eastAsiaTheme="minorEastAsia" w:cs="Calibri"/>
                <w:iCs/>
                <w:color w:val="FFFFFF"/>
                <w:szCs w:val="17"/>
                <w:lang w:eastAsia="en-AU"/>
              </w:rPr>
              <w:t xml:space="preserve"> estimate</w:t>
            </w:r>
          </w:p>
        </w:tc>
        <w:tc>
          <w:tcPr>
            <w:tcW w:w="850" w:type="dxa"/>
          </w:tcPr>
          <w:p w14:paraId="5F5F169C" w14:textId="77777777" w:rsidR="005D6A22" w:rsidRPr="007C6619"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202</w:t>
            </w:r>
            <w:r>
              <w:rPr>
                <w:rFonts w:eastAsiaTheme="minorEastAsia" w:cs="Calibri"/>
                <w:iCs/>
                <w:color w:val="FFFFFF"/>
                <w:szCs w:val="17"/>
                <w:lang w:eastAsia="en-AU"/>
              </w:rPr>
              <w:t>2</w:t>
            </w:r>
            <w:r w:rsidRPr="007C6619">
              <w:rPr>
                <w:rFonts w:eastAsiaTheme="minorEastAsia" w:cs="Calibri"/>
                <w:iCs/>
                <w:color w:val="FFFFFF"/>
                <w:szCs w:val="17"/>
                <w:lang w:eastAsia="en-AU"/>
              </w:rPr>
              <w:t>-2</w:t>
            </w:r>
            <w:r>
              <w:rPr>
                <w:rFonts w:eastAsiaTheme="minorEastAsia" w:cs="Calibri"/>
                <w:iCs/>
                <w:color w:val="FFFFFF"/>
                <w:szCs w:val="17"/>
                <w:lang w:eastAsia="en-AU"/>
              </w:rPr>
              <w:t>3</w:t>
            </w:r>
            <w:r>
              <w:rPr>
                <w:rFonts w:eastAsiaTheme="minorEastAsia" w:cs="Calibri"/>
                <w:iCs/>
                <w:color w:val="FFFFFF"/>
                <w:szCs w:val="17"/>
                <w:lang w:eastAsia="en-AU"/>
              </w:rPr>
              <w:br/>
            </w:r>
            <w:r w:rsidRPr="003B6233">
              <w:rPr>
                <w:rFonts w:eastAsiaTheme="minorEastAsia" w:cs="Calibri"/>
                <w:iCs/>
                <w:color w:val="FFFFFF"/>
                <w:szCs w:val="17"/>
                <w:lang w:eastAsia="en-AU"/>
              </w:rPr>
              <w:t>estimate</w:t>
            </w:r>
          </w:p>
        </w:tc>
      </w:tr>
      <w:tr w:rsidR="00964B88" w:rsidRPr="003B6233" w14:paraId="6451D727" w14:textId="77777777" w:rsidTr="00F53820">
        <w:tc>
          <w:tcPr>
            <w:cnfStyle w:val="001000000000" w:firstRow="0" w:lastRow="0" w:firstColumn="1" w:lastColumn="0" w:oddVBand="0" w:evenVBand="0" w:oddHBand="0" w:evenHBand="0" w:firstRowFirstColumn="0" w:firstRowLastColumn="0" w:lastRowFirstColumn="0" w:lastRowLastColumn="0"/>
            <w:tcW w:w="4365" w:type="dxa"/>
          </w:tcPr>
          <w:p w14:paraId="58CCE423" w14:textId="77777777" w:rsidR="00964B88" w:rsidRPr="003B6233" w:rsidRDefault="00964B88" w:rsidP="00F53820">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Income from transactions</w:t>
            </w:r>
          </w:p>
        </w:tc>
        <w:tc>
          <w:tcPr>
            <w:tcW w:w="850" w:type="dxa"/>
            <w:tcBorders>
              <w:top w:val="nil"/>
              <w:left w:val="nil"/>
              <w:bottom w:val="nil"/>
              <w:right w:val="nil"/>
            </w:tcBorders>
            <w:shd w:val="clear" w:color="000000" w:fill="FFFFFF"/>
          </w:tcPr>
          <w:p w14:paraId="47590847"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(23.2)</w:t>
            </w:r>
          </w:p>
        </w:tc>
        <w:tc>
          <w:tcPr>
            <w:tcW w:w="850" w:type="dxa"/>
            <w:tcBorders>
              <w:top w:val="nil"/>
              <w:left w:val="nil"/>
              <w:bottom w:val="nil"/>
              <w:right w:val="nil"/>
            </w:tcBorders>
            <w:shd w:val="clear" w:color="000000" w:fill="FFFFFF"/>
          </w:tcPr>
          <w:p w14:paraId="3D9F6568"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(71.1)</w:t>
            </w:r>
          </w:p>
        </w:tc>
        <w:tc>
          <w:tcPr>
            <w:tcW w:w="850" w:type="dxa"/>
            <w:tcBorders>
              <w:top w:val="nil"/>
              <w:left w:val="nil"/>
              <w:bottom w:val="nil"/>
              <w:right w:val="nil"/>
            </w:tcBorders>
            <w:shd w:val="clear" w:color="000000" w:fill="FFFFFF"/>
          </w:tcPr>
          <w:p w14:paraId="270229EA"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(159.0)</w:t>
            </w:r>
          </w:p>
        </w:tc>
        <w:tc>
          <w:tcPr>
            <w:tcW w:w="850" w:type="dxa"/>
            <w:tcBorders>
              <w:top w:val="nil"/>
              <w:left w:val="nil"/>
              <w:bottom w:val="nil"/>
              <w:right w:val="nil"/>
            </w:tcBorders>
            <w:shd w:val="clear" w:color="000000" w:fill="FFFFFF"/>
          </w:tcPr>
          <w:p w14:paraId="190EB566"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(282.6)</w:t>
            </w:r>
          </w:p>
        </w:tc>
      </w:tr>
      <w:tr w:rsidR="00964B88" w:rsidRPr="003B6233" w14:paraId="272DBF5A"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bottom w:val="single" w:sz="6" w:space="0" w:color="auto"/>
            </w:tcBorders>
          </w:tcPr>
          <w:p w14:paraId="32B7EFDA" w14:textId="77777777" w:rsidR="00964B88" w:rsidRPr="003B6233" w:rsidRDefault="00964B88" w:rsidP="00F53820">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Expenses from transactions</w:t>
            </w:r>
          </w:p>
        </w:tc>
        <w:tc>
          <w:tcPr>
            <w:tcW w:w="850" w:type="dxa"/>
            <w:tcBorders>
              <w:top w:val="nil"/>
              <w:left w:val="nil"/>
              <w:bottom w:val="nil"/>
              <w:right w:val="nil"/>
            </w:tcBorders>
            <w:shd w:val="clear" w:color="000000" w:fill="FFFFFF"/>
          </w:tcPr>
          <w:p w14:paraId="55793B43"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(19.0)</w:t>
            </w:r>
          </w:p>
        </w:tc>
        <w:tc>
          <w:tcPr>
            <w:tcW w:w="850" w:type="dxa"/>
            <w:tcBorders>
              <w:top w:val="nil"/>
              <w:left w:val="nil"/>
              <w:bottom w:val="nil"/>
              <w:right w:val="nil"/>
            </w:tcBorders>
            <w:shd w:val="clear" w:color="000000" w:fill="FFFFFF"/>
          </w:tcPr>
          <w:p w14:paraId="26E3549B"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(46.8)</w:t>
            </w:r>
          </w:p>
        </w:tc>
        <w:tc>
          <w:tcPr>
            <w:tcW w:w="850" w:type="dxa"/>
            <w:tcBorders>
              <w:top w:val="nil"/>
              <w:left w:val="nil"/>
              <w:bottom w:val="nil"/>
              <w:right w:val="nil"/>
            </w:tcBorders>
            <w:shd w:val="clear" w:color="000000" w:fill="FFFFFF"/>
          </w:tcPr>
          <w:p w14:paraId="7A317AEC"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(50.2)</w:t>
            </w:r>
          </w:p>
        </w:tc>
        <w:tc>
          <w:tcPr>
            <w:tcW w:w="850" w:type="dxa"/>
            <w:tcBorders>
              <w:top w:val="nil"/>
              <w:left w:val="nil"/>
              <w:bottom w:val="nil"/>
              <w:right w:val="nil"/>
            </w:tcBorders>
            <w:shd w:val="clear" w:color="000000" w:fill="FFFFFF"/>
          </w:tcPr>
          <w:p w14:paraId="5745ADEA"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(45.9)</w:t>
            </w:r>
          </w:p>
        </w:tc>
      </w:tr>
      <w:tr w:rsidR="00964B88" w:rsidRPr="003B6233" w14:paraId="014B6F2C"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14:paraId="2112B544" w14:textId="77777777" w:rsidR="00964B88" w:rsidRPr="003B6233" w:rsidRDefault="00964B88" w:rsidP="00F53820">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result from transactions</w:t>
            </w:r>
          </w:p>
        </w:tc>
        <w:tc>
          <w:tcPr>
            <w:tcW w:w="850" w:type="dxa"/>
            <w:tcBorders>
              <w:top w:val="single" w:sz="4" w:space="0" w:color="auto"/>
              <w:left w:val="nil"/>
              <w:bottom w:val="single" w:sz="4" w:space="0" w:color="auto"/>
              <w:right w:val="nil"/>
            </w:tcBorders>
            <w:shd w:val="clear" w:color="000000" w:fill="FFFFFF"/>
          </w:tcPr>
          <w:p w14:paraId="65C0B5D0"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(4.2)</w:t>
            </w:r>
          </w:p>
        </w:tc>
        <w:tc>
          <w:tcPr>
            <w:tcW w:w="850" w:type="dxa"/>
            <w:tcBorders>
              <w:top w:val="single" w:sz="4" w:space="0" w:color="auto"/>
              <w:left w:val="nil"/>
              <w:bottom w:val="single" w:sz="4" w:space="0" w:color="auto"/>
              <w:right w:val="nil"/>
            </w:tcBorders>
            <w:shd w:val="clear" w:color="000000" w:fill="FFFFFF"/>
          </w:tcPr>
          <w:p w14:paraId="2D0BCAAD"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(24.4)</w:t>
            </w:r>
          </w:p>
        </w:tc>
        <w:tc>
          <w:tcPr>
            <w:tcW w:w="850" w:type="dxa"/>
            <w:tcBorders>
              <w:top w:val="single" w:sz="4" w:space="0" w:color="auto"/>
              <w:left w:val="nil"/>
              <w:bottom w:val="single" w:sz="4" w:space="0" w:color="auto"/>
              <w:right w:val="nil"/>
            </w:tcBorders>
            <w:shd w:val="clear" w:color="000000" w:fill="FFFFFF"/>
          </w:tcPr>
          <w:p w14:paraId="386B07B8"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(108.9)</w:t>
            </w:r>
          </w:p>
        </w:tc>
        <w:tc>
          <w:tcPr>
            <w:tcW w:w="850" w:type="dxa"/>
            <w:tcBorders>
              <w:top w:val="single" w:sz="4" w:space="0" w:color="auto"/>
              <w:left w:val="nil"/>
              <w:bottom w:val="single" w:sz="4" w:space="0" w:color="auto"/>
              <w:right w:val="nil"/>
            </w:tcBorders>
            <w:shd w:val="clear" w:color="000000" w:fill="FFFFFF"/>
          </w:tcPr>
          <w:p w14:paraId="7D13F282"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(236.8)</w:t>
            </w:r>
          </w:p>
        </w:tc>
      </w:tr>
      <w:tr w:rsidR="00964B88" w:rsidRPr="003B6233" w14:paraId="2A4B1600"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14:paraId="45F4ADE5" w14:textId="77777777" w:rsidR="00964B88" w:rsidRPr="003B6233" w:rsidRDefault="00964B88" w:rsidP="00F53820">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Other economic flows</w:t>
            </w:r>
          </w:p>
        </w:tc>
        <w:tc>
          <w:tcPr>
            <w:tcW w:w="850" w:type="dxa"/>
            <w:tcBorders>
              <w:top w:val="nil"/>
              <w:left w:val="nil"/>
              <w:bottom w:val="nil"/>
              <w:right w:val="nil"/>
            </w:tcBorders>
            <w:shd w:val="clear" w:color="000000" w:fill="FFFFFF"/>
          </w:tcPr>
          <w:p w14:paraId="56C00BE6"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(0.2)</w:t>
            </w:r>
          </w:p>
        </w:tc>
        <w:tc>
          <w:tcPr>
            <w:tcW w:w="850" w:type="dxa"/>
            <w:tcBorders>
              <w:top w:val="nil"/>
              <w:left w:val="nil"/>
              <w:bottom w:val="nil"/>
              <w:right w:val="nil"/>
            </w:tcBorders>
            <w:shd w:val="clear" w:color="000000" w:fill="FFFFFF"/>
          </w:tcPr>
          <w:p w14:paraId="20955677"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(0.2)</w:t>
            </w:r>
          </w:p>
        </w:tc>
        <w:tc>
          <w:tcPr>
            <w:tcW w:w="850" w:type="dxa"/>
            <w:tcBorders>
              <w:top w:val="nil"/>
              <w:left w:val="nil"/>
              <w:bottom w:val="nil"/>
              <w:right w:val="nil"/>
            </w:tcBorders>
            <w:shd w:val="clear" w:color="000000" w:fill="FFFFFF"/>
          </w:tcPr>
          <w:p w14:paraId="1C22D9E4"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(0.6)</w:t>
            </w:r>
          </w:p>
        </w:tc>
        <w:tc>
          <w:tcPr>
            <w:tcW w:w="850" w:type="dxa"/>
            <w:tcBorders>
              <w:top w:val="nil"/>
              <w:left w:val="nil"/>
              <w:bottom w:val="nil"/>
              <w:right w:val="nil"/>
            </w:tcBorders>
            <w:shd w:val="clear" w:color="000000" w:fill="FFFFFF"/>
          </w:tcPr>
          <w:p w14:paraId="000DBE53" w14:textId="77777777" w:rsidR="00964B88" w:rsidRPr="006E6CB2" w:rsidRDefault="00964B88" w:rsidP="00F53820">
            <w:pPr>
              <w:cnfStyle w:val="000000000000" w:firstRow="0" w:lastRow="0" w:firstColumn="0" w:lastColumn="0" w:oddVBand="0" w:evenVBand="0" w:oddHBand="0" w:evenHBand="0" w:firstRowFirstColumn="0" w:firstRowLastColumn="0" w:lastRowFirstColumn="0" w:lastRowLastColumn="0"/>
            </w:pPr>
            <w:r w:rsidRPr="006E6CB2">
              <w:t>(0.9)</w:t>
            </w:r>
          </w:p>
        </w:tc>
      </w:tr>
      <w:tr w:rsidR="00964B88" w:rsidRPr="003B6233" w14:paraId="0ABE5DA9"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14:paraId="1D97B90C" w14:textId="77777777" w:rsidR="00964B88" w:rsidRPr="003B6233" w:rsidRDefault="00964B88" w:rsidP="00F53820">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result</w:t>
            </w:r>
          </w:p>
        </w:tc>
        <w:tc>
          <w:tcPr>
            <w:tcW w:w="850" w:type="dxa"/>
            <w:tcBorders>
              <w:top w:val="single" w:sz="4" w:space="0" w:color="auto"/>
              <w:left w:val="nil"/>
              <w:bottom w:val="single" w:sz="8" w:space="0" w:color="auto"/>
              <w:right w:val="nil"/>
            </w:tcBorders>
            <w:shd w:val="clear" w:color="000000" w:fill="FFFFFF"/>
          </w:tcPr>
          <w:p w14:paraId="60A2C791"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(4.5)</w:t>
            </w:r>
          </w:p>
        </w:tc>
        <w:tc>
          <w:tcPr>
            <w:tcW w:w="850" w:type="dxa"/>
            <w:tcBorders>
              <w:top w:val="single" w:sz="4" w:space="0" w:color="auto"/>
              <w:left w:val="nil"/>
              <w:bottom w:val="single" w:sz="8" w:space="0" w:color="auto"/>
              <w:right w:val="nil"/>
            </w:tcBorders>
            <w:shd w:val="clear" w:color="000000" w:fill="FFFFFF"/>
          </w:tcPr>
          <w:p w14:paraId="5FCEE715"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(24.6)</w:t>
            </w:r>
          </w:p>
        </w:tc>
        <w:tc>
          <w:tcPr>
            <w:tcW w:w="850" w:type="dxa"/>
            <w:tcBorders>
              <w:top w:val="single" w:sz="4" w:space="0" w:color="auto"/>
              <w:left w:val="nil"/>
              <w:bottom w:val="single" w:sz="8" w:space="0" w:color="auto"/>
              <w:right w:val="nil"/>
            </w:tcBorders>
            <w:shd w:val="clear" w:color="000000" w:fill="FFFFFF"/>
          </w:tcPr>
          <w:p w14:paraId="1F83EF91"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(109.5)</w:t>
            </w:r>
          </w:p>
        </w:tc>
        <w:tc>
          <w:tcPr>
            <w:tcW w:w="850" w:type="dxa"/>
            <w:tcBorders>
              <w:top w:val="single" w:sz="4" w:space="0" w:color="auto"/>
              <w:left w:val="nil"/>
              <w:bottom w:val="single" w:sz="8" w:space="0" w:color="auto"/>
              <w:right w:val="nil"/>
            </w:tcBorders>
            <w:shd w:val="clear" w:color="000000" w:fill="FFFFFF"/>
          </w:tcPr>
          <w:p w14:paraId="238A4679"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(237.7)</w:t>
            </w:r>
          </w:p>
        </w:tc>
      </w:tr>
      <w:tr w:rsidR="00964B88" w:rsidRPr="003B6233" w14:paraId="6ECB37CB"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nil"/>
            </w:tcBorders>
          </w:tcPr>
          <w:p w14:paraId="441BDDBB" w14:textId="77777777" w:rsidR="00964B88" w:rsidRPr="004B4350" w:rsidRDefault="00964B88" w:rsidP="00F53820">
            <w:pPr>
              <w:keepLines w:val="0"/>
              <w:autoSpaceDE w:val="0"/>
              <w:autoSpaceDN w:val="0"/>
              <w:adjustRightInd w:val="0"/>
              <w:rPr>
                <w:rFonts w:eastAsiaTheme="minorEastAsia" w:cs="Calibri"/>
                <w:b/>
                <w:bCs/>
                <w:color w:val="000000"/>
                <w:szCs w:val="17"/>
                <w:lang w:eastAsia="en-AU"/>
              </w:rPr>
            </w:pPr>
            <w:r w:rsidRPr="004B4350">
              <w:rPr>
                <w:rFonts w:eastAsiaTheme="minorEastAsia" w:cs="Calibri"/>
                <w:b/>
                <w:bCs/>
                <w:color w:val="000000"/>
                <w:szCs w:val="17"/>
                <w:lang w:eastAsia="en-AU"/>
              </w:rPr>
              <w:t>Net debt (cumulative)</w:t>
            </w:r>
          </w:p>
        </w:tc>
        <w:tc>
          <w:tcPr>
            <w:tcW w:w="850" w:type="dxa"/>
            <w:tcBorders>
              <w:top w:val="single" w:sz="4" w:space="0" w:color="auto"/>
              <w:left w:val="nil"/>
              <w:bottom w:val="nil"/>
              <w:right w:val="nil"/>
            </w:tcBorders>
            <w:shd w:val="clear" w:color="000000" w:fill="FFFFFF"/>
          </w:tcPr>
          <w:p w14:paraId="7C1637C1"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4.5</w:t>
            </w:r>
          </w:p>
        </w:tc>
        <w:tc>
          <w:tcPr>
            <w:tcW w:w="850" w:type="dxa"/>
            <w:tcBorders>
              <w:top w:val="single" w:sz="4" w:space="0" w:color="auto"/>
              <w:left w:val="nil"/>
              <w:bottom w:val="nil"/>
              <w:right w:val="nil"/>
            </w:tcBorders>
            <w:shd w:val="clear" w:color="000000" w:fill="FFFFFF"/>
          </w:tcPr>
          <w:p w14:paraId="7B65EBBC"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29.1</w:t>
            </w:r>
          </w:p>
        </w:tc>
        <w:tc>
          <w:tcPr>
            <w:tcW w:w="850" w:type="dxa"/>
            <w:tcBorders>
              <w:top w:val="single" w:sz="4" w:space="0" w:color="auto"/>
              <w:left w:val="nil"/>
              <w:bottom w:val="nil"/>
              <w:right w:val="nil"/>
            </w:tcBorders>
            <w:shd w:val="clear" w:color="000000" w:fill="FFFFFF"/>
          </w:tcPr>
          <w:p w14:paraId="1011789F"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138.6</w:t>
            </w:r>
          </w:p>
        </w:tc>
        <w:tc>
          <w:tcPr>
            <w:tcW w:w="850" w:type="dxa"/>
            <w:tcBorders>
              <w:top w:val="single" w:sz="4" w:space="0" w:color="auto"/>
              <w:left w:val="nil"/>
              <w:bottom w:val="nil"/>
              <w:right w:val="nil"/>
            </w:tcBorders>
            <w:shd w:val="clear" w:color="000000" w:fill="FFFFFF"/>
          </w:tcPr>
          <w:p w14:paraId="094D1FD7" w14:textId="77777777" w:rsidR="00964B88" w:rsidRPr="00433E2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433E20">
              <w:rPr>
                <w:b/>
              </w:rPr>
              <w:t>376.3</w:t>
            </w:r>
          </w:p>
        </w:tc>
      </w:tr>
      <w:tr w:rsidR="00964B88" w:rsidRPr="003B6233" w14:paraId="2C85CF2A"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bottom w:val="single" w:sz="12" w:space="0" w:color="auto"/>
            </w:tcBorders>
          </w:tcPr>
          <w:p w14:paraId="05286BE6" w14:textId="77777777" w:rsidR="00964B88" w:rsidRPr="003B6233" w:rsidRDefault="00964B88" w:rsidP="00F53820">
            <w:pPr>
              <w:keepLines w:val="0"/>
              <w:autoSpaceDE w:val="0"/>
              <w:autoSpaceDN w:val="0"/>
              <w:adjustRightInd w:val="0"/>
              <w:rPr>
                <w:rFonts w:eastAsiaTheme="minorEastAsia" w:cs="Calibri"/>
                <w:bCs/>
                <w:color w:val="000000"/>
                <w:szCs w:val="17"/>
                <w:lang w:eastAsia="en-AU"/>
              </w:rPr>
            </w:pPr>
            <w:r w:rsidRPr="003B6233">
              <w:rPr>
                <w:rFonts w:eastAsiaTheme="minorEastAsia" w:cs="Calibri"/>
                <w:bCs/>
                <w:color w:val="000000"/>
                <w:szCs w:val="17"/>
                <w:lang w:eastAsia="en-AU"/>
              </w:rPr>
              <w:t>Net debt to GSP ratio (percentage point difference)</w:t>
            </w:r>
          </w:p>
        </w:tc>
        <w:tc>
          <w:tcPr>
            <w:tcW w:w="850" w:type="dxa"/>
            <w:tcBorders>
              <w:top w:val="nil"/>
              <w:bottom w:val="single" w:sz="12" w:space="0" w:color="auto"/>
            </w:tcBorders>
            <w:shd w:val="clear" w:color="000000" w:fill="FFFFFF"/>
          </w:tcPr>
          <w:p w14:paraId="7AC0017C" w14:textId="77777777" w:rsidR="00964B88" w:rsidRPr="00433E20" w:rsidRDefault="00964B88" w:rsidP="00F53820">
            <w:pPr>
              <w:cnfStyle w:val="010000000000" w:firstRow="0" w:lastRow="1" w:firstColumn="0" w:lastColumn="0" w:oddVBand="0" w:evenVBand="0" w:oddHBand="0" w:evenHBand="0" w:firstRowFirstColumn="0" w:firstRowLastColumn="0" w:lastRowFirstColumn="0" w:lastRowLastColumn="0"/>
            </w:pPr>
            <w:r w:rsidRPr="00433E20">
              <w:t>0.00</w:t>
            </w:r>
          </w:p>
        </w:tc>
        <w:tc>
          <w:tcPr>
            <w:tcW w:w="850" w:type="dxa"/>
            <w:tcBorders>
              <w:top w:val="nil"/>
              <w:bottom w:val="single" w:sz="12" w:space="0" w:color="auto"/>
            </w:tcBorders>
            <w:shd w:val="clear" w:color="000000" w:fill="FFFFFF"/>
          </w:tcPr>
          <w:p w14:paraId="3305F553" w14:textId="77777777" w:rsidR="00964B88" w:rsidRPr="00433E20" w:rsidRDefault="00964B88" w:rsidP="00F53820">
            <w:pPr>
              <w:cnfStyle w:val="010000000000" w:firstRow="0" w:lastRow="1" w:firstColumn="0" w:lastColumn="0" w:oddVBand="0" w:evenVBand="0" w:oddHBand="0" w:evenHBand="0" w:firstRowFirstColumn="0" w:firstRowLastColumn="0" w:lastRowFirstColumn="0" w:lastRowLastColumn="0"/>
            </w:pPr>
            <w:r w:rsidRPr="00433E20">
              <w:t>0.01</w:t>
            </w:r>
          </w:p>
        </w:tc>
        <w:tc>
          <w:tcPr>
            <w:tcW w:w="850" w:type="dxa"/>
            <w:tcBorders>
              <w:top w:val="nil"/>
              <w:bottom w:val="single" w:sz="12" w:space="0" w:color="auto"/>
            </w:tcBorders>
            <w:shd w:val="clear" w:color="000000" w:fill="FFFFFF"/>
          </w:tcPr>
          <w:p w14:paraId="06A12DA0" w14:textId="77777777" w:rsidR="00964B88" w:rsidRPr="00433E20" w:rsidRDefault="00964B88" w:rsidP="00F53820">
            <w:pPr>
              <w:cnfStyle w:val="010000000000" w:firstRow="0" w:lastRow="1" w:firstColumn="0" w:lastColumn="0" w:oddVBand="0" w:evenVBand="0" w:oddHBand="0" w:evenHBand="0" w:firstRowFirstColumn="0" w:firstRowLastColumn="0" w:lastRowFirstColumn="0" w:lastRowLastColumn="0"/>
            </w:pPr>
            <w:r w:rsidRPr="00433E20">
              <w:t>0.03</w:t>
            </w:r>
          </w:p>
        </w:tc>
        <w:tc>
          <w:tcPr>
            <w:tcW w:w="850" w:type="dxa"/>
            <w:tcBorders>
              <w:top w:val="nil"/>
              <w:bottom w:val="single" w:sz="12" w:space="0" w:color="auto"/>
            </w:tcBorders>
            <w:shd w:val="clear" w:color="000000" w:fill="FFFFFF"/>
          </w:tcPr>
          <w:p w14:paraId="705FF6A3" w14:textId="77777777" w:rsidR="00964B88" w:rsidRPr="00433E20" w:rsidRDefault="00964B88" w:rsidP="00F53820">
            <w:pPr>
              <w:cnfStyle w:val="010000000000" w:firstRow="0" w:lastRow="1" w:firstColumn="0" w:lastColumn="0" w:oddVBand="0" w:evenVBand="0" w:oddHBand="0" w:evenHBand="0" w:firstRowFirstColumn="0" w:firstRowLastColumn="0" w:lastRowFirstColumn="0" w:lastRowLastColumn="0"/>
            </w:pPr>
            <w:r w:rsidRPr="00433E20">
              <w:t>0.07</w:t>
            </w:r>
          </w:p>
        </w:tc>
      </w:tr>
    </w:tbl>
    <w:p w14:paraId="24695327" w14:textId="77777777" w:rsidR="00964B88" w:rsidRPr="00134665" w:rsidRDefault="00964B88" w:rsidP="00F53820">
      <w:pPr>
        <w:pStyle w:val="Note"/>
      </w:pPr>
      <w:r w:rsidRPr="00134665">
        <w:t xml:space="preserve">Note: </w:t>
      </w:r>
    </w:p>
    <w:p w14:paraId="77A7D149" w14:textId="77777777" w:rsidR="005D6A22" w:rsidRDefault="00964B88" w:rsidP="00F53820">
      <w:pPr>
        <w:pStyle w:val="Note"/>
      </w:pPr>
      <w:r w:rsidRPr="00134665">
        <w:t>(a)</w:t>
      </w:r>
      <w:r w:rsidRPr="00134665">
        <w:tab/>
        <w:t xml:space="preserve">Figures </w:t>
      </w:r>
      <w:r>
        <w:t>may not add due to rounding.</w:t>
      </w:r>
    </w:p>
    <w:p w14:paraId="7C14E0B7" w14:textId="77777777" w:rsidR="00964B88" w:rsidRPr="00F2602B" w:rsidRDefault="00964B88" w:rsidP="005D6A22"/>
    <w:p w14:paraId="47FDCEC8" w14:textId="77777777" w:rsidR="00964B88" w:rsidRDefault="00964B88" w:rsidP="00F53820">
      <w:pPr>
        <w:pStyle w:val="Heading20"/>
      </w:pPr>
      <w:r>
        <w:lastRenderedPageBreak/>
        <w:t>A lower trend rate of unemployment in Victoria</w:t>
      </w:r>
    </w:p>
    <w:p w14:paraId="6EF2A3B3" w14:textId="77777777" w:rsidR="00964B88" w:rsidRDefault="00964B88" w:rsidP="00F53820">
      <w:r>
        <w:t xml:space="preserve">Over the past few years there have been large and sustained falls in unemployment rates across a range of advanced economies, including in Victoria and Australia (Chart D.2). This suggests these economies may be approaching capacity constraints and businesses may find it more difficult to find suitably skilled employees. </w:t>
      </w:r>
    </w:p>
    <w:p w14:paraId="6D7EEA15" w14:textId="77777777" w:rsidR="00964B88" w:rsidRPr="00CB01AD" w:rsidRDefault="00964B88" w:rsidP="00F53820">
      <w:pPr>
        <w:pStyle w:val="TableHeading"/>
        <w:spacing w:before="180"/>
        <w:rPr>
          <w:vertAlign w:val="superscript"/>
        </w:rPr>
      </w:pPr>
      <w:r>
        <w:t>Chart D</w:t>
      </w:r>
      <w:r w:rsidRPr="00CB01AD">
        <w:t>.2:</w:t>
      </w:r>
      <w:r w:rsidRPr="00CB01AD">
        <w:tab/>
        <w:t xml:space="preserve">Unemployment rates for select advanced economies, Victoria and Australia </w:t>
      </w:r>
      <w:r w:rsidRPr="00CB01AD">
        <w:rPr>
          <w:vertAlign w:val="superscript"/>
        </w:rPr>
        <w:t>(a)</w:t>
      </w:r>
    </w:p>
    <w:p w14:paraId="38E722BD" w14:textId="77777777" w:rsidR="00964B88" w:rsidRPr="00CB01AD" w:rsidRDefault="00F033D6" w:rsidP="00F53820">
      <w:pPr>
        <w:pStyle w:val="Source"/>
      </w:pPr>
      <w:r>
        <w:pict w14:anchorId="692CDE29">
          <v:shape id="_x0000_i1026" type="#_x0000_t75" style="width:385.25pt;height:253.4pt">
            <v:imagedata r:id="rId105" o:title=""/>
          </v:shape>
        </w:pict>
      </w:r>
      <w:r w:rsidR="00964B88" w:rsidRPr="00CB01AD">
        <w:t>Sources: Deutsche Bundesbank, U.S. Bureau of Labor Statistics, Japanese Ministry of Internal Affairs and Communications, United Kingdom Office for National Statistics, Australian Bureau of Statistics and the Department of Treasury and Finance</w:t>
      </w:r>
    </w:p>
    <w:p w14:paraId="162C70EC" w14:textId="77777777" w:rsidR="00964B88" w:rsidRPr="00CB01AD" w:rsidRDefault="00964B88" w:rsidP="00F53820">
      <w:pPr>
        <w:pStyle w:val="Note"/>
      </w:pPr>
      <w:r w:rsidRPr="00CB01AD">
        <w:t xml:space="preserve">Note: </w:t>
      </w:r>
    </w:p>
    <w:p w14:paraId="41F4D36B" w14:textId="77777777" w:rsidR="00964B88" w:rsidRDefault="00964B88" w:rsidP="00F53820">
      <w:pPr>
        <w:pStyle w:val="Note"/>
      </w:pPr>
      <w:r w:rsidRPr="00CB01AD">
        <w:t>(a)</w:t>
      </w:r>
      <w:r w:rsidRPr="00CB01AD">
        <w:tab/>
        <w:t>Data are quarterly seasonally adjusted averages.</w:t>
      </w:r>
    </w:p>
    <w:p w14:paraId="685F86DC" w14:textId="77777777" w:rsidR="005D6A22" w:rsidRPr="007C6619" w:rsidRDefault="005D6A22" w:rsidP="005D6A22"/>
    <w:p w14:paraId="33C5A1B4" w14:textId="77777777" w:rsidR="00964B88" w:rsidRDefault="00964B88" w:rsidP="00F53820">
      <w:r>
        <w:t xml:space="preserve">One way of assessing the degree of spare capacity in the labour market is to analyse the difference between the observed unemployment rate and the trend rate of unemployment. A widely used estimate of trend unemployment is the </w:t>
      </w:r>
      <w:r w:rsidRPr="00634BD8">
        <w:t>non-accelerating inflation rate of unemployment (NAIRU)</w:t>
      </w:r>
      <w:r>
        <w:t>.</w:t>
      </w:r>
      <w:r>
        <w:rPr>
          <w:rStyle w:val="FootnoteReference"/>
        </w:rPr>
        <w:footnoteReference w:id="5"/>
      </w:r>
      <w:r>
        <w:t xml:space="preserve"> As the NAIRU is an estimate only and cannot be observed, model estimates are highly uncertain and can change as new data become available. Currently, the </w:t>
      </w:r>
      <w:r w:rsidRPr="0096232C">
        <w:t xml:space="preserve">budget estimate of the Victorian NAIRU is 5.5 per cent, </w:t>
      </w:r>
      <w:r>
        <w:t xml:space="preserve">which is </w:t>
      </w:r>
      <w:r w:rsidRPr="0096232C">
        <w:t xml:space="preserve">above </w:t>
      </w:r>
      <w:r w:rsidRPr="00FB4A55">
        <w:t>the quarterly average Victorian unemployment rate to September 2019 of 4.8 per cent.</w:t>
      </w:r>
      <w:r>
        <w:t xml:space="preserve"> </w:t>
      </w:r>
    </w:p>
    <w:p w14:paraId="3FD952ED" w14:textId="77777777" w:rsidR="00964B88" w:rsidRDefault="00964B88" w:rsidP="00F53820">
      <w:r w:rsidRPr="00412483">
        <w:lastRenderedPageBreak/>
        <w:t xml:space="preserve">Economic theory suggests that </w:t>
      </w:r>
      <w:r>
        <w:t>w</w:t>
      </w:r>
      <w:r w:rsidRPr="00766ABF">
        <w:t xml:space="preserve">hen the </w:t>
      </w:r>
      <w:r>
        <w:t>observed</w:t>
      </w:r>
      <w:r w:rsidRPr="00766ABF">
        <w:t xml:space="preserve"> unemployment rate is above the NAIRU,</w:t>
      </w:r>
      <w:r>
        <w:t xml:space="preserve"> there is an excess supply of workers relative to the equilibrium level of employment, which implies that there will be downward </w:t>
      </w:r>
      <w:r w:rsidRPr="00766ABF">
        <w:t>pressure on wage</w:t>
      </w:r>
      <w:r>
        <w:t>s</w:t>
      </w:r>
      <w:r w:rsidRPr="00766ABF">
        <w:t xml:space="preserve"> growth and inflation</w:t>
      </w:r>
      <w:r>
        <w:t xml:space="preserve">. In this situation, </w:t>
      </w:r>
      <w:r w:rsidRPr="004857E4">
        <w:t xml:space="preserve">firms can source labour more easily, </w:t>
      </w:r>
      <w:r>
        <w:t xml:space="preserve">and </w:t>
      </w:r>
      <w:r w:rsidRPr="004857E4">
        <w:t xml:space="preserve">competition among workers for roles </w:t>
      </w:r>
      <w:r>
        <w:t>makes it more difficult for them to demand higher wages (wages are sticky downwards).</w:t>
      </w:r>
      <w:r w:rsidRPr="00766ABF">
        <w:t xml:space="preserve"> </w:t>
      </w:r>
      <w:r>
        <w:t>Conversely, w</w:t>
      </w:r>
      <w:r w:rsidRPr="00766ABF">
        <w:t>hen</w:t>
      </w:r>
      <w:r>
        <w:t xml:space="preserve"> </w:t>
      </w:r>
      <w:r w:rsidRPr="00766ABF">
        <w:t xml:space="preserve">the </w:t>
      </w:r>
      <w:r>
        <w:t>observed</w:t>
      </w:r>
      <w:r w:rsidRPr="00766ABF">
        <w:t xml:space="preserve"> unemployment rate is below the NAIRU, </w:t>
      </w:r>
      <w:r>
        <w:t xml:space="preserve">there is a shortage of workers, resulting in </w:t>
      </w:r>
      <w:r w:rsidRPr="00766ABF">
        <w:t xml:space="preserve">upward pressure on wage growth </w:t>
      </w:r>
      <w:r>
        <w:t>because firms need to bid up wages to find suitably skilled employees.</w:t>
      </w:r>
    </w:p>
    <w:p w14:paraId="0F4F3474" w14:textId="77777777" w:rsidR="00964B88" w:rsidRDefault="00964B88" w:rsidP="00F53820">
      <w:r>
        <w:t>The difference between the NAIRU and the observed rate of unemployment – the unemployment gap – is therefore an important input to the central economic forecasts for the labour market and for prices, which assume that the labour market is in equilibrium in the long run, and that the rate of inflation is stable.</w:t>
      </w:r>
      <w:r>
        <w:rPr>
          <w:rStyle w:val="FootnoteReference"/>
        </w:rPr>
        <w:footnoteReference w:id="6"/>
      </w:r>
      <w:r>
        <w:t xml:space="preserve"> </w:t>
      </w:r>
    </w:p>
    <w:p w14:paraId="6C9BFE42" w14:textId="77777777" w:rsidR="00964B88" w:rsidRPr="00412483" w:rsidRDefault="00964B88" w:rsidP="005D6A22">
      <w:pPr>
        <w:ind w:right="198"/>
      </w:pPr>
      <w:r w:rsidRPr="00EC3A38">
        <w:t>Since March 2018, Victoria’s quarterly average unemployment rate has remained below the budget estimate of the NAIRU. However</w:t>
      </w:r>
      <w:r>
        <w:t xml:space="preserve">, inflation and wages growth in Victoria have also remained below trend (although wages growth is now above its recent lows). This is in contrast to what would be expected in this environment. Other jurisdictions such as New South Wales, the United States and the United Kingdom, have also seen a divergence of labour market strength and wages growth. </w:t>
      </w:r>
      <w:r w:rsidRPr="00412483">
        <w:t xml:space="preserve">The prolonged period of low wages growth across many countries has given rise to some debate about whether the theoretical relationship between the NAIRU and wages growth still holds, </w:t>
      </w:r>
      <w:r>
        <w:t xml:space="preserve">whether the true unobserved NAIRU is lower than previously estimated, </w:t>
      </w:r>
      <w:r w:rsidRPr="00412483">
        <w:t xml:space="preserve">or whether low wages growth reflects other factors. </w:t>
      </w:r>
    </w:p>
    <w:p w14:paraId="37762C0E" w14:textId="77777777" w:rsidR="00964B88" w:rsidRDefault="00964B88" w:rsidP="00F53820">
      <w:r>
        <w:t xml:space="preserve">Other than a fall in the NAIRU, there are several other possible explanations why wages growth may be low at a time of low unemployment. Underemployment, which primarily represents part-time workers who would prefer to </w:t>
      </w:r>
      <w:r w:rsidRPr="00DB5CB8">
        <w:t>work more hours, has been elevated in recent years. This suggests that there has been more spare capacity in the labour market than the unemployment rate alone would indicate. Other factors such as weak labour productivity growth and lower inflation expectations, may</w:t>
      </w:r>
      <w:r>
        <w:t xml:space="preserve"> have also contributed to subdued wages growth.</w:t>
      </w:r>
    </w:p>
    <w:p w14:paraId="4B84D526" w14:textId="77777777" w:rsidR="00964B88" w:rsidRDefault="00964B88" w:rsidP="00F53820">
      <w:r>
        <w:t xml:space="preserve">There is also a degree of uncertainty around estimates of the NAIRU itself. </w:t>
      </w:r>
      <w:r w:rsidRPr="00A379FF">
        <w:t xml:space="preserve">There are several ways to </w:t>
      </w:r>
      <w:r>
        <w:t>model</w:t>
      </w:r>
      <w:r w:rsidRPr="00A379FF">
        <w:t xml:space="preserve"> </w:t>
      </w:r>
      <w:r>
        <w:t>it</w:t>
      </w:r>
      <w:r w:rsidRPr="00A379FF">
        <w:t xml:space="preserve"> in practice, </w:t>
      </w:r>
      <w:r>
        <w:t>and</w:t>
      </w:r>
      <w:r w:rsidRPr="00A379FF">
        <w:t xml:space="preserve"> each </w:t>
      </w:r>
      <w:r>
        <w:t xml:space="preserve">method can </w:t>
      </w:r>
      <w:r w:rsidRPr="00A379FF">
        <w:t xml:space="preserve">provide different results. </w:t>
      </w:r>
      <w:r>
        <w:t>These models</w:t>
      </w:r>
      <w:r w:rsidRPr="00A379FF">
        <w:t xml:space="preserve"> rely on data on unemployment and inflation, and measurement issues associated with these data need to be considered</w:t>
      </w:r>
      <w:r>
        <w:t>.</w:t>
      </w:r>
      <w:r w:rsidRPr="00A379FF">
        <w:t xml:space="preserve"> </w:t>
      </w:r>
      <w:r>
        <w:t>T</w:t>
      </w:r>
      <w:r w:rsidRPr="00A379FF">
        <w:t>he</w:t>
      </w:r>
      <w:r>
        <w:t>y</w:t>
      </w:r>
      <w:r w:rsidRPr="00A379FF">
        <w:t xml:space="preserve"> are, for example, </w:t>
      </w:r>
      <w:r>
        <w:t>often</w:t>
      </w:r>
      <w:r w:rsidRPr="00A379FF">
        <w:t xml:space="preserve"> revised and subject to one</w:t>
      </w:r>
      <w:r>
        <w:noBreakHyphen/>
      </w:r>
      <w:r w:rsidRPr="00A379FF">
        <w:t xml:space="preserve">off events, not all of which may </w:t>
      </w:r>
      <w:r>
        <w:t>indicate</w:t>
      </w:r>
      <w:r w:rsidRPr="00A379FF">
        <w:t xml:space="preserve"> a structural change in the labour market.</w:t>
      </w:r>
      <w:r>
        <w:rPr>
          <w:rStyle w:val="FootnoteReference"/>
        </w:rPr>
        <w:footnoteReference w:id="7"/>
      </w:r>
      <w:r w:rsidRPr="00A379FF">
        <w:t xml:space="preserve"> </w:t>
      </w:r>
    </w:p>
    <w:p w14:paraId="41F1F842" w14:textId="77777777" w:rsidR="00964B88" w:rsidRPr="00104F66" w:rsidRDefault="00964B88" w:rsidP="00F53820">
      <w:r>
        <w:lastRenderedPageBreak/>
        <w:t>There are a number of factors that can result in changes to the NAIRU over time. These include changes in the nature of workplace bargaining, more workers being employed on a part</w:t>
      </w:r>
      <w:r>
        <w:noBreakHyphen/>
        <w:t xml:space="preserve">time basis, as well as greater efficiency in the labour market itself (through better technology and job matching). These factors suggest trend </w:t>
      </w:r>
      <w:r w:rsidRPr="00104F66">
        <w:t>unemployment</w:t>
      </w:r>
      <w:r>
        <w:t xml:space="preserve"> </w:t>
      </w:r>
      <w:r w:rsidRPr="00104F66">
        <w:t xml:space="preserve">– that is, the true unobserved NAIRU – may have declined over time. This would mean the economy can sustain a lower rate of unemployment without inducing inflationary pressure. </w:t>
      </w:r>
      <w:r>
        <w:t>Indeed, r</w:t>
      </w:r>
      <w:r w:rsidRPr="00FB4A55">
        <w:t>ecent research from the Reserve Bank of Australia indicates that</w:t>
      </w:r>
      <w:r>
        <w:t xml:space="preserve">, for Australia, the </w:t>
      </w:r>
      <w:r w:rsidRPr="00FB4A55">
        <w:t xml:space="preserve">NAIRU </w:t>
      </w:r>
      <w:r>
        <w:t xml:space="preserve">has gradually fallen in recent years, from 5.25 per cent to </w:t>
      </w:r>
      <w:r w:rsidRPr="00FB4A55">
        <w:t xml:space="preserve">4.5 per cent, reflecting weaker than expected wages </w:t>
      </w:r>
      <w:r>
        <w:t xml:space="preserve">growth. </w:t>
      </w:r>
    </w:p>
    <w:p w14:paraId="7ACDD391" w14:textId="77777777" w:rsidR="00964B88" w:rsidRDefault="00964B88" w:rsidP="00F53820">
      <w:r>
        <w:t>Given some uncertainty over the current level of the NAIRU</w:t>
      </w:r>
      <w:r w:rsidRPr="00104F66">
        <w:t xml:space="preserve">, it is useful to explore the economic and fiscal implications of a lower-assumed trend rate of unemployment. To analyse the impact of a lower NAIRU in VURM, a shock </w:t>
      </w:r>
      <w:r>
        <w:t>was</w:t>
      </w:r>
      <w:r w:rsidRPr="00104F66">
        <w:t xml:space="preserve"> applied to the base case by lowering the trend rate of unemployment in Victoria by 0.5 percentage points.</w:t>
      </w:r>
      <w:r>
        <w:t xml:space="preserve"> </w:t>
      </w:r>
      <w:r w:rsidRPr="00D67606">
        <w:t xml:space="preserve">The forecasts in Chapter 2 </w:t>
      </w:r>
      <w:r w:rsidRPr="00D67606">
        <w:rPr>
          <w:i/>
        </w:rPr>
        <w:t>Economic Context</w:t>
      </w:r>
      <w:r w:rsidRPr="00D67606">
        <w:t xml:space="preserve"> assume the unemployment rate will rise gradually over the forward estimates period</w:t>
      </w:r>
      <w:r>
        <w:t xml:space="preserve"> to 5.5 per cent by 2022-23</w:t>
      </w:r>
      <w:r w:rsidRPr="00D67606">
        <w:t xml:space="preserve">, consistent with a reversion of the economy to trend. This </w:t>
      </w:r>
      <w:r>
        <w:t xml:space="preserve">modelled </w:t>
      </w:r>
      <w:r w:rsidRPr="003C625C">
        <w:t>scenario</w:t>
      </w:r>
      <w:r>
        <w:t xml:space="preserve"> assumes the Victorian unemployment rate rises to only 5.0 per cent by 2022</w:t>
      </w:r>
      <w:r>
        <w:noBreakHyphen/>
        <w:t>23.</w:t>
      </w:r>
    </w:p>
    <w:p w14:paraId="453A487A" w14:textId="77777777" w:rsidR="00964B88" w:rsidRDefault="00964B88" w:rsidP="00F53820">
      <w:r w:rsidRPr="007A5BE8">
        <w:t xml:space="preserve">The effects of this scenario on major economic parameters are reported in </w:t>
      </w:r>
      <w:r>
        <w:t>Table D</w:t>
      </w:r>
      <w:r w:rsidRPr="007A5BE8">
        <w:t>.3. Relative to the base case, a lower NAIRU results in stronger employment growth, with employment higher by 0.3</w:t>
      </w:r>
      <w:r>
        <w:t>6</w:t>
      </w:r>
      <w:r w:rsidRPr="007A5BE8">
        <w:t xml:space="preserve"> per cent in 2022</w:t>
      </w:r>
      <w:r w:rsidRPr="007A5BE8">
        <w:noBreakHyphen/>
        <w:t xml:space="preserve">23. </w:t>
      </w:r>
      <w:r>
        <w:t>The</w:t>
      </w:r>
      <w:r w:rsidRPr="007D0424">
        <w:t xml:space="preserve"> rise in employment improves the productivity of capital</w:t>
      </w:r>
      <w:r>
        <w:t xml:space="preserve"> in the short run</w:t>
      </w:r>
      <w:r w:rsidRPr="007D0424">
        <w:t xml:space="preserve">, </w:t>
      </w:r>
      <w:r>
        <w:t>attracting more</w:t>
      </w:r>
      <w:r w:rsidRPr="007D0424">
        <w:t xml:space="preserve"> investment</w:t>
      </w:r>
      <w:r>
        <w:t xml:space="preserve"> and resulting in higher real GSP over the forward </w:t>
      </w:r>
      <w:r w:rsidRPr="007A5BE8">
        <w:t>estimates period. Because a lower NAIRU implies there is more labour capacity than in the base case, upward pressure on wages is reduced, resulting in slower real wages growth. Relative to the base case, wages are lower by 0.6</w:t>
      </w:r>
      <w:r>
        <w:t>4</w:t>
      </w:r>
      <w:r w:rsidRPr="007A5BE8">
        <w:t> per cent in 2022</w:t>
      </w:r>
      <w:r w:rsidRPr="007A5BE8">
        <w:noBreakHyphen/>
        <w:t xml:space="preserve">23. </w:t>
      </w:r>
    </w:p>
    <w:p w14:paraId="67FB5240" w14:textId="77777777" w:rsidR="00964B88" w:rsidRDefault="00964B88" w:rsidP="00F53820">
      <w:pPr>
        <w:rPr>
          <w:i/>
        </w:rPr>
      </w:pPr>
      <w:r>
        <w:t>While employment is higher, the slower growth in real wages weighs on household income, and the net effect on consumption growth of these two factors is relatively minor. Slower real wages growth</w:t>
      </w:r>
      <w:r w:rsidRPr="001A3133">
        <w:t xml:space="preserve"> </w:t>
      </w:r>
      <w:r>
        <w:t xml:space="preserve">also </w:t>
      </w:r>
      <w:r w:rsidRPr="001A3133">
        <w:t>lowers production costs, resulting in lower inflation relative to current forecasts.</w:t>
      </w:r>
      <w:r w:rsidRPr="00BC23DF">
        <w:rPr>
          <w:i/>
        </w:rPr>
        <w:t xml:space="preserve"> </w:t>
      </w:r>
    </w:p>
    <w:p w14:paraId="2F8F4A9A" w14:textId="77777777" w:rsidR="00964B88" w:rsidRPr="007D0424" w:rsidRDefault="00964B88" w:rsidP="00F53820">
      <w:pPr>
        <w:pStyle w:val="Heading10"/>
      </w:pPr>
      <w:r>
        <w:br w:type="page"/>
      </w:r>
    </w:p>
    <w:p w14:paraId="272DB842" w14:textId="77777777" w:rsidR="00964B88" w:rsidRPr="00674868" w:rsidRDefault="00964B88" w:rsidP="00F53820">
      <w:pPr>
        <w:pStyle w:val="TableHeading"/>
      </w:pPr>
      <w:r>
        <w:lastRenderedPageBreak/>
        <w:t>Table D</w:t>
      </w:r>
      <w:r w:rsidRPr="00674868">
        <w:t>.3:</w:t>
      </w:r>
      <w:r w:rsidRPr="00674868">
        <w:tab/>
        <w:t>The effect of lower unemployment on major economic parameters</w:t>
      </w:r>
      <w:r>
        <w:t xml:space="preserve"> </w:t>
      </w:r>
      <w:r w:rsidRPr="00674868">
        <w:rPr>
          <w:vertAlign w:val="superscript"/>
        </w:rPr>
        <w:t xml:space="preserve">(a) </w:t>
      </w:r>
      <w:r w:rsidRPr="00674868">
        <w:rPr>
          <w:vertAlign w:val="superscript"/>
        </w:rPr>
        <w:tab/>
      </w:r>
      <w:r w:rsidRPr="00674868">
        <w:t>(per cent)</w:t>
      </w:r>
    </w:p>
    <w:tbl>
      <w:tblPr>
        <w:tblStyle w:val="DTFTable"/>
        <w:tblW w:w="7767" w:type="dxa"/>
        <w:tblBorders>
          <w:bottom w:val="single" w:sz="4" w:space="0" w:color="auto"/>
        </w:tblBorders>
        <w:tblLayout w:type="fixed"/>
        <w:tblLook w:val="06A0" w:firstRow="1" w:lastRow="0" w:firstColumn="1" w:lastColumn="0" w:noHBand="1" w:noVBand="1"/>
      </w:tblPr>
      <w:tblGrid>
        <w:gridCol w:w="4367"/>
        <w:gridCol w:w="850"/>
        <w:gridCol w:w="850"/>
        <w:gridCol w:w="850"/>
        <w:gridCol w:w="850"/>
      </w:tblGrid>
      <w:tr w:rsidR="005D6A22" w:rsidRPr="00674868" w14:paraId="6018F260" w14:textId="77777777" w:rsidTr="005D6A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7" w:type="dxa"/>
          </w:tcPr>
          <w:p w14:paraId="20028C4D" w14:textId="77777777" w:rsidR="005D6A22" w:rsidRPr="00674868" w:rsidRDefault="005D6A22" w:rsidP="005D6A22">
            <w:pPr>
              <w:autoSpaceDE w:val="0"/>
              <w:autoSpaceDN w:val="0"/>
              <w:adjustRightInd w:val="0"/>
              <w:rPr>
                <w:rFonts w:eastAsiaTheme="minorEastAsia" w:cs="Calibri"/>
                <w:iCs/>
                <w:szCs w:val="17"/>
                <w:lang w:eastAsia="en-AU"/>
              </w:rPr>
            </w:pPr>
            <w:r w:rsidRPr="00674868">
              <w:rPr>
                <w:rFonts w:eastAsiaTheme="minorEastAsia" w:cs="Calibri"/>
                <w:iCs/>
                <w:szCs w:val="17"/>
                <w:lang w:eastAsia="en-AU"/>
              </w:rPr>
              <w:t xml:space="preserve"> </w:t>
            </w:r>
          </w:p>
        </w:tc>
        <w:tc>
          <w:tcPr>
            <w:tcW w:w="850" w:type="dxa"/>
          </w:tcPr>
          <w:p w14:paraId="1CCD3506" w14:textId="77777777" w:rsidR="005D6A22" w:rsidRPr="00674868"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674868">
              <w:rPr>
                <w:rFonts w:eastAsiaTheme="minorEastAsia" w:cs="Calibri"/>
                <w:iCs/>
                <w:szCs w:val="17"/>
                <w:lang w:eastAsia="en-AU"/>
              </w:rPr>
              <w:t>2019-20</w:t>
            </w:r>
            <w:r>
              <w:rPr>
                <w:rFonts w:eastAsiaTheme="minorEastAsia" w:cs="Calibri"/>
                <w:iCs/>
                <w:szCs w:val="17"/>
                <w:lang w:eastAsia="en-AU"/>
              </w:rPr>
              <w:br/>
            </w:r>
            <w:r w:rsidRPr="00674868">
              <w:rPr>
                <w:rFonts w:eastAsiaTheme="minorEastAsia" w:cs="Calibri"/>
                <w:iCs/>
                <w:szCs w:val="17"/>
                <w:lang w:eastAsia="en-AU"/>
              </w:rPr>
              <w:t>estimate</w:t>
            </w:r>
          </w:p>
        </w:tc>
        <w:tc>
          <w:tcPr>
            <w:tcW w:w="850" w:type="dxa"/>
          </w:tcPr>
          <w:p w14:paraId="0777F2DC" w14:textId="77777777" w:rsidR="005D6A22" w:rsidRPr="00674868"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674868">
              <w:rPr>
                <w:rFonts w:eastAsiaTheme="minorEastAsia" w:cs="Calibri"/>
                <w:iCs/>
                <w:szCs w:val="17"/>
                <w:lang w:eastAsia="en-AU"/>
              </w:rPr>
              <w:t>2020-21</w:t>
            </w:r>
            <w:r>
              <w:rPr>
                <w:rFonts w:eastAsiaTheme="minorEastAsia" w:cs="Calibri"/>
                <w:iCs/>
                <w:szCs w:val="17"/>
                <w:lang w:eastAsia="en-AU"/>
              </w:rPr>
              <w:br/>
            </w:r>
            <w:r w:rsidRPr="00674868">
              <w:rPr>
                <w:rFonts w:eastAsiaTheme="minorEastAsia" w:cs="Calibri"/>
                <w:iCs/>
                <w:szCs w:val="17"/>
                <w:lang w:eastAsia="en-AU"/>
              </w:rPr>
              <w:t>estimate</w:t>
            </w:r>
          </w:p>
        </w:tc>
        <w:tc>
          <w:tcPr>
            <w:tcW w:w="850" w:type="dxa"/>
          </w:tcPr>
          <w:p w14:paraId="1FACA6EF" w14:textId="77777777" w:rsidR="005D6A22" w:rsidRPr="00674868"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674868">
              <w:rPr>
                <w:rFonts w:eastAsiaTheme="minorEastAsia" w:cs="Calibri"/>
                <w:iCs/>
                <w:szCs w:val="17"/>
                <w:lang w:eastAsia="en-AU"/>
              </w:rPr>
              <w:t>2021-22</w:t>
            </w:r>
            <w:r>
              <w:rPr>
                <w:rFonts w:eastAsiaTheme="minorEastAsia" w:cs="Calibri"/>
                <w:iCs/>
                <w:szCs w:val="17"/>
                <w:lang w:eastAsia="en-AU"/>
              </w:rPr>
              <w:br/>
            </w:r>
            <w:r w:rsidRPr="00674868">
              <w:rPr>
                <w:rFonts w:eastAsiaTheme="minorEastAsia" w:cs="Calibri"/>
                <w:iCs/>
                <w:szCs w:val="17"/>
                <w:lang w:eastAsia="en-AU"/>
              </w:rPr>
              <w:t>estimate</w:t>
            </w:r>
          </w:p>
        </w:tc>
        <w:tc>
          <w:tcPr>
            <w:tcW w:w="850" w:type="dxa"/>
          </w:tcPr>
          <w:p w14:paraId="3D8CDD77" w14:textId="77777777" w:rsidR="005D6A22" w:rsidRPr="00674868"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674868">
              <w:rPr>
                <w:rFonts w:eastAsiaTheme="minorEastAsia" w:cs="Calibri"/>
                <w:iCs/>
                <w:szCs w:val="17"/>
                <w:lang w:eastAsia="en-AU"/>
              </w:rPr>
              <w:t>2022-23</w:t>
            </w:r>
            <w:r>
              <w:rPr>
                <w:rFonts w:eastAsiaTheme="minorEastAsia" w:cs="Calibri"/>
                <w:iCs/>
                <w:szCs w:val="17"/>
                <w:lang w:eastAsia="en-AU"/>
              </w:rPr>
              <w:br/>
            </w:r>
            <w:r w:rsidRPr="00674868">
              <w:rPr>
                <w:rFonts w:eastAsiaTheme="minorEastAsia" w:cs="Calibri"/>
                <w:iCs/>
                <w:szCs w:val="17"/>
                <w:lang w:eastAsia="en-AU"/>
              </w:rPr>
              <w:t>estimate</w:t>
            </w:r>
          </w:p>
        </w:tc>
      </w:tr>
      <w:tr w:rsidR="00964B88" w:rsidRPr="00674868" w14:paraId="0702D645" w14:textId="77777777" w:rsidTr="00F53820">
        <w:tc>
          <w:tcPr>
            <w:cnfStyle w:val="001000000000" w:firstRow="0" w:lastRow="0" w:firstColumn="1" w:lastColumn="0" w:oddVBand="0" w:evenVBand="0" w:oddHBand="0" w:evenHBand="0" w:firstRowFirstColumn="0" w:firstRowLastColumn="0" w:lastRowFirstColumn="0" w:lastRowLastColumn="0"/>
            <w:tcW w:w="4367" w:type="dxa"/>
          </w:tcPr>
          <w:p w14:paraId="3817260A" w14:textId="77777777" w:rsidR="00964B88" w:rsidRPr="00674868" w:rsidRDefault="00964B88" w:rsidP="00F53820">
            <w:pPr>
              <w:keepLines w:val="0"/>
              <w:autoSpaceDE w:val="0"/>
              <w:autoSpaceDN w:val="0"/>
              <w:adjustRightInd w:val="0"/>
              <w:rPr>
                <w:rFonts w:eastAsiaTheme="minorEastAsia" w:cs="Calibri"/>
                <w:szCs w:val="17"/>
                <w:lang w:eastAsia="en-AU"/>
              </w:rPr>
            </w:pPr>
            <w:r w:rsidRPr="00674868">
              <w:rPr>
                <w:rFonts w:eastAsiaTheme="minorEastAsia" w:cs="Calibri"/>
                <w:szCs w:val="17"/>
                <w:lang w:eastAsia="en-AU"/>
              </w:rPr>
              <w:t>Real GSP</w:t>
            </w:r>
          </w:p>
        </w:tc>
        <w:tc>
          <w:tcPr>
            <w:tcW w:w="850" w:type="dxa"/>
            <w:shd w:val="clear" w:color="auto" w:fill="auto"/>
          </w:tcPr>
          <w:p w14:paraId="6B1B2D50"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0.08</w:t>
            </w:r>
          </w:p>
        </w:tc>
        <w:tc>
          <w:tcPr>
            <w:tcW w:w="850" w:type="dxa"/>
            <w:shd w:val="clear" w:color="auto" w:fill="auto"/>
          </w:tcPr>
          <w:p w14:paraId="0CA6548B"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0.15</w:t>
            </w:r>
          </w:p>
        </w:tc>
        <w:tc>
          <w:tcPr>
            <w:tcW w:w="850" w:type="dxa"/>
            <w:shd w:val="clear" w:color="auto" w:fill="auto"/>
          </w:tcPr>
          <w:p w14:paraId="64062359"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0.20</w:t>
            </w:r>
          </w:p>
        </w:tc>
        <w:tc>
          <w:tcPr>
            <w:tcW w:w="850" w:type="dxa"/>
            <w:shd w:val="clear" w:color="auto" w:fill="auto"/>
          </w:tcPr>
          <w:p w14:paraId="5A86F8C7"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0.24</w:t>
            </w:r>
          </w:p>
        </w:tc>
      </w:tr>
      <w:tr w:rsidR="00964B88" w:rsidRPr="00674868" w14:paraId="71BB807B" w14:textId="77777777" w:rsidTr="00F53820">
        <w:tc>
          <w:tcPr>
            <w:cnfStyle w:val="001000000000" w:firstRow="0" w:lastRow="0" w:firstColumn="1" w:lastColumn="0" w:oddVBand="0" w:evenVBand="0" w:oddHBand="0" w:evenHBand="0" w:firstRowFirstColumn="0" w:firstRowLastColumn="0" w:lastRowFirstColumn="0" w:lastRowLastColumn="0"/>
            <w:tcW w:w="4367" w:type="dxa"/>
          </w:tcPr>
          <w:p w14:paraId="12E2BEBB" w14:textId="77777777" w:rsidR="00964B88" w:rsidRPr="00674868" w:rsidRDefault="00964B88" w:rsidP="00F53820">
            <w:pPr>
              <w:keepLines w:val="0"/>
              <w:autoSpaceDE w:val="0"/>
              <w:autoSpaceDN w:val="0"/>
              <w:adjustRightInd w:val="0"/>
              <w:rPr>
                <w:rFonts w:eastAsiaTheme="minorEastAsia" w:cs="Calibri"/>
                <w:szCs w:val="17"/>
                <w:lang w:eastAsia="en-AU"/>
              </w:rPr>
            </w:pPr>
            <w:r w:rsidRPr="00674868">
              <w:rPr>
                <w:rFonts w:eastAsiaTheme="minorEastAsia" w:cs="Calibri"/>
                <w:szCs w:val="17"/>
                <w:lang w:eastAsia="en-AU"/>
              </w:rPr>
              <w:t>Employment</w:t>
            </w:r>
          </w:p>
        </w:tc>
        <w:tc>
          <w:tcPr>
            <w:tcW w:w="850" w:type="dxa"/>
            <w:shd w:val="clear" w:color="auto" w:fill="auto"/>
          </w:tcPr>
          <w:p w14:paraId="1FBBBF1D"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0.13</w:t>
            </w:r>
          </w:p>
        </w:tc>
        <w:tc>
          <w:tcPr>
            <w:tcW w:w="850" w:type="dxa"/>
            <w:shd w:val="clear" w:color="auto" w:fill="auto"/>
          </w:tcPr>
          <w:p w14:paraId="009F7156"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0.23</w:t>
            </w:r>
          </w:p>
        </w:tc>
        <w:tc>
          <w:tcPr>
            <w:tcW w:w="850" w:type="dxa"/>
            <w:shd w:val="clear" w:color="auto" w:fill="auto"/>
          </w:tcPr>
          <w:p w14:paraId="7FCBB3C0"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0.30</w:t>
            </w:r>
          </w:p>
        </w:tc>
        <w:tc>
          <w:tcPr>
            <w:tcW w:w="850" w:type="dxa"/>
            <w:shd w:val="clear" w:color="auto" w:fill="auto"/>
          </w:tcPr>
          <w:p w14:paraId="44BBBFD7"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0.36</w:t>
            </w:r>
          </w:p>
        </w:tc>
      </w:tr>
      <w:tr w:rsidR="00964B88" w:rsidRPr="00674868" w14:paraId="3A5BABAA" w14:textId="77777777" w:rsidTr="00F53820">
        <w:tc>
          <w:tcPr>
            <w:cnfStyle w:val="001000000000" w:firstRow="0" w:lastRow="0" w:firstColumn="1" w:lastColumn="0" w:oddVBand="0" w:evenVBand="0" w:oddHBand="0" w:evenHBand="0" w:firstRowFirstColumn="0" w:firstRowLastColumn="0" w:lastRowFirstColumn="0" w:lastRowLastColumn="0"/>
            <w:tcW w:w="4367" w:type="dxa"/>
            <w:tcBorders>
              <w:bottom w:val="nil"/>
            </w:tcBorders>
          </w:tcPr>
          <w:p w14:paraId="413CE5AC" w14:textId="77777777" w:rsidR="00964B88" w:rsidRPr="00674868" w:rsidRDefault="00964B88" w:rsidP="00F53820">
            <w:pPr>
              <w:keepLines w:val="0"/>
              <w:autoSpaceDE w:val="0"/>
              <w:autoSpaceDN w:val="0"/>
              <w:adjustRightInd w:val="0"/>
              <w:rPr>
                <w:rFonts w:eastAsiaTheme="minorEastAsia" w:cs="Calibri"/>
                <w:szCs w:val="17"/>
                <w:lang w:eastAsia="en-AU"/>
              </w:rPr>
            </w:pPr>
            <w:r w:rsidRPr="00674868">
              <w:rPr>
                <w:rFonts w:eastAsiaTheme="minorEastAsia" w:cs="Calibri"/>
                <w:szCs w:val="17"/>
                <w:lang w:eastAsia="en-AU"/>
              </w:rPr>
              <w:t>Consumer price index</w:t>
            </w:r>
          </w:p>
        </w:tc>
        <w:tc>
          <w:tcPr>
            <w:tcW w:w="850" w:type="dxa"/>
            <w:tcBorders>
              <w:bottom w:val="nil"/>
            </w:tcBorders>
            <w:shd w:val="clear" w:color="auto" w:fill="auto"/>
          </w:tcPr>
          <w:p w14:paraId="5843BC0B"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(0.09)</w:t>
            </w:r>
          </w:p>
        </w:tc>
        <w:tc>
          <w:tcPr>
            <w:tcW w:w="850" w:type="dxa"/>
            <w:tcBorders>
              <w:bottom w:val="nil"/>
            </w:tcBorders>
            <w:shd w:val="clear" w:color="auto" w:fill="auto"/>
          </w:tcPr>
          <w:p w14:paraId="3991D38E"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(0.16)</w:t>
            </w:r>
          </w:p>
        </w:tc>
        <w:tc>
          <w:tcPr>
            <w:tcW w:w="850" w:type="dxa"/>
            <w:tcBorders>
              <w:bottom w:val="nil"/>
            </w:tcBorders>
            <w:shd w:val="clear" w:color="auto" w:fill="auto"/>
          </w:tcPr>
          <w:p w14:paraId="2A6DB518"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(0.20)</w:t>
            </w:r>
          </w:p>
        </w:tc>
        <w:tc>
          <w:tcPr>
            <w:tcW w:w="850" w:type="dxa"/>
            <w:tcBorders>
              <w:bottom w:val="nil"/>
            </w:tcBorders>
            <w:shd w:val="clear" w:color="auto" w:fill="auto"/>
          </w:tcPr>
          <w:p w14:paraId="4DC930A3"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(0.22)</w:t>
            </w:r>
          </w:p>
        </w:tc>
      </w:tr>
      <w:tr w:rsidR="00964B88" w:rsidRPr="00674868" w14:paraId="1177314A" w14:textId="77777777" w:rsidTr="00F53820">
        <w:tc>
          <w:tcPr>
            <w:cnfStyle w:val="001000000000" w:firstRow="0" w:lastRow="0" w:firstColumn="1" w:lastColumn="0" w:oddVBand="0" w:evenVBand="0" w:oddHBand="0" w:evenHBand="0" w:firstRowFirstColumn="0" w:firstRowLastColumn="0" w:lastRowFirstColumn="0" w:lastRowLastColumn="0"/>
            <w:tcW w:w="4367" w:type="dxa"/>
            <w:tcBorders>
              <w:bottom w:val="single" w:sz="12" w:space="0" w:color="auto"/>
            </w:tcBorders>
          </w:tcPr>
          <w:p w14:paraId="69D5796A" w14:textId="77777777" w:rsidR="00964B88" w:rsidRPr="00674868" w:rsidRDefault="00964B88" w:rsidP="00F53820">
            <w:pPr>
              <w:keepLines w:val="0"/>
              <w:autoSpaceDE w:val="0"/>
              <w:autoSpaceDN w:val="0"/>
              <w:adjustRightInd w:val="0"/>
              <w:rPr>
                <w:rFonts w:eastAsiaTheme="minorEastAsia" w:cs="Calibri"/>
                <w:szCs w:val="17"/>
                <w:lang w:eastAsia="en-AU"/>
              </w:rPr>
            </w:pPr>
            <w:r w:rsidRPr="00674868">
              <w:rPr>
                <w:rFonts w:eastAsiaTheme="minorEastAsia" w:cs="Calibri"/>
                <w:szCs w:val="17"/>
                <w:lang w:eastAsia="en-AU"/>
              </w:rPr>
              <w:t>Wage price index</w:t>
            </w:r>
          </w:p>
        </w:tc>
        <w:tc>
          <w:tcPr>
            <w:tcW w:w="850" w:type="dxa"/>
            <w:tcBorders>
              <w:bottom w:val="single" w:sz="12" w:space="0" w:color="auto"/>
            </w:tcBorders>
            <w:shd w:val="clear" w:color="auto" w:fill="auto"/>
          </w:tcPr>
          <w:p w14:paraId="3D9FBD7C"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(0.27)</w:t>
            </w:r>
          </w:p>
        </w:tc>
        <w:tc>
          <w:tcPr>
            <w:tcW w:w="850" w:type="dxa"/>
            <w:tcBorders>
              <w:bottom w:val="single" w:sz="12" w:space="0" w:color="auto"/>
            </w:tcBorders>
            <w:shd w:val="clear" w:color="auto" w:fill="auto"/>
          </w:tcPr>
          <w:p w14:paraId="3435200E"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(0.46)</w:t>
            </w:r>
          </w:p>
        </w:tc>
        <w:tc>
          <w:tcPr>
            <w:tcW w:w="850" w:type="dxa"/>
            <w:tcBorders>
              <w:bottom w:val="single" w:sz="12" w:space="0" w:color="auto"/>
            </w:tcBorders>
            <w:shd w:val="clear" w:color="auto" w:fill="auto"/>
          </w:tcPr>
          <w:p w14:paraId="751B830A" w14:textId="77777777" w:rsidR="00964B88" w:rsidRPr="00672C1C" w:rsidRDefault="00964B88" w:rsidP="00F53820">
            <w:pPr>
              <w:cnfStyle w:val="000000000000" w:firstRow="0" w:lastRow="0" w:firstColumn="0" w:lastColumn="0" w:oddVBand="0" w:evenVBand="0" w:oddHBand="0" w:evenHBand="0" w:firstRowFirstColumn="0" w:firstRowLastColumn="0" w:lastRowFirstColumn="0" w:lastRowLastColumn="0"/>
            </w:pPr>
            <w:r w:rsidRPr="00672C1C">
              <w:t>(0.58)</w:t>
            </w:r>
          </w:p>
        </w:tc>
        <w:tc>
          <w:tcPr>
            <w:tcW w:w="850" w:type="dxa"/>
            <w:tcBorders>
              <w:bottom w:val="single" w:sz="12" w:space="0" w:color="auto"/>
            </w:tcBorders>
            <w:shd w:val="clear" w:color="auto" w:fill="auto"/>
          </w:tcPr>
          <w:p w14:paraId="3B7EFB30" w14:textId="77777777" w:rsidR="00964B88" w:rsidRDefault="00964B88" w:rsidP="00F53820">
            <w:pPr>
              <w:cnfStyle w:val="000000000000" w:firstRow="0" w:lastRow="0" w:firstColumn="0" w:lastColumn="0" w:oddVBand="0" w:evenVBand="0" w:oddHBand="0" w:evenHBand="0" w:firstRowFirstColumn="0" w:firstRowLastColumn="0" w:lastRowFirstColumn="0" w:lastRowLastColumn="0"/>
            </w:pPr>
            <w:r w:rsidRPr="00672C1C">
              <w:t>(0.64)</w:t>
            </w:r>
          </w:p>
        </w:tc>
      </w:tr>
    </w:tbl>
    <w:p w14:paraId="24AA96FC" w14:textId="77777777" w:rsidR="00964B88" w:rsidRPr="00674868" w:rsidRDefault="00964B88" w:rsidP="00F53820">
      <w:pPr>
        <w:pStyle w:val="Note"/>
      </w:pPr>
      <w:r w:rsidRPr="00674868">
        <w:t xml:space="preserve">Note: </w:t>
      </w:r>
    </w:p>
    <w:p w14:paraId="3F6F16BE" w14:textId="77777777" w:rsidR="00964B88" w:rsidRPr="00674868" w:rsidRDefault="00964B88" w:rsidP="00964B88">
      <w:pPr>
        <w:pStyle w:val="Note"/>
        <w:numPr>
          <w:ilvl w:val="0"/>
          <w:numId w:val="25"/>
        </w:numPr>
      </w:pPr>
      <w:r w:rsidRPr="00674868">
        <w:t xml:space="preserve">Figures </w:t>
      </w:r>
      <w:r w:rsidRPr="004B2F9F">
        <w:t xml:space="preserve">reported are the change in the level of each parameter relative to the baseline forecasts </w:t>
      </w:r>
      <w:r>
        <w:t xml:space="preserve">as presented </w:t>
      </w:r>
      <w:r w:rsidRPr="004B2F9F">
        <w:t xml:space="preserve">in Chapter 2 </w:t>
      </w:r>
      <w:r w:rsidRPr="000642E9">
        <w:rPr>
          <w:i w:val="0"/>
        </w:rPr>
        <w:t>Economic Context</w:t>
      </w:r>
      <w:r w:rsidRPr="004B2F9F">
        <w:t>.</w:t>
      </w:r>
    </w:p>
    <w:p w14:paraId="23C83EA8" w14:textId="77777777" w:rsidR="00964B88" w:rsidRDefault="00964B88" w:rsidP="00F53820">
      <w:r w:rsidRPr="00347EF7">
        <w:t xml:space="preserve">Under this scenario, general government sector revenue is lower, as shown in </w:t>
      </w:r>
      <w:r>
        <w:t>Table D</w:t>
      </w:r>
      <w:r w:rsidRPr="00347EF7">
        <w:t>.4.</w:t>
      </w:r>
      <w:r>
        <w:t xml:space="preserve"> Payroll tax collections decline through lower wages growth, although this is partially offset by an increase in employment. Weaker inflationary pressures in the economy also reduces tax collections on the sales of goods and services, and the distribution of GST grants.</w:t>
      </w:r>
    </w:p>
    <w:p w14:paraId="54187F62" w14:textId="77777777" w:rsidR="00964B88" w:rsidRPr="002B7905" w:rsidRDefault="00964B88" w:rsidP="00F53820">
      <w:r w:rsidRPr="006856E0">
        <w:t>While higher public sector employment raises costs, the lower wages in the scenario more than offset this, resulting in lower net expenses over the forward estimates period. These impacts reflect the assumed relationship between private and public sector employment and wages in the model; namely that public sector employment is a fixed share of overall employment, and public sector wage growth corresponds to private sector wage growth. By 2022</w:t>
      </w:r>
      <w:r>
        <w:noBreakHyphen/>
      </w:r>
      <w:r w:rsidRPr="006856E0">
        <w:t>23, the decrease in expenditure offsets the reduction in taxes, boosting the net result.</w:t>
      </w:r>
      <w:r w:rsidRPr="002B7905">
        <w:t xml:space="preserve"> </w:t>
      </w:r>
    </w:p>
    <w:p w14:paraId="4ADBAFF6" w14:textId="77777777" w:rsidR="00964B88" w:rsidRPr="001E2583" w:rsidRDefault="00964B88" w:rsidP="00F53820">
      <w:pPr>
        <w:pStyle w:val="TableHeading"/>
      </w:pPr>
      <w:r>
        <w:t>Table D</w:t>
      </w:r>
      <w:r w:rsidRPr="001E2583">
        <w:t>.4:</w:t>
      </w:r>
      <w:r w:rsidRPr="001E2583">
        <w:tab/>
        <w:t>Projected fiscal impact of lower trend unemployment in Victoria</w:t>
      </w:r>
      <w:r>
        <w:t xml:space="preserve"> </w:t>
      </w:r>
      <w:r w:rsidRPr="00674868">
        <w:rPr>
          <w:vertAlign w:val="superscript"/>
        </w:rPr>
        <w:t xml:space="preserve">(a) </w:t>
      </w:r>
      <w:r w:rsidRPr="001E2583">
        <w:t xml:space="preserve"> </w:t>
      </w:r>
      <w:r w:rsidRPr="001E2583">
        <w:tab/>
        <w:t>($ million)</w:t>
      </w:r>
    </w:p>
    <w:tbl>
      <w:tblPr>
        <w:tblStyle w:val="DTFTable"/>
        <w:tblW w:w="7765" w:type="dxa"/>
        <w:tblLayout w:type="fixed"/>
        <w:tblLook w:val="06E0" w:firstRow="1" w:lastRow="1" w:firstColumn="1" w:lastColumn="0" w:noHBand="1" w:noVBand="1"/>
      </w:tblPr>
      <w:tblGrid>
        <w:gridCol w:w="4365"/>
        <w:gridCol w:w="850"/>
        <w:gridCol w:w="850"/>
        <w:gridCol w:w="850"/>
        <w:gridCol w:w="850"/>
      </w:tblGrid>
      <w:tr w:rsidR="005D6A22" w:rsidRPr="001E2583" w14:paraId="32ECB648" w14:textId="77777777" w:rsidTr="005D6A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Pr>
          <w:p w14:paraId="68FA56A4" w14:textId="77777777" w:rsidR="005D6A22" w:rsidRPr="001E2583" w:rsidRDefault="005D6A22" w:rsidP="005D6A22">
            <w:pPr>
              <w:keepLines w:val="0"/>
              <w:autoSpaceDE w:val="0"/>
              <w:autoSpaceDN w:val="0"/>
              <w:adjustRightInd w:val="0"/>
              <w:rPr>
                <w:rFonts w:eastAsiaTheme="minorEastAsia" w:cs="Calibri"/>
                <w:iCs/>
                <w:szCs w:val="17"/>
                <w:lang w:eastAsia="en-AU"/>
              </w:rPr>
            </w:pPr>
            <w:r w:rsidRPr="001E2583">
              <w:rPr>
                <w:rFonts w:eastAsiaTheme="minorEastAsia" w:cs="Calibri"/>
                <w:iCs/>
                <w:szCs w:val="17"/>
                <w:lang w:eastAsia="en-AU"/>
              </w:rPr>
              <w:t xml:space="preserve">  </w:t>
            </w:r>
          </w:p>
        </w:tc>
        <w:tc>
          <w:tcPr>
            <w:tcW w:w="850" w:type="dxa"/>
          </w:tcPr>
          <w:p w14:paraId="66DACF75" w14:textId="77777777" w:rsidR="005D6A22" w:rsidRPr="001E2583"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1E2583">
              <w:rPr>
                <w:rFonts w:eastAsiaTheme="minorEastAsia" w:cs="Calibri"/>
                <w:iCs/>
                <w:szCs w:val="17"/>
                <w:lang w:eastAsia="en-AU"/>
              </w:rPr>
              <w:t>2019-20</w:t>
            </w:r>
            <w:r>
              <w:rPr>
                <w:rFonts w:eastAsiaTheme="minorEastAsia" w:cs="Calibri"/>
                <w:iCs/>
                <w:szCs w:val="17"/>
                <w:lang w:eastAsia="en-AU"/>
              </w:rPr>
              <w:br/>
            </w:r>
            <w:r w:rsidRPr="001E2583">
              <w:rPr>
                <w:rFonts w:eastAsiaTheme="minorEastAsia" w:cs="Calibri"/>
                <w:iCs/>
                <w:szCs w:val="17"/>
                <w:lang w:eastAsia="en-AU"/>
              </w:rPr>
              <w:t>estimate</w:t>
            </w:r>
          </w:p>
        </w:tc>
        <w:tc>
          <w:tcPr>
            <w:tcW w:w="850" w:type="dxa"/>
          </w:tcPr>
          <w:p w14:paraId="73559B56" w14:textId="77777777" w:rsidR="005D6A22" w:rsidRPr="001E2583"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1E2583">
              <w:rPr>
                <w:rFonts w:eastAsiaTheme="minorEastAsia" w:cs="Calibri"/>
                <w:iCs/>
                <w:szCs w:val="17"/>
                <w:lang w:eastAsia="en-AU"/>
              </w:rPr>
              <w:t>2020-21</w:t>
            </w:r>
            <w:r>
              <w:rPr>
                <w:rFonts w:eastAsiaTheme="minorEastAsia" w:cs="Calibri"/>
                <w:iCs/>
                <w:szCs w:val="17"/>
                <w:lang w:eastAsia="en-AU"/>
              </w:rPr>
              <w:br/>
            </w:r>
            <w:r w:rsidRPr="001E2583">
              <w:rPr>
                <w:rFonts w:eastAsiaTheme="minorEastAsia" w:cs="Calibri"/>
                <w:iCs/>
                <w:szCs w:val="17"/>
                <w:lang w:eastAsia="en-AU"/>
              </w:rPr>
              <w:t>estimate</w:t>
            </w:r>
          </w:p>
        </w:tc>
        <w:tc>
          <w:tcPr>
            <w:tcW w:w="850" w:type="dxa"/>
          </w:tcPr>
          <w:p w14:paraId="3635184C" w14:textId="77777777" w:rsidR="005D6A22" w:rsidRPr="001E2583"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1E2583">
              <w:rPr>
                <w:rFonts w:eastAsiaTheme="minorEastAsia" w:cs="Calibri"/>
                <w:iCs/>
                <w:szCs w:val="17"/>
                <w:lang w:eastAsia="en-AU"/>
              </w:rPr>
              <w:t>2021-22</w:t>
            </w:r>
            <w:r>
              <w:rPr>
                <w:rFonts w:eastAsiaTheme="minorEastAsia" w:cs="Calibri"/>
                <w:iCs/>
                <w:szCs w:val="17"/>
                <w:lang w:eastAsia="en-AU"/>
              </w:rPr>
              <w:br/>
            </w:r>
            <w:r w:rsidRPr="001E2583">
              <w:rPr>
                <w:rFonts w:eastAsiaTheme="minorEastAsia" w:cs="Calibri"/>
                <w:iCs/>
                <w:szCs w:val="17"/>
                <w:lang w:eastAsia="en-AU"/>
              </w:rPr>
              <w:t xml:space="preserve"> estimate</w:t>
            </w:r>
          </w:p>
        </w:tc>
        <w:tc>
          <w:tcPr>
            <w:tcW w:w="850" w:type="dxa"/>
          </w:tcPr>
          <w:p w14:paraId="2DF1DE5F" w14:textId="77777777" w:rsidR="005D6A22" w:rsidRPr="001E2583"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1E2583">
              <w:rPr>
                <w:rFonts w:eastAsiaTheme="minorEastAsia" w:cs="Calibri"/>
                <w:iCs/>
                <w:szCs w:val="17"/>
                <w:lang w:eastAsia="en-AU"/>
              </w:rPr>
              <w:t>2022-23</w:t>
            </w:r>
            <w:r>
              <w:rPr>
                <w:rFonts w:eastAsiaTheme="minorEastAsia" w:cs="Calibri"/>
                <w:iCs/>
                <w:szCs w:val="17"/>
                <w:lang w:eastAsia="en-AU"/>
              </w:rPr>
              <w:br/>
            </w:r>
            <w:r w:rsidRPr="001E2583">
              <w:rPr>
                <w:rFonts w:eastAsiaTheme="minorEastAsia" w:cs="Calibri"/>
                <w:iCs/>
                <w:szCs w:val="17"/>
                <w:lang w:eastAsia="en-AU"/>
              </w:rPr>
              <w:t>estimate</w:t>
            </w:r>
          </w:p>
        </w:tc>
      </w:tr>
      <w:tr w:rsidR="00964B88" w:rsidRPr="001E2583" w14:paraId="0D722A6C" w14:textId="77777777" w:rsidTr="00F53820">
        <w:tc>
          <w:tcPr>
            <w:cnfStyle w:val="001000000000" w:firstRow="0" w:lastRow="0" w:firstColumn="1" w:lastColumn="0" w:oddVBand="0" w:evenVBand="0" w:oddHBand="0" w:evenHBand="0" w:firstRowFirstColumn="0" w:firstRowLastColumn="0" w:lastRowFirstColumn="0" w:lastRowLastColumn="0"/>
            <w:tcW w:w="4365" w:type="dxa"/>
          </w:tcPr>
          <w:p w14:paraId="3E19C4D8" w14:textId="77777777" w:rsidR="00964B88" w:rsidRPr="001E2583" w:rsidRDefault="00964B88" w:rsidP="00F53820">
            <w:pPr>
              <w:keepLines w:val="0"/>
              <w:autoSpaceDE w:val="0"/>
              <w:autoSpaceDN w:val="0"/>
              <w:adjustRightInd w:val="0"/>
              <w:rPr>
                <w:rFonts w:eastAsiaTheme="minorEastAsia" w:cs="Calibri"/>
                <w:szCs w:val="17"/>
                <w:lang w:eastAsia="en-AU"/>
              </w:rPr>
            </w:pPr>
            <w:r w:rsidRPr="001E2583">
              <w:rPr>
                <w:rFonts w:eastAsiaTheme="minorEastAsia" w:cs="Calibri"/>
                <w:szCs w:val="17"/>
                <w:lang w:eastAsia="en-AU"/>
              </w:rPr>
              <w:t>Income from transactions</w:t>
            </w:r>
          </w:p>
        </w:tc>
        <w:tc>
          <w:tcPr>
            <w:tcW w:w="850" w:type="dxa"/>
            <w:tcBorders>
              <w:top w:val="nil"/>
              <w:left w:val="nil"/>
              <w:bottom w:val="nil"/>
              <w:right w:val="nil"/>
            </w:tcBorders>
            <w:shd w:val="clear" w:color="000000" w:fill="FFFFFF"/>
          </w:tcPr>
          <w:p w14:paraId="7DA16064"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(34.2)</w:t>
            </w:r>
          </w:p>
        </w:tc>
        <w:tc>
          <w:tcPr>
            <w:tcW w:w="850" w:type="dxa"/>
            <w:tcBorders>
              <w:top w:val="nil"/>
              <w:left w:val="nil"/>
              <w:bottom w:val="nil"/>
              <w:right w:val="nil"/>
            </w:tcBorders>
            <w:shd w:val="clear" w:color="000000" w:fill="FFFFFF"/>
          </w:tcPr>
          <w:p w14:paraId="32FBD8EF"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(62.5)</w:t>
            </w:r>
          </w:p>
        </w:tc>
        <w:tc>
          <w:tcPr>
            <w:tcW w:w="850" w:type="dxa"/>
            <w:tcBorders>
              <w:top w:val="nil"/>
              <w:left w:val="nil"/>
              <w:bottom w:val="nil"/>
              <w:right w:val="nil"/>
            </w:tcBorders>
            <w:shd w:val="clear" w:color="000000" w:fill="FFFFFF"/>
          </w:tcPr>
          <w:p w14:paraId="02BE255D"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(78.9)</w:t>
            </w:r>
          </w:p>
        </w:tc>
        <w:tc>
          <w:tcPr>
            <w:tcW w:w="850" w:type="dxa"/>
            <w:tcBorders>
              <w:top w:val="nil"/>
              <w:left w:val="nil"/>
              <w:bottom w:val="nil"/>
              <w:right w:val="nil"/>
            </w:tcBorders>
            <w:shd w:val="clear" w:color="000000" w:fill="FFFFFF"/>
          </w:tcPr>
          <w:p w14:paraId="53AC20C6"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(87.7)</w:t>
            </w:r>
          </w:p>
        </w:tc>
      </w:tr>
      <w:tr w:rsidR="00964B88" w:rsidRPr="001E2583" w14:paraId="7E432EBD"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bottom w:val="single" w:sz="6" w:space="0" w:color="auto"/>
            </w:tcBorders>
          </w:tcPr>
          <w:p w14:paraId="6FD21738" w14:textId="77777777" w:rsidR="00964B88" w:rsidRPr="001E2583" w:rsidRDefault="00964B88" w:rsidP="00F53820">
            <w:pPr>
              <w:keepLines w:val="0"/>
              <w:autoSpaceDE w:val="0"/>
              <w:autoSpaceDN w:val="0"/>
              <w:adjustRightInd w:val="0"/>
              <w:rPr>
                <w:rFonts w:eastAsiaTheme="minorEastAsia" w:cs="Calibri"/>
                <w:szCs w:val="17"/>
                <w:lang w:eastAsia="en-AU"/>
              </w:rPr>
            </w:pPr>
            <w:r w:rsidRPr="001E2583">
              <w:rPr>
                <w:rFonts w:eastAsiaTheme="minorEastAsia" w:cs="Calibri"/>
                <w:szCs w:val="17"/>
                <w:lang w:eastAsia="en-AU"/>
              </w:rPr>
              <w:t>Expenses from transactions</w:t>
            </w:r>
          </w:p>
        </w:tc>
        <w:tc>
          <w:tcPr>
            <w:tcW w:w="850" w:type="dxa"/>
            <w:tcBorders>
              <w:top w:val="nil"/>
              <w:left w:val="nil"/>
              <w:bottom w:val="nil"/>
              <w:right w:val="nil"/>
            </w:tcBorders>
            <w:shd w:val="clear" w:color="000000" w:fill="FFFFFF"/>
          </w:tcPr>
          <w:p w14:paraId="69D1C311"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(15.5)</w:t>
            </w:r>
          </w:p>
        </w:tc>
        <w:tc>
          <w:tcPr>
            <w:tcW w:w="850" w:type="dxa"/>
            <w:tcBorders>
              <w:top w:val="nil"/>
              <w:left w:val="nil"/>
              <w:bottom w:val="nil"/>
              <w:right w:val="nil"/>
            </w:tcBorders>
            <w:shd w:val="clear" w:color="000000" w:fill="FFFFFF"/>
          </w:tcPr>
          <w:p w14:paraId="2F35499B"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(18.4)</w:t>
            </w:r>
          </w:p>
        </w:tc>
        <w:tc>
          <w:tcPr>
            <w:tcW w:w="850" w:type="dxa"/>
            <w:tcBorders>
              <w:top w:val="nil"/>
              <w:left w:val="nil"/>
              <w:bottom w:val="nil"/>
              <w:right w:val="nil"/>
            </w:tcBorders>
            <w:shd w:val="clear" w:color="000000" w:fill="FFFFFF"/>
          </w:tcPr>
          <w:p w14:paraId="2A557E66"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(73.8)</w:t>
            </w:r>
          </w:p>
        </w:tc>
        <w:tc>
          <w:tcPr>
            <w:tcW w:w="850" w:type="dxa"/>
            <w:tcBorders>
              <w:top w:val="nil"/>
              <w:left w:val="nil"/>
              <w:bottom w:val="nil"/>
              <w:right w:val="nil"/>
            </w:tcBorders>
            <w:shd w:val="clear" w:color="000000" w:fill="FFFFFF"/>
          </w:tcPr>
          <w:p w14:paraId="2CDEE6A6"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(126.5)</w:t>
            </w:r>
          </w:p>
        </w:tc>
      </w:tr>
      <w:tr w:rsidR="00964B88" w:rsidRPr="00AA49E0" w14:paraId="2FAED725"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14:paraId="726510F4" w14:textId="77777777" w:rsidR="00964B88" w:rsidRPr="001E2583" w:rsidRDefault="00964B88" w:rsidP="00F53820">
            <w:pPr>
              <w:keepLines w:val="0"/>
              <w:autoSpaceDE w:val="0"/>
              <w:autoSpaceDN w:val="0"/>
              <w:adjustRightInd w:val="0"/>
              <w:rPr>
                <w:rFonts w:eastAsiaTheme="minorEastAsia" w:cs="Calibri"/>
                <w:b/>
                <w:bCs/>
                <w:szCs w:val="17"/>
                <w:lang w:eastAsia="en-AU"/>
              </w:rPr>
            </w:pPr>
            <w:r w:rsidRPr="001E2583">
              <w:rPr>
                <w:rFonts w:eastAsiaTheme="minorEastAsia" w:cs="Calibri"/>
                <w:b/>
                <w:bCs/>
                <w:szCs w:val="17"/>
                <w:lang w:eastAsia="en-AU"/>
              </w:rPr>
              <w:t>Net result from transactions</w:t>
            </w:r>
          </w:p>
        </w:tc>
        <w:tc>
          <w:tcPr>
            <w:tcW w:w="850" w:type="dxa"/>
            <w:tcBorders>
              <w:top w:val="single" w:sz="4" w:space="0" w:color="auto"/>
              <w:left w:val="nil"/>
              <w:bottom w:val="single" w:sz="4" w:space="0" w:color="auto"/>
              <w:right w:val="nil"/>
            </w:tcBorders>
            <w:shd w:val="clear" w:color="000000" w:fill="FFFFFF"/>
          </w:tcPr>
          <w:p w14:paraId="2A484A11"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(18.7)</w:t>
            </w:r>
          </w:p>
        </w:tc>
        <w:tc>
          <w:tcPr>
            <w:tcW w:w="850" w:type="dxa"/>
            <w:tcBorders>
              <w:top w:val="single" w:sz="4" w:space="0" w:color="auto"/>
              <w:left w:val="nil"/>
              <w:bottom w:val="single" w:sz="4" w:space="0" w:color="auto"/>
              <w:right w:val="nil"/>
            </w:tcBorders>
            <w:shd w:val="clear" w:color="000000" w:fill="FFFFFF"/>
          </w:tcPr>
          <w:p w14:paraId="324E3788"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(44.1)</w:t>
            </w:r>
          </w:p>
        </w:tc>
        <w:tc>
          <w:tcPr>
            <w:tcW w:w="850" w:type="dxa"/>
            <w:tcBorders>
              <w:top w:val="single" w:sz="4" w:space="0" w:color="auto"/>
              <w:left w:val="nil"/>
              <w:bottom w:val="single" w:sz="4" w:space="0" w:color="auto"/>
              <w:right w:val="nil"/>
            </w:tcBorders>
            <w:shd w:val="clear" w:color="000000" w:fill="FFFFFF"/>
          </w:tcPr>
          <w:p w14:paraId="7DB52F93"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(5.1)</w:t>
            </w:r>
          </w:p>
        </w:tc>
        <w:tc>
          <w:tcPr>
            <w:tcW w:w="850" w:type="dxa"/>
            <w:tcBorders>
              <w:top w:val="single" w:sz="4" w:space="0" w:color="auto"/>
              <w:left w:val="nil"/>
              <w:bottom w:val="single" w:sz="4" w:space="0" w:color="auto"/>
              <w:right w:val="nil"/>
            </w:tcBorders>
            <w:shd w:val="clear" w:color="000000" w:fill="FFFFFF"/>
          </w:tcPr>
          <w:p w14:paraId="2AEF0C12"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38.8</w:t>
            </w:r>
          </w:p>
        </w:tc>
      </w:tr>
      <w:tr w:rsidR="00964B88" w:rsidRPr="001E2583" w14:paraId="6276E631"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14:paraId="618080A7" w14:textId="77777777" w:rsidR="00964B88" w:rsidRPr="001E2583" w:rsidRDefault="00964B88" w:rsidP="00F53820">
            <w:pPr>
              <w:keepLines w:val="0"/>
              <w:autoSpaceDE w:val="0"/>
              <w:autoSpaceDN w:val="0"/>
              <w:adjustRightInd w:val="0"/>
              <w:rPr>
                <w:rFonts w:eastAsiaTheme="minorEastAsia" w:cs="Calibri"/>
                <w:szCs w:val="17"/>
                <w:lang w:eastAsia="en-AU"/>
              </w:rPr>
            </w:pPr>
            <w:r w:rsidRPr="001E2583">
              <w:rPr>
                <w:rFonts w:eastAsiaTheme="minorEastAsia" w:cs="Calibri"/>
                <w:szCs w:val="17"/>
                <w:lang w:eastAsia="en-AU"/>
              </w:rPr>
              <w:t>Other economic flows</w:t>
            </w:r>
          </w:p>
        </w:tc>
        <w:tc>
          <w:tcPr>
            <w:tcW w:w="850" w:type="dxa"/>
            <w:tcBorders>
              <w:top w:val="nil"/>
              <w:left w:val="nil"/>
              <w:bottom w:val="nil"/>
              <w:right w:val="nil"/>
            </w:tcBorders>
            <w:shd w:val="clear" w:color="000000" w:fill="FFFFFF"/>
          </w:tcPr>
          <w:p w14:paraId="19D47B2F"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(0.5)</w:t>
            </w:r>
          </w:p>
        </w:tc>
        <w:tc>
          <w:tcPr>
            <w:tcW w:w="850" w:type="dxa"/>
            <w:tcBorders>
              <w:top w:val="nil"/>
              <w:left w:val="nil"/>
              <w:bottom w:val="nil"/>
              <w:right w:val="nil"/>
            </w:tcBorders>
            <w:shd w:val="clear" w:color="000000" w:fill="FFFFFF"/>
          </w:tcPr>
          <w:p w14:paraId="07867EDD"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(0.3)</w:t>
            </w:r>
          </w:p>
        </w:tc>
        <w:tc>
          <w:tcPr>
            <w:tcW w:w="850" w:type="dxa"/>
            <w:tcBorders>
              <w:top w:val="nil"/>
              <w:left w:val="nil"/>
              <w:bottom w:val="nil"/>
              <w:right w:val="nil"/>
            </w:tcBorders>
            <w:shd w:val="clear" w:color="000000" w:fill="FFFFFF"/>
          </w:tcPr>
          <w:p w14:paraId="4DBD8E05"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(0.5)</w:t>
            </w:r>
          </w:p>
        </w:tc>
        <w:tc>
          <w:tcPr>
            <w:tcW w:w="850" w:type="dxa"/>
            <w:tcBorders>
              <w:top w:val="nil"/>
              <w:left w:val="nil"/>
              <w:bottom w:val="nil"/>
              <w:right w:val="nil"/>
            </w:tcBorders>
            <w:shd w:val="clear" w:color="000000" w:fill="FFFFFF"/>
          </w:tcPr>
          <w:p w14:paraId="7BFE3652" w14:textId="77777777" w:rsidR="00964B88" w:rsidRPr="00E74EF4" w:rsidRDefault="00964B88" w:rsidP="00F53820">
            <w:pPr>
              <w:cnfStyle w:val="000000000000" w:firstRow="0" w:lastRow="0" w:firstColumn="0" w:lastColumn="0" w:oddVBand="0" w:evenVBand="0" w:oddHBand="0" w:evenHBand="0" w:firstRowFirstColumn="0" w:firstRowLastColumn="0" w:lastRowFirstColumn="0" w:lastRowLastColumn="0"/>
            </w:pPr>
            <w:r w:rsidRPr="00E74EF4">
              <w:t>(0.6)</w:t>
            </w:r>
          </w:p>
        </w:tc>
      </w:tr>
      <w:tr w:rsidR="00964B88" w:rsidRPr="001E2583" w14:paraId="13584F41"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14:paraId="0669D021" w14:textId="77777777" w:rsidR="00964B88" w:rsidRPr="001E2583" w:rsidRDefault="00964B88" w:rsidP="00F53820">
            <w:pPr>
              <w:keepLines w:val="0"/>
              <w:autoSpaceDE w:val="0"/>
              <w:autoSpaceDN w:val="0"/>
              <w:adjustRightInd w:val="0"/>
              <w:rPr>
                <w:rFonts w:eastAsiaTheme="minorEastAsia" w:cs="Calibri"/>
                <w:b/>
                <w:bCs/>
                <w:szCs w:val="17"/>
                <w:lang w:eastAsia="en-AU"/>
              </w:rPr>
            </w:pPr>
            <w:r w:rsidRPr="001E2583">
              <w:rPr>
                <w:rFonts w:eastAsiaTheme="minorEastAsia" w:cs="Calibri"/>
                <w:b/>
                <w:bCs/>
                <w:szCs w:val="17"/>
                <w:lang w:eastAsia="en-AU"/>
              </w:rPr>
              <w:t>Net result</w:t>
            </w:r>
          </w:p>
        </w:tc>
        <w:tc>
          <w:tcPr>
            <w:tcW w:w="850" w:type="dxa"/>
            <w:tcBorders>
              <w:top w:val="single" w:sz="4" w:space="0" w:color="auto"/>
              <w:left w:val="nil"/>
              <w:bottom w:val="single" w:sz="8" w:space="0" w:color="auto"/>
              <w:right w:val="nil"/>
            </w:tcBorders>
            <w:shd w:val="clear" w:color="000000" w:fill="FFFFFF"/>
          </w:tcPr>
          <w:p w14:paraId="24622BCD"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(19.1)</w:t>
            </w:r>
          </w:p>
        </w:tc>
        <w:tc>
          <w:tcPr>
            <w:tcW w:w="850" w:type="dxa"/>
            <w:tcBorders>
              <w:top w:val="single" w:sz="4" w:space="0" w:color="auto"/>
              <w:left w:val="nil"/>
              <w:bottom w:val="single" w:sz="8" w:space="0" w:color="auto"/>
              <w:right w:val="nil"/>
            </w:tcBorders>
            <w:shd w:val="clear" w:color="000000" w:fill="FFFFFF"/>
          </w:tcPr>
          <w:p w14:paraId="65371895"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(44.4)</w:t>
            </w:r>
          </w:p>
        </w:tc>
        <w:tc>
          <w:tcPr>
            <w:tcW w:w="850" w:type="dxa"/>
            <w:tcBorders>
              <w:top w:val="single" w:sz="4" w:space="0" w:color="auto"/>
              <w:left w:val="nil"/>
              <w:bottom w:val="single" w:sz="8" w:space="0" w:color="auto"/>
              <w:right w:val="nil"/>
            </w:tcBorders>
            <w:shd w:val="clear" w:color="000000" w:fill="FFFFFF"/>
          </w:tcPr>
          <w:p w14:paraId="0DB7066A"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(5.6)</w:t>
            </w:r>
          </w:p>
        </w:tc>
        <w:tc>
          <w:tcPr>
            <w:tcW w:w="850" w:type="dxa"/>
            <w:tcBorders>
              <w:top w:val="single" w:sz="4" w:space="0" w:color="auto"/>
              <w:left w:val="nil"/>
              <w:bottom w:val="single" w:sz="8" w:space="0" w:color="auto"/>
              <w:right w:val="nil"/>
            </w:tcBorders>
            <w:shd w:val="clear" w:color="000000" w:fill="FFFFFF"/>
          </w:tcPr>
          <w:p w14:paraId="417DD4C5"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38.2</w:t>
            </w:r>
          </w:p>
        </w:tc>
      </w:tr>
      <w:tr w:rsidR="00964B88" w:rsidRPr="001E2583" w14:paraId="107353DB" w14:textId="77777777" w:rsidTr="00F5382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nil"/>
            </w:tcBorders>
          </w:tcPr>
          <w:p w14:paraId="3DE5213E" w14:textId="77777777" w:rsidR="00964B88" w:rsidRPr="001E2583" w:rsidRDefault="00964B88" w:rsidP="00F53820">
            <w:pPr>
              <w:keepLines w:val="0"/>
              <w:autoSpaceDE w:val="0"/>
              <w:autoSpaceDN w:val="0"/>
              <w:adjustRightInd w:val="0"/>
              <w:rPr>
                <w:rFonts w:eastAsiaTheme="minorEastAsia" w:cs="Calibri"/>
                <w:b/>
                <w:bCs/>
                <w:szCs w:val="17"/>
                <w:lang w:eastAsia="en-AU"/>
              </w:rPr>
            </w:pPr>
            <w:r w:rsidRPr="001E2583">
              <w:rPr>
                <w:rFonts w:eastAsiaTheme="minorEastAsia" w:cs="Calibri"/>
                <w:b/>
                <w:bCs/>
                <w:szCs w:val="17"/>
                <w:lang w:eastAsia="en-AU"/>
              </w:rPr>
              <w:t>Net debt (cumulative)</w:t>
            </w:r>
          </w:p>
        </w:tc>
        <w:tc>
          <w:tcPr>
            <w:tcW w:w="850" w:type="dxa"/>
            <w:tcBorders>
              <w:top w:val="single" w:sz="4" w:space="0" w:color="auto"/>
              <w:left w:val="nil"/>
              <w:bottom w:val="nil"/>
              <w:right w:val="nil"/>
            </w:tcBorders>
            <w:shd w:val="clear" w:color="000000" w:fill="FFFFFF"/>
          </w:tcPr>
          <w:p w14:paraId="1A391CF2"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19.1</w:t>
            </w:r>
          </w:p>
        </w:tc>
        <w:tc>
          <w:tcPr>
            <w:tcW w:w="850" w:type="dxa"/>
            <w:tcBorders>
              <w:top w:val="single" w:sz="4" w:space="0" w:color="auto"/>
              <w:left w:val="nil"/>
              <w:bottom w:val="nil"/>
              <w:right w:val="nil"/>
            </w:tcBorders>
            <w:shd w:val="clear" w:color="000000" w:fill="FFFFFF"/>
          </w:tcPr>
          <w:p w14:paraId="1C182617"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63.8</w:t>
            </w:r>
          </w:p>
        </w:tc>
        <w:tc>
          <w:tcPr>
            <w:tcW w:w="850" w:type="dxa"/>
            <w:tcBorders>
              <w:top w:val="single" w:sz="4" w:space="0" w:color="auto"/>
              <w:left w:val="nil"/>
              <w:bottom w:val="nil"/>
              <w:right w:val="nil"/>
            </w:tcBorders>
            <w:shd w:val="clear" w:color="000000" w:fill="FFFFFF"/>
          </w:tcPr>
          <w:p w14:paraId="657A0058"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69.7</w:t>
            </w:r>
          </w:p>
        </w:tc>
        <w:tc>
          <w:tcPr>
            <w:tcW w:w="850" w:type="dxa"/>
            <w:tcBorders>
              <w:top w:val="single" w:sz="4" w:space="0" w:color="auto"/>
              <w:left w:val="nil"/>
              <w:bottom w:val="nil"/>
              <w:right w:val="nil"/>
            </w:tcBorders>
            <w:shd w:val="clear" w:color="000000" w:fill="FFFFFF"/>
          </w:tcPr>
          <w:p w14:paraId="146C0E75" w14:textId="77777777" w:rsidR="00964B88" w:rsidRPr="00AA49E0" w:rsidRDefault="00964B88" w:rsidP="00F53820">
            <w:pPr>
              <w:cnfStyle w:val="000000000000" w:firstRow="0" w:lastRow="0" w:firstColumn="0" w:lastColumn="0" w:oddVBand="0" w:evenVBand="0" w:oddHBand="0" w:evenHBand="0" w:firstRowFirstColumn="0" w:firstRowLastColumn="0" w:lastRowFirstColumn="0" w:lastRowLastColumn="0"/>
              <w:rPr>
                <w:b/>
              </w:rPr>
            </w:pPr>
            <w:r w:rsidRPr="00AA49E0">
              <w:rPr>
                <w:b/>
              </w:rPr>
              <w:t>31.7</w:t>
            </w:r>
          </w:p>
        </w:tc>
      </w:tr>
      <w:tr w:rsidR="00964B88" w:rsidRPr="001E2583" w14:paraId="1A1FBD9F"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bottom w:val="single" w:sz="12" w:space="0" w:color="auto"/>
            </w:tcBorders>
          </w:tcPr>
          <w:p w14:paraId="3364B8A0" w14:textId="77777777" w:rsidR="00964B88" w:rsidRPr="001E2583" w:rsidRDefault="00964B88" w:rsidP="00F53820">
            <w:pPr>
              <w:keepLines w:val="0"/>
              <w:autoSpaceDE w:val="0"/>
              <w:autoSpaceDN w:val="0"/>
              <w:adjustRightInd w:val="0"/>
              <w:rPr>
                <w:rFonts w:eastAsiaTheme="minorEastAsia" w:cs="Calibri"/>
                <w:bCs/>
                <w:szCs w:val="17"/>
                <w:lang w:eastAsia="en-AU"/>
              </w:rPr>
            </w:pPr>
            <w:r w:rsidRPr="001E2583">
              <w:rPr>
                <w:rFonts w:eastAsiaTheme="minorEastAsia" w:cs="Calibri"/>
                <w:bCs/>
                <w:szCs w:val="17"/>
                <w:lang w:eastAsia="en-AU"/>
              </w:rPr>
              <w:t>Net debt to GSP ratio (percentage point difference)</w:t>
            </w:r>
          </w:p>
        </w:tc>
        <w:tc>
          <w:tcPr>
            <w:tcW w:w="850" w:type="dxa"/>
            <w:tcBorders>
              <w:top w:val="nil"/>
              <w:bottom w:val="single" w:sz="12" w:space="0" w:color="auto"/>
            </w:tcBorders>
            <w:shd w:val="clear" w:color="000000" w:fill="FFFFFF"/>
          </w:tcPr>
          <w:p w14:paraId="3A0B9137" w14:textId="77777777" w:rsidR="00964B88" w:rsidRPr="00AA49E0" w:rsidRDefault="00964B88" w:rsidP="00F53820">
            <w:pPr>
              <w:cnfStyle w:val="010000000000" w:firstRow="0" w:lastRow="1" w:firstColumn="0" w:lastColumn="0" w:oddVBand="0" w:evenVBand="0" w:oddHBand="0" w:evenHBand="0" w:firstRowFirstColumn="0" w:firstRowLastColumn="0" w:lastRowFirstColumn="0" w:lastRowLastColumn="0"/>
            </w:pPr>
            <w:r w:rsidRPr="00AA49E0">
              <w:t>0.00</w:t>
            </w:r>
          </w:p>
        </w:tc>
        <w:tc>
          <w:tcPr>
            <w:tcW w:w="850" w:type="dxa"/>
            <w:tcBorders>
              <w:top w:val="nil"/>
              <w:bottom w:val="single" w:sz="12" w:space="0" w:color="auto"/>
            </w:tcBorders>
            <w:shd w:val="clear" w:color="000000" w:fill="FFFFFF"/>
          </w:tcPr>
          <w:p w14:paraId="68CEC292" w14:textId="77777777" w:rsidR="00964B88" w:rsidRPr="00AA49E0" w:rsidRDefault="00964B88" w:rsidP="00F53820">
            <w:pPr>
              <w:cnfStyle w:val="010000000000" w:firstRow="0" w:lastRow="1" w:firstColumn="0" w:lastColumn="0" w:oddVBand="0" w:evenVBand="0" w:oddHBand="0" w:evenHBand="0" w:firstRowFirstColumn="0" w:firstRowLastColumn="0" w:lastRowFirstColumn="0" w:lastRowLastColumn="0"/>
            </w:pPr>
            <w:r w:rsidRPr="00AA49E0">
              <w:t>0.01</w:t>
            </w:r>
          </w:p>
        </w:tc>
        <w:tc>
          <w:tcPr>
            <w:tcW w:w="850" w:type="dxa"/>
            <w:tcBorders>
              <w:top w:val="nil"/>
              <w:bottom w:val="single" w:sz="12" w:space="0" w:color="auto"/>
            </w:tcBorders>
            <w:shd w:val="clear" w:color="000000" w:fill="FFFFFF"/>
          </w:tcPr>
          <w:p w14:paraId="5F0B41D7" w14:textId="77777777" w:rsidR="00964B88" w:rsidRPr="00AA49E0" w:rsidRDefault="00964B88" w:rsidP="00F53820">
            <w:pPr>
              <w:cnfStyle w:val="010000000000" w:firstRow="0" w:lastRow="1" w:firstColumn="0" w:lastColumn="0" w:oddVBand="0" w:evenVBand="0" w:oddHBand="0" w:evenHBand="0" w:firstRowFirstColumn="0" w:firstRowLastColumn="0" w:lastRowFirstColumn="0" w:lastRowLastColumn="0"/>
            </w:pPr>
            <w:r w:rsidRPr="00AA49E0">
              <w:t>0.01</w:t>
            </w:r>
          </w:p>
        </w:tc>
        <w:tc>
          <w:tcPr>
            <w:tcW w:w="850" w:type="dxa"/>
            <w:tcBorders>
              <w:top w:val="nil"/>
              <w:bottom w:val="single" w:sz="12" w:space="0" w:color="auto"/>
            </w:tcBorders>
            <w:shd w:val="clear" w:color="000000" w:fill="FFFFFF"/>
          </w:tcPr>
          <w:p w14:paraId="4DE9B709" w14:textId="77777777" w:rsidR="00964B88" w:rsidRPr="00AA49E0" w:rsidRDefault="00964B88" w:rsidP="00F53820">
            <w:pPr>
              <w:cnfStyle w:val="010000000000" w:firstRow="0" w:lastRow="1" w:firstColumn="0" w:lastColumn="0" w:oddVBand="0" w:evenVBand="0" w:oddHBand="0" w:evenHBand="0" w:firstRowFirstColumn="0" w:firstRowLastColumn="0" w:lastRowFirstColumn="0" w:lastRowLastColumn="0"/>
            </w:pPr>
            <w:r w:rsidRPr="00AA49E0">
              <w:t>0.01</w:t>
            </w:r>
          </w:p>
        </w:tc>
      </w:tr>
    </w:tbl>
    <w:p w14:paraId="4EBA3F13" w14:textId="77777777" w:rsidR="00964B88" w:rsidRDefault="00964B88" w:rsidP="00F53820">
      <w:pPr>
        <w:pStyle w:val="Note"/>
      </w:pPr>
      <w:r>
        <w:t xml:space="preserve">Note: </w:t>
      </w:r>
    </w:p>
    <w:p w14:paraId="5A128C39" w14:textId="77777777" w:rsidR="005D6A22" w:rsidRDefault="00964B88" w:rsidP="00F53820">
      <w:pPr>
        <w:pStyle w:val="Note"/>
      </w:pPr>
      <w:r>
        <w:t>(a)</w:t>
      </w:r>
      <w:r>
        <w:tab/>
        <w:t>Figures may not add due to rounding.</w:t>
      </w:r>
    </w:p>
    <w:p w14:paraId="149A5C1F" w14:textId="77777777" w:rsidR="00964B88" w:rsidRPr="007A5BE8" w:rsidRDefault="00964B88" w:rsidP="005D6A22">
      <w:pPr>
        <w:rPr>
          <w:rFonts w:eastAsiaTheme="majorEastAsia" w:cstheme="majorBidi"/>
          <w:sz w:val="26"/>
          <w:szCs w:val="28"/>
        </w:rPr>
      </w:pPr>
      <w:r w:rsidRPr="007A5BE8">
        <w:br w:type="page"/>
      </w:r>
    </w:p>
    <w:p w14:paraId="00CCDCF2" w14:textId="77777777" w:rsidR="00964B88" w:rsidRPr="00BB71B2" w:rsidRDefault="00964B88" w:rsidP="0073799D">
      <w:pPr>
        <w:pStyle w:val="Heading1Non-TOC"/>
      </w:pPr>
      <w:bookmarkStart w:id="158" w:name="_Toc9436042"/>
      <w:r w:rsidRPr="00BB71B2">
        <w:lastRenderedPageBreak/>
        <w:t>Sensitivity to independent variations in major economic parameters</w:t>
      </w:r>
      <w:bookmarkEnd w:id="158"/>
    </w:p>
    <w:p w14:paraId="4E44CE8F" w14:textId="77777777" w:rsidR="00964B88" w:rsidRPr="000642E9" w:rsidRDefault="00964B88" w:rsidP="00F53820">
      <w:pPr>
        <w:ind w:right="-227"/>
      </w:pPr>
      <w:r>
        <w:t>Table D</w:t>
      </w:r>
      <w:r w:rsidRPr="00D16F4F">
        <w:t xml:space="preserve">.5 presents the sensitivity of financial aggregates where the levels of key economic parameters are </w:t>
      </w:r>
      <w:r>
        <w:t>1</w:t>
      </w:r>
      <w:r w:rsidRPr="00D16F4F">
        <w:t xml:space="preserve"> per cent (or, for interest rates, </w:t>
      </w:r>
      <w:r>
        <w:t>1</w:t>
      </w:r>
      <w:r w:rsidRPr="00D16F4F">
        <w:t xml:space="preserve"> percentage point) above the forecast for each year of the budget and forward estimates, holding all else constant. The impacts shown are broadly symmetric; that is, the estimated fiscal impacts would apply approximately equally in the opposite direction where there is a decrease in the parameter. Differences may arise to the extent that the impact on income tax equivalent income may not be symmetric because that line item is subject to a floor of zero, and the impact on dividends may be affected by some entities facing caps on the share of profits that can be returned to the </w:t>
      </w:r>
      <w:r w:rsidRPr="000642E9">
        <w:t xml:space="preserve">general government sector. </w:t>
      </w:r>
    </w:p>
    <w:p w14:paraId="40B528F4" w14:textId="77777777" w:rsidR="00964B88" w:rsidRPr="00781757" w:rsidRDefault="00964B88" w:rsidP="00F53820">
      <w:pPr>
        <w:pStyle w:val="TableHeading"/>
      </w:pPr>
      <w:r>
        <w:t>Table D</w:t>
      </w:r>
      <w:r w:rsidRPr="00781757">
        <w:t>.5:</w:t>
      </w:r>
      <w:r w:rsidRPr="00781757">
        <w:tab/>
        <w:t xml:space="preserve">Sensitivity of key fiscal aggregates to selected indicators being </w:t>
      </w:r>
      <w:r w:rsidRPr="00781757">
        <w:br/>
        <w:t>1 per cent higher than expected from 2019-20</w:t>
      </w:r>
      <w:r w:rsidRPr="00781757">
        <w:rPr>
          <w:vertAlign w:val="superscript"/>
        </w:rPr>
        <w:t xml:space="preserve"> (a)(b)(c)(d)</w:t>
      </w:r>
      <w:r>
        <w:rPr>
          <w:vertAlign w:val="superscript"/>
        </w:rPr>
        <w:t>(</w:t>
      </w:r>
      <w:r w:rsidR="005D6A22">
        <w:rPr>
          <w:vertAlign w:val="superscript"/>
        </w:rPr>
        <w:t>e</w:t>
      </w:r>
      <w:r>
        <w:rPr>
          <w:vertAlign w:val="superscript"/>
        </w:rPr>
        <w:t>)</w:t>
      </w:r>
      <w:r w:rsidRPr="00781757">
        <w:rPr>
          <w:vertAlign w:val="superscript"/>
        </w:rPr>
        <w:t xml:space="preserve"> </w:t>
      </w:r>
      <w:r w:rsidRPr="00781757">
        <w:rPr>
          <w:vertAlign w:val="superscript"/>
        </w:rPr>
        <w:tab/>
      </w:r>
      <w:r w:rsidRPr="00781757">
        <w:t>($ million)</w:t>
      </w:r>
    </w:p>
    <w:tbl>
      <w:tblPr>
        <w:tblStyle w:val="DTFTable"/>
        <w:tblW w:w="7760" w:type="dxa"/>
        <w:tblLayout w:type="fixed"/>
        <w:tblLook w:val="06E0" w:firstRow="1" w:lastRow="1" w:firstColumn="1" w:lastColumn="0" w:noHBand="1" w:noVBand="1"/>
      </w:tblPr>
      <w:tblGrid>
        <w:gridCol w:w="4362"/>
        <w:gridCol w:w="849"/>
        <w:gridCol w:w="849"/>
        <w:gridCol w:w="850"/>
        <w:gridCol w:w="850"/>
      </w:tblGrid>
      <w:tr w:rsidR="005D6A22" w:rsidRPr="00781757" w14:paraId="67F5EDAF" w14:textId="77777777" w:rsidTr="005D6A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2" w:type="dxa"/>
          </w:tcPr>
          <w:p w14:paraId="00F0F841" w14:textId="77777777" w:rsidR="005D6A22" w:rsidRPr="00781757" w:rsidRDefault="005D6A22" w:rsidP="005D6A22">
            <w:pPr>
              <w:autoSpaceDE w:val="0"/>
              <w:autoSpaceDN w:val="0"/>
              <w:adjustRightInd w:val="0"/>
              <w:rPr>
                <w:szCs w:val="17"/>
              </w:rPr>
            </w:pPr>
            <w:r w:rsidRPr="00781757">
              <w:rPr>
                <w:rFonts w:eastAsiaTheme="minorEastAsia" w:cs="Calibri"/>
                <w:szCs w:val="17"/>
                <w:lang w:eastAsia="en-AU"/>
              </w:rPr>
              <w:t xml:space="preserve"> </w:t>
            </w:r>
          </w:p>
        </w:tc>
        <w:tc>
          <w:tcPr>
            <w:tcW w:w="849" w:type="dxa"/>
          </w:tcPr>
          <w:p w14:paraId="37708066" w14:textId="77777777" w:rsidR="005D6A22" w:rsidRPr="00781757"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781757">
              <w:rPr>
                <w:rFonts w:eastAsiaTheme="minorEastAsia" w:cs="Calibri"/>
                <w:iCs/>
                <w:szCs w:val="17"/>
                <w:lang w:eastAsia="en-AU"/>
              </w:rPr>
              <w:t>2019-20</w:t>
            </w:r>
            <w:r>
              <w:rPr>
                <w:rFonts w:eastAsiaTheme="minorEastAsia" w:cs="Calibri"/>
                <w:iCs/>
                <w:szCs w:val="17"/>
                <w:lang w:eastAsia="en-AU"/>
              </w:rPr>
              <w:br/>
            </w:r>
            <w:r w:rsidRPr="00781757">
              <w:rPr>
                <w:rFonts w:eastAsiaTheme="minorEastAsia" w:cs="Calibri"/>
                <w:iCs/>
                <w:szCs w:val="17"/>
                <w:lang w:eastAsia="en-AU"/>
              </w:rPr>
              <w:t>estimate</w:t>
            </w:r>
          </w:p>
        </w:tc>
        <w:tc>
          <w:tcPr>
            <w:tcW w:w="849" w:type="dxa"/>
          </w:tcPr>
          <w:p w14:paraId="71FA9807" w14:textId="77777777" w:rsidR="005D6A22" w:rsidRPr="00781757"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781757">
              <w:rPr>
                <w:rFonts w:eastAsiaTheme="minorEastAsia" w:cs="Calibri"/>
                <w:iCs/>
                <w:szCs w:val="17"/>
                <w:lang w:eastAsia="en-AU"/>
              </w:rPr>
              <w:t>2020-21</w:t>
            </w:r>
            <w:r>
              <w:rPr>
                <w:rFonts w:eastAsiaTheme="minorEastAsia" w:cs="Calibri"/>
                <w:iCs/>
                <w:szCs w:val="17"/>
                <w:lang w:eastAsia="en-AU"/>
              </w:rPr>
              <w:br/>
            </w:r>
            <w:r w:rsidRPr="00781757">
              <w:rPr>
                <w:rFonts w:eastAsiaTheme="minorEastAsia" w:cs="Calibri"/>
                <w:iCs/>
                <w:szCs w:val="17"/>
                <w:lang w:eastAsia="en-AU"/>
              </w:rPr>
              <w:t>estimate</w:t>
            </w:r>
          </w:p>
        </w:tc>
        <w:tc>
          <w:tcPr>
            <w:tcW w:w="850" w:type="dxa"/>
          </w:tcPr>
          <w:p w14:paraId="35A73B15" w14:textId="77777777" w:rsidR="005D6A22" w:rsidRPr="00781757"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781757">
              <w:rPr>
                <w:rFonts w:eastAsiaTheme="minorEastAsia" w:cs="Calibri"/>
                <w:iCs/>
                <w:szCs w:val="17"/>
                <w:lang w:eastAsia="en-AU"/>
              </w:rPr>
              <w:t>2021-22</w:t>
            </w:r>
            <w:r>
              <w:rPr>
                <w:rFonts w:eastAsiaTheme="minorEastAsia" w:cs="Calibri"/>
                <w:iCs/>
                <w:szCs w:val="17"/>
                <w:lang w:eastAsia="en-AU"/>
              </w:rPr>
              <w:br/>
            </w:r>
            <w:r w:rsidRPr="00781757">
              <w:rPr>
                <w:rFonts w:eastAsiaTheme="minorEastAsia" w:cs="Calibri"/>
                <w:iCs/>
                <w:szCs w:val="17"/>
                <w:lang w:eastAsia="en-AU"/>
              </w:rPr>
              <w:t>estimate</w:t>
            </w:r>
          </w:p>
        </w:tc>
        <w:tc>
          <w:tcPr>
            <w:tcW w:w="850" w:type="dxa"/>
          </w:tcPr>
          <w:p w14:paraId="6B9255E4" w14:textId="77777777" w:rsidR="005D6A22" w:rsidRPr="00781757" w:rsidRDefault="005D6A22" w:rsidP="005D6A22">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781757">
              <w:rPr>
                <w:rFonts w:eastAsiaTheme="minorEastAsia" w:cs="Calibri"/>
                <w:iCs/>
                <w:szCs w:val="17"/>
                <w:lang w:eastAsia="en-AU"/>
              </w:rPr>
              <w:t>2022-23</w:t>
            </w:r>
            <w:r>
              <w:rPr>
                <w:rFonts w:eastAsiaTheme="minorEastAsia" w:cs="Calibri"/>
                <w:iCs/>
                <w:szCs w:val="17"/>
                <w:lang w:eastAsia="en-AU"/>
              </w:rPr>
              <w:br/>
            </w:r>
            <w:r w:rsidRPr="00781757">
              <w:rPr>
                <w:rFonts w:eastAsiaTheme="minorEastAsia" w:cs="Calibri"/>
                <w:iCs/>
                <w:szCs w:val="17"/>
                <w:lang w:eastAsia="en-AU"/>
              </w:rPr>
              <w:t>estimate</w:t>
            </w:r>
          </w:p>
        </w:tc>
      </w:tr>
      <w:tr w:rsidR="00964B88" w:rsidRPr="00781757" w14:paraId="35C13C49" w14:textId="77777777" w:rsidTr="00F53820">
        <w:tc>
          <w:tcPr>
            <w:cnfStyle w:val="001000000000" w:firstRow="0" w:lastRow="0" w:firstColumn="1" w:lastColumn="0" w:oddVBand="0" w:evenVBand="0" w:oddHBand="0" w:evenHBand="0" w:firstRowFirstColumn="0" w:firstRowLastColumn="0" w:lastRowFirstColumn="0" w:lastRowLastColumn="0"/>
            <w:tcW w:w="4362" w:type="dxa"/>
          </w:tcPr>
          <w:p w14:paraId="60AC351A"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GSP</w:t>
            </w:r>
          </w:p>
        </w:tc>
        <w:tc>
          <w:tcPr>
            <w:tcW w:w="849" w:type="dxa"/>
          </w:tcPr>
          <w:p w14:paraId="497E212D" w14:textId="77777777" w:rsidR="00964B88" w:rsidRPr="00781757"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49" w:type="dxa"/>
          </w:tcPr>
          <w:p w14:paraId="06CBA96C" w14:textId="77777777" w:rsidR="00964B88" w:rsidRPr="00781757"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50" w:type="dxa"/>
          </w:tcPr>
          <w:p w14:paraId="4E2F4131" w14:textId="77777777" w:rsidR="00964B88" w:rsidRPr="00781757"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50" w:type="dxa"/>
          </w:tcPr>
          <w:p w14:paraId="05E4CE0B" w14:textId="77777777" w:rsidR="00964B88" w:rsidRPr="00781757" w:rsidRDefault="00964B88" w:rsidP="00F5382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r>
      <w:tr w:rsidR="00964B88" w:rsidRPr="00781757" w14:paraId="2EFC557A" w14:textId="77777777" w:rsidTr="00F53820">
        <w:tc>
          <w:tcPr>
            <w:cnfStyle w:val="001000000000" w:firstRow="0" w:lastRow="0" w:firstColumn="1" w:lastColumn="0" w:oddVBand="0" w:evenVBand="0" w:oddHBand="0" w:evenHBand="0" w:firstRowFirstColumn="0" w:firstRowLastColumn="0" w:lastRowFirstColumn="0" w:lastRowLastColumn="0"/>
            <w:tcW w:w="4362" w:type="dxa"/>
          </w:tcPr>
          <w:p w14:paraId="51329083"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Income from transactions</w:t>
            </w:r>
          </w:p>
        </w:tc>
        <w:tc>
          <w:tcPr>
            <w:tcW w:w="849" w:type="dxa"/>
            <w:tcBorders>
              <w:top w:val="nil"/>
              <w:left w:val="nil"/>
              <w:bottom w:val="nil"/>
              <w:right w:val="nil"/>
            </w:tcBorders>
            <w:shd w:val="clear" w:color="000000" w:fill="FFFFFF"/>
          </w:tcPr>
          <w:p w14:paraId="1BDEE32F"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116</w:t>
            </w:r>
          </w:p>
        </w:tc>
        <w:tc>
          <w:tcPr>
            <w:tcW w:w="849" w:type="dxa"/>
            <w:tcBorders>
              <w:top w:val="nil"/>
              <w:left w:val="nil"/>
              <w:bottom w:val="nil"/>
              <w:right w:val="nil"/>
            </w:tcBorders>
            <w:shd w:val="clear" w:color="000000" w:fill="FFFFFF"/>
          </w:tcPr>
          <w:p w14:paraId="50BE43A3"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125</w:t>
            </w:r>
          </w:p>
        </w:tc>
        <w:tc>
          <w:tcPr>
            <w:tcW w:w="850" w:type="dxa"/>
            <w:tcBorders>
              <w:top w:val="nil"/>
              <w:left w:val="nil"/>
              <w:bottom w:val="nil"/>
              <w:right w:val="nil"/>
            </w:tcBorders>
            <w:shd w:val="clear" w:color="000000" w:fill="FFFFFF"/>
          </w:tcPr>
          <w:p w14:paraId="2E359B95"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135</w:t>
            </w:r>
          </w:p>
        </w:tc>
        <w:tc>
          <w:tcPr>
            <w:tcW w:w="850" w:type="dxa"/>
            <w:tcBorders>
              <w:top w:val="nil"/>
              <w:left w:val="nil"/>
              <w:bottom w:val="nil"/>
              <w:right w:val="nil"/>
            </w:tcBorders>
            <w:shd w:val="clear" w:color="000000" w:fill="FFFFFF"/>
          </w:tcPr>
          <w:p w14:paraId="599E7506"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145</w:t>
            </w:r>
          </w:p>
        </w:tc>
      </w:tr>
      <w:tr w:rsidR="00964B88" w:rsidRPr="00781757" w14:paraId="3C035BE7"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14:paraId="2167EB2F"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Expenses from transactions</w:t>
            </w:r>
          </w:p>
        </w:tc>
        <w:tc>
          <w:tcPr>
            <w:tcW w:w="849" w:type="dxa"/>
            <w:tcBorders>
              <w:top w:val="nil"/>
              <w:left w:val="nil"/>
              <w:bottom w:val="nil"/>
              <w:right w:val="nil"/>
            </w:tcBorders>
            <w:shd w:val="clear" w:color="000000" w:fill="FFFFFF"/>
          </w:tcPr>
          <w:p w14:paraId="2AB636F4"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w:t>
            </w:r>
          </w:p>
        </w:tc>
        <w:tc>
          <w:tcPr>
            <w:tcW w:w="849" w:type="dxa"/>
            <w:tcBorders>
              <w:top w:val="nil"/>
              <w:left w:val="nil"/>
              <w:bottom w:val="nil"/>
              <w:right w:val="nil"/>
            </w:tcBorders>
            <w:shd w:val="clear" w:color="000000" w:fill="FFFFFF"/>
          </w:tcPr>
          <w:p w14:paraId="2B66F00E"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(4)</w:t>
            </w:r>
          </w:p>
        </w:tc>
        <w:tc>
          <w:tcPr>
            <w:tcW w:w="850" w:type="dxa"/>
            <w:tcBorders>
              <w:top w:val="nil"/>
              <w:left w:val="nil"/>
              <w:bottom w:val="nil"/>
              <w:right w:val="nil"/>
            </w:tcBorders>
            <w:shd w:val="clear" w:color="000000" w:fill="FFFFFF"/>
          </w:tcPr>
          <w:p w14:paraId="27141284"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(9)</w:t>
            </w:r>
          </w:p>
        </w:tc>
        <w:tc>
          <w:tcPr>
            <w:tcW w:w="850" w:type="dxa"/>
            <w:tcBorders>
              <w:top w:val="nil"/>
              <w:left w:val="nil"/>
              <w:bottom w:val="nil"/>
              <w:right w:val="nil"/>
            </w:tcBorders>
            <w:shd w:val="clear" w:color="000000" w:fill="FFFFFF"/>
          </w:tcPr>
          <w:p w14:paraId="48172C17"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(15)</w:t>
            </w:r>
          </w:p>
        </w:tc>
      </w:tr>
      <w:tr w:rsidR="00964B88" w:rsidRPr="00781757" w14:paraId="028B960D"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nil"/>
            </w:tcBorders>
          </w:tcPr>
          <w:p w14:paraId="67E975D2"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result from transactions</w:t>
            </w:r>
          </w:p>
        </w:tc>
        <w:tc>
          <w:tcPr>
            <w:tcW w:w="849" w:type="dxa"/>
            <w:tcBorders>
              <w:top w:val="single" w:sz="4" w:space="0" w:color="auto"/>
              <w:left w:val="nil"/>
              <w:bottom w:val="nil"/>
              <w:right w:val="nil"/>
            </w:tcBorders>
            <w:shd w:val="clear" w:color="000000" w:fill="FFFFFF"/>
          </w:tcPr>
          <w:p w14:paraId="0259EF61"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116</w:t>
            </w:r>
          </w:p>
        </w:tc>
        <w:tc>
          <w:tcPr>
            <w:tcW w:w="849" w:type="dxa"/>
            <w:tcBorders>
              <w:top w:val="single" w:sz="4" w:space="0" w:color="auto"/>
              <w:left w:val="nil"/>
              <w:bottom w:val="nil"/>
              <w:right w:val="nil"/>
            </w:tcBorders>
            <w:shd w:val="clear" w:color="000000" w:fill="FFFFFF"/>
          </w:tcPr>
          <w:p w14:paraId="4F4119E7"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129</w:t>
            </w:r>
          </w:p>
        </w:tc>
        <w:tc>
          <w:tcPr>
            <w:tcW w:w="850" w:type="dxa"/>
            <w:tcBorders>
              <w:top w:val="single" w:sz="4" w:space="0" w:color="auto"/>
              <w:left w:val="nil"/>
              <w:bottom w:val="nil"/>
              <w:right w:val="nil"/>
            </w:tcBorders>
            <w:shd w:val="clear" w:color="000000" w:fill="FFFFFF"/>
          </w:tcPr>
          <w:p w14:paraId="0F8B9F92"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144</w:t>
            </w:r>
          </w:p>
        </w:tc>
        <w:tc>
          <w:tcPr>
            <w:tcW w:w="850" w:type="dxa"/>
            <w:tcBorders>
              <w:top w:val="single" w:sz="4" w:space="0" w:color="auto"/>
              <w:left w:val="nil"/>
              <w:bottom w:val="nil"/>
              <w:right w:val="nil"/>
            </w:tcBorders>
            <w:shd w:val="clear" w:color="000000" w:fill="FFFFFF"/>
          </w:tcPr>
          <w:p w14:paraId="7A7556B0"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161</w:t>
            </w:r>
          </w:p>
        </w:tc>
      </w:tr>
      <w:tr w:rsidR="00964B88" w:rsidRPr="00781757" w14:paraId="04D01A3D"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nil"/>
              <w:bottom w:val="single" w:sz="12" w:space="0" w:color="auto"/>
            </w:tcBorders>
          </w:tcPr>
          <w:p w14:paraId="40082ACB"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debt</w:t>
            </w:r>
          </w:p>
        </w:tc>
        <w:tc>
          <w:tcPr>
            <w:tcW w:w="849" w:type="dxa"/>
            <w:tcBorders>
              <w:top w:val="nil"/>
              <w:left w:val="nil"/>
              <w:bottom w:val="single" w:sz="12" w:space="0" w:color="auto"/>
              <w:right w:val="nil"/>
            </w:tcBorders>
            <w:shd w:val="clear" w:color="000000" w:fill="FFFFFF"/>
          </w:tcPr>
          <w:p w14:paraId="145E7ED3"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(116)</w:t>
            </w:r>
          </w:p>
        </w:tc>
        <w:tc>
          <w:tcPr>
            <w:tcW w:w="849" w:type="dxa"/>
            <w:tcBorders>
              <w:top w:val="nil"/>
              <w:left w:val="nil"/>
              <w:bottom w:val="single" w:sz="12" w:space="0" w:color="auto"/>
              <w:right w:val="nil"/>
            </w:tcBorders>
            <w:shd w:val="clear" w:color="000000" w:fill="FFFFFF"/>
          </w:tcPr>
          <w:p w14:paraId="08341D4D"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(245)</w:t>
            </w:r>
          </w:p>
        </w:tc>
        <w:tc>
          <w:tcPr>
            <w:tcW w:w="850" w:type="dxa"/>
            <w:tcBorders>
              <w:top w:val="nil"/>
              <w:left w:val="nil"/>
              <w:bottom w:val="single" w:sz="12" w:space="0" w:color="auto"/>
              <w:right w:val="nil"/>
            </w:tcBorders>
            <w:shd w:val="clear" w:color="000000" w:fill="FFFFFF"/>
          </w:tcPr>
          <w:p w14:paraId="5254D2BC"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(389)</w:t>
            </w:r>
          </w:p>
        </w:tc>
        <w:tc>
          <w:tcPr>
            <w:tcW w:w="850" w:type="dxa"/>
            <w:tcBorders>
              <w:top w:val="nil"/>
              <w:left w:val="nil"/>
              <w:bottom w:val="single" w:sz="12" w:space="0" w:color="auto"/>
              <w:right w:val="nil"/>
            </w:tcBorders>
            <w:shd w:val="clear" w:color="000000" w:fill="FFFFFF"/>
          </w:tcPr>
          <w:p w14:paraId="1B25663E"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(550)</w:t>
            </w:r>
          </w:p>
        </w:tc>
      </w:tr>
      <w:tr w:rsidR="00964B88" w:rsidRPr="00781757" w14:paraId="46BD49E4"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14:paraId="3E8B551A"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 xml:space="preserve">Employment </w:t>
            </w:r>
            <w:r w:rsidRPr="00781757">
              <w:rPr>
                <w:rFonts w:eastAsiaTheme="minorEastAsia" w:cs="Calibri"/>
                <w:b/>
                <w:bCs/>
                <w:szCs w:val="17"/>
                <w:vertAlign w:val="superscript"/>
                <w:lang w:eastAsia="en-AU"/>
              </w:rPr>
              <w:t>(</w:t>
            </w:r>
            <w:r w:rsidR="005D6A22">
              <w:rPr>
                <w:rFonts w:eastAsiaTheme="minorEastAsia" w:cs="Calibri"/>
                <w:b/>
                <w:bCs/>
                <w:szCs w:val="17"/>
                <w:vertAlign w:val="superscript"/>
                <w:lang w:eastAsia="en-AU"/>
              </w:rPr>
              <w:t>f</w:t>
            </w:r>
            <w:r w:rsidRPr="00781757">
              <w:rPr>
                <w:rFonts w:eastAsiaTheme="minorEastAsia" w:cs="Calibri"/>
                <w:b/>
                <w:bCs/>
                <w:szCs w:val="17"/>
                <w:vertAlign w:val="superscript"/>
                <w:lang w:eastAsia="en-AU"/>
              </w:rPr>
              <w:t>)</w:t>
            </w:r>
            <w:r w:rsidRPr="00781757">
              <w:rPr>
                <w:rFonts w:eastAsiaTheme="minorEastAsia" w:cs="Calibri"/>
                <w:b/>
                <w:bCs/>
                <w:szCs w:val="17"/>
                <w:lang w:eastAsia="en-AU"/>
              </w:rPr>
              <w:t xml:space="preserve"> </w:t>
            </w:r>
          </w:p>
        </w:tc>
        <w:tc>
          <w:tcPr>
            <w:tcW w:w="849" w:type="dxa"/>
            <w:tcBorders>
              <w:top w:val="single" w:sz="12" w:space="0" w:color="auto"/>
              <w:left w:val="nil"/>
              <w:bottom w:val="nil"/>
              <w:right w:val="nil"/>
            </w:tcBorders>
            <w:shd w:val="clear" w:color="auto" w:fill="auto"/>
          </w:tcPr>
          <w:p w14:paraId="024C901B"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12" w:space="0" w:color="auto"/>
              <w:left w:val="nil"/>
              <w:bottom w:val="nil"/>
              <w:right w:val="nil"/>
            </w:tcBorders>
            <w:shd w:val="clear" w:color="auto" w:fill="auto"/>
          </w:tcPr>
          <w:p w14:paraId="4E40FE20"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2E61F2D0"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7EACD03A"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r>
      <w:tr w:rsidR="00964B88" w:rsidRPr="00781757" w14:paraId="65D41FA8" w14:textId="77777777" w:rsidTr="00F53820">
        <w:tc>
          <w:tcPr>
            <w:cnfStyle w:val="001000000000" w:firstRow="0" w:lastRow="0" w:firstColumn="1" w:lastColumn="0" w:oddVBand="0" w:evenVBand="0" w:oddHBand="0" w:evenHBand="0" w:firstRowFirstColumn="0" w:firstRowLastColumn="0" w:lastRowFirstColumn="0" w:lastRowLastColumn="0"/>
            <w:tcW w:w="4362" w:type="dxa"/>
          </w:tcPr>
          <w:p w14:paraId="66C87D60"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Income from transactions</w:t>
            </w:r>
          </w:p>
        </w:tc>
        <w:tc>
          <w:tcPr>
            <w:tcW w:w="849" w:type="dxa"/>
            <w:tcBorders>
              <w:top w:val="nil"/>
              <w:left w:val="nil"/>
              <w:bottom w:val="nil"/>
              <w:right w:val="nil"/>
            </w:tcBorders>
            <w:shd w:val="clear" w:color="auto" w:fill="auto"/>
          </w:tcPr>
          <w:p w14:paraId="347ECC01"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89</w:t>
            </w:r>
          </w:p>
        </w:tc>
        <w:tc>
          <w:tcPr>
            <w:tcW w:w="849" w:type="dxa"/>
            <w:tcBorders>
              <w:top w:val="nil"/>
              <w:left w:val="nil"/>
              <w:bottom w:val="nil"/>
              <w:right w:val="nil"/>
            </w:tcBorders>
            <w:shd w:val="clear" w:color="auto" w:fill="auto"/>
          </w:tcPr>
          <w:p w14:paraId="7F650D10"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92</w:t>
            </w:r>
          </w:p>
        </w:tc>
        <w:tc>
          <w:tcPr>
            <w:tcW w:w="850" w:type="dxa"/>
            <w:tcBorders>
              <w:top w:val="nil"/>
              <w:left w:val="nil"/>
              <w:bottom w:val="nil"/>
              <w:right w:val="nil"/>
            </w:tcBorders>
            <w:shd w:val="clear" w:color="auto" w:fill="auto"/>
          </w:tcPr>
          <w:p w14:paraId="62B322AF"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95</w:t>
            </w:r>
          </w:p>
        </w:tc>
        <w:tc>
          <w:tcPr>
            <w:tcW w:w="850" w:type="dxa"/>
            <w:tcBorders>
              <w:top w:val="nil"/>
              <w:left w:val="nil"/>
              <w:bottom w:val="nil"/>
              <w:right w:val="nil"/>
            </w:tcBorders>
            <w:shd w:val="clear" w:color="auto" w:fill="auto"/>
          </w:tcPr>
          <w:p w14:paraId="0D4687CB"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99</w:t>
            </w:r>
          </w:p>
        </w:tc>
      </w:tr>
      <w:tr w:rsidR="00964B88" w:rsidRPr="00781757" w14:paraId="1108A209"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14:paraId="15CF509E"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Expenses from transactions</w:t>
            </w:r>
          </w:p>
        </w:tc>
        <w:tc>
          <w:tcPr>
            <w:tcW w:w="849" w:type="dxa"/>
            <w:tcBorders>
              <w:top w:val="nil"/>
              <w:left w:val="nil"/>
              <w:bottom w:val="nil"/>
              <w:right w:val="nil"/>
            </w:tcBorders>
            <w:shd w:val="clear" w:color="auto" w:fill="auto"/>
          </w:tcPr>
          <w:p w14:paraId="4D54760B"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265</w:t>
            </w:r>
          </w:p>
        </w:tc>
        <w:tc>
          <w:tcPr>
            <w:tcW w:w="849" w:type="dxa"/>
            <w:tcBorders>
              <w:top w:val="nil"/>
              <w:left w:val="nil"/>
              <w:bottom w:val="nil"/>
              <w:right w:val="nil"/>
            </w:tcBorders>
            <w:shd w:val="clear" w:color="auto" w:fill="auto"/>
          </w:tcPr>
          <w:p w14:paraId="3C416A20"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287</w:t>
            </w:r>
          </w:p>
        </w:tc>
        <w:tc>
          <w:tcPr>
            <w:tcW w:w="850" w:type="dxa"/>
            <w:tcBorders>
              <w:top w:val="nil"/>
              <w:left w:val="nil"/>
              <w:bottom w:val="nil"/>
              <w:right w:val="nil"/>
            </w:tcBorders>
            <w:shd w:val="clear" w:color="auto" w:fill="auto"/>
          </w:tcPr>
          <w:p w14:paraId="34911735"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304</w:t>
            </w:r>
          </w:p>
        </w:tc>
        <w:tc>
          <w:tcPr>
            <w:tcW w:w="850" w:type="dxa"/>
            <w:tcBorders>
              <w:top w:val="nil"/>
              <w:left w:val="nil"/>
              <w:bottom w:val="nil"/>
              <w:right w:val="nil"/>
            </w:tcBorders>
            <w:shd w:val="clear" w:color="auto" w:fill="auto"/>
          </w:tcPr>
          <w:p w14:paraId="3D340DF7"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326</w:t>
            </w:r>
          </w:p>
        </w:tc>
      </w:tr>
      <w:tr w:rsidR="00964B88" w:rsidRPr="00781757" w14:paraId="71413422"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nil"/>
            </w:tcBorders>
          </w:tcPr>
          <w:p w14:paraId="133CFCED"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result from transactions</w:t>
            </w:r>
          </w:p>
        </w:tc>
        <w:tc>
          <w:tcPr>
            <w:tcW w:w="849" w:type="dxa"/>
            <w:tcBorders>
              <w:top w:val="single" w:sz="4" w:space="0" w:color="auto"/>
              <w:left w:val="nil"/>
              <w:bottom w:val="nil"/>
              <w:right w:val="nil"/>
            </w:tcBorders>
            <w:shd w:val="clear" w:color="auto" w:fill="auto"/>
          </w:tcPr>
          <w:p w14:paraId="25BFD8C8"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(176)</w:t>
            </w:r>
          </w:p>
        </w:tc>
        <w:tc>
          <w:tcPr>
            <w:tcW w:w="849" w:type="dxa"/>
            <w:tcBorders>
              <w:top w:val="single" w:sz="4" w:space="0" w:color="auto"/>
              <w:left w:val="nil"/>
              <w:bottom w:val="nil"/>
              <w:right w:val="nil"/>
            </w:tcBorders>
            <w:shd w:val="clear" w:color="auto" w:fill="auto"/>
          </w:tcPr>
          <w:p w14:paraId="4BEC2B79"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(195)</w:t>
            </w:r>
          </w:p>
        </w:tc>
        <w:tc>
          <w:tcPr>
            <w:tcW w:w="850" w:type="dxa"/>
            <w:tcBorders>
              <w:top w:val="single" w:sz="4" w:space="0" w:color="auto"/>
              <w:left w:val="nil"/>
              <w:bottom w:val="nil"/>
              <w:right w:val="nil"/>
            </w:tcBorders>
            <w:shd w:val="clear" w:color="auto" w:fill="auto"/>
          </w:tcPr>
          <w:p w14:paraId="3E4CB15A"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(208)</w:t>
            </w:r>
          </w:p>
        </w:tc>
        <w:tc>
          <w:tcPr>
            <w:tcW w:w="850" w:type="dxa"/>
            <w:tcBorders>
              <w:top w:val="single" w:sz="4" w:space="0" w:color="auto"/>
              <w:left w:val="nil"/>
              <w:bottom w:val="nil"/>
              <w:right w:val="nil"/>
            </w:tcBorders>
            <w:shd w:val="clear" w:color="auto" w:fill="auto"/>
          </w:tcPr>
          <w:p w14:paraId="1F3C8EDB"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(227)</w:t>
            </w:r>
          </w:p>
        </w:tc>
      </w:tr>
      <w:tr w:rsidR="00964B88" w:rsidRPr="00781757" w14:paraId="6130E133"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nil"/>
              <w:bottom w:val="single" w:sz="12" w:space="0" w:color="auto"/>
            </w:tcBorders>
          </w:tcPr>
          <w:p w14:paraId="6D79EE9D"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debt</w:t>
            </w:r>
          </w:p>
        </w:tc>
        <w:tc>
          <w:tcPr>
            <w:tcW w:w="849" w:type="dxa"/>
            <w:tcBorders>
              <w:top w:val="nil"/>
              <w:left w:val="nil"/>
              <w:bottom w:val="single" w:sz="12" w:space="0" w:color="auto"/>
              <w:right w:val="nil"/>
            </w:tcBorders>
            <w:shd w:val="clear" w:color="auto" w:fill="auto"/>
          </w:tcPr>
          <w:p w14:paraId="79C3FD62"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176</w:t>
            </w:r>
          </w:p>
        </w:tc>
        <w:tc>
          <w:tcPr>
            <w:tcW w:w="849" w:type="dxa"/>
            <w:tcBorders>
              <w:top w:val="nil"/>
              <w:left w:val="nil"/>
              <w:bottom w:val="single" w:sz="12" w:space="0" w:color="auto"/>
              <w:right w:val="nil"/>
            </w:tcBorders>
            <w:shd w:val="clear" w:color="auto" w:fill="auto"/>
          </w:tcPr>
          <w:p w14:paraId="6EDC9EA5"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371</w:t>
            </w:r>
          </w:p>
        </w:tc>
        <w:tc>
          <w:tcPr>
            <w:tcW w:w="850" w:type="dxa"/>
            <w:tcBorders>
              <w:top w:val="nil"/>
              <w:left w:val="nil"/>
              <w:bottom w:val="single" w:sz="12" w:space="0" w:color="auto"/>
              <w:right w:val="nil"/>
            </w:tcBorders>
            <w:shd w:val="clear" w:color="auto" w:fill="auto"/>
          </w:tcPr>
          <w:p w14:paraId="20BF1E7F"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579</w:t>
            </w:r>
          </w:p>
        </w:tc>
        <w:tc>
          <w:tcPr>
            <w:tcW w:w="850" w:type="dxa"/>
            <w:tcBorders>
              <w:top w:val="nil"/>
              <w:left w:val="nil"/>
              <w:bottom w:val="single" w:sz="12" w:space="0" w:color="auto"/>
              <w:right w:val="nil"/>
            </w:tcBorders>
            <w:shd w:val="clear" w:color="auto" w:fill="auto"/>
          </w:tcPr>
          <w:p w14:paraId="5F01C008"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806</w:t>
            </w:r>
          </w:p>
        </w:tc>
      </w:tr>
      <w:tr w:rsidR="00964B88" w:rsidRPr="00781757" w14:paraId="244E2111"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14:paraId="2B3C49C1"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 xml:space="preserve">Consumer prices </w:t>
            </w:r>
            <w:r w:rsidRPr="00781757">
              <w:rPr>
                <w:rFonts w:eastAsiaTheme="minorEastAsia" w:cs="Calibri"/>
                <w:b/>
                <w:bCs/>
                <w:szCs w:val="17"/>
                <w:vertAlign w:val="superscript"/>
                <w:lang w:eastAsia="en-AU"/>
              </w:rPr>
              <w:t>(</w:t>
            </w:r>
            <w:r w:rsidR="005D6A22">
              <w:rPr>
                <w:rFonts w:eastAsiaTheme="minorEastAsia" w:cs="Calibri"/>
                <w:b/>
                <w:bCs/>
                <w:szCs w:val="17"/>
                <w:vertAlign w:val="superscript"/>
                <w:lang w:eastAsia="en-AU"/>
              </w:rPr>
              <w:t>g</w:t>
            </w:r>
            <w:r w:rsidRPr="00781757">
              <w:rPr>
                <w:rFonts w:eastAsiaTheme="minorEastAsia" w:cs="Calibri"/>
                <w:b/>
                <w:bCs/>
                <w:szCs w:val="17"/>
                <w:vertAlign w:val="superscript"/>
                <w:lang w:eastAsia="en-AU"/>
              </w:rPr>
              <w:t>)</w:t>
            </w:r>
          </w:p>
        </w:tc>
        <w:tc>
          <w:tcPr>
            <w:tcW w:w="849" w:type="dxa"/>
            <w:tcBorders>
              <w:top w:val="single" w:sz="12" w:space="0" w:color="auto"/>
              <w:left w:val="nil"/>
              <w:bottom w:val="nil"/>
              <w:right w:val="nil"/>
            </w:tcBorders>
            <w:shd w:val="clear" w:color="auto" w:fill="auto"/>
          </w:tcPr>
          <w:p w14:paraId="42E63DFD"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12" w:space="0" w:color="auto"/>
              <w:left w:val="nil"/>
              <w:bottom w:val="nil"/>
              <w:right w:val="nil"/>
            </w:tcBorders>
            <w:shd w:val="clear" w:color="auto" w:fill="auto"/>
          </w:tcPr>
          <w:p w14:paraId="15E4FAB0"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0C71FB5F"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0BC51F4A"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r>
      <w:tr w:rsidR="00964B88" w:rsidRPr="00781757" w14:paraId="556A7EED" w14:textId="77777777" w:rsidTr="00F53820">
        <w:tc>
          <w:tcPr>
            <w:cnfStyle w:val="001000000000" w:firstRow="0" w:lastRow="0" w:firstColumn="1" w:lastColumn="0" w:oddVBand="0" w:evenVBand="0" w:oddHBand="0" w:evenHBand="0" w:firstRowFirstColumn="0" w:firstRowLastColumn="0" w:lastRowFirstColumn="0" w:lastRowLastColumn="0"/>
            <w:tcW w:w="4362" w:type="dxa"/>
          </w:tcPr>
          <w:p w14:paraId="64575214"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Income from transactions</w:t>
            </w:r>
          </w:p>
        </w:tc>
        <w:tc>
          <w:tcPr>
            <w:tcW w:w="849" w:type="dxa"/>
            <w:tcBorders>
              <w:top w:val="nil"/>
              <w:left w:val="nil"/>
              <w:bottom w:val="nil"/>
              <w:right w:val="nil"/>
            </w:tcBorders>
            <w:shd w:val="clear" w:color="000000" w:fill="FFFFFF"/>
          </w:tcPr>
          <w:p w14:paraId="04F4BF5B"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272</w:t>
            </w:r>
          </w:p>
        </w:tc>
        <w:tc>
          <w:tcPr>
            <w:tcW w:w="849" w:type="dxa"/>
            <w:tcBorders>
              <w:top w:val="nil"/>
              <w:left w:val="nil"/>
              <w:bottom w:val="nil"/>
              <w:right w:val="nil"/>
            </w:tcBorders>
            <w:shd w:val="clear" w:color="000000" w:fill="FFFFFF"/>
          </w:tcPr>
          <w:p w14:paraId="3C5DC3BA"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291</w:t>
            </w:r>
          </w:p>
        </w:tc>
        <w:tc>
          <w:tcPr>
            <w:tcW w:w="850" w:type="dxa"/>
            <w:tcBorders>
              <w:top w:val="nil"/>
              <w:left w:val="nil"/>
              <w:bottom w:val="nil"/>
              <w:right w:val="nil"/>
            </w:tcBorders>
            <w:shd w:val="clear" w:color="000000" w:fill="FFFFFF"/>
          </w:tcPr>
          <w:p w14:paraId="742A7CDA"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309</w:t>
            </w:r>
          </w:p>
        </w:tc>
        <w:tc>
          <w:tcPr>
            <w:tcW w:w="850" w:type="dxa"/>
            <w:tcBorders>
              <w:top w:val="nil"/>
              <w:left w:val="nil"/>
              <w:bottom w:val="nil"/>
              <w:right w:val="nil"/>
            </w:tcBorders>
            <w:shd w:val="clear" w:color="000000" w:fill="FFFFFF"/>
          </w:tcPr>
          <w:p w14:paraId="1D049F93"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327</w:t>
            </w:r>
          </w:p>
        </w:tc>
      </w:tr>
      <w:tr w:rsidR="00964B88" w:rsidRPr="00781757" w14:paraId="79D3F595"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14:paraId="71943099"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Expenses from transactions</w:t>
            </w:r>
          </w:p>
        </w:tc>
        <w:tc>
          <w:tcPr>
            <w:tcW w:w="849" w:type="dxa"/>
            <w:tcBorders>
              <w:top w:val="nil"/>
              <w:left w:val="nil"/>
              <w:bottom w:val="nil"/>
              <w:right w:val="nil"/>
            </w:tcBorders>
            <w:shd w:val="clear" w:color="000000" w:fill="FFFFFF"/>
          </w:tcPr>
          <w:p w14:paraId="5D194A00"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219</w:t>
            </w:r>
          </w:p>
        </w:tc>
        <w:tc>
          <w:tcPr>
            <w:tcW w:w="849" w:type="dxa"/>
            <w:tcBorders>
              <w:top w:val="nil"/>
              <w:left w:val="nil"/>
              <w:bottom w:val="nil"/>
              <w:right w:val="nil"/>
            </w:tcBorders>
            <w:shd w:val="clear" w:color="000000" w:fill="FFFFFF"/>
          </w:tcPr>
          <w:p w14:paraId="2E38DBE9"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212</w:t>
            </w:r>
          </w:p>
        </w:tc>
        <w:tc>
          <w:tcPr>
            <w:tcW w:w="850" w:type="dxa"/>
            <w:tcBorders>
              <w:top w:val="nil"/>
              <w:left w:val="nil"/>
              <w:bottom w:val="nil"/>
              <w:right w:val="nil"/>
            </w:tcBorders>
            <w:shd w:val="clear" w:color="000000" w:fill="FFFFFF"/>
          </w:tcPr>
          <w:p w14:paraId="5659416D"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202</w:t>
            </w:r>
          </w:p>
        </w:tc>
        <w:tc>
          <w:tcPr>
            <w:tcW w:w="850" w:type="dxa"/>
            <w:tcBorders>
              <w:top w:val="nil"/>
              <w:left w:val="nil"/>
              <w:bottom w:val="nil"/>
              <w:right w:val="nil"/>
            </w:tcBorders>
            <w:shd w:val="clear" w:color="000000" w:fill="FFFFFF"/>
          </w:tcPr>
          <w:p w14:paraId="392FCCE3"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205</w:t>
            </w:r>
          </w:p>
        </w:tc>
      </w:tr>
      <w:tr w:rsidR="00964B88" w:rsidRPr="00781757" w14:paraId="3BF44772"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nil"/>
            </w:tcBorders>
          </w:tcPr>
          <w:p w14:paraId="53813C28"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result from transactions</w:t>
            </w:r>
          </w:p>
        </w:tc>
        <w:tc>
          <w:tcPr>
            <w:tcW w:w="849" w:type="dxa"/>
            <w:tcBorders>
              <w:top w:val="single" w:sz="4" w:space="0" w:color="auto"/>
              <w:left w:val="nil"/>
              <w:bottom w:val="nil"/>
              <w:right w:val="nil"/>
            </w:tcBorders>
            <w:shd w:val="clear" w:color="000000" w:fill="FFFFFF"/>
          </w:tcPr>
          <w:p w14:paraId="1FED9B15"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52</w:t>
            </w:r>
          </w:p>
        </w:tc>
        <w:tc>
          <w:tcPr>
            <w:tcW w:w="849" w:type="dxa"/>
            <w:tcBorders>
              <w:top w:val="single" w:sz="4" w:space="0" w:color="auto"/>
              <w:left w:val="nil"/>
              <w:bottom w:val="nil"/>
              <w:right w:val="nil"/>
            </w:tcBorders>
            <w:shd w:val="clear" w:color="000000" w:fill="FFFFFF"/>
          </w:tcPr>
          <w:p w14:paraId="79633237"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80</w:t>
            </w:r>
          </w:p>
        </w:tc>
        <w:tc>
          <w:tcPr>
            <w:tcW w:w="850" w:type="dxa"/>
            <w:tcBorders>
              <w:top w:val="single" w:sz="4" w:space="0" w:color="auto"/>
              <w:left w:val="nil"/>
              <w:bottom w:val="nil"/>
              <w:right w:val="nil"/>
            </w:tcBorders>
            <w:shd w:val="clear" w:color="000000" w:fill="FFFFFF"/>
          </w:tcPr>
          <w:p w14:paraId="6D8A7405"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107</w:t>
            </w:r>
          </w:p>
        </w:tc>
        <w:tc>
          <w:tcPr>
            <w:tcW w:w="850" w:type="dxa"/>
            <w:tcBorders>
              <w:top w:val="single" w:sz="4" w:space="0" w:color="auto"/>
              <w:left w:val="nil"/>
              <w:bottom w:val="nil"/>
              <w:right w:val="nil"/>
            </w:tcBorders>
            <w:shd w:val="clear" w:color="000000" w:fill="FFFFFF"/>
          </w:tcPr>
          <w:p w14:paraId="7391D062"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122</w:t>
            </w:r>
          </w:p>
        </w:tc>
      </w:tr>
      <w:tr w:rsidR="00964B88" w:rsidRPr="00781757" w14:paraId="1B357607"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nil"/>
              <w:bottom w:val="single" w:sz="12" w:space="0" w:color="auto"/>
            </w:tcBorders>
          </w:tcPr>
          <w:p w14:paraId="2565C665"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debt</w:t>
            </w:r>
          </w:p>
        </w:tc>
        <w:tc>
          <w:tcPr>
            <w:tcW w:w="849" w:type="dxa"/>
            <w:tcBorders>
              <w:top w:val="nil"/>
              <w:left w:val="nil"/>
              <w:bottom w:val="single" w:sz="12" w:space="0" w:color="auto"/>
              <w:right w:val="nil"/>
            </w:tcBorders>
            <w:shd w:val="clear" w:color="000000" w:fill="FFFFFF"/>
          </w:tcPr>
          <w:p w14:paraId="4C78CC55"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(53)</w:t>
            </w:r>
          </w:p>
        </w:tc>
        <w:tc>
          <w:tcPr>
            <w:tcW w:w="849" w:type="dxa"/>
            <w:tcBorders>
              <w:top w:val="nil"/>
              <w:left w:val="nil"/>
              <w:bottom w:val="single" w:sz="12" w:space="0" w:color="auto"/>
              <w:right w:val="nil"/>
            </w:tcBorders>
            <w:shd w:val="clear" w:color="000000" w:fill="FFFFFF"/>
          </w:tcPr>
          <w:p w14:paraId="5143C932"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(136)</w:t>
            </w:r>
          </w:p>
        </w:tc>
        <w:tc>
          <w:tcPr>
            <w:tcW w:w="850" w:type="dxa"/>
            <w:tcBorders>
              <w:top w:val="nil"/>
              <w:left w:val="nil"/>
              <w:bottom w:val="single" w:sz="12" w:space="0" w:color="auto"/>
              <w:right w:val="nil"/>
            </w:tcBorders>
            <w:shd w:val="clear" w:color="000000" w:fill="FFFFFF"/>
          </w:tcPr>
          <w:p w14:paraId="308A67B8"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(246)</w:t>
            </w:r>
          </w:p>
        </w:tc>
        <w:tc>
          <w:tcPr>
            <w:tcW w:w="850" w:type="dxa"/>
            <w:tcBorders>
              <w:top w:val="nil"/>
              <w:left w:val="nil"/>
              <w:bottom w:val="single" w:sz="12" w:space="0" w:color="auto"/>
              <w:right w:val="nil"/>
            </w:tcBorders>
            <w:shd w:val="clear" w:color="000000" w:fill="FFFFFF"/>
          </w:tcPr>
          <w:p w14:paraId="48B9CE8B"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(372)</w:t>
            </w:r>
          </w:p>
        </w:tc>
      </w:tr>
      <w:tr w:rsidR="00964B88" w:rsidRPr="00781757" w14:paraId="4A5E178C"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14:paraId="6CFDA19D"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 xml:space="preserve">Average weekly earnings </w:t>
            </w:r>
            <w:r w:rsidRPr="00781757">
              <w:rPr>
                <w:rFonts w:eastAsiaTheme="minorEastAsia" w:cs="Calibri"/>
                <w:b/>
                <w:bCs/>
                <w:szCs w:val="17"/>
                <w:vertAlign w:val="superscript"/>
                <w:lang w:eastAsia="en-AU"/>
              </w:rPr>
              <w:t>(</w:t>
            </w:r>
            <w:r w:rsidR="005D6A22">
              <w:rPr>
                <w:rFonts w:eastAsiaTheme="minorEastAsia" w:cs="Calibri"/>
                <w:b/>
                <w:bCs/>
                <w:szCs w:val="17"/>
                <w:vertAlign w:val="superscript"/>
                <w:lang w:eastAsia="en-AU"/>
              </w:rPr>
              <w:t>h</w:t>
            </w:r>
            <w:r w:rsidRPr="00781757">
              <w:rPr>
                <w:rFonts w:eastAsiaTheme="minorEastAsia" w:cs="Calibri"/>
                <w:b/>
                <w:bCs/>
                <w:szCs w:val="17"/>
                <w:vertAlign w:val="superscript"/>
                <w:lang w:eastAsia="en-AU"/>
              </w:rPr>
              <w:t>)</w:t>
            </w:r>
            <w:r w:rsidRPr="00781757">
              <w:rPr>
                <w:rFonts w:eastAsiaTheme="minorEastAsia" w:cs="Calibri"/>
                <w:b/>
                <w:bCs/>
                <w:szCs w:val="17"/>
                <w:lang w:eastAsia="en-AU"/>
              </w:rPr>
              <w:t xml:space="preserve"> </w:t>
            </w:r>
          </w:p>
        </w:tc>
        <w:tc>
          <w:tcPr>
            <w:tcW w:w="849" w:type="dxa"/>
            <w:tcBorders>
              <w:top w:val="single" w:sz="12" w:space="0" w:color="auto"/>
              <w:left w:val="nil"/>
              <w:bottom w:val="nil"/>
              <w:right w:val="nil"/>
            </w:tcBorders>
            <w:shd w:val="clear" w:color="auto" w:fill="auto"/>
          </w:tcPr>
          <w:p w14:paraId="592DF148"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12" w:space="0" w:color="auto"/>
              <w:left w:val="nil"/>
              <w:bottom w:val="nil"/>
              <w:right w:val="nil"/>
            </w:tcBorders>
            <w:shd w:val="clear" w:color="auto" w:fill="auto"/>
          </w:tcPr>
          <w:p w14:paraId="528E2AB3"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3309032C"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7BCB8945"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r>
      <w:tr w:rsidR="00964B88" w:rsidRPr="00781757" w14:paraId="4B2BAD8A" w14:textId="77777777" w:rsidTr="00F53820">
        <w:tc>
          <w:tcPr>
            <w:cnfStyle w:val="001000000000" w:firstRow="0" w:lastRow="0" w:firstColumn="1" w:lastColumn="0" w:oddVBand="0" w:evenVBand="0" w:oddHBand="0" w:evenHBand="0" w:firstRowFirstColumn="0" w:firstRowLastColumn="0" w:lastRowFirstColumn="0" w:lastRowLastColumn="0"/>
            <w:tcW w:w="4362" w:type="dxa"/>
          </w:tcPr>
          <w:p w14:paraId="16BA3CE3"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Income from transactions</w:t>
            </w:r>
          </w:p>
        </w:tc>
        <w:tc>
          <w:tcPr>
            <w:tcW w:w="849" w:type="dxa"/>
            <w:tcBorders>
              <w:top w:val="nil"/>
              <w:left w:val="nil"/>
              <w:bottom w:val="nil"/>
              <w:right w:val="nil"/>
            </w:tcBorders>
            <w:shd w:val="clear" w:color="000000" w:fill="FFFFFF"/>
          </w:tcPr>
          <w:p w14:paraId="01BEA0F1"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92</w:t>
            </w:r>
          </w:p>
        </w:tc>
        <w:tc>
          <w:tcPr>
            <w:tcW w:w="849" w:type="dxa"/>
            <w:tcBorders>
              <w:top w:val="nil"/>
              <w:left w:val="nil"/>
              <w:bottom w:val="nil"/>
              <w:right w:val="nil"/>
            </w:tcBorders>
            <w:shd w:val="clear" w:color="000000" w:fill="FFFFFF"/>
          </w:tcPr>
          <w:p w14:paraId="0930F42D"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95</w:t>
            </w:r>
          </w:p>
        </w:tc>
        <w:tc>
          <w:tcPr>
            <w:tcW w:w="850" w:type="dxa"/>
            <w:tcBorders>
              <w:top w:val="nil"/>
              <w:left w:val="nil"/>
              <w:bottom w:val="nil"/>
              <w:right w:val="nil"/>
            </w:tcBorders>
            <w:shd w:val="clear" w:color="000000" w:fill="FFFFFF"/>
          </w:tcPr>
          <w:p w14:paraId="361425C9"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99</w:t>
            </w:r>
          </w:p>
        </w:tc>
        <w:tc>
          <w:tcPr>
            <w:tcW w:w="850" w:type="dxa"/>
            <w:tcBorders>
              <w:top w:val="nil"/>
              <w:left w:val="nil"/>
              <w:bottom w:val="nil"/>
              <w:right w:val="nil"/>
            </w:tcBorders>
            <w:shd w:val="clear" w:color="000000" w:fill="FFFFFF"/>
          </w:tcPr>
          <w:p w14:paraId="3DFA6CC6"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104</w:t>
            </w:r>
          </w:p>
        </w:tc>
      </w:tr>
      <w:tr w:rsidR="00964B88" w:rsidRPr="00781757" w14:paraId="68023AA6"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14:paraId="65AD5727"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Expenses from transactions</w:t>
            </w:r>
          </w:p>
        </w:tc>
        <w:tc>
          <w:tcPr>
            <w:tcW w:w="849" w:type="dxa"/>
            <w:tcBorders>
              <w:top w:val="nil"/>
              <w:left w:val="nil"/>
              <w:bottom w:val="nil"/>
              <w:right w:val="nil"/>
            </w:tcBorders>
            <w:shd w:val="clear" w:color="000000" w:fill="FFFFFF"/>
          </w:tcPr>
          <w:p w14:paraId="45F57312"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3</w:t>
            </w:r>
          </w:p>
        </w:tc>
        <w:tc>
          <w:tcPr>
            <w:tcW w:w="849" w:type="dxa"/>
            <w:tcBorders>
              <w:top w:val="nil"/>
              <w:left w:val="nil"/>
              <w:bottom w:val="nil"/>
              <w:right w:val="nil"/>
            </w:tcBorders>
            <w:shd w:val="clear" w:color="000000" w:fill="FFFFFF"/>
          </w:tcPr>
          <w:p w14:paraId="744C55B3"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w:t>
            </w:r>
          </w:p>
        </w:tc>
        <w:tc>
          <w:tcPr>
            <w:tcW w:w="850" w:type="dxa"/>
            <w:tcBorders>
              <w:top w:val="nil"/>
              <w:left w:val="nil"/>
              <w:bottom w:val="nil"/>
              <w:right w:val="nil"/>
            </w:tcBorders>
            <w:shd w:val="clear" w:color="000000" w:fill="FFFFFF"/>
          </w:tcPr>
          <w:p w14:paraId="2F809DE7"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(5)</w:t>
            </w:r>
          </w:p>
        </w:tc>
        <w:tc>
          <w:tcPr>
            <w:tcW w:w="850" w:type="dxa"/>
            <w:tcBorders>
              <w:top w:val="nil"/>
              <w:left w:val="nil"/>
              <w:bottom w:val="nil"/>
              <w:right w:val="nil"/>
            </w:tcBorders>
            <w:shd w:val="clear" w:color="000000" w:fill="FFFFFF"/>
          </w:tcPr>
          <w:p w14:paraId="743673B7"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(9)</w:t>
            </w:r>
          </w:p>
        </w:tc>
      </w:tr>
      <w:tr w:rsidR="00964B88" w:rsidRPr="00781757" w14:paraId="227D12B4"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nil"/>
            </w:tcBorders>
          </w:tcPr>
          <w:p w14:paraId="3890E638"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result from transactions</w:t>
            </w:r>
          </w:p>
        </w:tc>
        <w:tc>
          <w:tcPr>
            <w:tcW w:w="849" w:type="dxa"/>
            <w:tcBorders>
              <w:top w:val="single" w:sz="4" w:space="0" w:color="auto"/>
              <w:left w:val="nil"/>
              <w:bottom w:val="nil"/>
              <w:right w:val="nil"/>
            </w:tcBorders>
            <w:shd w:val="clear" w:color="000000" w:fill="FFFFFF"/>
          </w:tcPr>
          <w:p w14:paraId="29DCCC1C"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89</w:t>
            </w:r>
          </w:p>
        </w:tc>
        <w:tc>
          <w:tcPr>
            <w:tcW w:w="849" w:type="dxa"/>
            <w:tcBorders>
              <w:top w:val="single" w:sz="4" w:space="0" w:color="auto"/>
              <w:left w:val="nil"/>
              <w:bottom w:val="nil"/>
              <w:right w:val="nil"/>
            </w:tcBorders>
            <w:shd w:val="clear" w:color="000000" w:fill="FFFFFF"/>
          </w:tcPr>
          <w:p w14:paraId="168F18E1"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96</w:t>
            </w:r>
          </w:p>
        </w:tc>
        <w:tc>
          <w:tcPr>
            <w:tcW w:w="850" w:type="dxa"/>
            <w:tcBorders>
              <w:top w:val="single" w:sz="4" w:space="0" w:color="auto"/>
              <w:left w:val="nil"/>
              <w:bottom w:val="nil"/>
              <w:right w:val="nil"/>
            </w:tcBorders>
            <w:shd w:val="clear" w:color="000000" w:fill="FFFFFF"/>
          </w:tcPr>
          <w:p w14:paraId="0ABA26E4"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104</w:t>
            </w:r>
          </w:p>
        </w:tc>
        <w:tc>
          <w:tcPr>
            <w:tcW w:w="850" w:type="dxa"/>
            <w:tcBorders>
              <w:top w:val="single" w:sz="4" w:space="0" w:color="auto"/>
              <w:left w:val="nil"/>
              <w:bottom w:val="nil"/>
              <w:right w:val="nil"/>
            </w:tcBorders>
            <w:shd w:val="clear" w:color="000000" w:fill="FFFFFF"/>
          </w:tcPr>
          <w:p w14:paraId="2272A051"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113</w:t>
            </w:r>
          </w:p>
        </w:tc>
      </w:tr>
      <w:tr w:rsidR="00964B88" w:rsidRPr="00781757" w14:paraId="4BB84E1B"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nil"/>
              <w:bottom w:val="single" w:sz="12" w:space="0" w:color="auto"/>
            </w:tcBorders>
          </w:tcPr>
          <w:p w14:paraId="33433D9C"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debt</w:t>
            </w:r>
          </w:p>
        </w:tc>
        <w:tc>
          <w:tcPr>
            <w:tcW w:w="849" w:type="dxa"/>
            <w:tcBorders>
              <w:top w:val="nil"/>
              <w:left w:val="nil"/>
              <w:bottom w:val="single" w:sz="12" w:space="0" w:color="auto"/>
              <w:right w:val="nil"/>
            </w:tcBorders>
            <w:shd w:val="clear" w:color="000000" w:fill="FFFFFF"/>
          </w:tcPr>
          <w:p w14:paraId="359F68AF"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(89)</w:t>
            </w:r>
          </w:p>
        </w:tc>
        <w:tc>
          <w:tcPr>
            <w:tcW w:w="849" w:type="dxa"/>
            <w:tcBorders>
              <w:top w:val="nil"/>
              <w:left w:val="nil"/>
              <w:bottom w:val="single" w:sz="12" w:space="0" w:color="auto"/>
              <w:right w:val="nil"/>
            </w:tcBorders>
            <w:shd w:val="clear" w:color="000000" w:fill="FFFFFF"/>
          </w:tcPr>
          <w:p w14:paraId="3F7FC157"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(185)</w:t>
            </w:r>
          </w:p>
        </w:tc>
        <w:tc>
          <w:tcPr>
            <w:tcW w:w="850" w:type="dxa"/>
            <w:tcBorders>
              <w:top w:val="nil"/>
              <w:left w:val="nil"/>
              <w:bottom w:val="single" w:sz="12" w:space="0" w:color="auto"/>
              <w:right w:val="nil"/>
            </w:tcBorders>
            <w:shd w:val="clear" w:color="000000" w:fill="FFFFFF"/>
          </w:tcPr>
          <w:p w14:paraId="2328F030"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(289)</w:t>
            </w:r>
          </w:p>
        </w:tc>
        <w:tc>
          <w:tcPr>
            <w:tcW w:w="850" w:type="dxa"/>
            <w:tcBorders>
              <w:top w:val="nil"/>
              <w:left w:val="nil"/>
              <w:bottom w:val="single" w:sz="12" w:space="0" w:color="auto"/>
              <w:right w:val="nil"/>
            </w:tcBorders>
            <w:shd w:val="clear" w:color="000000" w:fill="FFFFFF"/>
          </w:tcPr>
          <w:p w14:paraId="74932326"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(402)</w:t>
            </w:r>
          </w:p>
        </w:tc>
      </w:tr>
      <w:tr w:rsidR="00964B88" w:rsidRPr="00781757" w14:paraId="78B01265"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14:paraId="789951D3"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 xml:space="preserve">Total employee expenses </w:t>
            </w:r>
          </w:p>
        </w:tc>
        <w:tc>
          <w:tcPr>
            <w:tcW w:w="849" w:type="dxa"/>
            <w:tcBorders>
              <w:top w:val="single" w:sz="12" w:space="0" w:color="auto"/>
              <w:left w:val="nil"/>
              <w:bottom w:val="nil"/>
              <w:right w:val="nil"/>
            </w:tcBorders>
            <w:shd w:val="clear" w:color="auto" w:fill="auto"/>
          </w:tcPr>
          <w:p w14:paraId="2CE4FAB3"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12" w:space="0" w:color="auto"/>
              <w:left w:val="nil"/>
              <w:bottom w:val="nil"/>
              <w:right w:val="nil"/>
            </w:tcBorders>
            <w:shd w:val="clear" w:color="auto" w:fill="auto"/>
          </w:tcPr>
          <w:p w14:paraId="67725FFE"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29D9919B"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1AB3A43A"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r>
      <w:tr w:rsidR="00964B88" w:rsidRPr="00781757" w14:paraId="0547DA94" w14:textId="77777777" w:rsidTr="00F53820">
        <w:tc>
          <w:tcPr>
            <w:cnfStyle w:val="001000000000" w:firstRow="0" w:lastRow="0" w:firstColumn="1" w:lastColumn="0" w:oddVBand="0" w:evenVBand="0" w:oddHBand="0" w:evenHBand="0" w:firstRowFirstColumn="0" w:firstRowLastColumn="0" w:lastRowFirstColumn="0" w:lastRowLastColumn="0"/>
            <w:tcW w:w="4362" w:type="dxa"/>
          </w:tcPr>
          <w:p w14:paraId="15BE97EB"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Income from transactions</w:t>
            </w:r>
          </w:p>
        </w:tc>
        <w:tc>
          <w:tcPr>
            <w:tcW w:w="849" w:type="dxa"/>
            <w:tcBorders>
              <w:top w:val="nil"/>
              <w:left w:val="nil"/>
              <w:bottom w:val="nil"/>
              <w:right w:val="nil"/>
            </w:tcBorders>
            <w:shd w:val="clear" w:color="000000" w:fill="FFFFFF"/>
          </w:tcPr>
          <w:p w14:paraId="4BD6C326"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w:t>
            </w:r>
          </w:p>
        </w:tc>
        <w:tc>
          <w:tcPr>
            <w:tcW w:w="849" w:type="dxa"/>
            <w:tcBorders>
              <w:top w:val="nil"/>
              <w:left w:val="nil"/>
              <w:bottom w:val="nil"/>
              <w:right w:val="nil"/>
            </w:tcBorders>
            <w:shd w:val="clear" w:color="000000" w:fill="FFFFFF"/>
          </w:tcPr>
          <w:p w14:paraId="09096C2A"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30</w:t>
            </w:r>
          </w:p>
        </w:tc>
        <w:tc>
          <w:tcPr>
            <w:tcW w:w="850" w:type="dxa"/>
            <w:tcBorders>
              <w:top w:val="nil"/>
              <w:left w:val="nil"/>
              <w:bottom w:val="nil"/>
              <w:right w:val="nil"/>
            </w:tcBorders>
            <w:shd w:val="clear" w:color="000000" w:fill="FFFFFF"/>
          </w:tcPr>
          <w:p w14:paraId="49873530"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101</w:t>
            </w:r>
          </w:p>
        </w:tc>
        <w:tc>
          <w:tcPr>
            <w:tcW w:w="850" w:type="dxa"/>
            <w:tcBorders>
              <w:top w:val="nil"/>
              <w:left w:val="nil"/>
              <w:bottom w:val="nil"/>
              <w:right w:val="nil"/>
            </w:tcBorders>
            <w:shd w:val="clear" w:color="000000" w:fill="FFFFFF"/>
          </w:tcPr>
          <w:p w14:paraId="63105989"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110</w:t>
            </w:r>
          </w:p>
        </w:tc>
      </w:tr>
      <w:tr w:rsidR="00964B88" w:rsidRPr="00781757" w14:paraId="6A29C790"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14:paraId="30991245"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Expenses from transactions</w:t>
            </w:r>
          </w:p>
        </w:tc>
        <w:tc>
          <w:tcPr>
            <w:tcW w:w="849" w:type="dxa"/>
            <w:tcBorders>
              <w:top w:val="nil"/>
              <w:left w:val="nil"/>
              <w:bottom w:val="nil"/>
              <w:right w:val="nil"/>
            </w:tcBorders>
            <w:shd w:val="clear" w:color="000000" w:fill="FFFFFF"/>
          </w:tcPr>
          <w:p w14:paraId="7B5EA4E0"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267</w:t>
            </w:r>
          </w:p>
        </w:tc>
        <w:tc>
          <w:tcPr>
            <w:tcW w:w="849" w:type="dxa"/>
            <w:tcBorders>
              <w:top w:val="nil"/>
              <w:left w:val="nil"/>
              <w:bottom w:val="nil"/>
              <w:right w:val="nil"/>
            </w:tcBorders>
            <w:shd w:val="clear" w:color="000000" w:fill="FFFFFF"/>
          </w:tcPr>
          <w:p w14:paraId="78E80DF9"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325</w:t>
            </w:r>
          </w:p>
        </w:tc>
        <w:tc>
          <w:tcPr>
            <w:tcW w:w="850" w:type="dxa"/>
            <w:tcBorders>
              <w:top w:val="nil"/>
              <w:left w:val="nil"/>
              <w:bottom w:val="nil"/>
              <w:right w:val="nil"/>
            </w:tcBorders>
            <w:shd w:val="clear" w:color="000000" w:fill="FFFFFF"/>
          </w:tcPr>
          <w:p w14:paraId="796CF92C"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345</w:t>
            </w:r>
          </w:p>
        </w:tc>
        <w:tc>
          <w:tcPr>
            <w:tcW w:w="850" w:type="dxa"/>
            <w:tcBorders>
              <w:top w:val="nil"/>
              <w:left w:val="nil"/>
              <w:bottom w:val="nil"/>
              <w:right w:val="nil"/>
            </w:tcBorders>
            <w:shd w:val="clear" w:color="000000" w:fill="FFFFFF"/>
          </w:tcPr>
          <w:p w14:paraId="64A00697"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369</w:t>
            </w:r>
          </w:p>
        </w:tc>
      </w:tr>
      <w:tr w:rsidR="00964B88" w:rsidRPr="005F1622" w14:paraId="74D46143"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nil"/>
            </w:tcBorders>
          </w:tcPr>
          <w:p w14:paraId="5FD9D10D"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result from transactions</w:t>
            </w:r>
          </w:p>
        </w:tc>
        <w:tc>
          <w:tcPr>
            <w:tcW w:w="849" w:type="dxa"/>
            <w:tcBorders>
              <w:top w:val="single" w:sz="4" w:space="0" w:color="auto"/>
              <w:left w:val="nil"/>
              <w:bottom w:val="nil"/>
              <w:right w:val="nil"/>
            </w:tcBorders>
            <w:shd w:val="clear" w:color="000000" w:fill="FFFFFF"/>
          </w:tcPr>
          <w:p w14:paraId="4235D596"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(267)</w:t>
            </w:r>
          </w:p>
        </w:tc>
        <w:tc>
          <w:tcPr>
            <w:tcW w:w="849" w:type="dxa"/>
            <w:tcBorders>
              <w:top w:val="single" w:sz="4" w:space="0" w:color="auto"/>
              <w:left w:val="nil"/>
              <w:bottom w:val="nil"/>
              <w:right w:val="nil"/>
            </w:tcBorders>
            <w:shd w:val="clear" w:color="000000" w:fill="FFFFFF"/>
          </w:tcPr>
          <w:p w14:paraId="264FAA9E"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(296)</w:t>
            </w:r>
          </w:p>
        </w:tc>
        <w:tc>
          <w:tcPr>
            <w:tcW w:w="850" w:type="dxa"/>
            <w:tcBorders>
              <w:top w:val="single" w:sz="4" w:space="0" w:color="auto"/>
              <w:left w:val="nil"/>
              <w:bottom w:val="nil"/>
              <w:right w:val="nil"/>
            </w:tcBorders>
            <w:shd w:val="clear" w:color="000000" w:fill="FFFFFF"/>
          </w:tcPr>
          <w:p w14:paraId="5951420B"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(244)</w:t>
            </w:r>
          </w:p>
        </w:tc>
        <w:tc>
          <w:tcPr>
            <w:tcW w:w="850" w:type="dxa"/>
            <w:tcBorders>
              <w:top w:val="single" w:sz="4" w:space="0" w:color="auto"/>
              <w:left w:val="nil"/>
              <w:bottom w:val="nil"/>
              <w:right w:val="nil"/>
            </w:tcBorders>
            <w:shd w:val="clear" w:color="000000" w:fill="FFFFFF"/>
          </w:tcPr>
          <w:p w14:paraId="1D5F8740"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(259)</w:t>
            </w:r>
          </w:p>
        </w:tc>
      </w:tr>
      <w:tr w:rsidR="00964B88" w:rsidRPr="005F1622" w14:paraId="66541F32"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nil"/>
              <w:bottom w:val="single" w:sz="12" w:space="0" w:color="auto"/>
            </w:tcBorders>
          </w:tcPr>
          <w:p w14:paraId="12A43E54"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debt</w:t>
            </w:r>
          </w:p>
        </w:tc>
        <w:tc>
          <w:tcPr>
            <w:tcW w:w="849" w:type="dxa"/>
            <w:tcBorders>
              <w:top w:val="nil"/>
              <w:left w:val="nil"/>
              <w:bottom w:val="single" w:sz="12" w:space="0" w:color="auto"/>
              <w:right w:val="nil"/>
            </w:tcBorders>
            <w:shd w:val="clear" w:color="000000" w:fill="FFFFFF"/>
          </w:tcPr>
          <w:p w14:paraId="41F7E113"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267</w:t>
            </w:r>
          </w:p>
        </w:tc>
        <w:tc>
          <w:tcPr>
            <w:tcW w:w="849" w:type="dxa"/>
            <w:tcBorders>
              <w:top w:val="nil"/>
              <w:left w:val="nil"/>
              <w:bottom w:val="single" w:sz="12" w:space="0" w:color="auto"/>
              <w:right w:val="nil"/>
            </w:tcBorders>
            <w:shd w:val="clear" w:color="000000" w:fill="FFFFFF"/>
          </w:tcPr>
          <w:p w14:paraId="5D827775"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548</w:t>
            </w:r>
          </w:p>
        </w:tc>
        <w:tc>
          <w:tcPr>
            <w:tcW w:w="850" w:type="dxa"/>
            <w:tcBorders>
              <w:top w:val="nil"/>
              <w:left w:val="nil"/>
              <w:bottom w:val="single" w:sz="12" w:space="0" w:color="auto"/>
              <w:right w:val="nil"/>
            </w:tcBorders>
            <w:shd w:val="clear" w:color="000000" w:fill="FFFFFF"/>
          </w:tcPr>
          <w:p w14:paraId="712DB05F"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777</w:t>
            </w:r>
          </w:p>
        </w:tc>
        <w:tc>
          <w:tcPr>
            <w:tcW w:w="850" w:type="dxa"/>
            <w:tcBorders>
              <w:top w:val="nil"/>
              <w:left w:val="nil"/>
              <w:bottom w:val="single" w:sz="12" w:space="0" w:color="auto"/>
              <w:right w:val="nil"/>
            </w:tcBorders>
            <w:shd w:val="clear" w:color="000000" w:fill="FFFFFF"/>
          </w:tcPr>
          <w:p w14:paraId="00D429CC"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1020</w:t>
            </w:r>
          </w:p>
        </w:tc>
      </w:tr>
      <w:tr w:rsidR="00964B88" w:rsidRPr="00781757" w14:paraId="1661B0E0"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14:paraId="443DA1D3"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 xml:space="preserve">Domestic share prices </w:t>
            </w:r>
          </w:p>
        </w:tc>
        <w:tc>
          <w:tcPr>
            <w:tcW w:w="849" w:type="dxa"/>
            <w:tcBorders>
              <w:top w:val="single" w:sz="12" w:space="0" w:color="auto"/>
              <w:left w:val="nil"/>
              <w:bottom w:val="nil"/>
              <w:right w:val="nil"/>
            </w:tcBorders>
            <w:shd w:val="clear" w:color="auto" w:fill="auto"/>
          </w:tcPr>
          <w:p w14:paraId="0B75E6BC"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12" w:space="0" w:color="auto"/>
              <w:left w:val="nil"/>
              <w:bottom w:val="nil"/>
              <w:right w:val="nil"/>
            </w:tcBorders>
            <w:shd w:val="clear" w:color="auto" w:fill="auto"/>
          </w:tcPr>
          <w:p w14:paraId="45216DEC"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2E82D658"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6C65BF1D"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p>
        </w:tc>
      </w:tr>
      <w:tr w:rsidR="00964B88" w:rsidRPr="00781757" w14:paraId="43249D1F" w14:textId="77777777" w:rsidTr="00F53820">
        <w:tc>
          <w:tcPr>
            <w:cnfStyle w:val="001000000000" w:firstRow="0" w:lastRow="0" w:firstColumn="1" w:lastColumn="0" w:oddVBand="0" w:evenVBand="0" w:oddHBand="0" w:evenHBand="0" w:firstRowFirstColumn="0" w:firstRowLastColumn="0" w:lastRowFirstColumn="0" w:lastRowLastColumn="0"/>
            <w:tcW w:w="4362" w:type="dxa"/>
          </w:tcPr>
          <w:p w14:paraId="3CCB463C"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Income from transactions</w:t>
            </w:r>
          </w:p>
        </w:tc>
        <w:tc>
          <w:tcPr>
            <w:tcW w:w="849" w:type="dxa"/>
            <w:tcBorders>
              <w:top w:val="nil"/>
              <w:left w:val="nil"/>
              <w:bottom w:val="nil"/>
              <w:right w:val="nil"/>
            </w:tcBorders>
            <w:shd w:val="clear" w:color="auto" w:fill="auto"/>
          </w:tcPr>
          <w:p w14:paraId="5D5242DD"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w:t>
            </w:r>
          </w:p>
        </w:tc>
        <w:tc>
          <w:tcPr>
            <w:tcW w:w="849" w:type="dxa"/>
            <w:tcBorders>
              <w:top w:val="nil"/>
              <w:left w:val="nil"/>
              <w:bottom w:val="nil"/>
              <w:right w:val="nil"/>
            </w:tcBorders>
            <w:shd w:val="clear" w:color="auto" w:fill="auto"/>
          </w:tcPr>
          <w:p w14:paraId="37DBF4AC"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w:t>
            </w:r>
          </w:p>
        </w:tc>
        <w:tc>
          <w:tcPr>
            <w:tcW w:w="850" w:type="dxa"/>
            <w:tcBorders>
              <w:top w:val="nil"/>
              <w:left w:val="nil"/>
              <w:bottom w:val="nil"/>
              <w:right w:val="nil"/>
            </w:tcBorders>
            <w:shd w:val="clear" w:color="auto" w:fill="auto"/>
          </w:tcPr>
          <w:p w14:paraId="0C4642E7"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w:t>
            </w:r>
          </w:p>
        </w:tc>
        <w:tc>
          <w:tcPr>
            <w:tcW w:w="850" w:type="dxa"/>
            <w:tcBorders>
              <w:top w:val="nil"/>
              <w:left w:val="nil"/>
              <w:bottom w:val="nil"/>
              <w:right w:val="nil"/>
            </w:tcBorders>
            <w:shd w:val="clear" w:color="auto" w:fill="auto"/>
          </w:tcPr>
          <w:p w14:paraId="7E815847"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w:t>
            </w:r>
          </w:p>
        </w:tc>
      </w:tr>
      <w:tr w:rsidR="00964B88" w:rsidRPr="00781757" w14:paraId="063CDCC3"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14:paraId="6EAC7584"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Expenses from transactions</w:t>
            </w:r>
          </w:p>
        </w:tc>
        <w:tc>
          <w:tcPr>
            <w:tcW w:w="849" w:type="dxa"/>
            <w:tcBorders>
              <w:top w:val="nil"/>
              <w:left w:val="nil"/>
              <w:bottom w:val="nil"/>
              <w:right w:val="nil"/>
            </w:tcBorders>
            <w:shd w:val="clear" w:color="auto" w:fill="auto"/>
          </w:tcPr>
          <w:p w14:paraId="69253F30"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w:t>
            </w:r>
          </w:p>
        </w:tc>
        <w:tc>
          <w:tcPr>
            <w:tcW w:w="849" w:type="dxa"/>
            <w:tcBorders>
              <w:top w:val="nil"/>
              <w:left w:val="nil"/>
              <w:bottom w:val="nil"/>
              <w:right w:val="nil"/>
            </w:tcBorders>
            <w:shd w:val="clear" w:color="auto" w:fill="auto"/>
          </w:tcPr>
          <w:p w14:paraId="54F6068D"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w:t>
            </w:r>
          </w:p>
        </w:tc>
        <w:tc>
          <w:tcPr>
            <w:tcW w:w="850" w:type="dxa"/>
            <w:tcBorders>
              <w:top w:val="nil"/>
              <w:left w:val="nil"/>
              <w:bottom w:val="nil"/>
              <w:right w:val="nil"/>
            </w:tcBorders>
            <w:shd w:val="clear" w:color="auto" w:fill="auto"/>
          </w:tcPr>
          <w:p w14:paraId="7D66418F"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w:t>
            </w:r>
          </w:p>
        </w:tc>
        <w:tc>
          <w:tcPr>
            <w:tcW w:w="850" w:type="dxa"/>
            <w:tcBorders>
              <w:top w:val="nil"/>
              <w:left w:val="nil"/>
              <w:bottom w:val="nil"/>
              <w:right w:val="nil"/>
            </w:tcBorders>
            <w:shd w:val="clear" w:color="auto" w:fill="auto"/>
          </w:tcPr>
          <w:p w14:paraId="56EE1232" w14:textId="77777777" w:rsidR="00964B88" w:rsidRPr="006A5BD5" w:rsidRDefault="00964B88" w:rsidP="00F53820">
            <w:pPr>
              <w:cnfStyle w:val="000000000000" w:firstRow="0" w:lastRow="0" w:firstColumn="0" w:lastColumn="0" w:oddVBand="0" w:evenVBand="0" w:oddHBand="0" w:evenHBand="0" w:firstRowFirstColumn="0" w:firstRowLastColumn="0" w:lastRowFirstColumn="0" w:lastRowLastColumn="0"/>
            </w:pPr>
            <w:r w:rsidRPr="006A5BD5">
              <w:t>(1)</w:t>
            </w:r>
          </w:p>
        </w:tc>
      </w:tr>
      <w:tr w:rsidR="00964B88" w:rsidRPr="00781757" w14:paraId="4E413F67" w14:textId="77777777" w:rsidTr="009C1504">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nil"/>
            </w:tcBorders>
          </w:tcPr>
          <w:p w14:paraId="67EDDB16"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result from transactions</w:t>
            </w:r>
          </w:p>
        </w:tc>
        <w:tc>
          <w:tcPr>
            <w:tcW w:w="849" w:type="dxa"/>
            <w:tcBorders>
              <w:top w:val="single" w:sz="4" w:space="0" w:color="auto"/>
              <w:left w:val="nil"/>
              <w:bottom w:val="nil"/>
              <w:right w:val="nil"/>
            </w:tcBorders>
            <w:shd w:val="clear" w:color="auto" w:fill="auto"/>
          </w:tcPr>
          <w:p w14:paraId="2AFAC850"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w:t>
            </w:r>
          </w:p>
        </w:tc>
        <w:tc>
          <w:tcPr>
            <w:tcW w:w="849" w:type="dxa"/>
            <w:tcBorders>
              <w:top w:val="single" w:sz="4" w:space="0" w:color="auto"/>
              <w:left w:val="nil"/>
              <w:bottom w:val="nil"/>
              <w:right w:val="nil"/>
            </w:tcBorders>
            <w:shd w:val="clear" w:color="auto" w:fill="auto"/>
          </w:tcPr>
          <w:p w14:paraId="71E37F6C"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w:t>
            </w:r>
          </w:p>
        </w:tc>
        <w:tc>
          <w:tcPr>
            <w:tcW w:w="850" w:type="dxa"/>
            <w:tcBorders>
              <w:top w:val="single" w:sz="4" w:space="0" w:color="auto"/>
              <w:left w:val="nil"/>
              <w:bottom w:val="nil"/>
              <w:right w:val="nil"/>
            </w:tcBorders>
            <w:shd w:val="clear" w:color="auto" w:fill="auto"/>
          </w:tcPr>
          <w:p w14:paraId="3F9C54AF"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w:t>
            </w:r>
          </w:p>
        </w:tc>
        <w:tc>
          <w:tcPr>
            <w:tcW w:w="850" w:type="dxa"/>
            <w:tcBorders>
              <w:top w:val="single" w:sz="4" w:space="0" w:color="auto"/>
              <w:left w:val="nil"/>
              <w:bottom w:val="nil"/>
              <w:right w:val="nil"/>
            </w:tcBorders>
            <w:shd w:val="clear" w:color="auto" w:fill="auto"/>
          </w:tcPr>
          <w:p w14:paraId="6B69A08D"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w:t>
            </w:r>
          </w:p>
        </w:tc>
      </w:tr>
      <w:tr w:rsidR="00964B88" w:rsidRPr="009B6CF1" w14:paraId="33CBB7B9" w14:textId="77777777" w:rsidTr="009C15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Borders>
              <w:top w:val="nil"/>
              <w:bottom w:val="single" w:sz="12" w:space="0" w:color="auto"/>
            </w:tcBorders>
          </w:tcPr>
          <w:p w14:paraId="382A27C3" w14:textId="77777777" w:rsidR="00964B88" w:rsidRPr="009B6CF1" w:rsidRDefault="00964B88" w:rsidP="00F53820">
            <w:pPr>
              <w:keepLines w:val="0"/>
              <w:autoSpaceDE w:val="0"/>
              <w:autoSpaceDN w:val="0"/>
              <w:adjustRightInd w:val="0"/>
            </w:pPr>
            <w:r w:rsidRPr="009B6CF1">
              <w:t>Net debt</w:t>
            </w:r>
          </w:p>
        </w:tc>
        <w:tc>
          <w:tcPr>
            <w:tcW w:w="849" w:type="dxa"/>
            <w:tcBorders>
              <w:top w:val="nil"/>
              <w:bottom w:val="single" w:sz="12" w:space="0" w:color="auto"/>
            </w:tcBorders>
            <w:shd w:val="clear" w:color="auto" w:fill="auto"/>
          </w:tcPr>
          <w:p w14:paraId="44443968" w14:textId="77777777" w:rsidR="00964B88" w:rsidRPr="009B6CF1" w:rsidRDefault="00964B88" w:rsidP="00F53820">
            <w:pPr>
              <w:cnfStyle w:val="010000000000" w:firstRow="0" w:lastRow="1" w:firstColumn="0" w:lastColumn="0" w:oddVBand="0" w:evenVBand="0" w:oddHBand="0" w:evenHBand="0" w:firstRowFirstColumn="0" w:firstRowLastColumn="0" w:lastRowFirstColumn="0" w:lastRowLastColumn="0"/>
            </w:pPr>
            <w:r w:rsidRPr="009B6CF1">
              <w:t>..</w:t>
            </w:r>
          </w:p>
        </w:tc>
        <w:tc>
          <w:tcPr>
            <w:tcW w:w="849" w:type="dxa"/>
            <w:tcBorders>
              <w:top w:val="nil"/>
              <w:bottom w:val="single" w:sz="12" w:space="0" w:color="auto"/>
            </w:tcBorders>
            <w:shd w:val="clear" w:color="auto" w:fill="auto"/>
          </w:tcPr>
          <w:p w14:paraId="085B3542" w14:textId="77777777" w:rsidR="00964B88" w:rsidRPr="009B6CF1" w:rsidRDefault="00964B88" w:rsidP="00F53820">
            <w:pPr>
              <w:cnfStyle w:val="010000000000" w:firstRow="0" w:lastRow="1" w:firstColumn="0" w:lastColumn="0" w:oddVBand="0" w:evenVBand="0" w:oddHBand="0" w:evenHBand="0" w:firstRowFirstColumn="0" w:firstRowLastColumn="0" w:lastRowFirstColumn="0" w:lastRowLastColumn="0"/>
            </w:pPr>
            <w:r w:rsidRPr="009B6CF1">
              <w:t>..</w:t>
            </w:r>
          </w:p>
        </w:tc>
        <w:tc>
          <w:tcPr>
            <w:tcW w:w="850" w:type="dxa"/>
            <w:tcBorders>
              <w:top w:val="nil"/>
              <w:bottom w:val="single" w:sz="12" w:space="0" w:color="auto"/>
            </w:tcBorders>
            <w:shd w:val="clear" w:color="auto" w:fill="auto"/>
          </w:tcPr>
          <w:p w14:paraId="2E16DCBA" w14:textId="77777777" w:rsidR="00964B88" w:rsidRPr="009B6CF1" w:rsidRDefault="00964B88" w:rsidP="00F53820">
            <w:pPr>
              <w:cnfStyle w:val="010000000000" w:firstRow="0" w:lastRow="1" w:firstColumn="0" w:lastColumn="0" w:oddVBand="0" w:evenVBand="0" w:oddHBand="0" w:evenHBand="0" w:firstRowFirstColumn="0" w:firstRowLastColumn="0" w:lastRowFirstColumn="0" w:lastRowLastColumn="0"/>
            </w:pPr>
            <w:r w:rsidRPr="009B6CF1">
              <w:t>..</w:t>
            </w:r>
          </w:p>
        </w:tc>
        <w:tc>
          <w:tcPr>
            <w:tcW w:w="850" w:type="dxa"/>
            <w:tcBorders>
              <w:top w:val="nil"/>
              <w:bottom w:val="single" w:sz="12" w:space="0" w:color="auto"/>
            </w:tcBorders>
            <w:shd w:val="clear" w:color="auto" w:fill="auto"/>
          </w:tcPr>
          <w:p w14:paraId="3E1E8471" w14:textId="77777777" w:rsidR="00964B88" w:rsidRPr="009B6CF1" w:rsidRDefault="00964B88" w:rsidP="00F53820">
            <w:pPr>
              <w:cnfStyle w:val="010000000000" w:firstRow="0" w:lastRow="1" w:firstColumn="0" w:lastColumn="0" w:oddVBand="0" w:evenVBand="0" w:oddHBand="0" w:evenHBand="0" w:firstRowFirstColumn="0" w:firstRowLastColumn="0" w:lastRowFirstColumn="0" w:lastRowLastColumn="0"/>
            </w:pPr>
            <w:r w:rsidRPr="009B6CF1">
              <w:t>..</w:t>
            </w:r>
          </w:p>
        </w:tc>
      </w:tr>
    </w:tbl>
    <w:p w14:paraId="2953F16D" w14:textId="77777777" w:rsidR="009B6CF1" w:rsidRPr="00781757" w:rsidRDefault="009B6CF1" w:rsidP="009B6CF1">
      <w:pPr>
        <w:pStyle w:val="TableHeading"/>
      </w:pPr>
      <w:r>
        <w:lastRenderedPageBreak/>
        <w:t>Table D</w:t>
      </w:r>
      <w:r w:rsidRPr="00781757">
        <w:t>.5:</w:t>
      </w:r>
      <w:r w:rsidRPr="00781757">
        <w:tab/>
        <w:t xml:space="preserve">Sensitivity of key fiscal aggregates to selected indicators being </w:t>
      </w:r>
      <w:r w:rsidRPr="00781757">
        <w:br/>
        <w:t>1 per cent higher than expected from 2019-20</w:t>
      </w:r>
      <w:r w:rsidRPr="00781757">
        <w:rPr>
          <w:vertAlign w:val="superscript"/>
        </w:rPr>
        <w:t xml:space="preserve"> </w:t>
      </w:r>
      <w:r w:rsidRPr="009B6CF1">
        <w:rPr>
          <w:i/>
        </w:rPr>
        <w:t>(continued)</w:t>
      </w:r>
      <w:r w:rsidRPr="00781757">
        <w:rPr>
          <w:vertAlign w:val="superscript"/>
        </w:rPr>
        <w:tab/>
      </w:r>
      <w:r w:rsidRPr="00781757">
        <w:t>($ million)</w:t>
      </w:r>
    </w:p>
    <w:tbl>
      <w:tblPr>
        <w:tblStyle w:val="DTFTable"/>
        <w:tblW w:w="7760" w:type="dxa"/>
        <w:tblLayout w:type="fixed"/>
        <w:tblLook w:val="06E0" w:firstRow="1" w:lastRow="1" w:firstColumn="1" w:lastColumn="0" w:noHBand="1" w:noVBand="1"/>
      </w:tblPr>
      <w:tblGrid>
        <w:gridCol w:w="4362"/>
        <w:gridCol w:w="849"/>
        <w:gridCol w:w="849"/>
        <w:gridCol w:w="850"/>
        <w:gridCol w:w="850"/>
      </w:tblGrid>
      <w:tr w:rsidR="009B6CF1" w:rsidRPr="00781757" w14:paraId="3570A890" w14:textId="77777777" w:rsidTr="002A32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2" w:type="dxa"/>
          </w:tcPr>
          <w:p w14:paraId="1461A570" w14:textId="77777777" w:rsidR="009B6CF1" w:rsidRPr="00781757" w:rsidRDefault="009B6CF1" w:rsidP="002A3255">
            <w:pPr>
              <w:autoSpaceDE w:val="0"/>
              <w:autoSpaceDN w:val="0"/>
              <w:adjustRightInd w:val="0"/>
              <w:rPr>
                <w:szCs w:val="17"/>
              </w:rPr>
            </w:pPr>
            <w:r w:rsidRPr="00781757">
              <w:rPr>
                <w:rFonts w:eastAsiaTheme="minorEastAsia" w:cs="Calibri"/>
                <w:szCs w:val="17"/>
                <w:lang w:eastAsia="en-AU"/>
              </w:rPr>
              <w:t xml:space="preserve"> </w:t>
            </w:r>
          </w:p>
        </w:tc>
        <w:tc>
          <w:tcPr>
            <w:tcW w:w="849" w:type="dxa"/>
          </w:tcPr>
          <w:p w14:paraId="01146E11" w14:textId="77777777" w:rsidR="009B6CF1" w:rsidRPr="00781757" w:rsidRDefault="009B6CF1" w:rsidP="002A325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781757">
              <w:rPr>
                <w:rFonts w:eastAsiaTheme="minorEastAsia" w:cs="Calibri"/>
                <w:iCs/>
                <w:szCs w:val="17"/>
                <w:lang w:eastAsia="en-AU"/>
              </w:rPr>
              <w:t>2019-20</w:t>
            </w:r>
            <w:r>
              <w:rPr>
                <w:rFonts w:eastAsiaTheme="minorEastAsia" w:cs="Calibri"/>
                <w:iCs/>
                <w:szCs w:val="17"/>
                <w:lang w:eastAsia="en-AU"/>
              </w:rPr>
              <w:br/>
            </w:r>
            <w:r w:rsidRPr="00781757">
              <w:rPr>
                <w:rFonts w:eastAsiaTheme="minorEastAsia" w:cs="Calibri"/>
                <w:iCs/>
                <w:szCs w:val="17"/>
                <w:lang w:eastAsia="en-AU"/>
              </w:rPr>
              <w:t>estimate</w:t>
            </w:r>
          </w:p>
        </w:tc>
        <w:tc>
          <w:tcPr>
            <w:tcW w:w="849" w:type="dxa"/>
          </w:tcPr>
          <w:p w14:paraId="07CF3462" w14:textId="77777777" w:rsidR="009B6CF1" w:rsidRPr="00781757" w:rsidRDefault="009B6CF1" w:rsidP="002A325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781757">
              <w:rPr>
                <w:rFonts w:eastAsiaTheme="minorEastAsia" w:cs="Calibri"/>
                <w:iCs/>
                <w:szCs w:val="17"/>
                <w:lang w:eastAsia="en-AU"/>
              </w:rPr>
              <w:t>2020-21</w:t>
            </w:r>
            <w:r>
              <w:rPr>
                <w:rFonts w:eastAsiaTheme="minorEastAsia" w:cs="Calibri"/>
                <w:iCs/>
                <w:szCs w:val="17"/>
                <w:lang w:eastAsia="en-AU"/>
              </w:rPr>
              <w:br/>
            </w:r>
            <w:r w:rsidRPr="00781757">
              <w:rPr>
                <w:rFonts w:eastAsiaTheme="minorEastAsia" w:cs="Calibri"/>
                <w:iCs/>
                <w:szCs w:val="17"/>
                <w:lang w:eastAsia="en-AU"/>
              </w:rPr>
              <w:t>estimate</w:t>
            </w:r>
          </w:p>
        </w:tc>
        <w:tc>
          <w:tcPr>
            <w:tcW w:w="850" w:type="dxa"/>
          </w:tcPr>
          <w:p w14:paraId="33193B8A" w14:textId="77777777" w:rsidR="009B6CF1" w:rsidRPr="00781757" w:rsidRDefault="009B6CF1" w:rsidP="002A325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781757">
              <w:rPr>
                <w:rFonts w:eastAsiaTheme="minorEastAsia" w:cs="Calibri"/>
                <w:iCs/>
                <w:szCs w:val="17"/>
                <w:lang w:eastAsia="en-AU"/>
              </w:rPr>
              <w:t>2021-22</w:t>
            </w:r>
            <w:r>
              <w:rPr>
                <w:rFonts w:eastAsiaTheme="minorEastAsia" w:cs="Calibri"/>
                <w:iCs/>
                <w:szCs w:val="17"/>
                <w:lang w:eastAsia="en-AU"/>
              </w:rPr>
              <w:br/>
            </w:r>
            <w:r w:rsidRPr="00781757">
              <w:rPr>
                <w:rFonts w:eastAsiaTheme="minorEastAsia" w:cs="Calibri"/>
                <w:iCs/>
                <w:szCs w:val="17"/>
                <w:lang w:eastAsia="en-AU"/>
              </w:rPr>
              <w:t>estimate</w:t>
            </w:r>
          </w:p>
        </w:tc>
        <w:tc>
          <w:tcPr>
            <w:tcW w:w="850" w:type="dxa"/>
          </w:tcPr>
          <w:p w14:paraId="6A0DFB5A" w14:textId="77777777" w:rsidR="009B6CF1" w:rsidRPr="00781757" w:rsidRDefault="009B6CF1" w:rsidP="002A325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781757">
              <w:rPr>
                <w:rFonts w:eastAsiaTheme="minorEastAsia" w:cs="Calibri"/>
                <w:iCs/>
                <w:szCs w:val="17"/>
                <w:lang w:eastAsia="en-AU"/>
              </w:rPr>
              <w:t>2022-23</w:t>
            </w:r>
            <w:r>
              <w:rPr>
                <w:rFonts w:eastAsiaTheme="minorEastAsia" w:cs="Calibri"/>
                <w:iCs/>
                <w:szCs w:val="17"/>
                <w:lang w:eastAsia="en-AU"/>
              </w:rPr>
              <w:br/>
            </w:r>
            <w:r w:rsidRPr="00781757">
              <w:rPr>
                <w:rFonts w:eastAsiaTheme="minorEastAsia" w:cs="Calibri"/>
                <w:iCs/>
                <w:szCs w:val="17"/>
                <w:lang w:eastAsia="en-AU"/>
              </w:rPr>
              <w:t>estimate</w:t>
            </w:r>
          </w:p>
        </w:tc>
      </w:tr>
      <w:tr w:rsidR="00964B88" w:rsidRPr="00781757" w14:paraId="45146C49"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tcBorders>
          </w:tcPr>
          <w:p w14:paraId="3DFF7E05" w14:textId="77777777" w:rsidR="00964B88" w:rsidRPr="00781757" w:rsidRDefault="00964B88" w:rsidP="00F53820">
            <w:pPr>
              <w:keepNext/>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 xml:space="preserve">Overseas share prices </w:t>
            </w:r>
          </w:p>
        </w:tc>
        <w:tc>
          <w:tcPr>
            <w:tcW w:w="849" w:type="dxa"/>
            <w:tcBorders>
              <w:top w:val="single" w:sz="6" w:space="0" w:color="auto"/>
            </w:tcBorders>
          </w:tcPr>
          <w:p w14:paraId="0D925A44"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6" w:space="0" w:color="auto"/>
            </w:tcBorders>
          </w:tcPr>
          <w:p w14:paraId="429D8B04"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0EAE7A7"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EC5CB48"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r>
      <w:tr w:rsidR="00964B88" w:rsidRPr="00781757" w14:paraId="3BC7F64D" w14:textId="77777777" w:rsidTr="00F53820">
        <w:tc>
          <w:tcPr>
            <w:cnfStyle w:val="001000000000" w:firstRow="0" w:lastRow="0" w:firstColumn="1" w:lastColumn="0" w:oddVBand="0" w:evenVBand="0" w:oddHBand="0" w:evenHBand="0" w:firstRowFirstColumn="0" w:firstRowLastColumn="0" w:lastRowFirstColumn="0" w:lastRowLastColumn="0"/>
            <w:tcW w:w="4362" w:type="dxa"/>
          </w:tcPr>
          <w:p w14:paraId="3B8B1246"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Income from transactions</w:t>
            </w:r>
          </w:p>
        </w:tc>
        <w:tc>
          <w:tcPr>
            <w:tcW w:w="849" w:type="dxa"/>
            <w:tcBorders>
              <w:top w:val="nil"/>
              <w:left w:val="nil"/>
              <w:bottom w:val="nil"/>
              <w:right w:val="nil"/>
            </w:tcBorders>
            <w:shd w:val="clear" w:color="000000" w:fill="FFFFFF"/>
          </w:tcPr>
          <w:p w14:paraId="6148D487"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w:t>
            </w:r>
          </w:p>
        </w:tc>
        <w:tc>
          <w:tcPr>
            <w:tcW w:w="849" w:type="dxa"/>
            <w:tcBorders>
              <w:top w:val="nil"/>
              <w:left w:val="nil"/>
              <w:bottom w:val="nil"/>
              <w:right w:val="nil"/>
            </w:tcBorders>
            <w:shd w:val="clear" w:color="000000" w:fill="FFFFFF"/>
          </w:tcPr>
          <w:p w14:paraId="420E3BB9"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w:t>
            </w:r>
          </w:p>
        </w:tc>
        <w:tc>
          <w:tcPr>
            <w:tcW w:w="850" w:type="dxa"/>
            <w:tcBorders>
              <w:top w:val="nil"/>
              <w:left w:val="nil"/>
              <w:bottom w:val="nil"/>
              <w:right w:val="nil"/>
            </w:tcBorders>
            <w:shd w:val="clear" w:color="000000" w:fill="FFFFFF"/>
          </w:tcPr>
          <w:p w14:paraId="37160BA3"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w:t>
            </w:r>
          </w:p>
        </w:tc>
        <w:tc>
          <w:tcPr>
            <w:tcW w:w="850" w:type="dxa"/>
            <w:tcBorders>
              <w:top w:val="nil"/>
              <w:left w:val="nil"/>
              <w:bottom w:val="nil"/>
              <w:right w:val="nil"/>
            </w:tcBorders>
            <w:shd w:val="clear" w:color="000000" w:fill="FFFFFF"/>
          </w:tcPr>
          <w:p w14:paraId="63C9477A"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w:t>
            </w:r>
          </w:p>
        </w:tc>
      </w:tr>
      <w:tr w:rsidR="00964B88" w:rsidRPr="00781757" w14:paraId="1C739250"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14:paraId="0140BFCB"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Expenses from transactions</w:t>
            </w:r>
          </w:p>
        </w:tc>
        <w:tc>
          <w:tcPr>
            <w:tcW w:w="849" w:type="dxa"/>
            <w:tcBorders>
              <w:top w:val="nil"/>
              <w:left w:val="nil"/>
              <w:bottom w:val="nil"/>
              <w:right w:val="nil"/>
            </w:tcBorders>
            <w:shd w:val="clear" w:color="000000" w:fill="FFFFFF"/>
          </w:tcPr>
          <w:p w14:paraId="2C0A7DBA"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w:t>
            </w:r>
          </w:p>
        </w:tc>
        <w:tc>
          <w:tcPr>
            <w:tcW w:w="849" w:type="dxa"/>
            <w:tcBorders>
              <w:top w:val="nil"/>
              <w:left w:val="nil"/>
              <w:bottom w:val="nil"/>
              <w:right w:val="nil"/>
            </w:tcBorders>
            <w:shd w:val="clear" w:color="000000" w:fill="FFFFFF"/>
          </w:tcPr>
          <w:p w14:paraId="29861E24"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w:t>
            </w:r>
          </w:p>
        </w:tc>
        <w:tc>
          <w:tcPr>
            <w:tcW w:w="850" w:type="dxa"/>
            <w:tcBorders>
              <w:top w:val="nil"/>
              <w:left w:val="nil"/>
              <w:bottom w:val="nil"/>
              <w:right w:val="nil"/>
            </w:tcBorders>
            <w:shd w:val="clear" w:color="000000" w:fill="FFFFFF"/>
          </w:tcPr>
          <w:p w14:paraId="193F1AB1"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w:t>
            </w:r>
          </w:p>
        </w:tc>
        <w:tc>
          <w:tcPr>
            <w:tcW w:w="850" w:type="dxa"/>
            <w:tcBorders>
              <w:top w:val="nil"/>
              <w:left w:val="nil"/>
              <w:bottom w:val="nil"/>
              <w:right w:val="nil"/>
            </w:tcBorders>
            <w:shd w:val="clear" w:color="000000" w:fill="FFFFFF"/>
          </w:tcPr>
          <w:p w14:paraId="24EFBEB3"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w:t>
            </w:r>
          </w:p>
        </w:tc>
      </w:tr>
      <w:tr w:rsidR="00964B88" w:rsidRPr="00781757" w14:paraId="2BEE87DF"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nil"/>
            </w:tcBorders>
          </w:tcPr>
          <w:p w14:paraId="18C0C884"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result from transactions</w:t>
            </w:r>
          </w:p>
        </w:tc>
        <w:tc>
          <w:tcPr>
            <w:tcW w:w="849" w:type="dxa"/>
            <w:tcBorders>
              <w:top w:val="single" w:sz="4" w:space="0" w:color="auto"/>
              <w:left w:val="nil"/>
              <w:bottom w:val="nil"/>
              <w:right w:val="nil"/>
            </w:tcBorders>
            <w:shd w:val="clear" w:color="000000" w:fill="FFFFFF"/>
          </w:tcPr>
          <w:p w14:paraId="36D929B0"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w:t>
            </w:r>
          </w:p>
        </w:tc>
        <w:tc>
          <w:tcPr>
            <w:tcW w:w="849" w:type="dxa"/>
            <w:tcBorders>
              <w:top w:val="single" w:sz="4" w:space="0" w:color="auto"/>
              <w:left w:val="nil"/>
              <w:bottom w:val="nil"/>
              <w:right w:val="nil"/>
            </w:tcBorders>
            <w:shd w:val="clear" w:color="000000" w:fill="FFFFFF"/>
          </w:tcPr>
          <w:p w14:paraId="442109D6"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w:t>
            </w:r>
          </w:p>
        </w:tc>
        <w:tc>
          <w:tcPr>
            <w:tcW w:w="850" w:type="dxa"/>
            <w:tcBorders>
              <w:top w:val="single" w:sz="4" w:space="0" w:color="auto"/>
              <w:left w:val="nil"/>
              <w:bottom w:val="nil"/>
              <w:right w:val="nil"/>
            </w:tcBorders>
            <w:shd w:val="clear" w:color="000000" w:fill="FFFFFF"/>
          </w:tcPr>
          <w:p w14:paraId="42831E13"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w:t>
            </w:r>
          </w:p>
        </w:tc>
        <w:tc>
          <w:tcPr>
            <w:tcW w:w="850" w:type="dxa"/>
            <w:tcBorders>
              <w:top w:val="single" w:sz="4" w:space="0" w:color="auto"/>
              <w:left w:val="nil"/>
              <w:bottom w:val="nil"/>
              <w:right w:val="nil"/>
            </w:tcBorders>
            <w:shd w:val="clear" w:color="000000" w:fill="FFFFFF"/>
          </w:tcPr>
          <w:p w14:paraId="3B2595BF"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w:t>
            </w:r>
          </w:p>
        </w:tc>
      </w:tr>
      <w:tr w:rsidR="00964B88" w:rsidRPr="00781757" w14:paraId="60B55224"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nil"/>
              <w:bottom w:val="single" w:sz="12" w:space="0" w:color="auto"/>
            </w:tcBorders>
          </w:tcPr>
          <w:p w14:paraId="78DF346D"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debt</w:t>
            </w:r>
          </w:p>
        </w:tc>
        <w:tc>
          <w:tcPr>
            <w:tcW w:w="849" w:type="dxa"/>
            <w:tcBorders>
              <w:top w:val="nil"/>
              <w:left w:val="nil"/>
              <w:bottom w:val="single" w:sz="12" w:space="0" w:color="auto"/>
              <w:right w:val="nil"/>
            </w:tcBorders>
            <w:shd w:val="clear" w:color="000000" w:fill="FFFFFF"/>
          </w:tcPr>
          <w:p w14:paraId="25EB1F34"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w:t>
            </w:r>
          </w:p>
        </w:tc>
        <w:tc>
          <w:tcPr>
            <w:tcW w:w="849" w:type="dxa"/>
            <w:tcBorders>
              <w:top w:val="nil"/>
              <w:left w:val="nil"/>
              <w:bottom w:val="single" w:sz="12" w:space="0" w:color="auto"/>
              <w:right w:val="nil"/>
            </w:tcBorders>
            <w:shd w:val="clear" w:color="000000" w:fill="FFFFFF"/>
          </w:tcPr>
          <w:p w14:paraId="4818CD0E"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w:t>
            </w:r>
          </w:p>
        </w:tc>
        <w:tc>
          <w:tcPr>
            <w:tcW w:w="850" w:type="dxa"/>
            <w:tcBorders>
              <w:top w:val="nil"/>
              <w:left w:val="nil"/>
              <w:bottom w:val="single" w:sz="12" w:space="0" w:color="auto"/>
              <w:right w:val="nil"/>
            </w:tcBorders>
            <w:shd w:val="clear" w:color="000000" w:fill="FFFFFF"/>
          </w:tcPr>
          <w:p w14:paraId="7A7F70A4"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w:t>
            </w:r>
          </w:p>
        </w:tc>
        <w:tc>
          <w:tcPr>
            <w:tcW w:w="850" w:type="dxa"/>
            <w:tcBorders>
              <w:top w:val="nil"/>
              <w:left w:val="nil"/>
              <w:bottom w:val="single" w:sz="12" w:space="0" w:color="auto"/>
              <w:right w:val="nil"/>
            </w:tcBorders>
            <w:shd w:val="clear" w:color="000000" w:fill="FFFFFF"/>
          </w:tcPr>
          <w:p w14:paraId="06114CA0"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w:t>
            </w:r>
          </w:p>
        </w:tc>
      </w:tr>
      <w:tr w:rsidR="00964B88" w:rsidRPr="00781757" w14:paraId="2D93E9E5"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14:paraId="271D1BE0"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Property prices</w:t>
            </w:r>
          </w:p>
        </w:tc>
        <w:tc>
          <w:tcPr>
            <w:tcW w:w="849" w:type="dxa"/>
            <w:tcBorders>
              <w:top w:val="single" w:sz="12" w:space="0" w:color="auto"/>
              <w:left w:val="nil"/>
              <w:bottom w:val="nil"/>
              <w:right w:val="nil"/>
            </w:tcBorders>
            <w:shd w:val="clear" w:color="auto" w:fill="auto"/>
          </w:tcPr>
          <w:p w14:paraId="22C33053"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12" w:space="0" w:color="auto"/>
              <w:left w:val="nil"/>
              <w:bottom w:val="nil"/>
              <w:right w:val="nil"/>
            </w:tcBorders>
            <w:shd w:val="clear" w:color="auto" w:fill="auto"/>
          </w:tcPr>
          <w:p w14:paraId="3521B2B9"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68D2437D"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6573FBE8"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r>
      <w:tr w:rsidR="00964B88" w:rsidRPr="00781757" w14:paraId="1A267B96" w14:textId="77777777" w:rsidTr="00F53820">
        <w:tc>
          <w:tcPr>
            <w:cnfStyle w:val="001000000000" w:firstRow="0" w:lastRow="0" w:firstColumn="1" w:lastColumn="0" w:oddVBand="0" w:evenVBand="0" w:oddHBand="0" w:evenHBand="0" w:firstRowFirstColumn="0" w:firstRowLastColumn="0" w:lastRowFirstColumn="0" w:lastRowLastColumn="0"/>
            <w:tcW w:w="4362" w:type="dxa"/>
          </w:tcPr>
          <w:p w14:paraId="1E80BE46"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Income from transactions</w:t>
            </w:r>
          </w:p>
        </w:tc>
        <w:tc>
          <w:tcPr>
            <w:tcW w:w="849" w:type="dxa"/>
            <w:tcBorders>
              <w:top w:val="nil"/>
              <w:left w:val="nil"/>
              <w:bottom w:val="nil"/>
              <w:right w:val="nil"/>
            </w:tcBorders>
            <w:shd w:val="clear" w:color="000000" w:fill="FFFFFF"/>
          </w:tcPr>
          <w:p w14:paraId="4C10533A"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75</w:t>
            </w:r>
          </w:p>
        </w:tc>
        <w:tc>
          <w:tcPr>
            <w:tcW w:w="849" w:type="dxa"/>
            <w:tcBorders>
              <w:top w:val="nil"/>
              <w:left w:val="nil"/>
              <w:bottom w:val="nil"/>
              <w:right w:val="nil"/>
            </w:tcBorders>
            <w:shd w:val="clear" w:color="000000" w:fill="FFFFFF"/>
          </w:tcPr>
          <w:p w14:paraId="2955C312"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128</w:t>
            </w:r>
          </w:p>
        </w:tc>
        <w:tc>
          <w:tcPr>
            <w:tcW w:w="850" w:type="dxa"/>
            <w:tcBorders>
              <w:top w:val="nil"/>
              <w:left w:val="nil"/>
              <w:bottom w:val="nil"/>
              <w:right w:val="nil"/>
            </w:tcBorders>
            <w:shd w:val="clear" w:color="000000" w:fill="FFFFFF"/>
          </w:tcPr>
          <w:p w14:paraId="5A294BB3"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137</w:t>
            </w:r>
          </w:p>
        </w:tc>
        <w:tc>
          <w:tcPr>
            <w:tcW w:w="850" w:type="dxa"/>
            <w:tcBorders>
              <w:top w:val="nil"/>
              <w:left w:val="nil"/>
              <w:bottom w:val="nil"/>
              <w:right w:val="nil"/>
            </w:tcBorders>
            <w:shd w:val="clear" w:color="000000" w:fill="FFFFFF"/>
          </w:tcPr>
          <w:p w14:paraId="7D49FAC6"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149</w:t>
            </w:r>
          </w:p>
        </w:tc>
      </w:tr>
      <w:tr w:rsidR="00964B88" w:rsidRPr="00781757" w14:paraId="0F6576F7"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14:paraId="515FF47F"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Expenses from transactions</w:t>
            </w:r>
          </w:p>
        </w:tc>
        <w:tc>
          <w:tcPr>
            <w:tcW w:w="849" w:type="dxa"/>
            <w:tcBorders>
              <w:top w:val="nil"/>
              <w:left w:val="nil"/>
              <w:bottom w:val="nil"/>
              <w:right w:val="nil"/>
            </w:tcBorders>
            <w:shd w:val="clear" w:color="000000" w:fill="FFFFFF"/>
          </w:tcPr>
          <w:p w14:paraId="69337F28"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(2)</w:t>
            </w:r>
          </w:p>
        </w:tc>
        <w:tc>
          <w:tcPr>
            <w:tcW w:w="849" w:type="dxa"/>
            <w:tcBorders>
              <w:top w:val="nil"/>
              <w:left w:val="nil"/>
              <w:bottom w:val="nil"/>
              <w:right w:val="nil"/>
            </w:tcBorders>
            <w:shd w:val="clear" w:color="000000" w:fill="FFFFFF"/>
          </w:tcPr>
          <w:p w14:paraId="77A20542"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(6)</w:t>
            </w:r>
          </w:p>
        </w:tc>
        <w:tc>
          <w:tcPr>
            <w:tcW w:w="850" w:type="dxa"/>
            <w:tcBorders>
              <w:top w:val="nil"/>
              <w:left w:val="nil"/>
              <w:bottom w:val="nil"/>
              <w:right w:val="nil"/>
            </w:tcBorders>
            <w:shd w:val="clear" w:color="000000" w:fill="FFFFFF"/>
          </w:tcPr>
          <w:p w14:paraId="1DB0AC1D"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(12)</w:t>
            </w:r>
          </w:p>
        </w:tc>
        <w:tc>
          <w:tcPr>
            <w:tcW w:w="850" w:type="dxa"/>
            <w:tcBorders>
              <w:top w:val="nil"/>
              <w:left w:val="nil"/>
              <w:bottom w:val="nil"/>
              <w:right w:val="nil"/>
            </w:tcBorders>
            <w:shd w:val="clear" w:color="000000" w:fill="FFFFFF"/>
          </w:tcPr>
          <w:p w14:paraId="1DC7A72F"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(18)</w:t>
            </w:r>
          </w:p>
        </w:tc>
      </w:tr>
      <w:tr w:rsidR="00964B88" w:rsidRPr="00781757" w14:paraId="544042A9"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nil"/>
            </w:tcBorders>
          </w:tcPr>
          <w:p w14:paraId="4291A0BF"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result from transactions</w:t>
            </w:r>
          </w:p>
        </w:tc>
        <w:tc>
          <w:tcPr>
            <w:tcW w:w="849" w:type="dxa"/>
            <w:tcBorders>
              <w:top w:val="single" w:sz="4" w:space="0" w:color="auto"/>
              <w:left w:val="nil"/>
              <w:bottom w:val="nil"/>
              <w:right w:val="nil"/>
            </w:tcBorders>
            <w:shd w:val="clear" w:color="000000" w:fill="FFFFFF"/>
          </w:tcPr>
          <w:p w14:paraId="67D09002"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76</w:t>
            </w:r>
          </w:p>
        </w:tc>
        <w:tc>
          <w:tcPr>
            <w:tcW w:w="849" w:type="dxa"/>
            <w:tcBorders>
              <w:top w:val="single" w:sz="4" w:space="0" w:color="auto"/>
              <w:left w:val="nil"/>
              <w:bottom w:val="nil"/>
              <w:right w:val="nil"/>
            </w:tcBorders>
            <w:shd w:val="clear" w:color="000000" w:fill="FFFFFF"/>
          </w:tcPr>
          <w:p w14:paraId="473187A6"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134</w:t>
            </w:r>
          </w:p>
        </w:tc>
        <w:tc>
          <w:tcPr>
            <w:tcW w:w="850" w:type="dxa"/>
            <w:tcBorders>
              <w:top w:val="single" w:sz="4" w:space="0" w:color="auto"/>
              <w:left w:val="nil"/>
              <w:bottom w:val="nil"/>
              <w:right w:val="nil"/>
            </w:tcBorders>
            <w:shd w:val="clear" w:color="000000" w:fill="FFFFFF"/>
          </w:tcPr>
          <w:p w14:paraId="522DCCDC"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149</w:t>
            </w:r>
          </w:p>
        </w:tc>
        <w:tc>
          <w:tcPr>
            <w:tcW w:w="850" w:type="dxa"/>
            <w:tcBorders>
              <w:top w:val="single" w:sz="4" w:space="0" w:color="auto"/>
              <w:left w:val="nil"/>
              <w:bottom w:val="nil"/>
              <w:right w:val="nil"/>
            </w:tcBorders>
            <w:shd w:val="clear" w:color="000000" w:fill="FFFFFF"/>
          </w:tcPr>
          <w:p w14:paraId="421900CB"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167</w:t>
            </w:r>
          </w:p>
        </w:tc>
      </w:tr>
      <w:tr w:rsidR="00964B88" w:rsidRPr="00781757" w14:paraId="7BAED7C2"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nil"/>
              <w:bottom w:val="single" w:sz="12" w:space="0" w:color="auto"/>
            </w:tcBorders>
          </w:tcPr>
          <w:p w14:paraId="404A4235"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debt</w:t>
            </w:r>
          </w:p>
        </w:tc>
        <w:tc>
          <w:tcPr>
            <w:tcW w:w="849" w:type="dxa"/>
            <w:tcBorders>
              <w:top w:val="nil"/>
              <w:left w:val="nil"/>
              <w:bottom w:val="single" w:sz="12" w:space="0" w:color="auto"/>
              <w:right w:val="nil"/>
            </w:tcBorders>
            <w:shd w:val="clear" w:color="000000" w:fill="FFFFFF"/>
          </w:tcPr>
          <w:p w14:paraId="7BDACBE8"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(79)</w:t>
            </w:r>
          </w:p>
        </w:tc>
        <w:tc>
          <w:tcPr>
            <w:tcW w:w="849" w:type="dxa"/>
            <w:tcBorders>
              <w:top w:val="nil"/>
              <w:left w:val="nil"/>
              <w:bottom w:val="single" w:sz="12" w:space="0" w:color="auto"/>
              <w:right w:val="nil"/>
            </w:tcBorders>
            <w:shd w:val="clear" w:color="000000" w:fill="FFFFFF"/>
          </w:tcPr>
          <w:p w14:paraId="13CD8FA0"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(216)</w:t>
            </w:r>
          </w:p>
        </w:tc>
        <w:tc>
          <w:tcPr>
            <w:tcW w:w="850" w:type="dxa"/>
            <w:tcBorders>
              <w:top w:val="nil"/>
              <w:left w:val="nil"/>
              <w:bottom w:val="single" w:sz="12" w:space="0" w:color="auto"/>
              <w:right w:val="nil"/>
            </w:tcBorders>
            <w:shd w:val="clear" w:color="000000" w:fill="FFFFFF"/>
          </w:tcPr>
          <w:p w14:paraId="500BA8D8"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(370)</w:t>
            </w:r>
          </w:p>
        </w:tc>
        <w:tc>
          <w:tcPr>
            <w:tcW w:w="850" w:type="dxa"/>
            <w:tcBorders>
              <w:top w:val="nil"/>
              <w:left w:val="nil"/>
              <w:bottom w:val="single" w:sz="12" w:space="0" w:color="auto"/>
              <w:right w:val="nil"/>
            </w:tcBorders>
            <w:shd w:val="clear" w:color="000000" w:fill="FFFFFF"/>
          </w:tcPr>
          <w:p w14:paraId="6A593764"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(541)</w:t>
            </w:r>
          </w:p>
        </w:tc>
      </w:tr>
      <w:tr w:rsidR="00964B88" w:rsidRPr="00781757" w14:paraId="18DF71FB"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14:paraId="7D9824E9" w14:textId="77777777" w:rsidR="00964B88" w:rsidRPr="00781757" w:rsidRDefault="00964B88" w:rsidP="00F53820">
            <w:pPr>
              <w:autoSpaceDE w:val="0"/>
              <w:autoSpaceDN w:val="0"/>
              <w:adjustRightInd w:val="0"/>
              <w:ind w:left="176" w:hanging="176"/>
              <w:rPr>
                <w:rFonts w:eastAsiaTheme="minorEastAsia" w:cs="Calibri"/>
                <w:b/>
                <w:bCs/>
                <w:szCs w:val="17"/>
                <w:lang w:eastAsia="en-AU"/>
              </w:rPr>
            </w:pPr>
            <w:bookmarkStart w:id="159" w:name="_Hlk3981246"/>
            <w:r w:rsidRPr="00781757">
              <w:rPr>
                <w:rFonts w:eastAsiaTheme="minorEastAsia" w:cs="Calibri"/>
                <w:b/>
                <w:bCs/>
                <w:szCs w:val="17"/>
                <w:lang w:eastAsia="en-AU"/>
              </w:rPr>
              <w:t xml:space="preserve">Property </w:t>
            </w:r>
            <w:r>
              <w:rPr>
                <w:rFonts w:eastAsiaTheme="minorEastAsia" w:cs="Calibri"/>
                <w:b/>
                <w:bCs/>
                <w:szCs w:val="17"/>
                <w:lang w:eastAsia="en-AU"/>
              </w:rPr>
              <w:t xml:space="preserve">transaction </w:t>
            </w:r>
            <w:r w:rsidRPr="00781757">
              <w:rPr>
                <w:rFonts w:eastAsiaTheme="minorEastAsia" w:cs="Calibri"/>
                <w:b/>
                <w:bCs/>
                <w:szCs w:val="17"/>
                <w:lang w:eastAsia="en-AU"/>
              </w:rPr>
              <w:t>volumes</w:t>
            </w:r>
          </w:p>
        </w:tc>
        <w:tc>
          <w:tcPr>
            <w:tcW w:w="849" w:type="dxa"/>
            <w:tcBorders>
              <w:top w:val="single" w:sz="12" w:space="0" w:color="auto"/>
              <w:left w:val="nil"/>
              <w:bottom w:val="nil"/>
              <w:right w:val="nil"/>
            </w:tcBorders>
            <w:shd w:val="clear" w:color="auto" w:fill="auto"/>
          </w:tcPr>
          <w:p w14:paraId="50CCED2A"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12" w:space="0" w:color="auto"/>
              <w:left w:val="nil"/>
              <w:bottom w:val="nil"/>
              <w:right w:val="nil"/>
            </w:tcBorders>
            <w:shd w:val="clear" w:color="auto" w:fill="auto"/>
          </w:tcPr>
          <w:p w14:paraId="60B33B19"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56EF1BED"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2E0F37E1"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r>
      <w:tr w:rsidR="00964B88" w:rsidRPr="00781757" w14:paraId="06FD8BF2" w14:textId="77777777" w:rsidTr="00F53820">
        <w:tc>
          <w:tcPr>
            <w:cnfStyle w:val="001000000000" w:firstRow="0" w:lastRow="0" w:firstColumn="1" w:lastColumn="0" w:oddVBand="0" w:evenVBand="0" w:oddHBand="0" w:evenHBand="0" w:firstRowFirstColumn="0" w:firstRowLastColumn="0" w:lastRowFirstColumn="0" w:lastRowLastColumn="0"/>
            <w:tcW w:w="4362" w:type="dxa"/>
          </w:tcPr>
          <w:p w14:paraId="4F246959"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Income from transactions</w:t>
            </w:r>
          </w:p>
        </w:tc>
        <w:tc>
          <w:tcPr>
            <w:tcW w:w="849" w:type="dxa"/>
            <w:tcBorders>
              <w:top w:val="nil"/>
              <w:left w:val="nil"/>
              <w:bottom w:val="nil"/>
              <w:right w:val="nil"/>
            </w:tcBorders>
            <w:shd w:val="clear" w:color="000000" w:fill="FFFFFF"/>
          </w:tcPr>
          <w:p w14:paraId="42EA59E4"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58</w:t>
            </w:r>
          </w:p>
        </w:tc>
        <w:tc>
          <w:tcPr>
            <w:tcW w:w="849" w:type="dxa"/>
            <w:tcBorders>
              <w:top w:val="nil"/>
              <w:left w:val="nil"/>
              <w:bottom w:val="nil"/>
              <w:right w:val="nil"/>
            </w:tcBorders>
            <w:shd w:val="clear" w:color="000000" w:fill="FFFFFF"/>
          </w:tcPr>
          <w:p w14:paraId="33876283"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62</w:t>
            </w:r>
          </w:p>
        </w:tc>
        <w:tc>
          <w:tcPr>
            <w:tcW w:w="850" w:type="dxa"/>
            <w:tcBorders>
              <w:top w:val="nil"/>
              <w:left w:val="nil"/>
              <w:bottom w:val="nil"/>
              <w:right w:val="nil"/>
            </w:tcBorders>
            <w:shd w:val="clear" w:color="000000" w:fill="FFFFFF"/>
          </w:tcPr>
          <w:p w14:paraId="6BDAF788"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65</w:t>
            </w:r>
          </w:p>
        </w:tc>
        <w:tc>
          <w:tcPr>
            <w:tcW w:w="850" w:type="dxa"/>
            <w:tcBorders>
              <w:top w:val="nil"/>
              <w:left w:val="nil"/>
              <w:bottom w:val="nil"/>
              <w:right w:val="nil"/>
            </w:tcBorders>
            <w:shd w:val="clear" w:color="000000" w:fill="FFFFFF"/>
          </w:tcPr>
          <w:p w14:paraId="4A57023C"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70</w:t>
            </w:r>
          </w:p>
        </w:tc>
      </w:tr>
      <w:tr w:rsidR="00964B88" w:rsidRPr="00781757" w14:paraId="6470A56C"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14:paraId="47EE75B7"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Expenses from transactions</w:t>
            </w:r>
          </w:p>
        </w:tc>
        <w:tc>
          <w:tcPr>
            <w:tcW w:w="849" w:type="dxa"/>
            <w:tcBorders>
              <w:top w:val="nil"/>
              <w:left w:val="nil"/>
              <w:bottom w:val="nil"/>
              <w:right w:val="nil"/>
            </w:tcBorders>
            <w:shd w:val="clear" w:color="000000" w:fill="FFFFFF"/>
          </w:tcPr>
          <w:p w14:paraId="2226CD2B"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w:t>
            </w:r>
          </w:p>
        </w:tc>
        <w:tc>
          <w:tcPr>
            <w:tcW w:w="849" w:type="dxa"/>
            <w:tcBorders>
              <w:top w:val="nil"/>
              <w:left w:val="nil"/>
              <w:bottom w:val="nil"/>
              <w:right w:val="nil"/>
            </w:tcBorders>
            <w:shd w:val="clear" w:color="000000" w:fill="FFFFFF"/>
          </w:tcPr>
          <w:p w14:paraId="45999C60"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(4)</w:t>
            </w:r>
          </w:p>
        </w:tc>
        <w:tc>
          <w:tcPr>
            <w:tcW w:w="850" w:type="dxa"/>
            <w:tcBorders>
              <w:top w:val="nil"/>
              <w:left w:val="nil"/>
              <w:bottom w:val="nil"/>
              <w:right w:val="nil"/>
            </w:tcBorders>
            <w:shd w:val="clear" w:color="000000" w:fill="FFFFFF"/>
          </w:tcPr>
          <w:p w14:paraId="3110D9BB"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(7)</w:t>
            </w:r>
          </w:p>
        </w:tc>
        <w:tc>
          <w:tcPr>
            <w:tcW w:w="850" w:type="dxa"/>
            <w:tcBorders>
              <w:top w:val="nil"/>
              <w:left w:val="nil"/>
              <w:bottom w:val="nil"/>
              <w:right w:val="nil"/>
            </w:tcBorders>
            <w:shd w:val="clear" w:color="000000" w:fill="FFFFFF"/>
          </w:tcPr>
          <w:p w14:paraId="6E7DA004"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(10)</w:t>
            </w:r>
          </w:p>
        </w:tc>
      </w:tr>
      <w:tr w:rsidR="00964B88" w:rsidRPr="00781757" w14:paraId="5E7942DA"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nil"/>
            </w:tcBorders>
          </w:tcPr>
          <w:p w14:paraId="508716B2"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result from transactions</w:t>
            </w:r>
          </w:p>
        </w:tc>
        <w:tc>
          <w:tcPr>
            <w:tcW w:w="849" w:type="dxa"/>
            <w:tcBorders>
              <w:top w:val="single" w:sz="4" w:space="0" w:color="auto"/>
              <w:left w:val="nil"/>
              <w:bottom w:val="nil"/>
              <w:right w:val="nil"/>
            </w:tcBorders>
            <w:shd w:val="clear" w:color="000000" w:fill="FFFFFF"/>
          </w:tcPr>
          <w:p w14:paraId="697E8B2B"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59</w:t>
            </w:r>
          </w:p>
        </w:tc>
        <w:tc>
          <w:tcPr>
            <w:tcW w:w="849" w:type="dxa"/>
            <w:tcBorders>
              <w:top w:val="single" w:sz="4" w:space="0" w:color="auto"/>
              <w:left w:val="nil"/>
              <w:bottom w:val="nil"/>
              <w:right w:val="nil"/>
            </w:tcBorders>
            <w:shd w:val="clear" w:color="000000" w:fill="FFFFFF"/>
          </w:tcPr>
          <w:p w14:paraId="36ADEF07"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66</w:t>
            </w:r>
          </w:p>
        </w:tc>
        <w:tc>
          <w:tcPr>
            <w:tcW w:w="850" w:type="dxa"/>
            <w:tcBorders>
              <w:top w:val="single" w:sz="4" w:space="0" w:color="auto"/>
              <w:left w:val="nil"/>
              <w:bottom w:val="nil"/>
              <w:right w:val="nil"/>
            </w:tcBorders>
            <w:shd w:val="clear" w:color="000000" w:fill="FFFFFF"/>
          </w:tcPr>
          <w:p w14:paraId="49B7A36E"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72</w:t>
            </w:r>
          </w:p>
        </w:tc>
        <w:tc>
          <w:tcPr>
            <w:tcW w:w="850" w:type="dxa"/>
            <w:tcBorders>
              <w:top w:val="single" w:sz="4" w:space="0" w:color="auto"/>
              <w:left w:val="nil"/>
              <w:bottom w:val="nil"/>
              <w:right w:val="nil"/>
            </w:tcBorders>
            <w:shd w:val="clear" w:color="000000" w:fill="FFFFFF"/>
          </w:tcPr>
          <w:p w14:paraId="25057C2B"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79</w:t>
            </w:r>
          </w:p>
        </w:tc>
      </w:tr>
      <w:tr w:rsidR="00964B88" w:rsidRPr="00781757" w14:paraId="4458A8B3"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nil"/>
              <w:bottom w:val="single" w:sz="12" w:space="0" w:color="auto"/>
            </w:tcBorders>
          </w:tcPr>
          <w:p w14:paraId="6D069F1A"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debt</w:t>
            </w:r>
          </w:p>
        </w:tc>
        <w:tc>
          <w:tcPr>
            <w:tcW w:w="849" w:type="dxa"/>
            <w:tcBorders>
              <w:top w:val="nil"/>
              <w:left w:val="nil"/>
              <w:bottom w:val="single" w:sz="12" w:space="0" w:color="auto"/>
              <w:right w:val="nil"/>
            </w:tcBorders>
            <w:shd w:val="clear" w:color="000000" w:fill="FFFFFF"/>
          </w:tcPr>
          <w:p w14:paraId="32129697"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(59)</w:t>
            </w:r>
          </w:p>
        </w:tc>
        <w:tc>
          <w:tcPr>
            <w:tcW w:w="849" w:type="dxa"/>
            <w:tcBorders>
              <w:top w:val="nil"/>
              <w:left w:val="nil"/>
              <w:bottom w:val="single" w:sz="12" w:space="0" w:color="auto"/>
              <w:right w:val="nil"/>
            </w:tcBorders>
            <w:shd w:val="clear" w:color="000000" w:fill="FFFFFF"/>
          </w:tcPr>
          <w:p w14:paraId="0E27F94C"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(125)</w:t>
            </w:r>
          </w:p>
        </w:tc>
        <w:tc>
          <w:tcPr>
            <w:tcW w:w="850" w:type="dxa"/>
            <w:tcBorders>
              <w:top w:val="nil"/>
              <w:left w:val="nil"/>
              <w:bottom w:val="single" w:sz="12" w:space="0" w:color="auto"/>
              <w:right w:val="nil"/>
            </w:tcBorders>
            <w:shd w:val="clear" w:color="000000" w:fill="FFFFFF"/>
          </w:tcPr>
          <w:p w14:paraId="2E93954D"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(197)</w:t>
            </w:r>
          </w:p>
        </w:tc>
        <w:tc>
          <w:tcPr>
            <w:tcW w:w="850" w:type="dxa"/>
            <w:tcBorders>
              <w:top w:val="nil"/>
              <w:left w:val="nil"/>
              <w:bottom w:val="single" w:sz="12" w:space="0" w:color="auto"/>
              <w:right w:val="nil"/>
            </w:tcBorders>
            <w:shd w:val="clear" w:color="000000" w:fill="FFFFFF"/>
          </w:tcPr>
          <w:p w14:paraId="6ED389C1"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(276)</w:t>
            </w:r>
          </w:p>
        </w:tc>
      </w:tr>
      <w:tr w:rsidR="00964B88" w:rsidRPr="00781757" w14:paraId="4950D765"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14:paraId="184CB0F9" w14:textId="77777777" w:rsidR="00964B88" w:rsidRPr="00781757" w:rsidRDefault="00964B88" w:rsidP="00F53820">
            <w:pPr>
              <w:keepLines w:val="0"/>
              <w:autoSpaceDE w:val="0"/>
              <w:autoSpaceDN w:val="0"/>
              <w:adjustRightInd w:val="0"/>
              <w:ind w:left="173" w:hanging="173"/>
              <w:rPr>
                <w:rFonts w:eastAsiaTheme="minorEastAsia" w:cs="Calibri"/>
                <w:b/>
                <w:bCs/>
                <w:szCs w:val="17"/>
                <w:lang w:eastAsia="en-AU"/>
              </w:rPr>
            </w:pPr>
            <w:r w:rsidRPr="00781757">
              <w:rPr>
                <w:rFonts w:eastAsiaTheme="minorEastAsia" w:cs="Calibri"/>
                <w:b/>
                <w:bCs/>
                <w:szCs w:val="17"/>
                <w:lang w:eastAsia="en-AU"/>
              </w:rPr>
              <w:t xml:space="preserve">Interest rates </w:t>
            </w:r>
            <w:r w:rsidRPr="00781757">
              <w:rPr>
                <w:rFonts w:eastAsiaTheme="minorEastAsia" w:cs="Calibri"/>
                <w:b/>
                <w:bCs/>
                <w:szCs w:val="17"/>
                <w:vertAlign w:val="superscript"/>
                <w:lang w:eastAsia="en-AU"/>
              </w:rPr>
              <w:t>(</w:t>
            </w:r>
            <w:r w:rsidR="005D6A22">
              <w:rPr>
                <w:rFonts w:eastAsiaTheme="minorEastAsia" w:cs="Calibri"/>
                <w:b/>
                <w:bCs/>
                <w:szCs w:val="17"/>
                <w:vertAlign w:val="superscript"/>
                <w:lang w:eastAsia="en-AU"/>
              </w:rPr>
              <w:t>i</w:t>
            </w:r>
            <w:r w:rsidRPr="00781757">
              <w:rPr>
                <w:rFonts w:eastAsiaTheme="minorEastAsia" w:cs="Calibri"/>
                <w:b/>
                <w:bCs/>
                <w:szCs w:val="17"/>
                <w:vertAlign w:val="superscript"/>
                <w:lang w:eastAsia="en-AU"/>
              </w:rPr>
              <w:t>)</w:t>
            </w:r>
          </w:p>
        </w:tc>
        <w:tc>
          <w:tcPr>
            <w:tcW w:w="849" w:type="dxa"/>
            <w:tcBorders>
              <w:top w:val="single" w:sz="12" w:space="0" w:color="auto"/>
              <w:left w:val="nil"/>
              <w:bottom w:val="nil"/>
              <w:right w:val="nil"/>
            </w:tcBorders>
            <w:shd w:val="clear" w:color="auto" w:fill="auto"/>
          </w:tcPr>
          <w:p w14:paraId="512E010B"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12" w:space="0" w:color="auto"/>
              <w:left w:val="nil"/>
              <w:bottom w:val="nil"/>
              <w:right w:val="nil"/>
            </w:tcBorders>
            <w:shd w:val="clear" w:color="auto" w:fill="auto"/>
          </w:tcPr>
          <w:p w14:paraId="6CEAF2DD"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0C73E965"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12" w:space="0" w:color="auto"/>
              <w:left w:val="nil"/>
              <w:bottom w:val="nil"/>
              <w:right w:val="nil"/>
            </w:tcBorders>
            <w:shd w:val="clear" w:color="auto" w:fill="auto"/>
          </w:tcPr>
          <w:p w14:paraId="55CD8AC0"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p>
        </w:tc>
      </w:tr>
      <w:tr w:rsidR="00964B88" w:rsidRPr="00781757" w14:paraId="420A0CF0" w14:textId="77777777" w:rsidTr="00F53820">
        <w:tc>
          <w:tcPr>
            <w:cnfStyle w:val="001000000000" w:firstRow="0" w:lastRow="0" w:firstColumn="1" w:lastColumn="0" w:oddVBand="0" w:evenVBand="0" w:oddHBand="0" w:evenHBand="0" w:firstRowFirstColumn="0" w:firstRowLastColumn="0" w:lastRowFirstColumn="0" w:lastRowLastColumn="0"/>
            <w:tcW w:w="4362" w:type="dxa"/>
          </w:tcPr>
          <w:p w14:paraId="3D6409E5"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Income from transactions</w:t>
            </w:r>
          </w:p>
        </w:tc>
        <w:tc>
          <w:tcPr>
            <w:tcW w:w="849" w:type="dxa"/>
            <w:tcBorders>
              <w:top w:val="nil"/>
              <w:left w:val="nil"/>
              <w:bottom w:val="nil"/>
              <w:right w:val="nil"/>
            </w:tcBorders>
            <w:shd w:val="clear" w:color="000000" w:fill="FFFFFF"/>
          </w:tcPr>
          <w:p w14:paraId="41DC659E"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75</w:t>
            </w:r>
          </w:p>
        </w:tc>
        <w:tc>
          <w:tcPr>
            <w:tcW w:w="849" w:type="dxa"/>
            <w:tcBorders>
              <w:top w:val="nil"/>
              <w:left w:val="nil"/>
              <w:bottom w:val="nil"/>
              <w:right w:val="nil"/>
            </w:tcBorders>
            <w:shd w:val="clear" w:color="000000" w:fill="FFFFFF"/>
          </w:tcPr>
          <w:p w14:paraId="3F33268E"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70</w:t>
            </w:r>
          </w:p>
        </w:tc>
        <w:tc>
          <w:tcPr>
            <w:tcW w:w="850" w:type="dxa"/>
            <w:tcBorders>
              <w:top w:val="nil"/>
              <w:left w:val="nil"/>
              <w:bottom w:val="nil"/>
              <w:right w:val="nil"/>
            </w:tcBorders>
            <w:shd w:val="clear" w:color="000000" w:fill="FFFFFF"/>
          </w:tcPr>
          <w:p w14:paraId="285AEC5B"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66</w:t>
            </w:r>
          </w:p>
        </w:tc>
        <w:tc>
          <w:tcPr>
            <w:tcW w:w="850" w:type="dxa"/>
            <w:tcBorders>
              <w:top w:val="nil"/>
              <w:left w:val="nil"/>
              <w:bottom w:val="nil"/>
              <w:right w:val="nil"/>
            </w:tcBorders>
            <w:shd w:val="clear" w:color="000000" w:fill="FFFFFF"/>
          </w:tcPr>
          <w:p w14:paraId="432A1F92"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64</w:t>
            </w:r>
          </w:p>
        </w:tc>
      </w:tr>
      <w:tr w:rsidR="00964B88" w:rsidRPr="00781757" w14:paraId="0089EC29"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14:paraId="169F386B" w14:textId="77777777" w:rsidR="00964B88" w:rsidRPr="00781757" w:rsidRDefault="00964B88" w:rsidP="00F53820">
            <w:pPr>
              <w:keepLines w:val="0"/>
              <w:autoSpaceDE w:val="0"/>
              <w:autoSpaceDN w:val="0"/>
              <w:adjustRightInd w:val="0"/>
              <w:rPr>
                <w:rFonts w:eastAsiaTheme="minorEastAsia" w:cs="Calibri"/>
                <w:szCs w:val="17"/>
                <w:lang w:eastAsia="en-AU"/>
              </w:rPr>
            </w:pPr>
            <w:r w:rsidRPr="00781757">
              <w:rPr>
                <w:rFonts w:eastAsiaTheme="minorEastAsia" w:cs="Calibri"/>
                <w:szCs w:val="17"/>
                <w:lang w:eastAsia="en-AU"/>
              </w:rPr>
              <w:t>Expenses from transactions</w:t>
            </w:r>
          </w:p>
        </w:tc>
        <w:tc>
          <w:tcPr>
            <w:tcW w:w="849" w:type="dxa"/>
            <w:tcBorders>
              <w:top w:val="nil"/>
              <w:left w:val="nil"/>
              <w:bottom w:val="nil"/>
              <w:right w:val="nil"/>
            </w:tcBorders>
            <w:shd w:val="clear" w:color="000000" w:fill="FFFFFF"/>
          </w:tcPr>
          <w:p w14:paraId="7544238E"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w:t>
            </w:r>
          </w:p>
        </w:tc>
        <w:tc>
          <w:tcPr>
            <w:tcW w:w="849" w:type="dxa"/>
            <w:tcBorders>
              <w:top w:val="nil"/>
              <w:left w:val="nil"/>
              <w:bottom w:val="nil"/>
              <w:right w:val="nil"/>
            </w:tcBorders>
            <w:shd w:val="clear" w:color="000000" w:fill="FFFFFF"/>
          </w:tcPr>
          <w:p w14:paraId="5214F1C0"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188</w:t>
            </w:r>
          </w:p>
        </w:tc>
        <w:tc>
          <w:tcPr>
            <w:tcW w:w="850" w:type="dxa"/>
            <w:tcBorders>
              <w:top w:val="nil"/>
              <w:left w:val="nil"/>
              <w:bottom w:val="nil"/>
              <w:right w:val="nil"/>
            </w:tcBorders>
            <w:shd w:val="clear" w:color="000000" w:fill="FFFFFF"/>
          </w:tcPr>
          <w:p w14:paraId="088B33A3"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178</w:t>
            </w:r>
          </w:p>
        </w:tc>
        <w:tc>
          <w:tcPr>
            <w:tcW w:w="850" w:type="dxa"/>
            <w:tcBorders>
              <w:top w:val="nil"/>
              <w:left w:val="nil"/>
              <w:bottom w:val="nil"/>
              <w:right w:val="nil"/>
            </w:tcBorders>
            <w:shd w:val="clear" w:color="000000" w:fill="FFFFFF"/>
          </w:tcPr>
          <w:p w14:paraId="5F48A25E" w14:textId="77777777" w:rsidR="00964B88" w:rsidRPr="002E12BD" w:rsidRDefault="00964B88" w:rsidP="00F53820">
            <w:pPr>
              <w:cnfStyle w:val="000000000000" w:firstRow="0" w:lastRow="0" w:firstColumn="0" w:lastColumn="0" w:oddVBand="0" w:evenVBand="0" w:oddHBand="0" w:evenHBand="0" w:firstRowFirstColumn="0" w:firstRowLastColumn="0" w:lastRowFirstColumn="0" w:lastRowLastColumn="0"/>
            </w:pPr>
            <w:r w:rsidRPr="002E12BD">
              <w:t>160</w:t>
            </w:r>
          </w:p>
        </w:tc>
      </w:tr>
      <w:tr w:rsidR="00964B88" w:rsidRPr="00781757" w14:paraId="6F688768" w14:textId="77777777" w:rsidTr="00F53820">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nil"/>
            </w:tcBorders>
          </w:tcPr>
          <w:p w14:paraId="4635859C" w14:textId="77777777" w:rsidR="00964B88" w:rsidRPr="00781757" w:rsidRDefault="00964B88" w:rsidP="00F53820">
            <w:pPr>
              <w:keepLines w:val="0"/>
              <w:autoSpaceDE w:val="0"/>
              <w:autoSpaceDN w:val="0"/>
              <w:adjustRightInd w:val="0"/>
              <w:rPr>
                <w:rFonts w:eastAsiaTheme="minorEastAsia" w:cs="Calibri"/>
                <w:b/>
                <w:bCs/>
                <w:szCs w:val="17"/>
                <w:lang w:eastAsia="en-AU"/>
              </w:rPr>
            </w:pPr>
            <w:r w:rsidRPr="00781757">
              <w:rPr>
                <w:rFonts w:eastAsiaTheme="minorEastAsia" w:cs="Calibri"/>
                <w:b/>
                <w:bCs/>
                <w:szCs w:val="17"/>
                <w:lang w:eastAsia="en-AU"/>
              </w:rPr>
              <w:t>Net result from transactions</w:t>
            </w:r>
          </w:p>
        </w:tc>
        <w:tc>
          <w:tcPr>
            <w:tcW w:w="849" w:type="dxa"/>
            <w:tcBorders>
              <w:top w:val="single" w:sz="4" w:space="0" w:color="auto"/>
              <w:left w:val="nil"/>
              <w:bottom w:val="nil"/>
              <w:right w:val="nil"/>
            </w:tcBorders>
            <w:shd w:val="clear" w:color="000000" w:fill="FFFFFF"/>
          </w:tcPr>
          <w:p w14:paraId="0E538BAA"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74</w:t>
            </w:r>
          </w:p>
        </w:tc>
        <w:tc>
          <w:tcPr>
            <w:tcW w:w="849" w:type="dxa"/>
            <w:tcBorders>
              <w:top w:val="single" w:sz="4" w:space="0" w:color="auto"/>
              <w:left w:val="nil"/>
              <w:bottom w:val="nil"/>
              <w:right w:val="nil"/>
            </w:tcBorders>
            <w:shd w:val="clear" w:color="000000" w:fill="FFFFFF"/>
          </w:tcPr>
          <w:p w14:paraId="3621BD78"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(118)</w:t>
            </w:r>
          </w:p>
        </w:tc>
        <w:tc>
          <w:tcPr>
            <w:tcW w:w="850" w:type="dxa"/>
            <w:tcBorders>
              <w:top w:val="single" w:sz="4" w:space="0" w:color="auto"/>
              <w:left w:val="nil"/>
              <w:bottom w:val="nil"/>
              <w:right w:val="nil"/>
            </w:tcBorders>
            <w:shd w:val="clear" w:color="000000" w:fill="FFFFFF"/>
          </w:tcPr>
          <w:p w14:paraId="476E6DB9"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(112)</w:t>
            </w:r>
          </w:p>
        </w:tc>
        <w:tc>
          <w:tcPr>
            <w:tcW w:w="850" w:type="dxa"/>
            <w:tcBorders>
              <w:top w:val="single" w:sz="4" w:space="0" w:color="auto"/>
              <w:left w:val="nil"/>
              <w:bottom w:val="nil"/>
              <w:right w:val="nil"/>
            </w:tcBorders>
            <w:shd w:val="clear" w:color="000000" w:fill="FFFFFF"/>
          </w:tcPr>
          <w:p w14:paraId="727436D5" w14:textId="77777777" w:rsidR="00964B88" w:rsidRPr="005F1622" w:rsidRDefault="00964B88" w:rsidP="00F53820">
            <w:pPr>
              <w:cnfStyle w:val="000000000000" w:firstRow="0" w:lastRow="0" w:firstColumn="0" w:lastColumn="0" w:oddVBand="0" w:evenVBand="0" w:oddHBand="0" w:evenHBand="0" w:firstRowFirstColumn="0" w:firstRowLastColumn="0" w:lastRowFirstColumn="0" w:lastRowLastColumn="0"/>
              <w:rPr>
                <w:b/>
              </w:rPr>
            </w:pPr>
            <w:r w:rsidRPr="005F1622">
              <w:rPr>
                <w:b/>
              </w:rPr>
              <w:t>(97)</w:t>
            </w:r>
          </w:p>
        </w:tc>
      </w:tr>
      <w:tr w:rsidR="00964B88" w:rsidRPr="00781757" w14:paraId="594E207F" w14:textId="77777777" w:rsidTr="00F538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Borders>
              <w:top w:val="nil"/>
              <w:bottom w:val="single" w:sz="12" w:space="0" w:color="auto"/>
            </w:tcBorders>
          </w:tcPr>
          <w:p w14:paraId="181F8EB4" w14:textId="77777777" w:rsidR="00964B88" w:rsidRPr="00781757" w:rsidRDefault="00964B88" w:rsidP="00F53820">
            <w:pPr>
              <w:keepLines w:val="0"/>
              <w:autoSpaceDE w:val="0"/>
              <w:autoSpaceDN w:val="0"/>
              <w:adjustRightInd w:val="0"/>
              <w:rPr>
                <w:rFonts w:eastAsiaTheme="minorEastAsia" w:cs="Calibri"/>
                <w:bCs/>
                <w:szCs w:val="17"/>
                <w:lang w:eastAsia="en-AU"/>
              </w:rPr>
            </w:pPr>
            <w:r w:rsidRPr="00781757">
              <w:rPr>
                <w:rFonts w:eastAsiaTheme="minorEastAsia" w:cs="Calibri"/>
                <w:bCs/>
                <w:szCs w:val="17"/>
                <w:lang w:eastAsia="en-AU"/>
              </w:rPr>
              <w:t>Net debt</w:t>
            </w:r>
          </w:p>
        </w:tc>
        <w:tc>
          <w:tcPr>
            <w:tcW w:w="849" w:type="dxa"/>
            <w:tcBorders>
              <w:top w:val="nil"/>
              <w:bottom w:val="single" w:sz="12" w:space="0" w:color="auto"/>
            </w:tcBorders>
            <w:shd w:val="clear" w:color="000000" w:fill="FFFFFF"/>
          </w:tcPr>
          <w:p w14:paraId="0DB254DA" w14:textId="77777777" w:rsidR="00964B88" w:rsidRPr="005F1622" w:rsidRDefault="00964B88" w:rsidP="00F53820">
            <w:pPr>
              <w:cnfStyle w:val="010000000000" w:firstRow="0" w:lastRow="1" w:firstColumn="0" w:lastColumn="0" w:oddVBand="0" w:evenVBand="0" w:oddHBand="0" w:evenHBand="0" w:firstRowFirstColumn="0" w:firstRowLastColumn="0" w:lastRowFirstColumn="0" w:lastRowLastColumn="0"/>
            </w:pPr>
            <w:r w:rsidRPr="005F1622">
              <w:t>(74)</w:t>
            </w:r>
          </w:p>
        </w:tc>
        <w:tc>
          <w:tcPr>
            <w:tcW w:w="849" w:type="dxa"/>
            <w:tcBorders>
              <w:top w:val="nil"/>
              <w:bottom w:val="single" w:sz="12" w:space="0" w:color="auto"/>
            </w:tcBorders>
            <w:shd w:val="clear" w:color="000000" w:fill="FFFFFF"/>
          </w:tcPr>
          <w:p w14:paraId="0D6DF149" w14:textId="77777777" w:rsidR="00964B88" w:rsidRPr="005F1622" w:rsidRDefault="00964B88" w:rsidP="00F53820">
            <w:pPr>
              <w:cnfStyle w:val="010000000000" w:firstRow="0" w:lastRow="1" w:firstColumn="0" w:lastColumn="0" w:oddVBand="0" w:evenVBand="0" w:oddHBand="0" w:evenHBand="0" w:firstRowFirstColumn="0" w:firstRowLastColumn="0" w:lastRowFirstColumn="0" w:lastRowLastColumn="0"/>
            </w:pPr>
            <w:r w:rsidRPr="005F1622">
              <w:t>(146)</w:t>
            </w:r>
          </w:p>
        </w:tc>
        <w:tc>
          <w:tcPr>
            <w:tcW w:w="850" w:type="dxa"/>
            <w:tcBorders>
              <w:top w:val="nil"/>
              <w:bottom w:val="single" w:sz="12" w:space="0" w:color="auto"/>
            </w:tcBorders>
            <w:shd w:val="clear" w:color="000000" w:fill="FFFFFF"/>
          </w:tcPr>
          <w:p w14:paraId="4DCE38F0" w14:textId="77777777" w:rsidR="00964B88" w:rsidRPr="005F1622" w:rsidRDefault="00964B88" w:rsidP="00F53820">
            <w:pPr>
              <w:cnfStyle w:val="010000000000" w:firstRow="0" w:lastRow="1" w:firstColumn="0" w:lastColumn="0" w:oddVBand="0" w:evenVBand="0" w:oddHBand="0" w:evenHBand="0" w:firstRowFirstColumn="0" w:firstRowLastColumn="0" w:lastRowFirstColumn="0" w:lastRowLastColumn="0"/>
            </w:pPr>
            <w:r w:rsidRPr="005F1622">
              <w:t>(216)</w:t>
            </w:r>
          </w:p>
        </w:tc>
        <w:tc>
          <w:tcPr>
            <w:tcW w:w="850" w:type="dxa"/>
            <w:tcBorders>
              <w:top w:val="nil"/>
              <w:bottom w:val="single" w:sz="12" w:space="0" w:color="auto"/>
            </w:tcBorders>
            <w:shd w:val="clear" w:color="000000" w:fill="FFFFFF"/>
          </w:tcPr>
          <w:p w14:paraId="7B6B2A99" w14:textId="77777777" w:rsidR="00964B88" w:rsidRPr="005F1622" w:rsidRDefault="00964B88" w:rsidP="00F53820">
            <w:pPr>
              <w:cnfStyle w:val="010000000000" w:firstRow="0" w:lastRow="1" w:firstColumn="0" w:lastColumn="0" w:oddVBand="0" w:evenVBand="0" w:oddHBand="0" w:evenHBand="0" w:firstRowFirstColumn="0" w:firstRowLastColumn="0" w:lastRowFirstColumn="0" w:lastRowLastColumn="0"/>
            </w:pPr>
            <w:r w:rsidRPr="005F1622">
              <w:t>(286)</w:t>
            </w:r>
          </w:p>
        </w:tc>
      </w:tr>
    </w:tbl>
    <w:bookmarkEnd w:id="159"/>
    <w:p w14:paraId="25419E27" w14:textId="77777777" w:rsidR="00964B88" w:rsidRPr="00781757" w:rsidRDefault="00964B88" w:rsidP="00F53820">
      <w:pPr>
        <w:pStyle w:val="Note"/>
      </w:pPr>
      <w:r w:rsidRPr="00781757">
        <w:t>Notes:</w:t>
      </w:r>
    </w:p>
    <w:p w14:paraId="615CF4DD" w14:textId="77777777" w:rsidR="00964B88" w:rsidRPr="00781757" w:rsidRDefault="00964B88" w:rsidP="00F53820">
      <w:pPr>
        <w:pStyle w:val="Note"/>
      </w:pPr>
      <w:r w:rsidRPr="00781757">
        <w:t>(a)</w:t>
      </w:r>
      <w:r w:rsidRPr="00781757">
        <w:tab/>
        <w:t>Variations are applied to the economic variables effective from the first day in the budget year (1 July 2019). It is assumed that each variable’s growth rate matches that under a no</w:t>
      </w:r>
      <w:r w:rsidRPr="00781757">
        <w:noBreakHyphen/>
        <w:t>variation scenario for the forward estimates period. This implies</w:t>
      </w:r>
      <w:r>
        <w:t xml:space="preserve"> that the level of</w:t>
      </w:r>
      <w:r w:rsidRPr="00781757">
        <w:t xml:space="preserve"> </w:t>
      </w:r>
      <w:r>
        <w:t xml:space="preserve">all </w:t>
      </w:r>
      <w:r w:rsidRPr="00781757">
        <w:t>economic variables</w:t>
      </w:r>
      <w:r>
        <w:t xml:space="preserve"> (other than interest rates) is 1 per cent higher in levels terms in each year of the budget and forward estimates. Interest rates are assumed to be 1 percentage point higher in each year of the budget and forward estimates.</w:t>
      </w:r>
    </w:p>
    <w:p w14:paraId="462AB30D" w14:textId="77777777" w:rsidR="00964B88" w:rsidRPr="00781757" w:rsidRDefault="00964B88" w:rsidP="00F53820">
      <w:pPr>
        <w:pStyle w:val="Note"/>
      </w:pPr>
      <w:r w:rsidRPr="00781757">
        <w:t>(b)</w:t>
      </w:r>
      <w:r w:rsidRPr="00781757">
        <w:tab/>
        <w:t>A positive number for income from transactions denotes an increase in revenue. A positive number for expenses from transactions denotes an increase in expenses (and hence a reduction in the net result from transactions). A positive number for the net result from transactions denotes a higher surplus or smaller deficit. A positive number for net debt denotes a higher level of net debt in the relevant year compared with a no</w:t>
      </w:r>
      <w:r w:rsidRPr="00781757">
        <w:noBreakHyphen/>
        <w:t>variation scenario. Numbers may not balance due to rounding.</w:t>
      </w:r>
    </w:p>
    <w:p w14:paraId="6F23E1B8" w14:textId="77777777" w:rsidR="00964B88" w:rsidRPr="00781757" w:rsidRDefault="00964B88" w:rsidP="00F53820">
      <w:pPr>
        <w:pStyle w:val="Note"/>
      </w:pPr>
      <w:r w:rsidRPr="00781757">
        <w:t>(c)</w:t>
      </w:r>
      <w:r w:rsidRPr="00781757">
        <w:tab/>
        <w:t>Only reasonably quantifiable impacts have been included in the analysis.</w:t>
      </w:r>
    </w:p>
    <w:p w14:paraId="4E97548B" w14:textId="77777777" w:rsidR="00964B88" w:rsidRPr="00781757" w:rsidRDefault="00964B88" w:rsidP="00F53820">
      <w:pPr>
        <w:pStyle w:val="Note"/>
      </w:pPr>
      <w:r w:rsidRPr="00781757">
        <w:t>(d)</w:t>
      </w:r>
      <w:r w:rsidRPr="00781757">
        <w:tab/>
        <w:t>Estimates of net debt are approximately equal to the cumulative impact of the net result from transactions. The difference between the cumulative net result from transactions and net debt is due to non</w:t>
      </w:r>
      <w:r w:rsidRPr="00781757">
        <w:noBreakHyphen/>
        <w:t>cash expenses and gross sale proceeds (where applicable).</w:t>
      </w:r>
    </w:p>
    <w:p w14:paraId="1E932659" w14:textId="77777777" w:rsidR="005D6A22" w:rsidRPr="00781757" w:rsidRDefault="005D6A22" w:rsidP="005D6A22">
      <w:pPr>
        <w:pStyle w:val="Note"/>
      </w:pPr>
      <w:r>
        <w:t>(e)</w:t>
      </w:r>
      <w:r>
        <w:tab/>
        <w:t>Figures may not add due to rounding.</w:t>
      </w:r>
    </w:p>
    <w:p w14:paraId="0E32F39C" w14:textId="77777777" w:rsidR="00964B88" w:rsidRPr="00781757" w:rsidRDefault="00964B88" w:rsidP="00F53820">
      <w:pPr>
        <w:pStyle w:val="Note"/>
      </w:pPr>
      <w:r w:rsidRPr="00781757">
        <w:t>(</w:t>
      </w:r>
      <w:r w:rsidR="005D6A22">
        <w:t>f</w:t>
      </w:r>
      <w:r w:rsidRPr="00781757">
        <w:t>)</w:t>
      </w:r>
      <w:r w:rsidRPr="00781757">
        <w:tab/>
        <w:t>A shock to employment is assumed to impact payroll tax revenue to an extent consistent with no change to historical relationships between total employment, part</w:t>
      </w:r>
      <w:r w:rsidRPr="00781757">
        <w:noBreakHyphen/>
        <w:t>time/full</w:t>
      </w:r>
      <w:r w:rsidRPr="00781757">
        <w:noBreakHyphen/>
        <w:t>time employment share</w:t>
      </w:r>
      <w:r>
        <w:t>s</w:t>
      </w:r>
      <w:r w:rsidRPr="00781757">
        <w:t xml:space="preserve"> and payroll tax revenue. Both public and private sector employment levels are assumed to be 1 per cent higher across the four years; the rise in public sector employment boosts general government sector employee expenses.</w:t>
      </w:r>
    </w:p>
    <w:p w14:paraId="53B861E4" w14:textId="77777777" w:rsidR="00964B88" w:rsidRPr="00781757" w:rsidRDefault="00964B88" w:rsidP="00F53820">
      <w:pPr>
        <w:pStyle w:val="Note"/>
      </w:pPr>
      <w:r w:rsidRPr="00781757">
        <w:t>(</w:t>
      </w:r>
      <w:r w:rsidR="005D6A22">
        <w:t>g</w:t>
      </w:r>
      <w:r w:rsidRPr="00781757">
        <w:t>)</w:t>
      </w:r>
      <w:r w:rsidRPr="00781757">
        <w:tab/>
        <w:t>Incorporates the impact of departmental funding model arrangements. It is assumed an increase in consumer prices within the budget year does not affect employee entitlements.</w:t>
      </w:r>
    </w:p>
    <w:p w14:paraId="639046D6" w14:textId="77777777" w:rsidR="00964B88" w:rsidRPr="00781757" w:rsidRDefault="00964B88" w:rsidP="00F53820">
      <w:pPr>
        <w:pStyle w:val="Note"/>
      </w:pPr>
      <w:r w:rsidRPr="00781757">
        <w:t>(</w:t>
      </w:r>
      <w:r w:rsidR="005D6A22">
        <w:t>h</w:t>
      </w:r>
      <w:r w:rsidRPr="00781757">
        <w:t>)</w:t>
      </w:r>
      <w:r w:rsidRPr="00781757">
        <w:tab/>
        <w:t>A positive shock to average weekly earnings increases the expenses of public financial and non</w:t>
      </w:r>
      <w:r w:rsidRPr="00781757">
        <w:noBreakHyphen/>
        <w:t xml:space="preserve">financial corporations and reduces the general government sector’s income from dividends and ITEs. </w:t>
      </w:r>
    </w:p>
    <w:p w14:paraId="30FA65DF" w14:textId="77777777" w:rsidR="00964B88" w:rsidRDefault="00964B88" w:rsidP="00F53820">
      <w:pPr>
        <w:pStyle w:val="Note"/>
      </w:pPr>
      <w:r w:rsidRPr="00781757">
        <w:t>(</w:t>
      </w:r>
      <w:r w:rsidR="005D6A22">
        <w:t>i</w:t>
      </w:r>
      <w:r w:rsidRPr="00781757">
        <w:t>)</w:t>
      </w:r>
      <w:r w:rsidRPr="00781757">
        <w:tab/>
        <w:t>Interest rates are assumed to be 1 percentage point higher in each year of the budget and forward estimates.</w:t>
      </w:r>
    </w:p>
    <w:p w14:paraId="1122E598" w14:textId="77777777" w:rsidR="00964B88" w:rsidRDefault="00964B88" w:rsidP="0052294D"/>
    <w:p w14:paraId="02CEB9EF" w14:textId="77777777" w:rsidR="005D6A22" w:rsidRDefault="005D6A22" w:rsidP="0052294D"/>
    <w:p w14:paraId="4FBFC4C3" w14:textId="77777777" w:rsidR="005D6A22" w:rsidRDefault="005D6A22" w:rsidP="0052294D">
      <w:pPr>
        <w:sectPr w:rsidR="005D6A22" w:rsidSect="0052294D">
          <w:headerReference w:type="even" r:id="rId106"/>
          <w:headerReference w:type="default" r:id="rId107"/>
          <w:footerReference w:type="even" r:id="rId108"/>
          <w:footerReference w:type="default" r:id="rId109"/>
          <w:headerReference w:type="first" r:id="rId110"/>
          <w:footerReference w:type="first" r:id="rId111"/>
          <w:type w:val="continuous"/>
          <w:pgSz w:w="9979" w:h="14175" w:code="9"/>
          <w:pgMar w:top="850" w:right="1134" w:bottom="850" w:left="1134" w:header="624" w:footer="567" w:gutter="0"/>
          <w:cols w:sep="1" w:space="567"/>
          <w:titlePg/>
          <w:docGrid w:linePitch="360"/>
        </w:sectPr>
      </w:pPr>
    </w:p>
    <w:p w14:paraId="0AEC5CDD" w14:textId="77777777" w:rsidR="00964B88" w:rsidRPr="00171AD1" w:rsidRDefault="00964B88" w:rsidP="0073799D">
      <w:pPr>
        <w:pStyle w:val="Chapterheading"/>
      </w:pPr>
      <w:bookmarkStart w:id="160" w:name="_Toc406162116"/>
      <w:bookmarkStart w:id="161" w:name="_Toc406751124"/>
      <w:bookmarkStart w:id="162" w:name="_Toc26788555"/>
      <w:r w:rsidRPr="00171AD1">
        <w:lastRenderedPageBreak/>
        <w:t xml:space="preserve">Appendix </w:t>
      </w:r>
      <w:r>
        <w:t>E</w:t>
      </w:r>
      <w:r w:rsidRPr="00171AD1">
        <w:t xml:space="preserve"> – </w:t>
      </w:r>
      <w:r w:rsidRPr="003540C3">
        <w:t xml:space="preserve">Requirements of the </w:t>
      </w:r>
      <w:r w:rsidRPr="003540C3">
        <w:rPr>
          <w:i/>
        </w:rPr>
        <w:t>Financial Management Act 1994</w:t>
      </w:r>
      <w:bookmarkEnd w:id="160"/>
      <w:bookmarkEnd w:id="161"/>
      <w:bookmarkEnd w:id="162"/>
    </w:p>
    <w:p w14:paraId="28B3439B" w14:textId="77777777" w:rsidR="00964B88" w:rsidRDefault="00964B88" w:rsidP="00F53820">
      <w:pPr>
        <w:rPr>
          <w:lang w:eastAsia="en-AU"/>
        </w:rPr>
      </w:pPr>
      <w:r>
        <w:rPr>
          <w:lang w:eastAsia="en-AU"/>
        </w:rPr>
        <w:t xml:space="preserve">The </w:t>
      </w:r>
      <w:r w:rsidRPr="007C6B37">
        <w:rPr>
          <w:i/>
        </w:rPr>
        <w:t>Financial Management Act 1994</w:t>
      </w:r>
      <w:r w:rsidRPr="007C6B37">
        <w:t xml:space="preserve"> (the</w:t>
      </w:r>
      <w:r>
        <w:rPr>
          <w:lang w:eastAsia="en-AU"/>
        </w:rPr>
        <w:t xml:space="preserve"> Act) requires the Minister to prepare a budget update for tabling in Parliament each financial year. The provisions of the Act have been complied with in </w:t>
      </w:r>
      <w:r w:rsidRPr="00321815">
        <w:t xml:space="preserve">the </w:t>
      </w:r>
      <w:r w:rsidRPr="00321815">
        <w:rPr>
          <w:i/>
        </w:rPr>
        <w:t>201</w:t>
      </w:r>
      <w:r>
        <w:rPr>
          <w:i/>
        </w:rPr>
        <w:t>9</w:t>
      </w:r>
      <w:r>
        <w:rPr>
          <w:i/>
        </w:rPr>
        <w:noBreakHyphen/>
        <w:t xml:space="preserve">20 </w:t>
      </w:r>
      <w:r w:rsidRPr="00321815">
        <w:rPr>
          <w:i/>
        </w:rPr>
        <w:t>Budget Update</w:t>
      </w:r>
      <w:r w:rsidRPr="00321815">
        <w:t>.</w:t>
      </w:r>
    </w:p>
    <w:p w14:paraId="0035696E" w14:textId="77777777" w:rsidR="00964B88" w:rsidRDefault="00964B88" w:rsidP="00F53820">
      <w:pPr>
        <w:rPr>
          <w:lang w:eastAsia="en-AU"/>
        </w:rPr>
      </w:pPr>
      <w:r>
        <w:rPr>
          <w:lang w:eastAsia="en-AU"/>
        </w:rPr>
        <w:t>Table E.1 details the statements required to be included in this document under the provisions of the Act together with appropriate chapter references.</w:t>
      </w:r>
    </w:p>
    <w:p w14:paraId="1C1A4574" w14:textId="77777777" w:rsidR="00964B88" w:rsidRPr="00DF427C" w:rsidRDefault="00964B88" w:rsidP="00495025">
      <w:pPr>
        <w:pStyle w:val="TableHeading"/>
        <w:rPr>
          <w:i/>
        </w:rPr>
      </w:pPr>
      <w:r>
        <w:t>Table E</w:t>
      </w:r>
      <w:r w:rsidRPr="00DF427C">
        <w:t>.1:</w:t>
      </w:r>
      <w:r w:rsidRPr="00DF427C">
        <w:tab/>
        <w:t xml:space="preserve">Statements required by the </w:t>
      </w:r>
      <w:r w:rsidRPr="00DF427C">
        <w:rPr>
          <w:i/>
        </w:rPr>
        <w:t>Financial Management Act 1994</w:t>
      </w:r>
      <w:r w:rsidRPr="00DF427C">
        <w:t xml:space="preserve"> and their location in the </w:t>
      </w:r>
      <w:r w:rsidRPr="00DF427C">
        <w:rPr>
          <w:i/>
        </w:rPr>
        <w:t>201</w:t>
      </w:r>
      <w:r>
        <w:rPr>
          <w:i/>
        </w:rPr>
        <w:t>9</w:t>
      </w:r>
      <w:r>
        <w:rPr>
          <w:i/>
        </w:rPr>
        <w:noBreakHyphen/>
        <w:t>20</w:t>
      </w:r>
      <w:r w:rsidRPr="00DF427C">
        <w:rPr>
          <w:i/>
        </w:rPr>
        <w:t> Budget Update</w:t>
      </w:r>
    </w:p>
    <w:tbl>
      <w:tblPr>
        <w:tblStyle w:val="DTFTextTable"/>
        <w:tblW w:w="0" w:type="auto"/>
        <w:tblLook w:val="06A0" w:firstRow="1" w:lastRow="0" w:firstColumn="1" w:lastColumn="0" w:noHBand="1" w:noVBand="1"/>
      </w:tblPr>
      <w:tblGrid>
        <w:gridCol w:w="4012"/>
        <w:gridCol w:w="3777"/>
      </w:tblGrid>
      <w:tr w:rsidR="00964B88" w:rsidRPr="00495025" w14:paraId="3B81A068" w14:textId="77777777" w:rsidTr="004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2" w:type="dxa"/>
          </w:tcPr>
          <w:p w14:paraId="36E7383A" w14:textId="77777777" w:rsidR="00964B88" w:rsidRPr="00495025" w:rsidRDefault="00964B88" w:rsidP="00495025">
            <w:r w:rsidRPr="00495025">
              <w:t xml:space="preserve">Relevant section of the Act and </w:t>
            </w:r>
            <w:r w:rsidRPr="00495025">
              <w:br/>
              <w:t>corresponding requirement</w:t>
            </w:r>
          </w:p>
        </w:tc>
        <w:tc>
          <w:tcPr>
            <w:tcW w:w="3777" w:type="dxa"/>
          </w:tcPr>
          <w:p w14:paraId="5F64DD10" w14:textId="77777777" w:rsidR="00964B88" w:rsidRPr="00495025" w:rsidRDefault="00964B88" w:rsidP="00495025">
            <w:pPr>
              <w:cnfStyle w:val="100000000000" w:firstRow="1" w:lastRow="0" w:firstColumn="0" w:lastColumn="0" w:oddVBand="0" w:evenVBand="0" w:oddHBand="0" w:evenHBand="0" w:firstRowFirstColumn="0" w:firstRowLastColumn="0" w:lastRowFirstColumn="0" w:lastRowLastColumn="0"/>
            </w:pPr>
            <w:r w:rsidRPr="00495025">
              <w:t>Location</w:t>
            </w:r>
          </w:p>
        </w:tc>
      </w:tr>
      <w:tr w:rsidR="00964B88" w:rsidRPr="00495025" w14:paraId="3D9BAF4A" w14:textId="77777777" w:rsidTr="00495025">
        <w:tc>
          <w:tcPr>
            <w:cnfStyle w:val="001000000000" w:firstRow="0" w:lastRow="0" w:firstColumn="1" w:lastColumn="0" w:oddVBand="0" w:evenVBand="0" w:oddHBand="0" w:evenHBand="0" w:firstRowFirstColumn="0" w:firstRowLastColumn="0" w:lastRowFirstColumn="0" w:lastRowLastColumn="0"/>
            <w:tcW w:w="4012" w:type="dxa"/>
          </w:tcPr>
          <w:p w14:paraId="76F37757" w14:textId="77777777" w:rsidR="00964B88" w:rsidRPr="00495025" w:rsidRDefault="00964B88" w:rsidP="00495025">
            <w:pPr>
              <w:rPr>
                <w:b/>
              </w:rPr>
            </w:pPr>
            <w:r w:rsidRPr="00495025">
              <w:rPr>
                <w:b/>
              </w:rPr>
              <w:t>Sections 23 E</w:t>
            </w:r>
            <w:r w:rsidRPr="00495025">
              <w:rPr>
                <w:b/>
              </w:rPr>
              <w:noBreakHyphen/>
              <w:t>G</w:t>
            </w:r>
          </w:p>
        </w:tc>
        <w:tc>
          <w:tcPr>
            <w:tcW w:w="3777" w:type="dxa"/>
          </w:tcPr>
          <w:p w14:paraId="75364255" w14:textId="77777777" w:rsidR="00964B88" w:rsidRPr="00495025" w:rsidRDefault="00964B88" w:rsidP="00495025">
            <w:pPr>
              <w:cnfStyle w:val="000000000000" w:firstRow="0" w:lastRow="0" w:firstColumn="0" w:lastColumn="0" w:oddVBand="0" w:evenVBand="0" w:oddHBand="0" w:evenHBand="0" w:firstRowFirstColumn="0" w:firstRowLastColumn="0" w:lastRowFirstColumn="0" w:lastRowLastColumn="0"/>
              <w:rPr>
                <w:b/>
              </w:rPr>
            </w:pPr>
          </w:p>
        </w:tc>
      </w:tr>
      <w:tr w:rsidR="00964B88" w:rsidRPr="00495025" w14:paraId="2AD50BD1" w14:textId="77777777" w:rsidTr="00495025">
        <w:tc>
          <w:tcPr>
            <w:cnfStyle w:val="001000000000" w:firstRow="0" w:lastRow="0" w:firstColumn="1" w:lastColumn="0" w:oddVBand="0" w:evenVBand="0" w:oddHBand="0" w:evenHBand="0" w:firstRowFirstColumn="0" w:firstRowLastColumn="0" w:lastRowFirstColumn="0" w:lastRowLastColumn="0"/>
            <w:tcW w:w="4012" w:type="dxa"/>
          </w:tcPr>
          <w:p w14:paraId="18A07FD4" w14:textId="77777777" w:rsidR="00964B88" w:rsidRPr="00495025" w:rsidRDefault="00964B88" w:rsidP="00495025">
            <w:r w:rsidRPr="00495025">
              <w:t>Statement of financial policy objectives and strategies for the year.</w:t>
            </w:r>
          </w:p>
        </w:tc>
        <w:tc>
          <w:tcPr>
            <w:tcW w:w="3777" w:type="dxa"/>
          </w:tcPr>
          <w:p w14:paraId="6054A89A" w14:textId="77777777" w:rsidR="00964B88" w:rsidRPr="00495025" w:rsidRDefault="00964B88" w:rsidP="00495025">
            <w:pPr>
              <w:cnfStyle w:val="000000000000" w:firstRow="0" w:lastRow="0" w:firstColumn="0" w:lastColumn="0" w:oddVBand="0" w:evenVBand="0" w:oddHBand="0" w:evenHBand="0" w:firstRowFirstColumn="0" w:firstRowLastColumn="0" w:lastRowFirstColumn="0" w:lastRowLastColumn="0"/>
            </w:pPr>
            <w:r w:rsidRPr="00495025">
              <w:t xml:space="preserve">Chapter 1 </w:t>
            </w:r>
            <w:r w:rsidRPr="00495025">
              <w:rPr>
                <w:i/>
              </w:rPr>
              <w:t>Economic and fiscal overview</w:t>
            </w:r>
          </w:p>
        </w:tc>
      </w:tr>
      <w:tr w:rsidR="00964B88" w:rsidRPr="00495025" w14:paraId="56AA2C23" w14:textId="77777777" w:rsidTr="00495025">
        <w:tc>
          <w:tcPr>
            <w:cnfStyle w:val="001000000000" w:firstRow="0" w:lastRow="0" w:firstColumn="1" w:lastColumn="0" w:oddVBand="0" w:evenVBand="0" w:oddHBand="0" w:evenHBand="0" w:firstRowFirstColumn="0" w:firstRowLastColumn="0" w:lastRowFirstColumn="0" w:lastRowLastColumn="0"/>
            <w:tcW w:w="4012" w:type="dxa"/>
          </w:tcPr>
          <w:p w14:paraId="4A330BAB" w14:textId="77777777" w:rsidR="00964B88" w:rsidRPr="00495025" w:rsidRDefault="00964B88" w:rsidP="00495025">
            <w:pPr>
              <w:rPr>
                <w:b/>
              </w:rPr>
            </w:pPr>
            <w:r w:rsidRPr="00495025">
              <w:rPr>
                <w:b/>
              </w:rPr>
              <w:t>Sections 23 H</w:t>
            </w:r>
            <w:r w:rsidRPr="00495025">
              <w:rPr>
                <w:b/>
              </w:rPr>
              <w:noBreakHyphen/>
              <w:t>N</w:t>
            </w:r>
          </w:p>
        </w:tc>
        <w:tc>
          <w:tcPr>
            <w:tcW w:w="3777" w:type="dxa"/>
          </w:tcPr>
          <w:p w14:paraId="2353888C" w14:textId="77777777" w:rsidR="00964B88" w:rsidRPr="00495025" w:rsidRDefault="00964B88" w:rsidP="00495025">
            <w:pPr>
              <w:cnfStyle w:val="000000000000" w:firstRow="0" w:lastRow="0" w:firstColumn="0" w:lastColumn="0" w:oddVBand="0" w:evenVBand="0" w:oddHBand="0" w:evenHBand="0" w:firstRowFirstColumn="0" w:firstRowLastColumn="0" w:lastRowFirstColumn="0" w:lastRowLastColumn="0"/>
              <w:rPr>
                <w:b/>
              </w:rPr>
            </w:pPr>
          </w:p>
        </w:tc>
      </w:tr>
      <w:tr w:rsidR="00964B88" w:rsidRPr="00495025" w14:paraId="369A1D16" w14:textId="77777777" w:rsidTr="00495025">
        <w:tc>
          <w:tcPr>
            <w:cnfStyle w:val="001000000000" w:firstRow="0" w:lastRow="0" w:firstColumn="1" w:lastColumn="0" w:oddVBand="0" w:evenVBand="0" w:oddHBand="0" w:evenHBand="0" w:firstRowFirstColumn="0" w:firstRowLastColumn="0" w:lastRowFirstColumn="0" w:lastRowLastColumn="0"/>
            <w:tcW w:w="4012" w:type="dxa"/>
          </w:tcPr>
          <w:p w14:paraId="596C2D47" w14:textId="77777777" w:rsidR="00964B88" w:rsidRPr="00495025" w:rsidRDefault="00964B88" w:rsidP="00495025">
            <w:r w:rsidRPr="00495025">
              <w:t>Estimated financial statements for the year comprising:</w:t>
            </w:r>
          </w:p>
          <w:p w14:paraId="2611F295" w14:textId="77777777" w:rsidR="00964B88" w:rsidRPr="00495025" w:rsidRDefault="00964B88" w:rsidP="00495025">
            <w:pPr>
              <w:pStyle w:val="ListBullet"/>
            </w:pPr>
            <w:r w:rsidRPr="00495025">
              <w:t>an estimated statement of financial performance for the year;</w:t>
            </w:r>
          </w:p>
          <w:p w14:paraId="1994064A" w14:textId="77777777" w:rsidR="00964B88" w:rsidRPr="00495025" w:rsidRDefault="00964B88" w:rsidP="00495025">
            <w:pPr>
              <w:pStyle w:val="ListBullet"/>
            </w:pPr>
            <w:r w:rsidRPr="00495025">
              <w:t>an estimated statement of financial position at the end of the year;</w:t>
            </w:r>
          </w:p>
          <w:p w14:paraId="5EC1F549" w14:textId="77777777" w:rsidR="00964B88" w:rsidRPr="00495025" w:rsidRDefault="00964B88" w:rsidP="00495025">
            <w:pPr>
              <w:pStyle w:val="ListBullet"/>
            </w:pPr>
            <w:r w:rsidRPr="00495025">
              <w:t xml:space="preserve">an estimated statement of cash flows for the year; </w:t>
            </w:r>
          </w:p>
          <w:p w14:paraId="51EBD865" w14:textId="77777777" w:rsidR="00964B88" w:rsidRPr="00495025" w:rsidRDefault="00964B88" w:rsidP="00495025">
            <w:pPr>
              <w:pStyle w:val="ListBullet"/>
            </w:pPr>
            <w:r w:rsidRPr="00495025">
              <w:t>a statement of the accounting policies on which these statements are based and explanatory notes; and</w:t>
            </w:r>
          </w:p>
        </w:tc>
        <w:tc>
          <w:tcPr>
            <w:tcW w:w="3777" w:type="dxa"/>
          </w:tcPr>
          <w:p w14:paraId="5FD98397" w14:textId="77777777" w:rsidR="00964B88" w:rsidRPr="00495025" w:rsidRDefault="00964B88" w:rsidP="00495025">
            <w:pPr>
              <w:cnfStyle w:val="000000000000" w:firstRow="0" w:lastRow="0" w:firstColumn="0" w:lastColumn="0" w:oddVBand="0" w:evenVBand="0" w:oddHBand="0" w:evenHBand="0" w:firstRowFirstColumn="0" w:firstRowLastColumn="0" w:lastRowFirstColumn="0" w:lastRowLastColumn="0"/>
            </w:pPr>
            <w:r w:rsidRPr="00495025">
              <w:t xml:space="preserve">Chapter 4 </w:t>
            </w:r>
            <w:r w:rsidRPr="00495025">
              <w:rPr>
                <w:i/>
              </w:rPr>
              <w:t>Estimated financial statements and notes</w:t>
            </w:r>
            <w:r w:rsidRPr="00495025">
              <w:t xml:space="preserve"> (including estimated general government sector comprehensive operating statement, estimated general government sector balance sheet, estimated general government sector cash flow statement and estimated general government sector statement of changes in equity provided as per AASB 1049)</w:t>
            </w:r>
          </w:p>
        </w:tc>
      </w:tr>
      <w:tr w:rsidR="00964B88" w:rsidRPr="00495025" w14:paraId="280842E6" w14:textId="77777777" w:rsidTr="00495025">
        <w:tc>
          <w:tcPr>
            <w:cnfStyle w:val="001000000000" w:firstRow="0" w:lastRow="0" w:firstColumn="1" w:lastColumn="0" w:oddVBand="0" w:evenVBand="0" w:oddHBand="0" w:evenHBand="0" w:firstRowFirstColumn="0" w:firstRowLastColumn="0" w:lastRowFirstColumn="0" w:lastRowLastColumn="0"/>
            <w:tcW w:w="4012" w:type="dxa"/>
          </w:tcPr>
          <w:p w14:paraId="515A97AD" w14:textId="77777777" w:rsidR="00964B88" w:rsidRPr="00495025" w:rsidRDefault="00964B88" w:rsidP="00495025">
            <w:pPr>
              <w:pStyle w:val="ListBullet"/>
              <w:spacing w:before="0"/>
            </w:pPr>
            <w:r w:rsidRPr="00495025">
              <w:t>government decisions and other circumstances that may have a material effect on the estimated financial statements.</w:t>
            </w:r>
          </w:p>
        </w:tc>
        <w:tc>
          <w:tcPr>
            <w:tcW w:w="3777" w:type="dxa"/>
          </w:tcPr>
          <w:p w14:paraId="1B79BB04" w14:textId="77777777" w:rsidR="00964B88" w:rsidRPr="00495025" w:rsidRDefault="00964B88" w:rsidP="00495025">
            <w:pPr>
              <w:cnfStyle w:val="000000000000" w:firstRow="0" w:lastRow="0" w:firstColumn="0" w:lastColumn="0" w:oddVBand="0" w:evenVBand="0" w:oddHBand="0" w:evenHBand="0" w:firstRowFirstColumn="0" w:firstRowLastColumn="0" w:lastRowFirstColumn="0" w:lastRowLastColumn="0"/>
            </w:pPr>
            <w:r w:rsidRPr="00495025">
              <w:t xml:space="preserve">Appendix A </w:t>
            </w:r>
            <w:r w:rsidRPr="00495025">
              <w:rPr>
                <w:i/>
              </w:rPr>
              <w:t>Specific policy initiatives affecting budget position</w:t>
            </w:r>
          </w:p>
        </w:tc>
      </w:tr>
    </w:tbl>
    <w:p w14:paraId="5FFB3F1B" w14:textId="77777777" w:rsidR="00964B88" w:rsidRDefault="00964B88" w:rsidP="00F53820"/>
    <w:p w14:paraId="44B0C893" w14:textId="77777777" w:rsidR="00964B88" w:rsidRPr="00DF427C" w:rsidRDefault="00964B88" w:rsidP="00495025">
      <w:pPr>
        <w:pStyle w:val="TableHeading"/>
        <w:rPr>
          <w:i/>
        </w:rPr>
      </w:pPr>
      <w:r>
        <w:lastRenderedPageBreak/>
        <w:t>Table E</w:t>
      </w:r>
      <w:r w:rsidRPr="00DF427C">
        <w:t>.1:</w:t>
      </w:r>
      <w:r w:rsidRPr="00DF427C">
        <w:tab/>
        <w:t xml:space="preserve">Statements required by the </w:t>
      </w:r>
      <w:r w:rsidRPr="00DF427C">
        <w:rPr>
          <w:i/>
        </w:rPr>
        <w:t>Financial Management Act 1994</w:t>
      </w:r>
      <w:r w:rsidRPr="00DF427C">
        <w:t xml:space="preserve"> and their location in the </w:t>
      </w:r>
      <w:r w:rsidRPr="00DF427C">
        <w:rPr>
          <w:i/>
        </w:rPr>
        <w:t>201</w:t>
      </w:r>
      <w:r>
        <w:rPr>
          <w:i/>
        </w:rPr>
        <w:t xml:space="preserve">9-20 </w:t>
      </w:r>
      <w:r w:rsidRPr="00DF427C">
        <w:rPr>
          <w:i/>
        </w:rPr>
        <w:t>Budget Update (continued)</w:t>
      </w:r>
    </w:p>
    <w:tbl>
      <w:tblPr>
        <w:tblStyle w:val="DTFTextTable"/>
        <w:tblW w:w="0" w:type="auto"/>
        <w:tblLook w:val="0620" w:firstRow="1" w:lastRow="0" w:firstColumn="0" w:lastColumn="0" w:noHBand="1" w:noVBand="1"/>
      </w:tblPr>
      <w:tblGrid>
        <w:gridCol w:w="3900"/>
        <w:gridCol w:w="3897"/>
      </w:tblGrid>
      <w:tr w:rsidR="00964B88" w:rsidRPr="00DF427C" w14:paraId="6FE886A3" w14:textId="77777777" w:rsidTr="00495025">
        <w:trPr>
          <w:cnfStyle w:val="100000000000" w:firstRow="1" w:lastRow="0" w:firstColumn="0" w:lastColumn="0" w:oddVBand="0" w:evenVBand="0" w:oddHBand="0" w:evenHBand="0" w:firstRowFirstColumn="0" w:firstRowLastColumn="0" w:lastRowFirstColumn="0" w:lastRowLastColumn="0"/>
        </w:trPr>
        <w:tc>
          <w:tcPr>
            <w:tcW w:w="3928" w:type="dxa"/>
          </w:tcPr>
          <w:p w14:paraId="4D0B7A1B" w14:textId="77777777" w:rsidR="00964B88" w:rsidRPr="00DF427C" w:rsidRDefault="00964B88" w:rsidP="00F53820">
            <w:r w:rsidRPr="00DF427C">
              <w:t xml:space="preserve">Relevant section of the Act and </w:t>
            </w:r>
            <w:r w:rsidRPr="00DF427C">
              <w:br/>
              <w:t>corresponding requirement</w:t>
            </w:r>
          </w:p>
        </w:tc>
        <w:tc>
          <w:tcPr>
            <w:tcW w:w="3926" w:type="dxa"/>
          </w:tcPr>
          <w:p w14:paraId="4C583B52" w14:textId="77777777" w:rsidR="00964B88" w:rsidRPr="00DF427C" w:rsidRDefault="00964B88" w:rsidP="00F53820">
            <w:r w:rsidRPr="00DF427C">
              <w:t>Location</w:t>
            </w:r>
          </w:p>
        </w:tc>
      </w:tr>
      <w:tr w:rsidR="00964B88" w:rsidRPr="00DF427C" w14:paraId="0F4C800C" w14:textId="77777777" w:rsidTr="00495025">
        <w:trPr>
          <w:trHeight w:val="326"/>
        </w:trPr>
        <w:tc>
          <w:tcPr>
            <w:tcW w:w="3928" w:type="dxa"/>
          </w:tcPr>
          <w:p w14:paraId="468210DA" w14:textId="77777777" w:rsidR="00964B88" w:rsidRPr="00DF427C" w:rsidRDefault="00964B88" w:rsidP="00F53820">
            <w:pPr>
              <w:pStyle w:val="TableofFigures"/>
            </w:pPr>
            <w:r w:rsidRPr="00DF427C">
              <w:t>Accompanying statement to estimated financial statements which:</w:t>
            </w:r>
          </w:p>
        </w:tc>
        <w:tc>
          <w:tcPr>
            <w:tcW w:w="3926" w:type="dxa"/>
          </w:tcPr>
          <w:p w14:paraId="06CD5BEE" w14:textId="77777777" w:rsidR="00964B88" w:rsidRPr="00DF427C" w:rsidRDefault="00964B88" w:rsidP="00F53820">
            <w:pPr>
              <w:pStyle w:val="TableofFigures"/>
            </w:pPr>
          </w:p>
        </w:tc>
      </w:tr>
      <w:tr w:rsidR="00964B88" w:rsidRPr="00AF1D3F" w14:paraId="2A9ABFFF" w14:textId="77777777" w:rsidTr="00495025">
        <w:tc>
          <w:tcPr>
            <w:tcW w:w="3928" w:type="dxa"/>
          </w:tcPr>
          <w:p w14:paraId="04D903E3" w14:textId="77777777" w:rsidR="00964B88" w:rsidRPr="00F413B4" w:rsidRDefault="00964B88" w:rsidP="00F53820">
            <w:pPr>
              <w:pStyle w:val="ListBullet"/>
              <w:keepLines w:val="0"/>
              <w:spacing w:before="0"/>
              <w:rPr>
                <w:rFonts w:cstheme="majorHAnsi"/>
              </w:rPr>
            </w:pPr>
            <w:r w:rsidRPr="00F413B4">
              <w:rPr>
                <w:rFonts w:cstheme="majorHAnsi"/>
              </w:rPr>
              <w:t>outlines the material economic assumptions used in preparation of the estimated financial statements;</w:t>
            </w:r>
          </w:p>
        </w:tc>
        <w:tc>
          <w:tcPr>
            <w:tcW w:w="3926" w:type="dxa"/>
          </w:tcPr>
          <w:p w14:paraId="1476BF6F" w14:textId="77777777" w:rsidR="00964B88" w:rsidRPr="00AF1D3F" w:rsidRDefault="00964B88" w:rsidP="00F53820">
            <w:pPr>
              <w:pStyle w:val="TableofFigures"/>
            </w:pPr>
            <w:r w:rsidRPr="00AF1D3F">
              <w:t xml:space="preserve">Chapter 2 </w:t>
            </w:r>
            <w:r w:rsidRPr="00AF1D3F">
              <w:rPr>
                <w:i/>
              </w:rPr>
              <w:t>Economic context</w:t>
            </w:r>
            <w:r w:rsidR="002A3255">
              <w:rPr>
                <w:i/>
              </w:rPr>
              <w:t>;</w:t>
            </w:r>
            <w:r w:rsidRPr="00AF1D3F">
              <w:rPr>
                <w:i/>
              </w:rPr>
              <w:t xml:space="preserve"> </w:t>
            </w:r>
            <w:r w:rsidRPr="00AF1D3F">
              <w:t xml:space="preserve">and </w:t>
            </w:r>
            <w:r w:rsidR="00495025">
              <w:br/>
            </w:r>
            <w:r w:rsidRPr="00AF1D3F">
              <w:t xml:space="preserve">Chapter 4 </w:t>
            </w:r>
            <w:r w:rsidRPr="00AF1D3F">
              <w:rPr>
                <w:i/>
              </w:rPr>
              <w:t>Estimated financial statements and notes</w:t>
            </w:r>
          </w:p>
        </w:tc>
      </w:tr>
      <w:tr w:rsidR="00964B88" w:rsidRPr="00AF1D3F" w14:paraId="35281312" w14:textId="77777777" w:rsidTr="00495025">
        <w:tc>
          <w:tcPr>
            <w:tcW w:w="3928" w:type="dxa"/>
          </w:tcPr>
          <w:p w14:paraId="0DC455BC" w14:textId="77777777" w:rsidR="00964B88" w:rsidRPr="00F413B4" w:rsidRDefault="00964B88" w:rsidP="00F53820">
            <w:pPr>
              <w:pStyle w:val="ListBullet"/>
              <w:keepLines w:val="0"/>
              <w:rPr>
                <w:rFonts w:cstheme="majorHAnsi"/>
              </w:rPr>
            </w:pPr>
            <w:r w:rsidRPr="00F413B4">
              <w:rPr>
                <w:rFonts w:cstheme="majorHAnsi"/>
              </w:rPr>
              <w:t>discusses the sensitivity of the estimated financial statements to changes in these assumptions;</w:t>
            </w:r>
          </w:p>
        </w:tc>
        <w:tc>
          <w:tcPr>
            <w:tcW w:w="3926" w:type="dxa"/>
          </w:tcPr>
          <w:p w14:paraId="4019B456" w14:textId="77777777" w:rsidR="00964B88" w:rsidRPr="00AF1D3F" w:rsidRDefault="00964B88" w:rsidP="00F53820">
            <w:pPr>
              <w:pStyle w:val="TableofFigures"/>
              <w:spacing w:before="60"/>
            </w:pPr>
            <w:r w:rsidRPr="00AF1D3F">
              <w:t xml:space="preserve">Appendix D </w:t>
            </w:r>
            <w:r w:rsidRPr="00AF1D3F">
              <w:rPr>
                <w:i/>
              </w:rPr>
              <w:t>Sensitivity analysis</w:t>
            </w:r>
          </w:p>
        </w:tc>
      </w:tr>
      <w:tr w:rsidR="00964B88" w:rsidRPr="00AF1D3F" w14:paraId="115EB319" w14:textId="77777777" w:rsidTr="00495025">
        <w:tc>
          <w:tcPr>
            <w:tcW w:w="3928" w:type="dxa"/>
          </w:tcPr>
          <w:p w14:paraId="5D706C7C" w14:textId="77777777" w:rsidR="00964B88" w:rsidRPr="00F413B4" w:rsidRDefault="00964B88" w:rsidP="00F53820">
            <w:pPr>
              <w:pStyle w:val="ListBullet"/>
              <w:keepLines w:val="0"/>
              <w:rPr>
                <w:rFonts w:cstheme="majorHAnsi"/>
              </w:rPr>
            </w:pPr>
            <w:r w:rsidRPr="00F413B4">
              <w:rPr>
                <w:rFonts w:cstheme="majorHAnsi"/>
              </w:rPr>
              <w:t>provides an overview of estimated tax expenditures for the financial years covered by the estimated financial statements; and</w:t>
            </w:r>
          </w:p>
        </w:tc>
        <w:tc>
          <w:tcPr>
            <w:tcW w:w="3926" w:type="dxa"/>
          </w:tcPr>
          <w:p w14:paraId="3CFEADCF" w14:textId="77777777" w:rsidR="00964B88" w:rsidRPr="00AF1D3F" w:rsidRDefault="00964B88" w:rsidP="00F53820">
            <w:pPr>
              <w:pStyle w:val="TableofFigures"/>
              <w:spacing w:before="60"/>
            </w:pPr>
            <w:r w:rsidRPr="00AF1D3F">
              <w:t xml:space="preserve">Appendix C </w:t>
            </w:r>
            <w:r w:rsidRPr="00AF1D3F">
              <w:rPr>
                <w:i/>
              </w:rPr>
              <w:t>Tax expenditures and concessions</w:t>
            </w:r>
          </w:p>
        </w:tc>
      </w:tr>
      <w:tr w:rsidR="00964B88" w:rsidRPr="00AF1D3F" w14:paraId="7B5FF67C" w14:textId="77777777" w:rsidTr="00495025">
        <w:tc>
          <w:tcPr>
            <w:tcW w:w="3928" w:type="dxa"/>
          </w:tcPr>
          <w:p w14:paraId="790971D6" w14:textId="77777777" w:rsidR="00964B88" w:rsidRPr="00F413B4" w:rsidRDefault="00964B88" w:rsidP="00F53820">
            <w:pPr>
              <w:pStyle w:val="ListBullet"/>
              <w:keepLines w:val="0"/>
              <w:rPr>
                <w:rFonts w:cstheme="majorHAnsi"/>
              </w:rPr>
            </w:pPr>
            <w:r w:rsidRPr="00F413B4">
              <w:rPr>
                <w:rFonts w:cstheme="majorHAnsi"/>
              </w:rPr>
              <w:t>provides a statement of the risks that may have a material effect on the estimated financial statements.</w:t>
            </w:r>
          </w:p>
        </w:tc>
        <w:tc>
          <w:tcPr>
            <w:tcW w:w="3926" w:type="dxa"/>
          </w:tcPr>
          <w:p w14:paraId="7A6121F0" w14:textId="77777777" w:rsidR="00964B88" w:rsidRPr="00676DFC" w:rsidRDefault="00964B88" w:rsidP="00F53820">
            <w:pPr>
              <w:pStyle w:val="TableofFigures"/>
              <w:spacing w:before="60"/>
              <w:rPr>
                <w:i/>
              </w:rPr>
            </w:pPr>
            <w:r w:rsidRPr="00AF1D3F">
              <w:t xml:space="preserve">Chapter 2 </w:t>
            </w:r>
            <w:r w:rsidRPr="00AF1D3F">
              <w:rPr>
                <w:i/>
              </w:rPr>
              <w:t>Economic context</w:t>
            </w:r>
            <w:r w:rsidRPr="00AF1D3F">
              <w:t xml:space="preserve">; </w:t>
            </w:r>
            <w:r w:rsidR="00495025">
              <w:br/>
            </w:r>
            <w:r w:rsidRPr="00AF1D3F">
              <w:t xml:space="preserve">Chapter 3 </w:t>
            </w:r>
            <w:r w:rsidRPr="00AF1D3F">
              <w:rPr>
                <w:i/>
              </w:rPr>
              <w:t>Budget position and outlook</w:t>
            </w:r>
            <w:r w:rsidRPr="00AF1D3F">
              <w:t xml:space="preserve">; and Chapter 6 </w:t>
            </w:r>
            <w:r w:rsidRPr="00AF1D3F">
              <w:rPr>
                <w:i/>
              </w:rPr>
              <w:t>Contingent assets and contingent liabilities</w:t>
            </w:r>
          </w:p>
        </w:tc>
      </w:tr>
    </w:tbl>
    <w:p w14:paraId="2B7FEE75" w14:textId="77777777" w:rsidR="00964B88" w:rsidRPr="004C0868" w:rsidRDefault="00964B88" w:rsidP="00F53820">
      <w:pPr>
        <w:pStyle w:val="TableofFigures"/>
      </w:pPr>
    </w:p>
    <w:p w14:paraId="65EBB846" w14:textId="77777777" w:rsidR="00495025" w:rsidRDefault="00495025" w:rsidP="004419CD">
      <w:pPr>
        <w:sectPr w:rsidR="00495025" w:rsidSect="00F53820">
          <w:headerReference w:type="even" r:id="rId112"/>
          <w:headerReference w:type="default" r:id="rId113"/>
          <w:footerReference w:type="even" r:id="rId114"/>
          <w:footerReference w:type="default" r:id="rId115"/>
          <w:headerReference w:type="first" r:id="rId116"/>
          <w:footerReference w:type="first" r:id="rId117"/>
          <w:type w:val="continuous"/>
          <w:pgSz w:w="9979" w:h="14175" w:code="9"/>
          <w:pgMar w:top="850" w:right="1134" w:bottom="850" w:left="1134" w:header="624" w:footer="567" w:gutter="0"/>
          <w:cols w:sep="1" w:space="567"/>
          <w:docGrid w:linePitch="360"/>
        </w:sectPr>
      </w:pPr>
    </w:p>
    <w:p w14:paraId="1F0930FF" w14:textId="77777777" w:rsidR="00495025" w:rsidRPr="00241C02" w:rsidRDefault="00495025" w:rsidP="00495025">
      <w:pPr>
        <w:pStyle w:val="Chapterheading"/>
      </w:pPr>
      <w:bookmarkStart w:id="163" w:name="_Toc500435603"/>
      <w:bookmarkStart w:id="164" w:name="_Toc531884972"/>
      <w:bookmarkStart w:id="165" w:name="_Toc26788556"/>
      <w:r w:rsidRPr="00241C02">
        <w:lastRenderedPageBreak/>
        <w:t>Style conventions</w:t>
      </w:r>
      <w:bookmarkEnd w:id="163"/>
      <w:bookmarkEnd w:id="164"/>
      <w:bookmarkEnd w:id="165"/>
    </w:p>
    <w:p w14:paraId="3EA958C4" w14:textId="77777777" w:rsidR="00495025" w:rsidRDefault="00495025" w:rsidP="00495025">
      <w:r>
        <w:t>Figures in the tables and in the text have been rounded. Discrepancies in tables between totals and sums of components reflect rounding. Percentage variations in all tables are based on the underlying unrounded amounts.</w:t>
      </w:r>
    </w:p>
    <w:p w14:paraId="01BF1E8A" w14:textId="77777777" w:rsidR="00495025" w:rsidRDefault="00495025" w:rsidP="00495025">
      <w:r>
        <w:t>The notation used in the tables and charts is as follows:</w:t>
      </w:r>
    </w:p>
    <w:p w14:paraId="1C03449D" w14:textId="77777777" w:rsidR="00495025" w:rsidRDefault="00495025" w:rsidP="00495025">
      <w:pPr>
        <w:tabs>
          <w:tab w:val="left" w:pos="2552"/>
        </w:tabs>
        <w:ind w:left="851"/>
      </w:pPr>
      <w:r>
        <w:t>n.a.</w:t>
      </w:r>
      <w:r>
        <w:tab/>
        <w:t>not available or not applicable</w:t>
      </w:r>
    </w:p>
    <w:p w14:paraId="446C0285" w14:textId="77777777" w:rsidR="00495025" w:rsidRDefault="00495025" w:rsidP="00495025">
      <w:pPr>
        <w:tabs>
          <w:tab w:val="left" w:pos="2552"/>
        </w:tabs>
        <w:ind w:left="851"/>
      </w:pPr>
      <w:r>
        <w:t>1 billion</w:t>
      </w:r>
      <w:r>
        <w:tab/>
        <w:t>1 000 million</w:t>
      </w:r>
    </w:p>
    <w:p w14:paraId="7EA97DBB" w14:textId="77777777" w:rsidR="00495025" w:rsidRDefault="00495025" w:rsidP="00495025">
      <w:pPr>
        <w:tabs>
          <w:tab w:val="left" w:pos="2552"/>
        </w:tabs>
        <w:ind w:left="851"/>
      </w:pPr>
      <w:r>
        <w:t>1 basis point</w:t>
      </w:r>
      <w:r>
        <w:tab/>
        <w:t>0.01 per cent</w:t>
      </w:r>
    </w:p>
    <w:p w14:paraId="474971D5" w14:textId="77777777" w:rsidR="00495025" w:rsidRDefault="00495025" w:rsidP="00495025">
      <w:pPr>
        <w:tabs>
          <w:tab w:val="left" w:pos="2552"/>
        </w:tabs>
        <w:ind w:left="851"/>
      </w:pPr>
      <w:r>
        <w:t>..</w:t>
      </w:r>
      <w:r>
        <w:tab/>
        <w:t>zero, or rounded to zero</w:t>
      </w:r>
    </w:p>
    <w:p w14:paraId="67A0DECE" w14:textId="77777777" w:rsidR="00495025" w:rsidRDefault="00495025" w:rsidP="00495025">
      <w:pPr>
        <w:tabs>
          <w:tab w:val="left" w:pos="2552"/>
        </w:tabs>
        <w:ind w:left="851"/>
      </w:pPr>
      <w:r>
        <w:t>(x xxx.x)</w:t>
      </w:r>
      <w:r>
        <w:tab/>
        <w:t>negative amount</w:t>
      </w:r>
    </w:p>
    <w:p w14:paraId="21906A4B" w14:textId="77777777" w:rsidR="00495025" w:rsidRDefault="00495025" w:rsidP="00495025">
      <w:pPr>
        <w:tabs>
          <w:tab w:val="left" w:pos="2552"/>
        </w:tabs>
        <w:ind w:left="851"/>
      </w:pPr>
      <w:r>
        <w:t>x xxx.0</w:t>
      </w:r>
      <w:r>
        <w:tab/>
        <w:t>rounded amount</w:t>
      </w:r>
    </w:p>
    <w:p w14:paraId="3C4A7079" w14:textId="77777777" w:rsidR="00495025" w:rsidRDefault="00495025" w:rsidP="00495025">
      <w:pPr>
        <w:tabs>
          <w:tab w:val="left" w:pos="2552"/>
        </w:tabs>
        <w:ind w:left="851"/>
      </w:pPr>
      <w:r>
        <w:t>201x</w:t>
      </w:r>
      <w:r>
        <w:tab/>
        <w:t>financial year</w:t>
      </w:r>
    </w:p>
    <w:p w14:paraId="0EC9B8C3" w14:textId="77777777" w:rsidR="00495025" w:rsidRDefault="00495025" w:rsidP="00495025">
      <w:pPr>
        <w:tabs>
          <w:tab w:val="left" w:pos="2552"/>
        </w:tabs>
        <w:ind w:left="851"/>
      </w:pPr>
    </w:p>
    <w:p w14:paraId="6BC1CC68" w14:textId="77777777" w:rsidR="00495025" w:rsidRDefault="00495025" w:rsidP="00495025">
      <w:r>
        <w:t xml:space="preserve">Please refer to the </w:t>
      </w:r>
      <w:r w:rsidRPr="00062216">
        <w:rPr>
          <w:b/>
        </w:rPr>
        <w:t>Treasury and Finance glossary for budget and financial reports</w:t>
      </w:r>
      <w:r>
        <w:t xml:space="preserve"> at dtf.vic.gov.au for additional terms and references.</w:t>
      </w:r>
    </w:p>
    <w:p w14:paraId="767CEBA8" w14:textId="77777777" w:rsidR="00F033D6" w:rsidRDefault="00F033D6" w:rsidP="004419CD">
      <w:pPr>
        <w:sectPr w:rsidR="00F033D6" w:rsidSect="00495025">
          <w:footerReference w:type="even" r:id="rId118"/>
          <w:footerReference w:type="default" r:id="rId119"/>
          <w:type w:val="oddPage"/>
          <w:pgSz w:w="9979" w:h="14175" w:code="9"/>
          <w:pgMar w:top="850" w:right="1134" w:bottom="850" w:left="1134" w:header="624" w:footer="567" w:gutter="0"/>
          <w:cols w:sep="1" w:space="567"/>
          <w:docGrid w:linePitch="360"/>
        </w:sectPr>
      </w:pPr>
    </w:p>
    <w:p w14:paraId="04CB9B22" w14:textId="71FF910B" w:rsidR="00F033D6" w:rsidRDefault="00F033D6">
      <w:pPr>
        <w:keepLines w:val="0"/>
      </w:pPr>
      <w:r>
        <w:lastRenderedPageBreak/>
        <w:br w:type="page"/>
      </w:r>
    </w:p>
    <w:p w14:paraId="746C5944" w14:textId="3F8363A8" w:rsidR="00964B88" w:rsidRDefault="00F033D6" w:rsidP="00F033D6">
      <w:pPr>
        <w:jc w:val="right"/>
      </w:pPr>
      <w:r w:rsidRPr="00F033D6">
        <w:lastRenderedPageBreak/>
        <w:drawing>
          <wp:inline distT="0" distB="0" distL="0" distR="0" wp14:anchorId="1939CE50" wp14:editId="24FAAB1E">
            <wp:extent cx="2519680" cy="1180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519680" cy="1180465"/>
                    </a:xfrm>
                    <a:prstGeom prst="rect">
                      <a:avLst/>
                    </a:prstGeom>
                    <a:noFill/>
                    <a:ln>
                      <a:noFill/>
                    </a:ln>
                  </pic:spPr>
                </pic:pic>
              </a:graphicData>
            </a:graphic>
          </wp:inline>
        </w:drawing>
      </w:r>
    </w:p>
    <w:sectPr w:rsidR="00964B88" w:rsidSect="00F033D6">
      <w:footerReference w:type="even" r:id="rId121"/>
      <w:footerReference w:type="default" r:id="rId122"/>
      <w:pgSz w:w="9979" w:h="14175" w:code="9"/>
      <w:pgMar w:top="851" w:right="1134" w:bottom="851" w:left="1134" w:header="624" w:footer="567" w:gutter="0"/>
      <w:cols w:sep="1" w:space="56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C2A65" w14:textId="77777777" w:rsidR="002A3255" w:rsidRDefault="002A3255" w:rsidP="00964B88">
      <w:pPr>
        <w:spacing w:before="0"/>
      </w:pPr>
      <w:r>
        <w:separator/>
      </w:r>
    </w:p>
  </w:endnote>
  <w:endnote w:type="continuationSeparator" w:id="0">
    <w:p w14:paraId="45600ADE" w14:textId="77777777" w:rsidR="002A3255" w:rsidRDefault="002A3255" w:rsidP="00964B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8E64" w14:textId="77777777" w:rsidR="00F033D6" w:rsidRDefault="00F033D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1E5FD" w14:textId="77777777" w:rsidR="002A3255" w:rsidRPr="00F53820" w:rsidRDefault="002A3255" w:rsidP="00F53820">
    <w:pPr>
      <w:pStyle w:val="Footereven"/>
    </w:pPr>
    <w:r w:rsidRPr="00F53820">
      <w:rPr>
        <w:rStyle w:val="PageNumber"/>
        <w:rFonts w:asciiTheme="majorHAnsi" w:hAnsiTheme="majorHAnsi"/>
      </w:rPr>
      <w:fldChar w:fldCharType="begin"/>
    </w:r>
    <w:r w:rsidRPr="00F53820">
      <w:rPr>
        <w:rStyle w:val="PageNumber"/>
        <w:rFonts w:asciiTheme="majorHAnsi" w:hAnsiTheme="majorHAnsi"/>
      </w:rPr>
      <w:instrText xml:space="preserve"> PAGE </w:instrText>
    </w:r>
    <w:r w:rsidRPr="00F53820">
      <w:rPr>
        <w:rStyle w:val="PageNumber"/>
        <w:rFonts w:asciiTheme="majorHAnsi" w:hAnsiTheme="majorHAnsi"/>
      </w:rPr>
      <w:fldChar w:fldCharType="separate"/>
    </w:r>
    <w:r w:rsidRPr="00F53820">
      <w:rPr>
        <w:rStyle w:val="PageNumber"/>
        <w:rFonts w:asciiTheme="majorHAnsi" w:hAnsiTheme="majorHAnsi"/>
      </w:rPr>
      <w:t>2</w:t>
    </w:r>
    <w:r w:rsidRPr="00F53820">
      <w:rPr>
        <w:rStyle w:val="PageNumber"/>
        <w:rFonts w:asciiTheme="majorHAnsi" w:hAnsiTheme="majorHAnsi"/>
      </w:rPr>
      <w:fldChar w:fldCharType="end"/>
    </w:r>
    <w:r w:rsidRPr="00F53820">
      <w:tab/>
      <w:t>Chapter 2</w:t>
    </w:r>
    <w:r w:rsidRPr="00F53820">
      <w:tab/>
    </w:r>
    <w:r w:rsidRPr="00F53820">
      <w:rPr>
        <w:rStyle w:val="PageNumber"/>
        <w:rFonts w:asciiTheme="majorHAnsi" w:hAnsiTheme="majorHAnsi"/>
      </w:rPr>
      <w:t>2019-20 Budget Update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44D9" w14:textId="77777777" w:rsidR="002A3255" w:rsidRPr="00F53820" w:rsidRDefault="002A3255" w:rsidP="00F53820">
    <w:pPr>
      <w:pStyle w:val="Footerodd"/>
    </w:pPr>
    <w:r w:rsidRPr="00F53820">
      <w:rPr>
        <w:rStyle w:val="PageNumber"/>
        <w:rFonts w:asciiTheme="majorHAnsi" w:hAnsiTheme="majorHAnsi"/>
      </w:rPr>
      <w:t>2019-20 Budget Update</w:t>
    </w:r>
    <w:r w:rsidRPr="00F53820">
      <w:tab/>
      <w:t>Chapter 2</w:t>
    </w:r>
    <w:r w:rsidRPr="00F53820">
      <w:tab/>
    </w:r>
    <w:r w:rsidRPr="00F53820">
      <w:rPr>
        <w:rStyle w:val="PageNumber"/>
        <w:rFonts w:asciiTheme="majorHAnsi" w:hAnsiTheme="majorHAnsi"/>
      </w:rPr>
      <w:fldChar w:fldCharType="begin"/>
    </w:r>
    <w:r w:rsidRPr="00F53820">
      <w:rPr>
        <w:rStyle w:val="PageNumber"/>
        <w:rFonts w:asciiTheme="majorHAnsi" w:hAnsiTheme="majorHAnsi"/>
      </w:rPr>
      <w:instrText xml:space="preserve"> PAGE </w:instrText>
    </w:r>
    <w:r w:rsidRPr="00F53820">
      <w:rPr>
        <w:rStyle w:val="PageNumber"/>
        <w:rFonts w:asciiTheme="majorHAnsi" w:hAnsiTheme="majorHAnsi"/>
      </w:rPr>
      <w:fldChar w:fldCharType="separate"/>
    </w:r>
    <w:r w:rsidRPr="00F53820">
      <w:rPr>
        <w:rStyle w:val="PageNumber"/>
        <w:rFonts w:asciiTheme="majorHAnsi" w:hAnsiTheme="majorHAnsi"/>
      </w:rPr>
      <w:t>1</w:t>
    </w:r>
    <w:r w:rsidRPr="00F53820">
      <w:rPr>
        <w:rStyle w:val="PageNumber"/>
        <w:rFonts w:asciiTheme="majorHAnsi" w:hAnsiTheme="majorHAns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D559" w14:textId="77777777" w:rsidR="002A3255" w:rsidRDefault="002A3255" w:rsidP="00F53820">
    <w:pPr>
      <w:pStyle w:val="Footerodd"/>
      <w:rPr>
        <w:rStyle w:val="PageNumber"/>
      </w:rPr>
    </w:pPr>
    <w:bookmarkStart w:id="13" w:name="PandNP1FooterFirstPage"/>
  </w:p>
  <w:bookmarkEnd w:id="13"/>
  <w:p w14:paraId="175E900D" w14:textId="77777777" w:rsidR="002A3255" w:rsidRPr="00BA26F2" w:rsidRDefault="002A3255" w:rsidP="008155D0">
    <w:pPr>
      <w:pStyle w:val="Footerodd"/>
    </w:pPr>
    <w:r>
      <w:rPr>
        <w:rStyle w:val="PageNumber"/>
      </w:rPr>
      <w:t>2018-19 Victorian Economic Statement</w:t>
    </w:r>
    <w:r w:rsidRPr="00BA26F2">
      <w:tab/>
    </w:r>
    <w:r>
      <w:t>Appendix A</w:t>
    </w:r>
    <w:r w:rsidRPr="00BA26F2">
      <w:tab/>
    </w:r>
    <w:r w:rsidRPr="00BA26F2">
      <w:rPr>
        <w:rStyle w:val="PageNumber"/>
      </w:rPr>
      <w:fldChar w:fldCharType="begin"/>
    </w:r>
    <w:r w:rsidRPr="00BA26F2">
      <w:rPr>
        <w:rStyle w:val="PageNumber"/>
      </w:rPr>
      <w:instrText xml:space="preserve"> PAGE </w:instrText>
    </w:r>
    <w:r w:rsidRPr="00BA26F2">
      <w:rPr>
        <w:rStyle w:val="PageNumber"/>
      </w:rPr>
      <w:fldChar w:fldCharType="separate"/>
    </w:r>
    <w:r>
      <w:rPr>
        <w:rStyle w:val="PageNumber"/>
        <w:noProof/>
      </w:rPr>
      <w:t>1</w:t>
    </w:r>
    <w:r w:rsidRPr="00BA26F2">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B33B" w14:textId="77777777" w:rsidR="002A3255" w:rsidRPr="004D6E38" w:rsidRDefault="002A3255" w:rsidP="004D6E38">
    <w:pPr>
      <w:pStyle w:val="Footereven"/>
    </w:pPr>
    <w:r w:rsidRPr="004D6E38">
      <w:fldChar w:fldCharType="begin"/>
    </w:r>
    <w:r w:rsidRPr="004D6E38">
      <w:instrText xml:space="preserve"> PAGE </w:instrText>
    </w:r>
    <w:r w:rsidRPr="004D6E38">
      <w:fldChar w:fldCharType="separate"/>
    </w:r>
    <w:r w:rsidRPr="004D6E38">
      <w:t>4</w:t>
    </w:r>
    <w:r w:rsidRPr="004D6E38">
      <w:fldChar w:fldCharType="end"/>
    </w:r>
    <w:r w:rsidRPr="004D6E38">
      <w:tab/>
      <w:t>Chapter 3</w:t>
    </w:r>
    <w:r w:rsidRPr="004D6E38">
      <w:tab/>
      <w:t xml:space="preserve">2019-20 Budget Update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BA21" w14:textId="77777777" w:rsidR="002A3255" w:rsidRPr="004D6E38" w:rsidRDefault="002A3255" w:rsidP="004D6E38">
    <w:pPr>
      <w:pStyle w:val="Footerodd"/>
    </w:pPr>
    <w:r w:rsidRPr="004D6E38">
      <w:t>2019-20 Budget Update</w:t>
    </w:r>
    <w:r w:rsidRPr="004D6E38">
      <w:tab/>
      <w:t>Chapter 3</w:t>
    </w:r>
    <w:r w:rsidRPr="004D6E38">
      <w:tab/>
    </w:r>
    <w:r w:rsidRPr="004D6E38">
      <w:fldChar w:fldCharType="begin"/>
    </w:r>
    <w:r w:rsidRPr="004D6E38">
      <w:instrText xml:space="preserve"> PAGE </w:instrText>
    </w:r>
    <w:r w:rsidRPr="004D6E38">
      <w:fldChar w:fldCharType="separate"/>
    </w:r>
    <w:r w:rsidRPr="004D6E38">
      <w:t>3</w:t>
    </w:r>
    <w:r w:rsidRPr="004D6E38">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12BE0" w14:textId="77777777" w:rsidR="002A3255" w:rsidRDefault="002A3255" w:rsidP="00F53820">
    <w:pPr>
      <w:jc w:val="center"/>
      <w:rPr>
        <w:rFonts w:ascii="Arial" w:hAnsi="Arial" w:cs="Arial"/>
        <w:b/>
        <w:color w:val="FF0000"/>
        <w:sz w:val="29"/>
      </w:rPr>
    </w:pPr>
    <w:bookmarkStart w:id="60" w:name="aliashProtectiveMarkings1FooterFirstPage"/>
  </w:p>
  <w:bookmarkEnd w:id="60"/>
  <w:p w14:paraId="314D03EC" w14:textId="77777777" w:rsidR="002A3255" w:rsidRDefault="002A325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64BC" w14:textId="77777777" w:rsidR="002A3255" w:rsidRPr="004D6E38" w:rsidRDefault="002A3255" w:rsidP="004D6E38">
    <w:pPr>
      <w:pStyle w:val="Footereven"/>
    </w:pPr>
    <w:r w:rsidRPr="004D6E38">
      <w:rPr>
        <w:rStyle w:val="PageNumber"/>
        <w:rFonts w:asciiTheme="majorHAnsi" w:hAnsiTheme="majorHAnsi"/>
      </w:rPr>
      <w:fldChar w:fldCharType="begin"/>
    </w:r>
    <w:r w:rsidRPr="004D6E38">
      <w:rPr>
        <w:rStyle w:val="PageNumber"/>
        <w:rFonts w:asciiTheme="majorHAnsi" w:hAnsiTheme="majorHAnsi"/>
      </w:rPr>
      <w:instrText xml:space="preserve"> PAGE </w:instrText>
    </w:r>
    <w:r w:rsidRPr="004D6E38">
      <w:rPr>
        <w:rStyle w:val="PageNumber"/>
        <w:rFonts w:asciiTheme="majorHAnsi" w:hAnsiTheme="majorHAnsi"/>
      </w:rPr>
      <w:fldChar w:fldCharType="separate"/>
    </w:r>
    <w:r w:rsidRPr="004D6E38">
      <w:rPr>
        <w:rStyle w:val="PageNumber"/>
        <w:rFonts w:asciiTheme="majorHAnsi" w:hAnsiTheme="majorHAnsi"/>
      </w:rPr>
      <w:t>12</w:t>
    </w:r>
    <w:r w:rsidRPr="004D6E38">
      <w:rPr>
        <w:rStyle w:val="PageNumber"/>
        <w:rFonts w:asciiTheme="majorHAnsi" w:hAnsiTheme="majorHAnsi"/>
      </w:rPr>
      <w:fldChar w:fldCharType="end"/>
    </w:r>
    <w:r w:rsidRPr="004D6E38">
      <w:tab/>
      <w:t>Chapter 4</w:t>
    </w:r>
    <w:r w:rsidRPr="004D6E38">
      <w:tab/>
    </w:r>
    <w:r w:rsidRPr="004D6E38">
      <w:rPr>
        <w:rStyle w:val="PageNumber"/>
        <w:rFonts w:asciiTheme="majorHAnsi" w:hAnsiTheme="majorHAnsi"/>
      </w:rPr>
      <w:t>2019-20 Budget Update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4C45" w14:textId="77777777" w:rsidR="002A3255" w:rsidRPr="004D6E38" w:rsidRDefault="002A3255" w:rsidP="004D6E38">
    <w:pPr>
      <w:pStyle w:val="Footerodd"/>
    </w:pPr>
    <w:r w:rsidRPr="004D6E38">
      <w:rPr>
        <w:rStyle w:val="PageNumber"/>
        <w:rFonts w:asciiTheme="majorHAnsi" w:hAnsiTheme="majorHAnsi"/>
      </w:rPr>
      <w:t>2019-20 Budget Update</w:t>
    </w:r>
    <w:r w:rsidRPr="004D6E38">
      <w:tab/>
      <w:t>Chapter 4</w:t>
    </w:r>
    <w:r w:rsidRPr="004D6E38">
      <w:tab/>
    </w:r>
    <w:r w:rsidRPr="004D6E38">
      <w:rPr>
        <w:rStyle w:val="PageNumber"/>
        <w:rFonts w:asciiTheme="majorHAnsi" w:hAnsiTheme="majorHAnsi"/>
      </w:rPr>
      <w:fldChar w:fldCharType="begin"/>
    </w:r>
    <w:r w:rsidRPr="004D6E38">
      <w:rPr>
        <w:rStyle w:val="PageNumber"/>
        <w:rFonts w:asciiTheme="majorHAnsi" w:hAnsiTheme="majorHAnsi"/>
      </w:rPr>
      <w:instrText xml:space="preserve"> PAGE </w:instrText>
    </w:r>
    <w:r w:rsidRPr="004D6E38">
      <w:rPr>
        <w:rStyle w:val="PageNumber"/>
        <w:rFonts w:asciiTheme="majorHAnsi" w:hAnsiTheme="majorHAnsi"/>
      </w:rPr>
      <w:fldChar w:fldCharType="separate"/>
    </w:r>
    <w:r w:rsidRPr="004D6E38">
      <w:rPr>
        <w:rStyle w:val="PageNumber"/>
        <w:rFonts w:asciiTheme="majorHAnsi" w:hAnsiTheme="majorHAnsi"/>
      </w:rPr>
      <w:t>13</w:t>
    </w:r>
    <w:r w:rsidRPr="004D6E38">
      <w:rPr>
        <w:rStyle w:val="PageNumber"/>
        <w:rFonts w:asciiTheme="majorHAnsi" w:hAnsiTheme="majorHAns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98680" w14:textId="77777777" w:rsidR="002A3255" w:rsidRPr="00BA26F2" w:rsidRDefault="002A3255" w:rsidP="008155D0">
    <w:pPr>
      <w:pStyle w:val="Footerodd"/>
    </w:pPr>
    <w:r w:rsidRPr="000D18FA">
      <w:rPr>
        <w:rStyle w:val="PageNumber"/>
        <w:rFonts w:asciiTheme="majorHAnsi" w:hAnsiTheme="majorHAnsi"/>
      </w:rPr>
      <w:t>2019-20</w:t>
    </w:r>
    <w:r w:rsidRPr="00823119">
      <w:rPr>
        <w:rStyle w:val="PageNumber"/>
        <w:rFonts w:asciiTheme="majorHAnsi" w:hAnsiTheme="majorHAnsi"/>
      </w:rPr>
      <w:t xml:space="preserve"> Budget Update</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03A0" w14:textId="77777777" w:rsidR="002A3255" w:rsidRPr="004D6E38" w:rsidRDefault="002A3255" w:rsidP="004D6E38">
    <w:pPr>
      <w:pStyle w:val="Footereven"/>
    </w:pPr>
    <w:r w:rsidRPr="004D6E38">
      <w:rPr>
        <w:rStyle w:val="PageNumber"/>
        <w:rFonts w:asciiTheme="majorHAnsi" w:hAnsiTheme="majorHAnsi"/>
      </w:rPr>
      <w:fldChar w:fldCharType="begin"/>
    </w:r>
    <w:r w:rsidRPr="004D6E38">
      <w:rPr>
        <w:rStyle w:val="PageNumber"/>
        <w:rFonts w:asciiTheme="majorHAnsi" w:hAnsiTheme="majorHAnsi"/>
      </w:rPr>
      <w:instrText xml:space="preserve"> PAGE </w:instrText>
    </w:r>
    <w:r w:rsidRPr="004D6E38">
      <w:rPr>
        <w:rStyle w:val="PageNumber"/>
        <w:rFonts w:asciiTheme="majorHAnsi" w:hAnsiTheme="majorHAnsi"/>
      </w:rPr>
      <w:fldChar w:fldCharType="separate"/>
    </w:r>
    <w:r w:rsidRPr="004D6E38">
      <w:rPr>
        <w:rStyle w:val="PageNumber"/>
        <w:rFonts w:asciiTheme="majorHAnsi" w:hAnsiTheme="majorHAnsi"/>
      </w:rPr>
      <w:t>16</w:t>
    </w:r>
    <w:r w:rsidRPr="004D6E38">
      <w:rPr>
        <w:rStyle w:val="PageNumber"/>
        <w:rFonts w:asciiTheme="majorHAnsi" w:hAnsiTheme="majorHAnsi"/>
      </w:rPr>
      <w:fldChar w:fldCharType="end"/>
    </w:r>
    <w:r w:rsidRPr="004D6E38">
      <w:tab/>
      <w:t>Chapter 4</w:t>
    </w:r>
    <w:r w:rsidRPr="004D6E38">
      <w:tab/>
    </w:r>
    <w:r w:rsidRPr="004D6E38">
      <w:rPr>
        <w:rStyle w:val="PageNumber"/>
        <w:rFonts w:asciiTheme="majorHAnsi" w:hAnsiTheme="majorHAnsi"/>
      </w:rPr>
      <w:t>2019-20 Budget Update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BD5F" w14:textId="77777777" w:rsidR="00F033D6" w:rsidRDefault="00F033D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5E04" w14:textId="77777777" w:rsidR="002A3255" w:rsidRPr="00BA26F2" w:rsidRDefault="002A3255" w:rsidP="008155D0">
    <w:pPr>
      <w:pStyle w:val="Footerodd"/>
    </w:pPr>
    <w:r w:rsidRPr="005C6F6C">
      <w:rPr>
        <w:rStyle w:val="PageNumber"/>
        <w:rFonts w:asciiTheme="majorHAnsi" w:hAnsiTheme="majorHAnsi"/>
      </w:rPr>
      <w:t>2018-19 Budget Update</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15</w:t>
    </w:r>
    <w:r w:rsidRPr="00BA26F2">
      <w:rPr>
        <w:rStyle w:val="PageNumber"/>
        <w:rFonts w:asciiTheme="majorHAnsi" w:hAnsiTheme="majorHAnsi"/>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CC2" w14:textId="77777777" w:rsidR="002A3255" w:rsidRDefault="002A3255" w:rsidP="00F53820">
    <w:pPr>
      <w:pStyle w:val="Footerodd"/>
      <w:rPr>
        <w:rStyle w:val="PageNumber"/>
        <w:rFonts w:asciiTheme="majorHAnsi" w:hAnsiTheme="majorHAnsi"/>
      </w:rPr>
    </w:pPr>
    <w:bookmarkStart w:id="74" w:name="PandNP2FooterFirstPage"/>
  </w:p>
  <w:bookmarkEnd w:id="74"/>
  <w:p w14:paraId="3C5AD609" w14:textId="77777777" w:rsidR="002A3255" w:rsidRPr="00BA26F2" w:rsidRDefault="002A3255"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E459" w14:textId="77777777" w:rsidR="002A3255" w:rsidRDefault="002A3255" w:rsidP="00F53820">
    <w:pPr>
      <w:pStyle w:val="Footerodd"/>
      <w:rPr>
        <w:rStyle w:val="PageNumber"/>
        <w:rFonts w:asciiTheme="majorHAnsi" w:hAnsiTheme="majorHAnsi"/>
      </w:rPr>
    </w:pPr>
    <w:bookmarkStart w:id="83" w:name="PandNP3FooterFirstPage"/>
  </w:p>
  <w:bookmarkEnd w:id="83"/>
  <w:p w14:paraId="290D02AD" w14:textId="77777777" w:rsidR="002A3255" w:rsidRPr="00BA26F2" w:rsidRDefault="002A3255"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7DA8" w14:textId="77777777" w:rsidR="002A3255" w:rsidRPr="00D90086" w:rsidRDefault="002A3255"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36</w:t>
    </w:r>
    <w:r w:rsidRPr="00D90086">
      <w:rPr>
        <w:rStyle w:val="PageNumber"/>
        <w:rFonts w:asciiTheme="majorHAnsi" w:hAnsiTheme="majorHAnsi"/>
      </w:rPr>
      <w:fldChar w:fldCharType="end"/>
    </w:r>
    <w:r w:rsidRPr="00D90086">
      <w:tab/>
    </w:r>
    <w:r>
      <w:t>Chapter 4</w:t>
    </w:r>
    <w:r w:rsidRPr="00D90086">
      <w:tab/>
    </w:r>
    <w:r w:rsidRPr="005C6F6C">
      <w:rPr>
        <w:rStyle w:val="PageNumber"/>
        <w:rFonts w:asciiTheme="majorHAnsi" w:hAnsiTheme="majorHAnsi"/>
      </w:rPr>
      <w:t>201</w:t>
    </w:r>
    <w:r>
      <w:rPr>
        <w:rStyle w:val="PageNumber"/>
        <w:rFonts w:asciiTheme="majorHAnsi" w:hAnsiTheme="majorHAnsi"/>
      </w:rPr>
      <w:t>9</w:t>
    </w:r>
    <w:r w:rsidRPr="005C6F6C">
      <w:rPr>
        <w:rStyle w:val="PageNumber"/>
        <w:rFonts w:asciiTheme="majorHAnsi" w:hAnsiTheme="majorHAnsi"/>
      </w:rPr>
      <w:t>-</w:t>
    </w:r>
    <w:r>
      <w:rPr>
        <w:rStyle w:val="PageNumber"/>
        <w:rFonts w:asciiTheme="majorHAnsi" w:hAnsiTheme="majorHAnsi"/>
      </w:rPr>
      <w:t>20</w:t>
    </w:r>
    <w:r w:rsidRPr="005C6F6C">
      <w:rPr>
        <w:rStyle w:val="PageNumber"/>
        <w:rFonts w:asciiTheme="majorHAnsi" w:hAnsiTheme="majorHAnsi"/>
      </w:rPr>
      <w:t xml:space="preserve"> Budget Update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D30B" w14:textId="77777777" w:rsidR="002A3255" w:rsidRPr="00BA26F2" w:rsidRDefault="002A3255" w:rsidP="008155D0">
    <w:pPr>
      <w:pStyle w:val="Footerodd"/>
    </w:pPr>
    <w:r w:rsidRPr="005C6F6C">
      <w:rPr>
        <w:rStyle w:val="PageNumber"/>
        <w:rFonts w:asciiTheme="majorHAnsi" w:hAnsiTheme="majorHAnsi"/>
      </w:rPr>
      <w:t>201</w:t>
    </w:r>
    <w:r>
      <w:rPr>
        <w:rStyle w:val="PageNumber"/>
        <w:rFonts w:asciiTheme="majorHAnsi" w:hAnsiTheme="majorHAnsi"/>
      </w:rPr>
      <w:t>9</w:t>
    </w:r>
    <w:r w:rsidRPr="005C6F6C">
      <w:rPr>
        <w:rStyle w:val="PageNumber"/>
        <w:rFonts w:asciiTheme="majorHAnsi" w:hAnsiTheme="majorHAnsi"/>
      </w:rPr>
      <w:t>-</w:t>
    </w:r>
    <w:r>
      <w:rPr>
        <w:rStyle w:val="PageNumber"/>
        <w:rFonts w:asciiTheme="majorHAnsi" w:hAnsiTheme="majorHAnsi"/>
      </w:rPr>
      <w:t>20</w:t>
    </w:r>
    <w:r w:rsidRPr="005C6F6C">
      <w:rPr>
        <w:rStyle w:val="PageNumber"/>
        <w:rFonts w:asciiTheme="majorHAnsi" w:hAnsiTheme="majorHAnsi"/>
      </w:rPr>
      <w:t xml:space="preserve"> Budget Update</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35</w:t>
    </w:r>
    <w:r w:rsidRPr="00BA26F2">
      <w:rPr>
        <w:rStyle w:val="PageNumber"/>
        <w:rFonts w:asciiTheme="majorHAnsi" w:hAnsiTheme="majorHAnsi"/>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7EE3" w14:textId="77777777" w:rsidR="002A3255" w:rsidRDefault="002A3255" w:rsidP="00F53820">
    <w:pPr>
      <w:pStyle w:val="Footerodd"/>
      <w:rPr>
        <w:rStyle w:val="PageNumber"/>
        <w:rFonts w:asciiTheme="majorHAnsi" w:hAnsiTheme="majorHAnsi"/>
      </w:rPr>
    </w:pPr>
    <w:bookmarkStart w:id="84" w:name="PandNP4FooterFirstPage"/>
  </w:p>
  <w:bookmarkEnd w:id="84"/>
  <w:p w14:paraId="39E4A102" w14:textId="77777777" w:rsidR="002A3255" w:rsidRPr="00BA26F2" w:rsidRDefault="002A3255"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6A60" w14:textId="77777777" w:rsidR="002A3255" w:rsidRDefault="002A3255" w:rsidP="00F53820">
    <w:pPr>
      <w:pStyle w:val="Footerodd"/>
      <w:rPr>
        <w:rStyle w:val="PageNumber"/>
        <w:rFonts w:asciiTheme="majorHAnsi" w:hAnsiTheme="majorHAnsi"/>
      </w:rPr>
    </w:pPr>
  </w:p>
  <w:p w14:paraId="3263B9D8" w14:textId="77777777" w:rsidR="002A3255" w:rsidRPr="00BA26F2" w:rsidRDefault="002A3255"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C4A9" w14:textId="77777777" w:rsidR="002A3255" w:rsidRDefault="002A3255" w:rsidP="00F53820">
    <w:pPr>
      <w:pStyle w:val="Footerodd"/>
      <w:rPr>
        <w:rStyle w:val="PageNumber"/>
        <w:rFonts w:asciiTheme="majorHAnsi" w:hAnsiTheme="majorHAnsi"/>
      </w:rPr>
    </w:pPr>
    <w:bookmarkStart w:id="127" w:name="PandNP5FooterFirstPage"/>
  </w:p>
  <w:bookmarkEnd w:id="127"/>
  <w:p w14:paraId="615D3121" w14:textId="77777777" w:rsidR="002A3255" w:rsidRPr="00BA26F2" w:rsidRDefault="002A3255"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63F2" w14:textId="77777777" w:rsidR="002A3255" w:rsidRPr="004D6E38" w:rsidRDefault="002A3255" w:rsidP="004D6E38">
    <w:pPr>
      <w:pStyle w:val="Footereven"/>
    </w:pPr>
    <w:r w:rsidRPr="004D6E38">
      <w:fldChar w:fldCharType="begin"/>
    </w:r>
    <w:r w:rsidRPr="004D6E38">
      <w:instrText xml:space="preserve"> PAGE </w:instrText>
    </w:r>
    <w:r w:rsidRPr="004D6E38">
      <w:fldChar w:fldCharType="separate"/>
    </w:r>
    <w:r w:rsidRPr="004D6E38">
      <w:t>32</w:t>
    </w:r>
    <w:r w:rsidRPr="004D6E38">
      <w:fldChar w:fldCharType="end"/>
    </w:r>
    <w:r w:rsidRPr="004D6E38">
      <w:tab/>
      <w:t>Chapter 5</w:t>
    </w:r>
    <w:r w:rsidRPr="004D6E38">
      <w:tab/>
      <w:t xml:space="preserve">2019-20 Budget Update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340F3" w14:textId="77777777" w:rsidR="002A3255" w:rsidRPr="004D6E38" w:rsidRDefault="002A3255" w:rsidP="004D6E38">
    <w:pPr>
      <w:pStyle w:val="Footerodd"/>
    </w:pPr>
    <w:r w:rsidRPr="004D6E38">
      <w:t>2019-20 Budget Update</w:t>
    </w:r>
    <w:r w:rsidRPr="004D6E38">
      <w:tab/>
      <w:t>Chapter 5</w:t>
    </w:r>
    <w:r w:rsidRPr="004D6E38">
      <w:tab/>
    </w:r>
    <w:r w:rsidRPr="004D6E38">
      <w:fldChar w:fldCharType="begin"/>
    </w:r>
    <w:r w:rsidRPr="004D6E38">
      <w:instrText xml:space="preserve"> PAGE </w:instrText>
    </w:r>
    <w:r w:rsidRPr="004D6E38">
      <w:fldChar w:fldCharType="separate"/>
    </w:r>
    <w:r w:rsidRPr="004D6E38">
      <w:t>31</w:t>
    </w:r>
    <w:r w:rsidRPr="004D6E3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39B9" w14:textId="77777777" w:rsidR="00F033D6" w:rsidRDefault="00F033D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EB3B" w14:textId="77777777" w:rsidR="002A3255" w:rsidRDefault="002A325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98FD" w14:textId="77777777" w:rsidR="002A3255" w:rsidRPr="004D6E38" w:rsidRDefault="002A3255" w:rsidP="004D6E38">
    <w:pPr>
      <w:pStyle w:val="Footereven"/>
    </w:pPr>
    <w:r w:rsidRPr="004D6E38">
      <w:rPr>
        <w:rStyle w:val="PageNumber"/>
        <w:rFonts w:asciiTheme="majorHAnsi" w:hAnsiTheme="majorHAnsi"/>
      </w:rPr>
      <w:fldChar w:fldCharType="begin"/>
    </w:r>
    <w:r w:rsidRPr="004D6E38">
      <w:rPr>
        <w:rStyle w:val="PageNumber"/>
        <w:rFonts w:asciiTheme="majorHAnsi" w:hAnsiTheme="majorHAnsi"/>
      </w:rPr>
      <w:instrText xml:space="preserve"> PAGE </w:instrText>
    </w:r>
    <w:r w:rsidRPr="004D6E38">
      <w:rPr>
        <w:rStyle w:val="PageNumber"/>
        <w:rFonts w:asciiTheme="majorHAnsi" w:hAnsiTheme="majorHAnsi"/>
      </w:rPr>
      <w:fldChar w:fldCharType="separate"/>
    </w:r>
    <w:r w:rsidRPr="004D6E38">
      <w:rPr>
        <w:rStyle w:val="PageNumber"/>
        <w:rFonts w:asciiTheme="majorHAnsi" w:hAnsiTheme="majorHAnsi"/>
      </w:rPr>
      <w:t>2</w:t>
    </w:r>
    <w:r w:rsidRPr="004D6E38">
      <w:rPr>
        <w:rStyle w:val="PageNumber"/>
        <w:rFonts w:asciiTheme="majorHAnsi" w:hAnsiTheme="majorHAnsi"/>
      </w:rPr>
      <w:fldChar w:fldCharType="end"/>
    </w:r>
    <w:r w:rsidRPr="004D6E38">
      <w:tab/>
      <w:t>Chapter 6</w:t>
    </w:r>
    <w:r w:rsidRPr="004D6E38">
      <w:tab/>
    </w:r>
    <w:r w:rsidRPr="004D6E38">
      <w:rPr>
        <w:rStyle w:val="PageNumber"/>
        <w:rFonts w:asciiTheme="majorHAnsi" w:hAnsiTheme="majorHAnsi"/>
      </w:rPr>
      <w:t>2019-20 Budget Update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680B" w14:textId="77777777" w:rsidR="002A3255" w:rsidRPr="004D6E38" w:rsidRDefault="002A3255" w:rsidP="004D6E38">
    <w:pPr>
      <w:pStyle w:val="Footerodd"/>
    </w:pPr>
    <w:r w:rsidRPr="004D6E38">
      <w:rPr>
        <w:rStyle w:val="PageNumber"/>
        <w:rFonts w:asciiTheme="majorHAnsi" w:hAnsiTheme="majorHAnsi"/>
      </w:rPr>
      <w:t>2019-20 Budget Update</w:t>
    </w:r>
    <w:r w:rsidRPr="004D6E38">
      <w:tab/>
      <w:t>Chapter 6</w:t>
    </w:r>
    <w:r w:rsidRPr="004D6E38">
      <w:tab/>
    </w:r>
    <w:r w:rsidRPr="004D6E38">
      <w:rPr>
        <w:rStyle w:val="PageNumber"/>
        <w:rFonts w:asciiTheme="majorHAnsi" w:hAnsiTheme="majorHAnsi"/>
      </w:rPr>
      <w:fldChar w:fldCharType="begin"/>
    </w:r>
    <w:r w:rsidRPr="004D6E38">
      <w:rPr>
        <w:rStyle w:val="PageNumber"/>
        <w:rFonts w:asciiTheme="majorHAnsi" w:hAnsiTheme="majorHAnsi"/>
      </w:rPr>
      <w:instrText xml:space="preserve"> PAGE </w:instrText>
    </w:r>
    <w:r w:rsidRPr="004D6E38">
      <w:rPr>
        <w:rStyle w:val="PageNumber"/>
        <w:rFonts w:asciiTheme="majorHAnsi" w:hAnsiTheme="majorHAnsi"/>
      </w:rPr>
      <w:fldChar w:fldCharType="separate"/>
    </w:r>
    <w:r w:rsidRPr="004D6E38">
      <w:rPr>
        <w:rStyle w:val="PageNumber"/>
        <w:rFonts w:asciiTheme="majorHAnsi" w:hAnsiTheme="majorHAnsi"/>
      </w:rPr>
      <w:t>1</w:t>
    </w:r>
    <w:r w:rsidRPr="004D6E38">
      <w:rPr>
        <w:rStyle w:val="PageNumber"/>
        <w:rFonts w:asciiTheme="majorHAnsi" w:hAnsiTheme="majorHAnsi"/>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2916" w14:textId="77777777" w:rsidR="002A3255" w:rsidRDefault="002A3255" w:rsidP="00F53820">
    <w:pPr>
      <w:pStyle w:val="Footerodd"/>
      <w:rPr>
        <w:rStyle w:val="PageNumber"/>
        <w:rFonts w:asciiTheme="majorHAnsi" w:hAnsiTheme="majorHAnsi"/>
      </w:rPr>
    </w:pPr>
  </w:p>
  <w:p w14:paraId="47FEEE22" w14:textId="77777777" w:rsidR="002A3255" w:rsidRPr="00BA26F2" w:rsidRDefault="002A3255" w:rsidP="008155D0">
    <w:pPr>
      <w:pStyle w:val="Footerodd"/>
    </w:pPr>
    <w:r>
      <w:rPr>
        <w:rStyle w:val="PageNumber"/>
        <w:rFonts w:asciiTheme="majorHAnsi" w:hAnsiTheme="majorHAnsi"/>
      </w:rPr>
      <w:t>2018-19 Victorian Economic Statement</w:t>
    </w:r>
    <w:r w:rsidRPr="00BA26F2">
      <w:tab/>
    </w:r>
    <w:r>
      <w:t>Appendix A</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4338" w14:textId="77777777" w:rsidR="002A3255" w:rsidRPr="003951F6" w:rsidRDefault="002A3255" w:rsidP="00D90086">
    <w:pPr>
      <w:pStyle w:val="Footereven"/>
    </w:pPr>
    <w:r w:rsidRPr="003951F6">
      <w:fldChar w:fldCharType="begin"/>
    </w:r>
    <w:r w:rsidRPr="003951F6">
      <w:instrText xml:space="preserve"> PAGE </w:instrText>
    </w:r>
    <w:r w:rsidRPr="003951F6">
      <w:fldChar w:fldCharType="separate"/>
    </w:r>
    <w:r w:rsidRPr="003951F6">
      <w:t>2</w:t>
    </w:r>
    <w:r w:rsidRPr="003951F6">
      <w:fldChar w:fldCharType="end"/>
    </w:r>
    <w:r w:rsidRPr="003951F6">
      <w:tab/>
      <w:t>Appendix A</w:t>
    </w:r>
    <w:r w:rsidRPr="003951F6">
      <w:tab/>
      <w:t>2019-20 Budget Update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A7A7" w14:textId="77777777" w:rsidR="002A3255" w:rsidRPr="003951F6" w:rsidRDefault="002A3255" w:rsidP="008155D0">
    <w:pPr>
      <w:pStyle w:val="Footerodd"/>
    </w:pPr>
    <w:r w:rsidRPr="003951F6">
      <w:t>2019-20 Budget Update</w:t>
    </w:r>
    <w:r w:rsidRPr="003951F6">
      <w:tab/>
      <w:t>Appendix A</w:t>
    </w:r>
    <w:r w:rsidRPr="003951F6">
      <w:tab/>
    </w:r>
    <w:r w:rsidRPr="003951F6">
      <w:fldChar w:fldCharType="begin"/>
    </w:r>
    <w:r w:rsidRPr="003951F6">
      <w:instrText xml:space="preserve"> PAGE </w:instrText>
    </w:r>
    <w:r w:rsidRPr="003951F6">
      <w:fldChar w:fldCharType="separate"/>
    </w:r>
    <w:r w:rsidRPr="003951F6">
      <w:t>1</w:t>
    </w:r>
    <w:r w:rsidRPr="003951F6">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7D5" w14:textId="77777777" w:rsidR="002A3255" w:rsidRDefault="002A3255" w:rsidP="00F53820">
    <w:pPr>
      <w:pStyle w:val="Footerodd"/>
      <w:rPr>
        <w:rStyle w:val="PageNumber"/>
      </w:rPr>
    </w:pPr>
  </w:p>
  <w:p w14:paraId="684397CA" w14:textId="77777777" w:rsidR="002A3255" w:rsidRPr="00BA26F2" w:rsidRDefault="002A3255" w:rsidP="008155D0">
    <w:pPr>
      <w:pStyle w:val="Footerodd"/>
    </w:pPr>
    <w:r>
      <w:rPr>
        <w:rStyle w:val="PageNumber"/>
      </w:rPr>
      <w:t>2018-19 Victorian Economic Statement</w:t>
    </w:r>
    <w:r w:rsidRPr="00BA26F2">
      <w:tab/>
    </w:r>
    <w:r>
      <w:t>Appendix A</w:t>
    </w:r>
    <w:r w:rsidRPr="00BA26F2">
      <w:tab/>
    </w:r>
    <w:r w:rsidRPr="00BA26F2">
      <w:rPr>
        <w:rStyle w:val="PageNumber"/>
      </w:rPr>
      <w:fldChar w:fldCharType="begin"/>
    </w:r>
    <w:r w:rsidRPr="00BA26F2">
      <w:rPr>
        <w:rStyle w:val="PageNumber"/>
      </w:rPr>
      <w:instrText xml:space="preserve"> PAGE </w:instrText>
    </w:r>
    <w:r w:rsidRPr="00BA26F2">
      <w:rPr>
        <w:rStyle w:val="PageNumber"/>
      </w:rPr>
      <w:fldChar w:fldCharType="separate"/>
    </w:r>
    <w:r>
      <w:rPr>
        <w:rStyle w:val="PageNumber"/>
        <w:noProof/>
      </w:rPr>
      <w:t>1</w:t>
    </w:r>
    <w:r w:rsidRPr="00BA26F2">
      <w:rPr>
        <w:rStyle w:val="PageNumber"/>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EB4E" w14:textId="77777777" w:rsidR="002A3255" w:rsidRPr="00D90086" w:rsidRDefault="002A3255" w:rsidP="00F53820">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Appendix B</w:t>
    </w:r>
    <w:r w:rsidRPr="00D90086">
      <w:tab/>
    </w:r>
    <w:r w:rsidRPr="00872A16">
      <w:rPr>
        <w:rStyle w:val="PageNumber"/>
        <w:rFonts w:asciiTheme="majorHAnsi" w:hAnsiTheme="majorHAnsi"/>
      </w:rPr>
      <w:t>2019-20</w:t>
    </w:r>
    <w:r w:rsidRPr="00597990">
      <w:rPr>
        <w:rStyle w:val="PageNumber"/>
        <w:rFonts w:asciiTheme="majorHAnsi" w:hAnsiTheme="majorHAnsi"/>
      </w:rPr>
      <w:t xml:space="preserve"> Budget Update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EFA6" w14:textId="77777777" w:rsidR="002A3255" w:rsidRPr="00BA26F2" w:rsidRDefault="002A3255" w:rsidP="008155D0">
    <w:pPr>
      <w:pStyle w:val="Footerodd"/>
    </w:pPr>
    <w:r w:rsidRPr="00872A16">
      <w:rPr>
        <w:rStyle w:val="PageNumber"/>
        <w:rFonts w:asciiTheme="majorHAnsi" w:hAnsiTheme="majorHAnsi"/>
      </w:rPr>
      <w:t>2019-20</w:t>
    </w:r>
    <w:r>
      <w:rPr>
        <w:rStyle w:val="PageNumber"/>
        <w:rFonts w:asciiTheme="majorHAnsi" w:hAnsiTheme="majorHAnsi"/>
      </w:rPr>
      <w:t xml:space="preserve"> Budget Update</w:t>
    </w:r>
    <w:r w:rsidRPr="00BA26F2">
      <w:tab/>
    </w:r>
    <w:r>
      <w:t>Appendix B</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567A0" w14:textId="77777777" w:rsidR="002A3255" w:rsidRPr="00BA26F2" w:rsidRDefault="002A3255" w:rsidP="008155D0">
    <w:pPr>
      <w:pStyle w:val="Footerodd"/>
    </w:pPr>
    <w:r>
      <w:rPr>
        <w:rStyle w:val="PageNumber"/>
        <w:rFonts w:asciiTheme="majorHAnsi" w:hAnsiTheme="majorHAnsi"/>
      </w:rPr>
      <w:t>2018-19 Victorian Economic Statement</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F7E9" w14:textId="77777777" w:rsidR="002A3255" w:rsidRPr="006E0CA8" w:rsidRDefault="002A3255" w:rsidP="006E0CA8">
    <w:pPr>
      <w:pStyle w:val="Footer"/>
      <w:jc w:val="right"/>
    </w:pPr>
    <w:r>
      <w:fldChar w:fldCharType="begin"/>
    </w:r>
    <w:r>
      <w:instrText xml:space="preserve"> PAGE  \* roman  \* MERGEFORMAT </w:instrText>
    </w:r>
    <w:r>
      <w:fldChar w:fldCharType="separate"/>
    </w:r>
    <w:r>
      <w:rPr>
        <w:noProof/>
      </w:rPr>
      <w:t>xxiv</w:t>
    </w:r>
    <w: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81A8B" w14:textId="77777777" w:rsidR="002A3255" w:rsidRPr="00D90086" w:rsidRDefault="002A3255"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t>Appendix C</w:t>
    </w:r>
    <w:r w:rsidRPr="00D90086">
      <w:tab/>
    </w:r>
    <w:r w:rsidRPr="00AD7398">
      <w:rPr>
        <w:rStyle w:val="PageNumber"/>
        <w:rFonts w:asciiTheme="majorHAnsi" w:hAnsiTheme="majorHAnsi"/>
      </w:rPr>
      <w:t>201</w:t>
    </w:r>
    <w:r>
      <w:rPr>
        <w:rStyle w:val="PageNumber"/>
        <w:rFonts w:asciiTheme="majorHAnsi" w:hAnsiTheme="majorHAnsi"/>
      </w:rPr>
      <w:t>9</w:t>
    </w:r>
    <w:r w:rsidRPr="00AD7398">
      <w:rPr>
        <w:rStyle w:val="PageNumber"/>
        <w:rFonts w:asciiTheme="majorHAnsi" w:hAnsiTheme="majorHAnsi"/>
      </w:rPr>
      <w:t>-</w:t>
    </w:r>
    <w:r>
      <w:rPr>
        <w:rStyle w:val="PageNumber"/>
        <w:rFonts w:asciiTheme="majorHAnsi" w:hAnsiTheme="majorHAnsi"/>
      </w:rPr>
      <w:t>20</w:t>
    </w:r>
    <w:r w:rsidRPr="00AD7398">
      <w:rPr>
        <w:rStyle w:val="PageNumber"/>
        <w:rFonts w:asciiTheme="majorHAnsi" w:hAnsiTheme="majorHAnsi"/>
      </w:rPr>
      <w:t xml:space="preserve"> Budget Update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900F" w14:textId="77777777" w:rsidR="002A3255" w:rsidRPr="00BA26F2" w:rsidRDefault="002A3255" w:rsidP="008155D0">
    <w:pPr>
      <w:pStyle w:val="Footerodd"/>
    </w:pPr>
    <w:r>
      <w:rPr>
        <w:rStyle w:val="PageNumber"/>
        <w:rFonts w:asciiTheme="majorHAnsi" w:hAnsiTheme="majorHAnsi"/>
      </w:rPr>
      <w:t>2019-20 Budget Update</w:t>
    </w:r>
    <w:r w:rsidRPr="00BA26F2">
      <w:tab/>
    </w:r>
    <w:r>
      <w:t>Appendix C</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88F6" w14:textId="77777777" w:rsidR="002A3255" w:rsidRDefault="002A3255" w:rsidP="00F53820">
    <w:pPr>
      <w:pStyle w:val="Footerodd"/>
      <w:rPr>
        <w:rStyle w:val="PageNumber"/>
        <w:rFonts w:asciiTheme="majorHAnsi" w:hAnsiTheme="majorHAnsi"/>
      </w:rPr>
    </w:pPr>
  </w:p>
  <w:p w14:paraId="164AFCAB" w14:textId="77777777" w:rsidR="002A3255" w:rsidRPr="00BA26F2" w:rsidRDefault="002A3255" w:rsidP="008155D0">
    <w:pPr>
      <w:pStyle w:val="Footerodd"/>
    </w:pPr>
    <w:r>
      <w:rPr>
        <w:rStyle w:val="PageNumber"/>
        <w:rFonts w:asciiTheme="majorHAnsi" w:hAnsiTheme="majorHAnsi"/>
      </w:rPr>
      <w:t>2018-19 Victorian Economic Statement</w:t>
    </w:r>
    <w:r w:rsidRPr="00BA26F2">
      <w:tab/>
    </w:r>
    <w:r>
      <w:t>Appendix A</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1D38" w14:textId="77777777" w:rsidR="002A3255" w:rsidRPr="00D90086" w:rsidRDefault="002A3255"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t>Appendix D</w:t>
    </w:r>
    <w:r w:rsidRPr="00D90086">
      <w:tab/>
    </w:r>
    <w:r>
      <w:rPr>
        <w:rStyle w:val="PageNumber"/>
        <w:rFonts w:asciiTheme="majorHAnsi" w:hAnsiTheme="majorHAnsi"/>
      </w:rPr>
      <w:t>2019-20 Budget Update</w:t>
    </w:r>
    <w:r w:rsidRPr="00D90086">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4BF5" w14:textId="77777777" w:rsidR="002A3255" w:rsidRPr="00BA26F2" w:rsidRDefault="002A3255" w:rsidP="008155D0">
    <w:pPr>
      <w:pStyle w:val="Footerodd"/>
    </w:pPr>
    <w:r>
      <w:rPr>
        <w:rStyle w:val="PageNumber"/>
        <w:rFonts w:asciiTheme="majorHAnsi" w:hAnsiTheme="majorHAnsi"/>
      </w:rPr>
      <w:t>2019-20 Budget Update</w:t>
    </w:r>
    <w:r w:rsidRPr="00BA26F2">
      <w:tab/>
    </w:r>
    <w:r>
      <w:t>Appendix D</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B1B7" w14:textId="77777777" w:rsidR="002A3255" w:rsidRPr="00BA26F2" w:rsidRDefault="002A3255" w:rsidP="008155D0">
    <w:pPr>
      <w:pStyle w:val="Footerodd"/>
    </w:pPr>
    <w:r>
      <w:rPr>
        <w:rStyle w:val="PageNumber"/>
        <w:rFonts w:asciiTheme="majorHAnsi" w:hAnsiTheme="majorHAnsi"/>
      </w:rPr>
      <w:t>2019-20 Budget Update</w:t>
    </w:r>
    <w:r w:rsidRPr="00BA26F2">
      <w:tab/>
    </w:r>
    <w:r>
      <w:t>Appendix D</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3962" w14:textId="77777777" w:rsidR="002A3255" w:rsidRPr="00D90086" w:rsidRDefault="002A3255"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Appendix E</w:t>
    </w:r>
    <w:r w:rsidRPr="00D90086">
      <w:tab/>
    </w:r>
    <w:r w:rsidRPr="005A5C42">
      <w:t>2019-20</w:t>
    </w:r>
    <w:r w:rsidRPr="0082317D">
      <w:rPr>
        <w:rStyle w:val="PageNumber"/>
        <w:rFonts w:asciiTheme="majorHAnsi" w:hAnsiTheme="majorHAnsi"/>
      </w:rPr>
      <w:t xml:space="preserve"> Budget Update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1C3F" w14:textId="77777777" w:rsidR="002A3255" w:rsidRPr="00BA26F2" w:rsidRDefault="002A3255" w:rsidP="008155D0">
    <w:pPr>
      <w:pStyle w:val="Footerodd"/>
    </w:pPr>
    <w:r w:rsidRPr="005A5C42">
      <w:rPr>
        <w:rStyle w:val="PageNumber"/>
        <w:rFonts w:asciiTheme="majorHAnsi" w:hAnsiTheme="majorHAnsi"/>
      </w:rPr>
      <w:t>2019-20</w:t>
    </w:r>
    <w:r>
      <w:rPr>
        <w:rStyle w:val="PageNumber"/>
        <w:rFonts w:asciiTheme="majorHAnsi" w:hAnsiTheme="majorHAnsi"/>
      </w:rPr>
      <w:t xml:space="preserve"> Budget Update</w:t>
    </w:r>
    <w:r w:rsidRPr="00BA26F2">
      <w:tab/>
    </w:r>
    <w:r>
      <w:t>Appendix E</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EB09" w14:textId="77777777" w:rsidR="002A3255" w:rsidRPr="00BA26F2" w:rsidRDefault="002A3255" w:rsidP="008155D0">
    <w:pPr>
      <w:pStyle w:val="Footerodd"/>
    </w:pPr>
    <w:r>
      <w:rPr>
        <w:rStyle w:val="PageNumber"/>
        <w:rFonts w:asciiTheme="majorHAnsi" w:hAnsiTheme="majorHAnsi"/>
      </w:rPr>
      <w:t>2018-19 Victorian Economic Statement</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E29A" w14:textId="77777777" w:rsidR="002A3255" w:rsidRPr="00D90086" w:rsidRDefault="002A3255"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Appendix E</w:t>
    </w:r>
    <w:r w:rsidRPr="00D90086">
      <w:tab/>
    </w:r>
    <w:r w:rsidRPr="005A5C42">
      <w:t>2019-20</w:t>
    </w:r>
    <w:r w:rsidRPr="0082317D">
      <w:rPr>
        <w:rStyle w:val="PageNumber"/>
        <w:rFonts w:asciiTheme="majorHAnsi" w:hAnsiTheme="majorHAnsi"/>
      </w:rPr>
      <w:t xml:space="preserve"> Budget Update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5705" w14:textId="77777777" w:rsidR="002A3255" w:rsidRPr="00BA26F2" w:rsidRDefault="002A3255" w:rsidP="006E0CA8">
    <w:pPr>
      <w:pStyle w:val="Footerodd"/>
    </w:pPr>
    <w:r>
      <w:rPr>
        <w:rStyle w:val="PageNumber"/>
        <w:rFonts w:asciiTheme="majorHAnsi" w:hAnsiTheme="majorHAnsi"/>
      </w:rPr>
      <w:tab/>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8723" w14:textId="77777777" w:rsidR="002A3255" w:rsidRPr="00BA26F2" w:rsidRDefault="002A3255" w:rsidP="008155D0">
    <w:pPr>
      <w:pStyle w:val="Footerodd"/>
    </w:pPr>
    <w:r w:rsidRPr="005A5C42">
      <w:rPr>
        <w:rStyle w:val="PageNumber"/>
        <w:rFonts w:asciiTheme="majorHAnsi" w:hAnsiTheme="majorHAnsi"/>
      </w:rPr>
      <w:t>2019-20</w:t>
    </w:r>
    <w:r>
      <w:rPr>
        <w:rStyle w:val="PageNumber"/>
        <w:rFonts w:asciiTheme="majorHAnsi" w:hAnsiTheme="majorHAnsi"/>
      </w:rPr>
      <w:t xml:space="preserve"> Budget Update</w:t>
    </w:r>
    <w:r w:rsidRPr="00BA26F2">
      <w:tab/>
    </w:r>
    <w:r>
      <w:t>Style conventions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00DC" w14:textId="0C27E818" w:rsidR="00F033D6" w:rsidRPr="00F033D6" w:rsidRDefault="00F033D6" w:rsidP="00F033D6">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B98D" w14:textId="3F59415F" w:rsidR="00F033D6" w:rsidRPr="00F033D6" w:rsidRDefault="00F033D6" w:rsidP="00F033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22853" w14:textId="5D85103C" w:rsidR="002A3255" w:rsidRPr="00BA26F2" w:rsidRDefault="002A3255" w:rsidP="008155D0">
    <w:pPr>
      <w:pStyle w:val="Footerodd"/>
    </w:pPr>
    <w:r w:rsidRPr="00BA26F2">
      <w:rPr>
        <w:rStyle w:val="PageNumber"/>
        <w:rFonts w:asciiTheme="majorHAnsi" w:hAnsiTheme="majorHAnsi"/>
      </w:rPr>
      <w:fldChar w:fldCharType="begin"/>
    </w:r>
    <w:r>
      <w:rPr>
        <w:rStyle w:val="PageNumber"/>
        <w:rFonts w:asciiTheme="majorHAnsi" w:hAnsiTheme="majorHAnsi"/>
      </w:rPr>
      <w:instrText xml:space="preserve"> DOCPROPERTY  Subject </w:instrText>
    </w:r>
    <w:r w:rsidRPr="00BA26F2">
      <w:rPr>
        <w:rStyle w:val="PageNumber"/>
        <w:rFonts w:asciiTheme="majorHAnsi" w:hAnsiTheme="majorHAnsi"/>
      </w:rPr>
      <w:fldChar w:fldCharType="separate"/>
    </w:r>
    <w:r w:rsidR="00F033D6">
      <w:rPr>
        <w:rStyle w:val="PageNumber"/>
        <w:rFonts w:asciiTheme="majorHAnsi" w:hAnsiTheme="majorHAnsi"/>
      </w:rPr>
      <w:t>[publication name]</w:t>
    </w:r>
    <w:r w:rsidRPr="00BA26F2">
      <w:rPr>
        <w:rStyle w:val="PageNumber"/>
        <w:rFonts w:asciiTheme="majorHAnsi" w:hAnsiTheme="majorHAnsi"/>
      </w:rPr>
      <w:fldChar w:fldCharType="end"/>
    </w:r>
    <w:r w:rsidRPr="00BA26F2">
      <w:tab/>
    </w:r>
    <w:r w:rsidRPr="00BA26F2">
      <w:fldChar w:fldCharType="begin"/>
    </w:r>
    <w:r>
      <w:instrText xml:space="preserve"> DOCPROPERTY  ChapterNumber </w:instrText>
    </w:r>
    <w:r w:rsidRPr="00BA26F2">
      <w:fldChar w:fldCharType="separate"/>
    </w:r>
    <w:r w:rsidR="00F033D6">
      <w:t>[chapter number]</w:t>
    </w:r>
    <w:r w:rsidRPr="00BA26F2">
      <w:fldChar w:fldCharType="end"/>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6896" w14:textId="77777777" w:rsidR="002A3255" w:rsidRPr="00D90086" w:rsidRDefault="002A3255" w:rsidP="004D6E38">
    <w:pPr>
      <w:pStyle w:val="Footereven"/>
      <w:tabs>
        <w:tab w:val="clear" w:pos="3062"/>
        <w:tab w:val="center" w:pos="3052"/>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Chapter 1</w:t>
    </w:r>
    <w:r w:rsidRPr="00D90086">
      <w:tab/>
    </w:r>
    <w:r w:rsidRPr="00BE338E">
      <w:rPr>
        <w:rStyle w:val="PageNumber"/>
        <w:rFonts w:asciiTheme="majorHAnsi" w:hAnsiTheme="majorHAnsi"/>
      </w:rPr>
      <w:t>2019-20</w:t>
    </w:r>
    <w:r w:rsidRPr="009344B5">
      <w:rPr>
        <w:rStyle w:val="PageNumber"/>
        <w:rFonts w:asciiTheme="majorHAnsi" w:hAnsiTheme="majorHAnsi"/>
      </w:rPr>
      <w:t xml:space="preserve"> Budget Update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B765" w14:textId="77777777" w:rsidR="002A3255" w:rsidRPr="00BA26F2" w:rsidRDefault="002A3255" w:rsidP="004D6E38">
    <w:pPr>
      <w:pStyle w:val="Footerodd"/>
    </w:pPr>
    <w:r w:rsidRPr="009344B5">
      <w:t>201</w:t>
    </w:r>
    <w:r>
      <w:t>9</w:t>
    </w:r>
    <w:r w:rsidRPr="009344B5">
      <w:t>-</w:t>
    </w:r>
    <w:r>
      <w:t>20</w:t>
    </w:r>
    <w:r w:rsidRPr="009344B5">
      <w:t xml:space="preserve"> Budget Update</w:t>
    </w:r>
    <w:r w:rsidRPr="00BA26F2">
      <w:tab/>
    </w:r>
    <w:r>
      <w:t>Chapter 1</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3ABB" w14:textId="77777777" w:rsidR="002A3255" w:rsidRPr="00BA26F2" w:rsidRDefault="002A3255" w:rsidP="008155D0">
    <w:pPr>
      <w:pStyle w:val="Footerodd"/>
    </w:pPr>
    <w:r>
      <w:rPr>
        <w:rStyle w:val="PageNumber"/>
        <w:rFonts w:asciiTheme="majorHAnsi" w:hAnsiTheme="majorHAnsi"/>
      </w:rPr>
      <w:t>2018-19 Victorian Economic Statement</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6F279" w14:textId="77777777" w:rsidR="002A3255" w:rsidRDefault="002A3255" w:rsidP="00964B88">
      <w:pPr>
        <w:spacing w:before="0"/>
      </w:pPr>
      <w:r>
        <w:separator/>
      </w:r>
    </w:p>
  </w:footnote>
  <w:footnote w:type="continuationSeparator" w:id="0">
    <w:p w14:paraId="77D706B3" w14:textId="77777777" w:rsidR="002A3255" w:rsidRDefault="002A3255" w:rsidP="00964B88">
      <w:pPr>
        <w:spacing w:before="0"/>
      </w:pPr>
      <w:r>
        <w:continuationSeparator/>
      </w:r>
    </w:p>
  </w:footnote>
  <w:footnote w:id="1">
    <w:p w14:paraId="6C199E4D" w14:textId="77777777" w:rsidR="002A3255" w:rsidRPr="007F6536" w:rsidRDefault="002A3255" w:rsidP="00F53820">
      <w:pPr>
        <w:pStyle w:val="FootnoteText"/>
        <w:rPr>
          <w:lang w:val="en-AU"/>
        </w:rPr>
      </w:pPr>
      <w:r>
        <w:rPr>
          <w:rStyle w:val="FootnoteReference"/>
        </w:rPr>
        <w:footnoteRef/>
      </w:r>
      <w:r>
        <w:t xml:space="preserve"> </w:t>
      </w:r>
      <w:r w:rsidRPr="007F6536">
        <w:t>The results generated in each scenario are mutually exclusive and non-additive.</w:t>
      </w:r>
    </w:p>
  </w:footnote>
  <w:footnote w:id="2">
    <w:p w14:paraId="2DDAD191" w14:textId="489BD4B1" w:rsidR="002A3255" w:rsidRPr="00FF4BC4" w:rsidRDefault="002A3255" w:rsidP="00F53820">
      <w:pPr>
        <w:pStyle w:val="FootnoteText"/>
        <w:rPr>
          <w:color w:val="FF0000"/>
          <w:lang w:val="en-AU"/>
        </w:rPr>
      </w:pPr>
      <w:r w:rsidRPr="00AD0B5E">
        <w:rPr>
          <w:rStyle w:val="FootnoteReference"/>
          <w:color w:val="000000" w:themeColor="text1"/>
        </w:rPr>
        <w:footnoteRef/>
      </w:r>
      <w:r w:rsidRPr="00AD0B5E">
        <w:rPr>
          <w:color w:val="000000" w:themeColor="text1"/>
        </w:rPr>
        <w:t xml:space="preserve"> VURM is a dynamic computable general equilibrium model, which has been modified to model two economies: Victoria and the rest of Australia. See </w:t>
      </w:r>
      <w:r>
        <w:rPr>
          <w:color w:val="000000" w:themeColor="text1"/>
        </w:rPr>
        <w:t>Adams, P</w:t>
      </w:r>
      <w:r w:rsidRPr="00AD0B5E">
        <w:rPr>
          <w:color w:val="000000" w:themeColor="text1"/>
        </w:rPr>
        <w:t>., Dixon, J., &amp; Horridge, M. (2015), ‘The Victoria University Regional Model (VURM): Technical Documentation, Version 1.0’, CoPS/IMPACT Working Paper Number G</w:t>
      </w:r>
      <w:r w:rsidRPr="00AD0B5E">
        <w:rPr>
          <w:color w:val="000000" w:themeColor="text1"/>
        </w:rPr>
        <w:noBreakHyphen/>
        <w:t xml:space="preserve">254 for a more detailed description of the model (available from </w:t>
      </w:r>
      <w:hyperlink r:id="rId1" w:history="1">
        <w:r w:rsidRPr="00AD0B5E">
          <w:rPr>
            <w:rStyle w:val="Hyperlink"/>
            <w:color w:val="000000" w:themeColor="text1"/>
          </w:rPr>
          <w:t>www.copsmodels.com/ftp/workpapr/g-254.pdf</w:t>
        </w:r>
      </w:hyperlink>
      <w:r w:rsidRPr="00AD0B5E">
        <w:rPr>
          <w:color w:val="000000" w:themeColor="text1"/>
        </w:rPr>
        <w:t>).</w:t>
      </w:r>
    </w:p>
  </w:footnote>
  <w:footnote w:id="3">
    <w:p w14:paraId="3EA684F6" w14:textId="77777777" w:rsidR="002A3255" w:rsidRPr="007B7A26" w:rsidRDefault="002A3255" w:rsidP="00F53820">
      <w:pPr>
        <w:pStyle w:val="FootnoteText"/>
        <w:rPr>
          <w:lang w:val="en-AU"/>
        </w:rPr>
      </w:pPr>
      <w:r w:rsidRPr="007008E0">
        <w:rPr>
          <w:rStyle w:val="FootnoteReference"/>
        </w:rPr>
        <w:footnoteRef/>
      </w:r>
      <w:r w:rsidRPr="007008E0">
        <w:t xml:space="preserve"> The Department of Treasury and Finance maintains a comprehensive set of elasticities covering the relationship between major economic parameters and all revenue and expenditure lines, including superannuation, and dividends and income tax equivalents</w:t>
      </w:r>
      <w:r>
        <w:t xml:space="preserve"> </w:t>
      </w:r>
      <w:r w:rsidRPr="007008E0">
        <w:t>from the public financial</w:t>
      </w:r>
      <w:r>
        <w:t xml:space="preserve"> </w:t>
      </w:r>
      <w:r w:rsidRPr="007008E0">
        <w:t>and non-financial corporations</w:t>
      </w:r>
      <w:r>
        <w:t>.</w:t>
      </w:r>
    </w:p>
  </w:footnote>
  <w:footnote w:id="4">
    <w:p w14:paraId="1547B0AE" w14:textId="77777777" w:rsidR="002A3255" w:rsidRPr="00EB0D74" w:rsidRDefault="002A3255">
      <w:pPr>
        <w:pStyle w:val="FootnoteText"/>
        <w:rPr>
          <w:lang w:val="en-AU"/>
        </w:rPr>
      </w:pPr>
      <w:r>
        <w:rPr>
          <w:rStyle w:val="FootnoteReference"/>
        </w:rPr>
        <w:footnoteRef/>
      </w:r>
      <w:r>
        <w:t xml:space="preserve"> </w:t>
      </w:r>
      <w:r w:rsidRPr="00EB0D74">
        <w:t>For the calculation of revenue impacts, population estimates for states other than Victoria have been adjusted such that the decrease in Victoria</w:t>
      </w:r>
      <w:r>
        <w:t>’</w:t>
      </w:r>
      <w:r w:rsidRPr="00EB0D74">
        <w:t>s population share is absorbed as an increase in other states</w:t>
      </w:r>
      <w:r>
        <w:t>’ populations</w:t>
      </w:r>
      <w:r w:rsidRPr="00EB0D74">
        <w:t xml:space="preserve"> in proportion to their share of the Australian population (excluding Victoria) in the base case. The demographic, geographic and socioeconomic distribution of the states</w:t>
      </w:r>
      <w:r>
        <w:t>’</w:t>
      </w:r>
      <w:r w:rsidRPr="00EB0D74">
        <w:t xml:space="preserve"> populations are assumed as unchanged in the shock.</w:t>
      </w:r>
    </w:p>
  </w:footnote>
  <w:footnote w:id="5">
    <w:p w14:paraId="7A51B87B" w14:textId="77777777" w:rsidR="002A3255" w:rsidRPr="00F87EA3" w:rsidRDefault="002A3255" w:rsidP="00F53820">
      <w:pPr>
        <w:pStyle w:val="FootnoteText"/>
        <w:rPr>
          <w:lang w:val="en-AU"/>
        </w:rPr>
      </w:pPr>
      <w:r>
        <w:rPr>
          <w:rStyle w:val="FootnoteReference"/>
        </w:rPr>
        <w:footnoteRef/>
      </w:r>
      <w:r>
        <w:t xml:space="preserve"> T</w:t>
      </w:r>
      <w:r>
        <w:rPr>
          <w:lang w:val="en-AU"/>
        </w:rPr>
        <w:t>he term NAIRU refers to the rate of unemployment at which the rate of inflation is constant. That is, prices are changing, but not accelerating. The NAIRU is also slightly different from the concept of a ‘natural rate of unemployment’, which is a broader concept that refers to the</w:t>
      </w:r>
      <w:r w:rsidRPr="00A4310F">
        <w:rPr>
          <w:lang w:val="en-AU"/>
        </w:rPr>
        <w:t xml:space="preserve"> </w:t>
      </w:r>
      <w:r>
        <w:rPr>
          <w:lang w:val="en-AU"/>
        </w:rPr>
        <w:t>rate of</w:t>
      </w:r>
      <w:r w:rsidRPr="00A4310F">
        <w:rPr>
          <w:lang w:val="en-AU"/>
        </w:rPr>
        <w:t xml:space="preserve"> unemployment that </w:t>
      </w:r>
      <w:r>
        <w:rPr>
          <w:lang w:val="en-AU"/>
        </w:rPr>
        <w:t>exists</w:t>
      </w:r>
      <w:r w:rsidRPr="00A4310F">
        <w:rPr>
          <w:lang w:val="en-AU"/>
        </w:rPr>
        <w:t xml:space="preserve"> when </w:t>
      </w:r>
      <w:r>
        <w:rPr>
          <w:lang w:val="en-AU"/>
        </w:rPr>
        <w:t>an economy is in long</w:t>
      </w:r>
      <w:r>
        <w:rPr>
          <w:lang w:val="en-AU"/>
        </w:rPr>
        <w:noBreakHyphen/>
        <w:t>run</w:t>
      </w:r>
      <w:r w:rsidRPr="00A4310F">
        <w:rPr>
          <w:lang w:val="en-AU"/>
        </w:rPr>
        <w:t xml:space="preserve"> equilibrium</w:t>
      </w:r>
      <w:r>
        <w:rPr>
          <w:lang w:val="en-AU"/>
        </w:rPr>
        <w:t xml:space="preserve"> and not affected by cyclical unemployment driven by short</w:t>
      </w:r>
      <w:r>
        <w:rPr>
          <w:lang w:val="en-AU"/>
        </w:rPr>
        <w:noBreakHyphen/>
        <w:t>run rigidities in both labour and product markets</w:t>
      </w:r>
      <w:r w:rsidRPr="00A4310F">
        <w:rPr>
          <w:lang w:val="en-AU"/>
        </w:rPr>
        <w:t>.</w:t>
      </w:r>
    </w:p>
  </w:footnote>
  <w:footnote w:id="6">
    <w:p w14:paraId="2C1F4C82" w14:textId="77777777" w:rsidR="002A3255" w:rsidRPr="001E33FE" w:rsidRDefault="002A3255" w:rsidP="00F53820">
      <w:pPr>
        <w:pStyle w:val="FootnoteText"/>
        <w:rPr>
          <w:lang w:val="en-AU"/>
        </w:rPr>
      </w:pPr>
      <w:r>
        <w:rPr>
          <w:rStyle w:val="FootnoteReference"/>
        </w:rPr>
        <w:footnoteRef/>
      </w:r>
      <w:r>
        <w:t xml:space="preserve"> </w:t>
      </w:r>
      <w:r w:rsidRPr="001E33FE">
        <w:t>The estimated Victorian NAIRU is incorporated into the central forecasts as the trend unemployment rate achieved in the final year of the forecasts, when the labour market is assumed to be in equilibrium.</w:t>
      </w:r>
      <w:r>
        <w:t xml:space="preserve"> The trend rate of inflation is the midpoint of the RBA’s cash rate target band, or 2.5 per cent. </w:t>
      </w:r>
    </w:p>
  </w:footnote>
  <w:footnote w:id="7">
    <w:p w14:paraId="47C6DA96" w14:textId="77777777" w:rsidR="002A3255" w:rsidRPr="00A9268B" w:rsidRDefault="002A3255" w:rsidP="00F53820">
      <w:pPr>
        <w:pStyle w:val="FootnoteText"/>
        <w:rPr>
          <w:lang w:val="en-AU"/>
        </w:rPr>
      </w:pPr>
      <w:r>
        <w:rPr>
          <w:rStyle w:val="FootnoteReference"/>
        </w:rPr>
        <w:footnoteRef/>
      </w:r>
      <w:r>
        <w:t xml:space="preserve"> </w:t>
      </w:r>
      <w:r w:rsidRPr="00C2161B">
        <w:t xml:space="preserve">Another consideration is that the labour market may exhibit </w:t>
      </w:r>
      <w:r>
        <w:t>‘</w:t>
      </w:r>
      <w:r w:rsidRPr="00C2161B">
        <w:t>hysteresis</w:t>
      </w:r>
      <w:r>
        <w:t>’</w:t>
      </w:r>
      <w:r w:rsidRPr="00C2161B">
        <w:t xml:space="preserve"> effects, meaning that any transmission of short</w:t>
      </w:r>
      <w:r>
        <w:t>-</w:t>
      </w:r>
      <w:r w:rsidRPr="00C2161B">
        <w:t>run deviations in the unemployment rate to the long</w:t>
      </w:r>
      <w:r>
        <w:t>-</w:t>
      </w:r>
      <w:r w:rsidRPr="00C2161B">
        <w:t>run unemployment rate need</w:t>
      </w:r>
      <w:r>
        <w:t>s</w:t>
      </w:r>
      <w:r w:rsidRPr="00C2161B">
        <w:t xml:space="preserve"> to be taken into account. </w:t>
      </w:r>
      <w:r>
        <w:rPr>
          <w:lang w:val="en-AU"/>
        </w:rPr>
        <w:t>‘Hysteresis’ refers to instances where single, short</w:t>
      </w:r>
      <w:r>
        <w:rPr>
          <w:lang w:val="en-AU"/>
        </w:rPr>
        <w:noBreakHyphen/>
        <w:t>run disturbances in the economy affect the long</w:t>
      </w:r>
      <w:r>
        <w:rPr>
          <w:lang w:val="en-AU"/>
        </w:rPr>
        <w:noBreakHyphen/>
        <w:t>run trajectory of economic growth. In the labour market, these types of disturbances can affect estimates of the NAIRU. An example of this in the Australian context is the large increase in long</w:t>
      </w:r>
      <w:r>
        <w:rPr>
          <w:lang w:val="en-AU"/>
        </w:rPr>
        <w:noBreakHyphen/>
        <w:t>term unemployment as a result of the 1991</w:t>
      </w:r>
      <w:r>
        <w:rPr>
          <w:lang w:val="en-AU"/>
        </w:rPr>
        <w:noBreakHyphen/>
        <w:t xml:space="preserve">92 recession.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3B23" w14:textId="77777777" w:rsidR="00F033D6" w:rsidRDefault="00F033D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D010" w14:textId="77777777" w:rsidR="002A3255" w:rsidRDefault="002A325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E916" w14:textId="77777777" w:rsidR="002A3255" w:rsidRDefault="002A325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62CB" w14:textId="77777777" w:rsidR="002A3255" w:rsidRDefault="002A325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6E3D" w14:textId="77777777" w:rsidR="002A3255" w:rsidRDefault="002A325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FB8D" w14:textId="77777777" w:rsidR="002A3255" w:rsidRDefault="002A325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C8E8" w14:textId="77777777" w:rsidR="002A3255" w:rsidRDefault="002A325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C79E" w14:textId="77777777" w:rsidR="002A3255" w:rsidRDefault="002A325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F1129" w14:textId="77777777" w:rsidR="002A3255" w:rsidRDefault="002A325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BBB8" w14:textId="77777777" w:rsidR="002A3255" w:rsidRDefault="002A325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D427" w14:textId="77777777" w:rsidR="002A3255" w:rsidRDefault="002A3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D049" w14:textId="77777777" w:rsidR="00F033D6" w:rsidRDefault="00F033D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49CA" w14:textId="77777777" w:rsidR="002A3255" w:rsidRDefault="002A325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629E" w14:textId="77777777" w:rsidR="002A3255" w:rsidRDefault="002A325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099C" w14:textId="77777777" w:rsidR="002A3255" w:rsidRDefault="002A325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4771D" w14:textId="77777777" w:rsidR="002A3255" w:rsidRDefault="002A325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7DAF" w14:textId="77777777" w:rsidR="002A3255" w:rsidRDefault="002A325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F0ED" w14:textId="77777777" w:rsidR="002A3255" w:rsidRDefault="002A325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4D024" w14:textId="77777777" w:rsidR="002A3255" w:rsidRDefault="002A325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6D10" w14:textId="77777777" w:rsidR="002A3255" w:rsidRDefault="002A325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A82AA" w14:textId="77777777" w:rsidR="002A3255" w:rsidRDefault="002A325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F41E" w14:textId="77777777" w:rsidR="002A3255" w:rsidRDefault="002A3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98F1D" w14:textId="77777777" w:rsidR="00F033D6" w:rsidRDefault="00F033D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8E14" w14:textId="77777777" w:rsidR="002A3255" w:rsidRDefault="002A325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A32D" w14:textId="77777777" w:rsidR="002A3255" w:rsidRDefault="002A325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B9C9" w14:textId="77777777" w:rsidR="002A3255" w:rsidRDefault="002A325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EA81" w14:textId="77777777" w:rsidR="002A3255" w:rsidRDefault="002A325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A5C6" w14:textId="77777777" w:rsidR="002A3255" w:rsidRDefault="002A325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7036" w14:textId="77777777" w:rsidR="002A3255" w:rsidRDefault="002A325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B1A1" w14:textId="77777777" w:rsidR="002A3255" w:rsidRDefault="002A325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EE73" w14:textId="77777777" w:rsidR="002A3255" w:rsidRDefault="002A325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EC8A" w14:textId="77777777" w:rsidR="002A3255" w:rsidRDefault="002A3255">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85BD2" w14:textId="77777777" w:rsidR="002A3255" w:rsidRDefault="002A32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B886B" w14:textId="77777777" w:rsidR="002A3255" w:rsidRDefault="002A325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687C" w14:textId="77777777" w:rsidR="002A3255" w:rsidRDefault="002A325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B721F" w14:textId="77777777" w:rsidR="002A3255" w:rsidRDefault="002A3255">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7C13" w14:textId="77777777" w:rsidR="002A3255" w:rsidRDefault="002A325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67E0" w14:textId="77777777" w:rsidR="002A3255" w:rsidRDefault="002A325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BD0B" w14:textId="77777777" w:rsidR="002A3255" w:rsidRDefault="002A3255">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5712" w14:textId="77777777" w:rsidR="002A3255" w:rsidRDefault="002A325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7EE5" w14:textId="77777777" w:rsidR="002A3255" w:rsidRDefault="002A325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46DD" w14:textId="77777777" w:rsidR="002A3255" w:rsidRDefault="002A3255">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1EBF" w14:textId="77777777" w:rsidR="002A3255" w:rsidRDefault="002A3255">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2E2CC" w14:textId="77777777" w:rsidR="002A3255" w:rsidRDefault="002A32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50D9F" w14:textId="77777777" w:rsidR="002A3255" w:rsidRDefault="002A3255">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D982" w14:textId="77777777" w:rsidR="002A3255" w:rsidRDefault="002A3255">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1C3C" w14:textId="77777777" w:rsidR="002A3255" w:rsidRDefault="002A32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540B" w14:textId="77777777" w:rsidR="002A3255" w:rsidRDefault="002A32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4075" w14:textId="77777777" w:rsidR="002A3255" w:rsidRDefault="002A32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B233" w14:textId="77777777" w:rsidR="002A3255" w:rsidRDefault="002A325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38EA" w14:textId="77777777" w:rsidR="002A3255" w:rsidRDefault="002A3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4" w15:restartNumberingAfterBreak="0">
    <w:nsid w:val="06EE77F9"/>
    <w:multiLevelType w:val="multilevel"/>
    <w:tmpl w:val="F104AB12"/>
    <w:numStyleLink w:val="NumberedHeadings"/>
  </w:abstractNum>
  <w:abstractNum w:abstractNumId="5"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4561F"/>
    <w:multiLevelType w:val="hybridMultilevel"/>
    <w:tmpl w:val="A9722BC8"/>
    <w:lvl w:ilvl="0" w:tplc="58AE7D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431070"/>
    <w:multiLevelType w:val="multilevel"/>
    <w:tmpl w:val="F7AC3EE2"/>
    <w:lvl w:ilvl="0">
      <w:start w:val="4"/>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B695180"/>
    <w:multiLevelType w:val="multilevel"/>
    <w:tmpl w:val="5E22C0F8"/>
    <w:numStyleLink w:val="Bullet"/>
  </w:abstractNum>
  <w:abstractNum w:abstractNumId="16" w15:restartNumberingAfterBreak="0">
    <w:nsid w:val="608B11F2"/>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sz w:val="20"/>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CFF3731"/>
    <w:multiLevelType w:val="multilevel"/>
    <w:tmpl w:val="7500EB92"/>
    <w:numStyleLink w:val="Number"/>
  </w:abstractNum>
  <w:abstractNum w:abstractNumId="19" w15:restartNumberingAfterBreak="0">
    <w:nsid w:val="6EE34E10"/>
    <w:multiLevelType w:val="multilevel"/>
    <w:tmpl w:val="D9F407CA"/>
    <w:lvl w:ilvl="0">
      <w:start w:val="1"/>
      <w:numFmt w:val="upperLetter"/>
      <w:pStyle w:val="Heading3NumberingBP4"/>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7E71996"/>
    <w:multiLevelType w:val="multilevel"/>
    <w:tmpl w:val="5CF81E6C"/>
    <w:styleLink w:val="Headingstyles"/>
    <w:lvl w:ilvl="0">
      <w:start w:val="1"/>
      <w:numFmt w:val="decimal"/>
      <w:lvlText w:val="%1."/>
      <w:lvlJc w:val="left"/>
      <w:pPr>
        <w:ind w:left="432" w:hanging="432"/>
      </w:pPr>
      <w:rPr>
        <w:rFonts w:hint="default"/>
        <w:b/>
        <w:i w:val="0"/>
        <w:color w:val="0063A6" w:themeColor="accent1"/>
        <w:sz w:val="32"/>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EE319CD"/>
    <w:multiLevelType w:val="hybridMultilevel"/>
    <w:tmpl w:val="12B0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0"/>
  </w:num>
  <w:num w:numId="5">
    <w:abstractNumId w:val="12"/>
  </w:num>
  <w:num w:numId="6">
    <w:abstractNumId w:val="14"/>
  </w:num>
  <w:num w:numId="7">
    <w:abstractNumId w:val="15"/>
  </w:num>
  <w:num w:numId="8">
    <w:abstractNumId w:val="18"/>
  </w:num>
  <w:num w:numId="9">
    <w:abstractNumId w:val="1"/>
  </w:num>
  <w:num w:numId="10">
    <w:abstractNumId w:val="0"/>
  </w:num>
  <w:num w:numId="11">
    <w:abstractNumId w:val="9"/>
  </w:num>
  <w:num w:numId="12">
    <w:abstractNumId w:val="5"/>
  </w:num>
  <w:num w:numId="13">
    <w:abstractNumId w:val="17"/>
  </w:num>
  <w:num w:numId="14">
    <w:abstractNumId w:val="4"/>
  </w:num>
  <w:num w:numId="15">
    <w:abstractNumId w:val="20"/>
  </w:num>
  <w:num w:numId="16">
    <w:abstractNumId w:val="3"/>
  </w:num>
  <w:num w:numId="17">
    <w:abstractNumId w:val="19"/>
  </w:num>
  <w:num w:numId="18">
    <w:abstractNumId w:val="8"/>
  </w:num>
  <w:num w:numId="19">
    <w:abstractNumId w:val="21"/>
  </w:num>
  <w:num w:numId="20">
    <w:abstractNumId w:val="15"/>
    <w:lvlOverride w:ilvl="0">
      <w:lvl w:ilvl="0">
        <w:start w:val="1"/>
        <w:numFmt w:val="bullet"/>
        <w:pStyle w:val="ListBullet"/>
        <w:lvlText w:val=""/>
        <w:lvlJc w:val="left"/>
        <w:pPr>
          <w:ind w:left="284" w:hanging="284"/>
        </w:pPr>
        <w:rPr>
          <w:rFonts w:ascii="Symbol" w:hAnsi="Symbol" w:hint="default"/>
          <w:sz w:val="20"/>
          <w:szCs w:val="20"/>
        </w:rPr>
      </w:lvl>
    </w:lvlOverride>
  </w:num>
  <w:num w:numId="21">
    <w:abstractNumId w:val="16"/>
  </w:num>
  <w:num w:numId="22">
    <w:abstractNumId w:val="7"/>
  </w:num>
  <w:num w:numId="23">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294D"/>
    <w:rsid w:val="00001A3C"/>
    <w:rsid w:val="000068BC"/>
    <w:rsid w:val="00017EF2"/>
    <w:rsid w:val="000256AE"/>
    <w:rsid w:val="00042ABE"/>
    <w:rsid w:val="00055A63"/>
    <w:rsid w:val="00056736"/>
    <w:rsid w:val="00057EFB"/>
    <w:rsid w:val="00064F49"/>
    <w:rsid w:val="00073219"/>
    <w:rsid w:val="00073EFA"/>
    <w:rsid w:val="0007698C"/>
    <w:rsid w:val="00082872"/>
    <w:rsid w:val="00082D1F"/>
    <w:rsid w:val="0009147C"/>
    <w:rsid w:val="000915C9"/>
    <w:rsid w:val="000A03F9"/>
    <w:rsid w:val="000A07AD"/>
    <w:rsid w:val="000A2CDF"/>
    <w:rsid w:val="000C1B0B"/>
    <w:rsid w:val="000C43CD"/>
    <w:rsid w:val="000C68FD"/>
    <w:rsid w:val="000C6A23"/>
    <w:rsid w:val="000D0ECF"/>
    <w:rsid w:val="000D53D5"/>
    <w:rsid w:val="000D5949"/>
    <w:rsid w:val="000E037E"/>
    <w:rsid w:val="000E04E7"/>
    <w:rsid w:val="000E1A6C"/>
    <w:rsid w:val="000E2126"/>
    <w:rsid w:val="000E28B3"/>
    <w:rsid w:val="000F140B"/>
    <w:rsid w:val="000F34B0"/>
    <w:rsid w:val="000F5BCA"/>
    <w:rsid w:val="00103DE5"/>
    <w:rsid w:val="00104F1A"/>
    <w:rsid w:val="00113667"/>
    <w:rsid w:val="00120B97"/>
    <w:rsid w:val="001212DB"/>
    <w:rsid w:val="001213D6"/>
    <w:rsid w:val="00124F13"/>
    <w:rsid w:val="00132069"/>
    <w:rsid w:val="00150302"/>
    <w:rsid w:val="001506B1"/>
    <w:rsid w:val="00157D89"/>
    <w:rsid w:val="00160DB5"/>
    <w:rsid w:val="00166699"/>
    <w:rsid w:val="001675E6"/>
    <w:rsid w:val="00175389"/>
    <w:rsid w:val="001808F7"/>
    <w:rsid w:val="001845E1"/>
    <w:rsid w:val="00185B60"/>
    <w:rsid w:val="001B04ED"/>
    <w:rsid w:val="001B3B72"/>
    <w:rsid w:val="001D7A51"/>
    <w:rsid w:val="001E6E6F"/>
    <w:rsid w:val="001F4F51"/>
    <w:rsid w:val="002065D0"/>
    <w:rsid w:val="00210496"/>
    <w:rsid w:val="00212222"/>
    <w:rsid w:val="00214AB1"/>
    <w:rsid w:val="00220042"/>
    <w:rsid w:val="00220E35"/>
    <w:rsid w:val="00222883"/>
    <w:rsid w:val="00237563"/>
    <w:rsid w:val="00241BC9"/>
    <w:rsid w:val="00247670"/>
    <w:rsid w:val="00253619"/>
    <w:rsid w:val="00255A9A"/>
    <w:rsid w:val="0025669F"/>
    <w:rsid w:val="00257E89"/>
    <w:rsid w:val="00260DE7"/>
    <w:rsid w:val="00271E79"/>
    <w:rsid w:val="00294556"/>
    <w:rsid w:val="00295E0F"/>
    <w:rsid w:val="00296CF7"/>
    <w:rsid w:val="002A0391"/>
    <w:rsid w:val="002A3255"/>
    <w:rsid w:val="002A57BB"/>
    <w:rsid w:val="002B3B71"/>
    <w:rsid w:val="002B3E8C"/>
    <w:rsid w:val="002B526C"/>
    <w:rsid w:val="002B7DE4"/>
    <w:rsid w:val="002C3386"/>
    <w:rsid w:val="002C3B94"/>
    <w:rsid w:val="002C3F78"/>
    <w:rsid w:val="002C5BE1"/>
    <w:rsid w:val="002C6EA8"/>
    <w:rsid w:val="002D040C"/>
    <w:rsid w:val="002D47C9"/>
    <w:rsid w:val="002E628D"/>
    <w:rsid w:val="002F7BBC"/>
    <w:rsid w:val="00301106"/>
    <w:rsid w:val="00306EAE"/>
    <w:rsid w:val="0033621D"/>
    <w:rsid w:val="003371B4"/>
    <w:rsid w:val="00337317"/>
    <w:rsid w:val="0034185B"/>
    <w:rsid w:val="00343667"/>
    <w:rsid w:val="00347922"/>
    <w:rsid w:val="00357C4E"/>
    <w:rsid w:val="00360393"/>
    <w:rsid w:val="00363B60"/>
    <w:rsid w:val="003703D1"/>
    <w:rsid w:val="003741F4"/>
    <w:rsid w:val="0037430B"/>
    <w:rsid w:val="00377B81"/>
    <w:rsid w:val="003805EF"/>
    <w:rsid w:val="003825F8"/>
    <w:rsid w:val="0038681A"/>
    <w:rsid w:val="00390A50"/>
    <w:rsid w:val="0039234B"/>
    <w:rsid w:val="003951F6"/>
    <w:rsid w:val="00395FF7"/>
    <w:rsid w:val="00397E96"/>
    <w:rsid w:val="003A0816"/>
    <w:rsid w:val="003A1578"/>
    <w:rsid w:val="003A1BBB"/>
    <w:rsid w:val="003A5819"/>
    <w:rsid w:val="003B6A79"/>
    <w:rsid w:val="003B7550"/>
    <w:rsid w:val="003C5DBD"/>
    <w:rsid w:val="003C75BF"/>
    <w:rsid w:val="003D279B"/>
    <w:rsid w:val="003D7FD7"/>
    <w:rsid w:val="003E58E4"/>
    <w:rsid w:val="003E68E6"/>
    <w:rsid w:val="003E7CD9"/>
    <w:rsid w:val="00402880"/>
    <w:rsid w:val="00403881"/>
    <w:rsid w:val="00407B77"/>
    <w:rsid w:val="00407F41"/>
    <w:rsid w:val="0042008E"/>
    <w:rsid w:val="00423170"/>
    <w:rsid w:val="00424473"/>
    <w:rsid w:val="00424959"/>
    <w:rsid w:val="00432BD8"/>
    <w:rsid w:val="00440992"/>
    <w:rsid w:val="004419CD"/>
    <w:rsid w:val="00441FC3"/>
    <w:rsid w:val="00450141"/>
    <w:rsid w:val="00454513"/>
    <w:rsid w:val="00474C53"/>
    <w:rsid w:val="00475D53"/>
    <w:rsid w:val="0048693C"/>
    <w:rsid w:val="0048771F"/>
    <w:rsid w:val="00493C2E"/>
    <w:rsid w:val="00495025"/>
    <w:rsid w:val="004964EC"/>
    <w:rsid w:val="00496B0F"/>
    <w:rsid w:val="004A59F9"/>
    <w:rsid w:val="004B1258"/>
    <w:rsid w:val="004B1F1F"/>
    <w:rsid w:val="004C1F0B"/>
    <w:rsid w:val="004C59E7"/>
    <w:rsid w:val="004D36D4"/>
    <w:rsid w:val="004D6E38"/>
    <w:rsid w:val="004E5C31"/>
    <w:rsid w:val="004F03F6"/>
    <w:rsid w:val="004F2F5C"/>
    <w:rsid w:val="004F3EFD"/>
    <w:rsid w:val="004F5AD4"/>
    <w:rsid w:val="004F6DBA"/>
    <w:rsid w:val="004F738A"/>
    <w:rsid w:val="00500DAE"/>
    <w:rsid w:val="00506B7C"/>
    <w:rsid w:val="0052294D"/>
    <w:rsid w:val="005243EA"/>
    <w:rsid w:val="005271FE"/>
    <w:rsid w:val="005307AA"/>
    <w:rsid w:val="0053103E"/>
    <w:rsid w:val="00531EF1"/>
    <w:rsid w:val="00535247"/>
    <w:rsid w:val="00536ACD"/>
    <w:rsid w:val="00541C6D"/>
    <w:rsid w:val="00542B89"/>
    <w:rsid w:val="00545C39"/>
    <w:rsid w:val="005563E9"/>
    <w:rsid w:val="00556B3E"/>
    <w:rsid w:val="00560E01"/>
    <w:rsid w:val="005657B2"/>
    <w:rsid w:val="00566049"/>
    <w:rsid w:val="00566692"/>
    <w:rsid w:val="00573F75"/>
    <w:rsid w:val="00574728"/>
    <w:rsid w:val="00576C73"/>
    <w:rsid w:val="00580399"/>
    <w:rsid w:val="005852CA"/>
    <w:rsid w:val="0058536D"/>
    <w:rsid w:val="005903BA"/>
    <w:rsid w:val="00592933"/>
    <w:rsid w:val="005A0BEB"/>
    <w:rsid w:val="005A3B07"/>
    <w:rsid w:val="005B45CC"/>
    <w:rsid w:val="005C0288"/>
    <w:rsid w:val="005C09D4"/>
    <w:rsid w:val="005C62C6"/>
    <w:rsid w:val="005D108E"/>
    <w:rsid w:val="005D6A22"/>
    <w:rsid w:val="00600C46"/>
    <w:rsid w:val="00605A27"/>
    <w:rsid w:val="00606611"/>
    <w:rsid w:val="0061166E"/>
    <w:rsid w:val="00612683"/>
    <w:rsid w:val="006135D1"/>
    <w:rsid w:val="0061407E"/>
    <w:rsid w:val="00617210"/>
    <w:rsid w:val="00617936"/>
    <w:rsid w:val="0062070B"/>
    <w:rsid w:val="006243FE"/>
    <w:rsid w:val="0062613A"/>
    <w:rsid w:val="00627C2B"/>
    <w:rsid w:val="00635722"/>
    <w:rsid w:val="00644B4A"/>
    <w:rsid w:val="006479D1"/>
    <w:rsid w:val="006517D1"/>
    <w:rsid w:val="00651946"/>
    <w:rsid w:val="0065280D"/>
    <w:rsid w:val="00664667"/>
    <w:rsid w:val="0066512E"/>
    <w:rsid w:val="00676AAC"/>
    <w:rsid w:val="006773B4"/>
    <w:rsid w:val="00677990"/>
    <w:rsid w:val="006A1F6F"/>
    <w:rsid w:val="006A35C1"/>
    <w:rsid w:val="006C00EB"/>
    <w:rsid w:val="006C505F"/>
    <w:rsid w:val="006D4F41"/>
    <w:rsid w:val="006E0CA8"/>
    <w:rsid w:val="006E1EEA"/>
    <w:rsid w:val="006E2ADF"/>
    <w:rsid w:val="006E2BC5"/>
    <w:rsid w:val="006E400E"/>
    <w:rsid w:val="006E6F37"/>
    <w:rsid w:val="006F1D47"/>
    <w:rsid w:val="006F1F28"/>
    <w:rsid w:val="006F23B1"/>
    <w:rsid w:val="007021B4"/>
    <w:rsid w:val="00705B7B"/>
    <w:rsid w:val="007116A2"/>
    <w:rsid w:val="00720B4C"/>
    <w:rsid w:val="00722C32"/>
    <w:rsid w:val="00722E77"/>
    <w:rsid w:val="00725696"/>
    <w:rsid w:val="00725906"/>
    <w:rsid w:val="00726975"/>
    <w:rsid w:val="00726F1F"/>
    <w:rsid w:val="00727E4F"/>
    <w:rsid w:val="00731598"/>
    <w:rsid w:val="007346C0"/>
    <w:rsid w:val="007349CB"/>
    <w:rsid w:val="007352B3"/>
    <w:rsid w:val="0073799D"/>
    <w:rsid w:val="00737FCE"/>
    <w:rsid w:val="00741825"/>
    <w:rsid w:val="00743CE4"/>
    <w:rsid w:val="00751550"/>
    <w:rsid w:val="00753E64"/>
    <w:rsid w:val="007575FF"/>
    <w:rsid w:val="0076376B"/>
    <w:rsid w:val="007676F1"/>
    <w:rsid w:val="00771A05"/>
    <w:rsid w:val="00773F07"/>
    <w:rsid w:val="00790E40"/>
    <w:rsid w:val="00790FB8"/>
    <w:rsid w:val="007919BA"/>
    <w:rsid w:val="007925EF"/>
    <w:rsid w:val="00794C4A"/>
    <w:rsid w:val="0079507A"/>
    <w:rsid w:val="00797CD1"/>
    <w:rsid w:val="007A0D8B"/>
    <w:rsid w:val="007A11BE"/>
    <w:rsid w:val="007A4996"/>
    <w:rsid w:val="007A5BD1"/>
    <w:rsid w:val="007A7975"/>
    <w:rsid w:val="007B51DD"/>
    <w:rsid w:val="007D6D1A"/>
    <w:rsid w:val="007F1AAF"/>
    <w:rsid w:val="00801B7F"/>
    <w:rsid w:val="0080479F"/>
    <w:rsid w:val="00813A48"/>
    <w:rsid w:val="00814A7C"/>
    <w:rsid w:val="008155D0"/>
    <w:rsid w:val="00820AFD"/>
    <w:rsid w:val="00831AE5"/>
    <w:rsid w:val="0083463B"/>
    <w:rsid w:val="008428EF"/>
    <w:rsid w:val="0086442A"/>
    <w:rsid w:val="0086647D"/>
    <w:rsid w:val="00886DF7"/>
    <w:rsid w:val="0089207D"/>
    <w:rsid w:val="00893855"/>
    <w:rsid w:val="008A5A91"/>
    <w:rsid w:val="008A5F0E"/>
    <w:rsid w:val="008D128E"/>
    <w:rsid w:val="008D29E5"/>
    <w:rsid w:val="008D37BD"/>
    <w:rsid w:val="008D5DD6"/>
    <w:rsid w:val="008E1571"/>
    <w:rsid w:val="008E3105"/>
    <w:rsid w:val="008E469A"/>
    <w:rsid w:val="008E554D"/>
    <w:rsid w:val="00900DF0"/>
    <w:rsid w:val="0090119F"/>
    <w:rsid w:val="00901B8C"/>
    <w:rsid w:val="00903544"/>
    <w:rsid w:val="009046BD"/>
    <w:rsid w:val="009103EC"/>
    <w:rsid w:val="009146D5"/>
    <w:rsid w:val="009174A7"/>
    <w:rsid w:val="00917D22"/>
    <w:rsid w:val="00924B15"/>
    <w:rsid w:val="0092598A"/>
    <w:rsid w:val="00934FFB"/>
    <w:rsid w:val="00943EAD"/>
    <w:rsid w:val="00947417"/>
    <w:rsid w:val="009479BF"/>
    <w:rsid w:val="00950409"/>
    <w:rsid w:val="00950FB1"/>
    <w:rsid w:val="00952665"/>
    <w:rsid w:val="00953503"/>
    <w:rsid w:val="009556A3"/>
    <w:rsid w:val="00964B88"/>
    <w:rsid w:val="009754F2"/>
    <w:rsid w:val="0098338B"/>
    <w:rsid w:val="00983AF0"/>
    <w:rsid w:val="009862B3"/>
    <w:rsid w:val="009B080A"/>
    <w:rsid w:val="009B185C"/>
    <w:rsid w:val="009B6CF1"/>
    <w:rsid w:val="009B7B27"/>
    <w:rsid w:val="009C1504"/>
    <w:rsid w:val="009C7E23"/>
    <w:rsid w:val="009D44E6"/>
    <w:rsid w:val="009E1F58"/>
    <w:rsid w:val="009E302E"/>
    <w:rsid w:val="009E4D30"/>
    <w:rsid w:val="009E6EDF"/>
    <w:rsid w:val="009F07A5"/>
    <w:rsid w:val="009F160B"/>
    <w:rsid w:val="009F1A95"/>
    <w:rsid w:val="009F6886"/>
    <w:rsid w:val="009F6D73"/>
    <w:rsid w:val="00A015F0"/>
    <w:rsid w:val="00A105F2"/>
    <w:rsid w:val="00A119C9"/>
    <w:rsid w:val="00A171DC"/>
    <w:rsid w:val="00A20782"/>
    <w:rsid w:val="00A2094F"/>
    <w:rsid w:val="00A20F1E"/>
    <w:rsid w:val="00A21C10"/>
    <w:rsid w:val="00A264FE"/>
    <w:rsid w:val="00A30D6D"/>
    <w:rsid w:val="00A40680"/>
    <w:rsid w:val="00A42771"/>
    <w:rsid w:val="00A47629"/>
    <w:rsid w:val="00A50C8B"/>
    <w:rsid w:val="00A545AB"/>
    <w:rsid w:val="00A63051"/>
    <w:rsid w:val="00A637FA"/>
    <w:rsid w:val="00A72634"/>
    <w:rsid w:val="00A75888"/>
    <w:rsid w:val="00A75FEE"/>
    <w:rsid w:val="00A85FA2"/>
    <w:rsid w:val="00A9147E"/>
    <w:rsid w:val="00A9345E"/>
    <w:rsid w:val="00A94E87"/>
    <w:rsid w:val="00A977EF"/>
    <w:rsid w:val="00AB0C55"/>
    <w:rsid w:val="00AB5FA5"/>
    <w:rsid w:val="00AB724F"/>
    <w:rsid w:val="00AC4001"/>
    <w:rsid w:val="00AF5018"/>
    <w:rsid w:val="00AF6157"/>
    <w:rsid w:val="00AF7DCE"/>
    <w:rsid w:val="00B04832"/>
    <w:rsid w:val="00B121BD"/>
    <w:rsid w:val="00B146AC"/>
    <w:rsid w:val="00B17122"/>
    <w:rsid w:val="00B34A89"/>
    <w:rsid w:val="00B4755F"/>
    <w:rsid w:val="00B56791"/>
    <w:rsid w:val="00B56B25"/>
    <w:rsid w:val="00B56C73"/>
    <w:rsid w:val="00B70D99"/>
    <w:rsid w:val="00B72498"/>
    <w:rsid w:val="00B7380A"/>
    <w:rsid w:val="00B77344"/>
    <w:rsid w:val="00B809CD"/>
    <w:rsid w:val="00B83597"/>
    <w:rsid w:val="00B862F0"/>
    <w:rsid w:val="00B91C7F"/>
    <w:rsid w:val="00B936B8"/>
    <w:rsid w:val="00B96BB7"/>
    <w:rsid w:val="00BA26F2"/>
    <w:rsid w:val="00BB2087"/>
    <w:rsid w:val="00BB7F88"/>
    <w:rsid w:val="00BC1376"/>
    <w:rsid w:val="00BC21AD"/>
    <w:rsid w:val="00BC6329"/>
    <w:rsid w:val="00BC6724"/>
    <w:rsid w:val="00BD0D9B"/>
    <w:rsid w:val="00BD2A8E"/>
    <w:rsid w:val="00BD2AB3"/>
    <w:rsid w:val="00BE12EA"/>
    <w:rsid w:val="00BE2FBB"/>
    <w:rsid w:val="00BF07FE"/>
    <w:rsid w:val="00BF08BC"/>
    <w:rsid w:val="00BF5601"/>
    <w:rsid w:val="00BF6E17"/>
    <w:rsid w:val="00C00568"/>
    <w:rsid w:val="00C0462D"/>
    <w:rsid w:val="00C04F08"/>
    <w:rsid w:val="00C134E2"/>
    <w:rsid w:val="00C2116C"/>
    <w:rsid w:val="00C32D27"/>
    <w:rsid w:val="00C36FCD"/>
    <w:rsid w:val="00C461A9"/>
    <w:rsid w:val="00C4714D"/>
    <w:rsid w:val="00C573F8"/>
    <w:rsid w:val="00C65BE3"/>
    <w:rsid w:val="00C661B9"/>
    <w:rsid w:val="00C72D96"/>
    <w:rsid w:val="00C77D7E"/>
    <w:rsid w:val="00C80B23"/>
    <w:rsid w:val="00C80D95"/>
    <w:rsid w:val="00C8749B"/>
    <w:rsid w:val="00C90B98"/>
    <w:rsid w:val="00CA29CB"/>
    <w:rsid w:val="00CA35AE"/>
    <w:rsid w:val="00CA41CF"/>
    <w:rsid w:val="00CA4410"/>
    <w:rsid w:val="00CA4F8B"/>
    <w:rsid w:val="00CA6435"/>
    <w:rsid w:val="00CB43A2"/>
    <w:rsid w:val="00CC3DD5"/>
    <w:rsid w:val="00CD1FEA"/>
    <w:rsid w:val="00CD6B20"/>
    <w:rsid w:val="00CD6F54"/>
    <w:rsid w:val="00CE30BD"/>
    <w:rsid w:val="00CE4B69"/>
    <w:rsid w:val="00CE5CF8"/>
    <w:rsid w:val="00CE6A19"/>
    <w:rsid w:val="00CE763C"/>
    <w:rsid w:val="00CF2B70"/>
    <w:rsid w:val="00CF5E6F"/>
    <w:rsid w:val="00D07E7D"/>
    <w:rsid w:val="00D11A1E"/>
    <w:rsid w:val="00D13450"/>
    <w:rsid w:val="00D341DE"/>
    <w:rsid w:val="00D3519E"/>
    <w:rsid w:val="00D379C4"/>
    <w:rsid w:val="00D429FE"/>
    <w:rsid w:val="00D451B9"/>
    <w:rsid w:val="00D63655"/>
    <w:rsid w:val="00D71612"/>
    <w:rsid w:val="00D7231C"/>
    <w:rsid w:val="00D75608"/>
    <w:rsid w:val="00D75A85"/>
    <w:rsid w:val="00D760FE"/>
    <w:rsid w:val="00D827B1"/>
    <w:rsid w:val="00D86C2F"/>
    <w:rsid w:val="00D90086"/>
    <w:rsid w:val="00D95F31"/>
    <w:rsid w:val="00D97443"/>
    <w:rsid w:val="00D977CF"/>
    <w:rsid w:val="00DA4CB5"/>
    <w:rsid w:val="00DA769F"/>
    <w:rsid w:val="00DB0314"/>
    <w:rsid w:val="00DB2A52"/>
    <w:rsid w:val="00DB7BB3"/>
    <w:rsid w:val="00DD1082"/>
    <w:rsid w:val="00DE3014"/>
    <w:rsid w:val="00DE38D7"/>
    <w:rsid w:val="00DE7ED9"/>
    <w:rsid w:val="00DF14C0"/>
    <w:rsid w:val="00DF4B2E"/>
    <w:rsid w:val="00E108FF"/>
    <w:rsid w:val="00E173B6"/>
    <w:rsid w:val="00E244F1"/>
    <w:rsid w:val="00E32FD9"/>
    <w:rsid w:val="00E34095"/>
    <w:rsid w:val="00E36DAC"/>
    <w:rsid w:val="00E40EDA"/>
    <w:rsid w:val="00E41328"/>
    <w:rsid w:val="00E42052"/>
    <w:rsid w:val="00E46DD4"/>
    <w:rsid w:val="00E46E4F"/>
    <w:rsid w:val="00E52A0F"/>
    <w:rsid w:val="00E64CBF"/>
    <w:rsid w:val="00E65539"/>
    <w:rsid w:val="00E709BA"/>
    <w:rsid w:val="00E7185E"/>
    <w:rsid w:val="00E73BF7"/>
    <w:rsid w:val="00E75212"/>
    <w:rsid w:val="00E815F9"/>
    <w:rsid w:val="00E8244C"/>
    <w:rsid w:val="00EA0B35"/>
    <w:rsid w:val="00EA4E6B"/>
    <w:rsid w:val="00EA5C59"/>
    <w:rsid w:val="00EB0619"/>
    <w:rsid w:val="00EB2DF9"/>
    <w:rsid w:val="00EB4924"/>
    <w:rsid w:val="00EB68A5"/>
    <w:rsid w:val="00EC3EAA"/>
    <w:rsid w:val="00EC7040"/>
    <w:rsid w:val="00ED06E6"/>
    <w:rsid w:val="00ED07D6"/>
    <w:rsid w:val="00ED3271"/>
    <w:rsid w:val="00ED5415"/>
    <w:rsid w:val="00ED5DFC"/>
    <w:rsid w:val="00EE0ACF"/>
    <w:rsid w:val="00EE3840"/>
    <w:rsid w:val="00EF0A38"/>
    <w:rsid w:val="00EF3C02"/>
    <w:rsid w:val="00F0128E"/>
    <w:rsid w:val="00F033D6"/>
    <w:rsid w:val="00F110B5"/>
    <w:rsid w:val="00F12718"/>
    <w:rsid w:val="00F15DE6"/>
    <w:rsid w:val="00F270C7"/>
    <w:rsid w:val="00F3421F"/>
    <w:rsid w:val="00F36C92"/>
    <w:rsid w:val="00F4185A"/>
    <w:rsid w:val="00F476D0"/>
    <w:rsid w:val="00F53820"/>
    <w:rsid w:val="00F55D36"/>
    <w:rsid w:val="00F6286D"/>
    <w:rsid w:val="00F65FF9"/>
    <w:rsid w:val="00F74BC1"/>
    <w:rsid w:val="00F8170E"/>
    <w:rsid w:val="00F858E5"/>
    <w:rsid w:val="00F91FC1"/>
    <w:rsid w:val="00F9559A"/>
    <w:rsid w:val="00FA3262"/>
    <w:rsid w:val="00FA68DF"/>
    <w:rsid w:val="00FB1BDF"/>
    <w:rsid w:val="00FB2A00"/>
    <w:rsid w:val="00FC05D4"/>
    <w:rsid w:val="00FC5E1B"/>
    <w:rsid w:val="00FD279A"/>
    <w:rsid w:val="00FD4336"/>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FA3C1A"/>
  <w15:docId w15:val="{600DE49F-0C09-46F2-9EDD-346A89C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19" w:unhideWhenUsed="1" w:qFormat="1"/>
    <w:lsdException w:name="heading 5" w:uiPriority="19"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96"/>
    <w:lsdException w:name="toc 5" w:semiHidden="1" w:uiPriority="96"/>
    <w:lsdException w:name="toc 6" w:semiHidden="1" w:uiPriority="96"/>
    <w:lsdException w:name="toc 7" w:semiHidden="1" w:uiPriority="96"/>
    <w:lsdException w:name="toc 8" w:semiHidden="1" w:uiPriority="96"/>
    <w:lsdException w:name="toc 9" w:semiHidden="1" w:uiPriority="9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85" w:unhideWhenUsed="1"/>
    <w:lsdException w:name="footer" w:semiHidden="1" w:uiPriority="0"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CF1"/>
    <w:pPr>
      <w:keepLines/>
    </w:p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19"/>
    <w:qFormat/>
    <w:rsid w:val="00D95F31"/>
    <w:pPr>
      <w:numPr>
        <w:ilvl w:val="2"/>
      </w:numPr>
      <w:tabs>
        <w:tab w:val="clear" w:pos="9582"/>
        <w:tab w:val="right" w:pos="7711"/>
      </w:tabs>
      <w:spacing w:after="60"/>
      <w:outlineLvl w:val="2"/>
    </w:pPr>
    <w:rPr>
      <w:bCs/>
      <w:sz w:val="23"/>
    </w:rPr>
  </w:style>
  <w:style w:type="paragraph" w:styleId="Heading4">
    <w:name w:val="heading 4"/>
    <w:basedOn w:val="Heading30"/>
    <w:next w:val="Normal"/>
    <w:link w:val="Heading4Char"/>
    <w:uiPriority w:val="19"/>
    <w:qFormat/>
    <w:rsid w:val="00EB0619"/>
    <w:pPr>
      <w:numPr>
        <w:ilvl w:val="3"/>
      </w:numPr>
      <w:spacing w:before="180"/>
      <w:outlineLvl w:val="3"/>
    </w:pPr>
    <w:rPr>
      <w:b w:val="0"/>
      <w:bCs w:val="0"/>
      <w:i/>
      <w:iCs/>
      <w:spacing w:val="0"/>
    </w:rPr>
  </w:style>
  <w:style w:type="paragraph" w:styleId="Heading5">
    <w:name w:val="heading 5"/>
    <w:basedOn w:val="Heading4"/>
    <w:next w:val="Normal"/>
    <w:link w:val="Heading5Char"/>
    <w:uiPriority w:val="19"/>
    <w:unhideWhenUsed/>
    <w:qFormat/>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link w:val="ChapterheadingChar"/>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19"/>
    <w:rsid w:val="00D95F31"/>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19"/>
    <w:rsid w:val="00EB0619"/>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79"/>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rsid w:val="007A11BE"/>
    <w:rPr>
      <w:rFonts w:eastAsiaTheme="minorEastAsia"/>
      <w:sz w:val="20"/>
      <w:lang w:val="en-US" w:eastAsia="ja-JP"/>
    </w:rPr>
  </w:style>
  <w:style w:type="paragraph" w:customStyle="1" w:styleId="Heading1Non-TOC">
    <w:name w:val="Heading 1 [Non-TOC]"/>
    <w:basedOn w:val="Heading10"/>
    <w:qFormat/>
    <w:rsid w:val="0073799D"/>
    <w:rPr>
      <w:lang w:eastAsia="en-AU"/>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4D6E38"/>
    <w:rPr>
      <w:rFonts w:asciiTheme="majorHAnsi" w:hAnsiTheme="majorHAnsi"/>
      <w:sz w:val="18"/>
    </w:rPr>
  </w:style>
  <w:style w:type="paragraph" w:customStyle="1" w:styleId="Footerodd">
    <w:name w:val="Footer (odd)"/>
    <w:basedOn w:val="Footer"/>
    <w:link w:val="FooteroddChar"/>
    <w:uiPriority w:val="84"/>
    <w:rsid w:val="004D6E38"/>
    <w:pPr>
      <w:pBdr>
        <w:top w:val="single" w:sz="6" w:space="1" w:color="auto"/>
      </w:pBdr>
      <w:tabs>
        <w:tab w:val="clear" w:pos="4513"/>
        <w:tab w:val="clear" w:pos="9026"/>
        <w:tab w:val="center" w:pos="4678"/>
        <w:tab w:val="right" w:pos="7711"/>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495025"/>
    <w:pPr>
      <w:tabs>
        <w:tab w:val="right" w:leader="dot" w:pos="7711"/>
      </w:tabs>
      <w:spacing w:before="60"/>
    </w:pPr>
    <w:rPr>
      <w:rFonts w:asciiTheme="majorHAnsi" w:hAnsiTheme="majorHAnsi"/>
      <w:b/>
      <w:spacing w:val="-2"/>
      <w:sz w:val="21"/>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19"/>
    <w:rsid w:val="00EB0619"/>
    <w:rPr>
      <w:rFonts w:asciiTheme="majorHAnsi" w:eastAsiaTheme="majorEastAsia" w:hAnsiTheme="majorHAnsi" w:cstheme="majorBidi"/>
      <w:b/>
      <w:iCs/>
      <w:sz w:val="21"/>
      <w:szCs w:val="26"/>
    </w:rPr>
  </w:style>
  <w:style w:type="paragraph" w:styleId="ListBullet">
    <w:name w:val="List Bullet"/>
    <w:basedOn w:val="Normal"/>
    <w:link w:val="ListBulletChar"/>
    <w:uiPriority w:val="19"/>
    <w:qFormat/>
    <w:rsid w:val="00CE5CF8"/>
    <w:pPr>
      <w:numPr>
        <w:numId w:val="7"/>
      </w:numPr>
      <w:spacing w:before="60"/>
    </w:pPr>
  </w:style>
  <w:style w:type="paragraph" w:styleId="List">
    <w:name w:val="List"/>
    <w:basedOn w:val="Normal"/>
    <w:uiPriority w:val="29"/>
    <w:unhideWhenUsed/>
    <w:rsid w:val="008A5A91"/>
    <w:pPr>
      <w:keepLines w:val="0"/>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rsid w:val="004419CD"/>
    <w:pPr>
      <w:tabs>
        <w:tab w:val="center" w:pos="4513"/>
        <w:tab w:val="right" w:pos="9026"/>
      </w:tabs>
      <w:spacing w:before="0"/>
    </w:pPr>
  </w:style>
  <w:style w:type="paragraph" w:styleId="TOC2">
    <w:name w:val="toc 2"/>
    <w:basedOn w:val="TOC1"/>
    <w:next w:val="Normal"/>
    <w:uiPriority w:val="39"/>
    <w:rsid w:val="006E0CA8"/>
    <w:pPr>
      <w:spacing w:before="40" w:after="40" w:line="264" w:lineRule="auto"/>
      <w:ind w:left="284" w:right="567"/>
    </w:pPr>
    <w:rPr>
      <w:b w:val="0"/>
      <w:noProof/>
    </w:rPr>
  </w:style>
  <w:style w:type="character" w:styleId="PageNumber">
    <w:name w:val="page number"/>
    <w:rsid w:val="000A03F9"/>
    <w:rPr>
      <w:rFonts w:asciiTheme="minorHAnsi" w:hAnsiTheme="minorHAnsi"/>
      <w:sz w:val="18"/>
    </w:rPr>
  </w:style>
  <w:style w:type="paragraph" w:styleId="TOC3">
    <w:name w:val="toc 3"/>
    <w:basedOn w:val="Normal"/>
    <w:next w:val="Normal"/>
    <w:uiPriority w:val="99"/>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semiHidden/>
    <w:unhideWhenUsed/>
    <w:rsid w:val="00924B15"/>
    <w:rPr>
      <w:rFonts w:ascii="Tahoma" w:hAnsi="Tahoma" w:cs="Tahoma"/>
      <w:sz w:val="16"/>
      <w:szCs w:val="16"/>
    </w:rPr>
  </w:style>
  <w:style w:type="character" w:customStyle="1" w:styleId="BalloonTextChar">
    <w:name w:val="Balloon Text Char"/>
    <w:basedOn w:val="DefaultParagraphFont"/>
    <w:link w:val="BalloonText"/>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79"/>
    <w:qFormat/>
    <w:rsid w:val="00EB0619"/>
    <w:pPr>
      <w:keepNext/>
    </w:pPr>
    <w:rPr>
      <w:rFonts w:asciiTheme="majorHAnsi" w:hAnsiTheme="majorHAnsi"/>
      <w:b/>
    </w:rPr>
  </w:style>
  <w:style w:type="paragraph" w:customStyle="1" w:styleId="HighlightBoxBullet">
    <w:name w:val="Highlight Box Bullet"/>
    <w:basedOn w:val="ListBullet"/>
    <w:link w:val="HighlightBoxBulletChar"/>
    <w:uiPriority w:val="79"/>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5B45CC"/>
    <w:pPr>
      <w:keepNext/>
      <w:tabs>
        <w:tab w:val="left" w:pos="1134"/>
        <w:tab w:val="right" w:pos="7711"/>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4D6E38"/>
    <w:pPr>
      <w:pBdr>
        <w:top w:val="single" w:sz="6" w:space="1" w:color="auto"/>
      </w:pBdr>
      <w:tabs>
        <w:tab w:val="clear" w:pos="4513"/>
        <w:tab w:val="clear" w:pos="9026"/>
        <w:tab w:val="center" w:pos="3062"/>
        <w:tab w:val="right" w:pos="7711"/>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C00568"/>
    <w:rPr>
      <w:sz w:val="16"/>
      <w:szCs w:val="16"/>
    </w:rPr>
  </w:style>
  <w:style w:type="paragraph" w:styleId="CommentText">
    <w:name w:val="annotation text"/>
    <w:basedOn w:val="Normal"/>
    <w:link w:val="CommentTextChar"/>
    <w:semiHidden/>
    <w:unhideWhenUsed/>
    <w:rsid w:val="00C00568"/>
    <w:rPr>
      <w:sz w:val="20"/>
      <w:szCs w:val="20"/>
    </w:rPr>
  </w:style>
  <w:style w:type="character" w:customStyle="1" w:styleId="CommentTextChar">
    <w:name w:val="Comment Text Char"/>
    <w:basedOn w:val="DefaultParagraphFont"/>
    <w:link w:val="CommentText"/>
    <w:semiHidden/>
    <w:rsid w:val="00C00568"/>
    <w:rPr>
      <w:sz w:val="20"/>
      <w:szCs w:val="20"/>
    </w:rPr>
  </w:style>
  <w:style w:type="paragraph" w:styleId="CommentSubject">
    <w:name w:val="annotation subject"/>
    <w:basedOn w:val="CommentText"/>
    <w:next w:val="CommentText"/>
    <w:link w:val="CommentSubjectChar"/>
    <w:semiHidden/>
    <w:unhideWhenUsed/>
    <w:rsid w:val="00C00568"/>
    <w:rPr>
      <w:b/>
      <w:bCs/>
    </w:rPr>
  </w:style>
  <w:style w:type="character" w:customStyle="1" w:styleId="CommentSubjectChar">
    <w:name w:val="Comment Subject Char"/>
    <w:basedOn w:val="CommentTextChar"/>
    <w:link w:val="CommentSubject"/>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semiHidden/>
    <w:unhideWhenUsed/>
    <w:rsid w:val="00C00568"/>
    <w:pPr>
      <w:spacing w:before="0"/>
      <w:ind w:left="220" w:hanging="220"/>
    </w:pPr>
  </w:style>
  <w:style w:type="paragraph" w:styleId="Index2">
    <w:name w:val="index 2"/>
    <w:basedOn w:val="Normal"/>
    <w:next w:val="Normal"/>
    <w:autoRedefine/>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rsid w:val="00C00568"/>
    <w:rPr>
      <w:b/>
      <w:bCs/>
      <w:i/>
      <w:iCs/>
      <w:color w:val="0063A6" w:themeColor="accent1"/>
    </w:rPr>
  </w:style>
  <w:style w:type="character" w:styleId="IntenseReference">
    <w:name w:val="Intense Reference"/>
    <w:basedOn w:val="DefaultParagraphFont"/>
    <w:uiPriority w:val="32"/>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C00568"/>
    <w:rPr>
      <w:i/>
      <w:iCs/>
      <w:color w:val="000000" w:themeColor="text1"/>
    </w:rPr>
  </w:style>
  <w:style w:type="character" w:customStyle="1" w:styleId="QuoteChar">
    <w:name w:val="Quote Char"/>
    <w:basedOn w:val="DefaultParagraphFont"/>
    <w:link w:val="Quote"/>
    <w:uiPriority w:val="29"/>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rsid w:val="00C00568"/>
    <w:rPr>
      <w:b/>
      <w:bCs/>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4D6E38"/>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TableUnits">
    <w:name w:val="Table Units"/>
    <w:basedOn w:val="Normal"/>
    <w:next w:val="Normal"/>
    <w:link w:val="TableUnitsChar"/>
    <w:uiPriority w:val="50"/>
    <w:qFormat/>
    <w:rsid w:val="005B45CC"/>
    <w:pPr>
      <w:keepNext/>
      <w:tabs>
        <w:tab w:val="right" w:pos="7711"/>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ighlightBoxBulletChar">
    <w:name w:val="Highlight Box Bullet Char"/>
    <w:basedOn w:val="DefaultParagraphFont"/>
    <w:link w:val="HighlightBoxBullet"/>
    <w:uiPriority w:val="79"/>
    <w:rsid w:val="0052294D"/>
    <w:rPr>
      <w:shd w:val="clear" w:color="auto" w:fill="F2F2F2" w:themeFill="background1" w:themeFillShade="F2"/>
    </w:rPr>
  </w:style>
  <w:style w:type="character" w:customStyle="1" w:styleId="SourceChar">
    <w:name w:val="Source Char"/>
    <w:link w:val="Source"/>
    <w:uiPriority w:val="51"/>
    <w:locked/>
    <w:rsid w:val="0052294D"/>
    <w:rPr>
      <w:rFonts w:asciiTheme="majorHAnsi" w:hAnsiTheme="majorHAnsi"/>
      <w:i/>
      <w:spacing w:val="-2"/>
      <w:sz w:val="14"/>
    </w:rPr>
  </w:style>
  <w:style w:type="character" w:customStyle="1" w:styleId="TableHeadingChar">
    <w:name w:val="Table Heading Char"/>
    <w:basedOn w:val="DefaultParagraphFont"/>
    <w:link w:val="TableHeading"/>
    <w:uiPriority w:val="49"/>
    <w:rsid w:val="005B45CC"/>
    <w:rPr>
      <w:rFonts w:asciiTheme="majorHAnsi" w:hAnsiTheme="majorHAnsi"/>
      <w:b/>
      <w:sz w:val="20"/>
      <w:szCs w:val="20"/>
    </w:rPr>
  </w:style>
  <w:style w:type="table" w:customStyle="1" w:styleId="DTFTextTable1">
    <w:name w:val="DTF Text Table1"/>
    <w:basedOn w:val="DTFTable"/>
    <w:uiPriority w:val="99"/>
    <w:rsid w:val="0052294D"/>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paragraph" w:customStyle="1" w:styleId="ChapterHeading0">
    <w:name w:val="Chapter Heading"/>
    <w:basedOn w:val="Normal"/>
    <w:next w:val="Heading10"/>
    <w:qFormat/>
    <w:rsid w:val="0052294D"/>
    <w:pPr>
      <w:keepNext/>
      <w:keepLines w:val="0"/>
      <w:pBdr>
        <w:bottom w:val="single" w:sz="12" w:space="7" w:color="auto"/>
      </w:pBdr>
      <w:spacing w:before="1440" w:after="360"/>
    </w:pPr>
    <w:rPr>
      <w:rFonts w:ascii="Calibri" w:eastAsia="Times New Roman" w:hAnsi="Calibri" w:cs="Times New Roman"/>
      <w:b/>
      <w:caps/>
      <w:sz w:val="36"/>
      <w:szCs w:val="28"/>
    </w:rPr>
  </w:style>
  <w:style w:type="character" w:customStyle="1" w:styleId="ListBulletChar">
    <w:name w:val="List Bullet Char"/>
    <w:basedOn w:val="DefaultParagraphFont"/>
    <w:link w:val="ListBullet"/>
    <w:uiPriority w:val="19"/>
    <w:rsid w:val="0052294D"/>
  </w:style>
  <w:style w:type="table" w:customStyle="1" w:styleId="DTFFinancialTable">
    <w:name w:val="DTF Financial Table"/>
    <w:basedOn w:val="TableNormal"/>
    <w:uiPriority w:val="99"/>
    <w:rsid w:val="0052294D"/>
    <w:pPr>
      <w:spacing w:before="20" w:after="20"/>
      <w:jc w:val="right"/>
    </w:pPr>
    <w:rPr>
      <w:rFonts w:asciiTheme="majorHAnsi"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numbering" w:customStyle="1" w:styleId="Headingstyles">
    <w:name w:val="Heading styles"/>
    <w:uiPriority w:val="99"/>
    <w:rsid w:val="0052294D"/>
    <w:pPr>
      <w:numPr>
        <w:numId w:val="15"/>
      </w:numPr>
    </w:pPr>
  </w:style>
  <w:style w:type="character" w:customStyle="1" w:styleId="TableUnitsChar">
    <w:name w:val="Table Units Char"/>
    <w:basedOn w:val="DefaultParagraphFont"/>
    <w:link w:val="TableUnits"/>
    <w:uiPriority w:val="50"/>
    <w:rsid w:val="005B45CC"/>
    <w:rPr>
      <w:rFonts w:asciiTheme="majorHAnsi" w:hAnsiTheme="majorHAnsi"/>
      <w:b/>
      <w:sz w:val="20"/>
      <w:szCs w:val="20"/>
    </w:rPr>
  </w:style>
  <w:style w:type="paragraph" w:customStyle="1" w:styleId="ControlledEntitiesDepartment">
    <w:name w:val="Controlled Entities Department"/>
    <w:basedOn w:val="Normal"/>
    <w:next w:val="Normal"/>
    <w:uiPriority w:val="97"/>
    <w:qFormat/>
    <w:rsid w:val="0052294D"/>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52294D"/>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paragraph" w:customStyle="1" w:styleId="BP4Figures">
    <w:name w:val="BP4 Figures"/>
    <w:basedOn w:val="Normal"/>
    <w:semiHidden/>
    <w:rsid w:val="0052294D"/>
    <w:pPr>
      <w:keepLines w:val="0"/>
      <w:spacing w:before="0" w:after="30"/>
    </w:pPr>
    <w:rPr>
      <w:rFonts w:eastAsia="Times New Roman" w:cs="Times New Roman"/>
      <w:sz w:val="18"/>
      <w:szCs w:val="20"/>
    </w:rPr>
  </w:style>
  <w:style w:type="paragraph" w:customStyle="1" w:styleId="BP4headingr">
    <w:name w:val="BP4 heading r"/>
    <w:basedOn w:val="Normal"/>
    <w:semiHidden/>
    <w:rsid w:val="0052294D"/>
    <w:pPr>
      <w:keepLines w:val="0"/>
      <w:spacing w:before="0" w:after="120"/>
    </w:pPr>
    <w:rPr>
      <w:rFonts w:eastAsia="Times New Roman" w:cs="Times New Roman"/>
      <w:sz w:val="18"/>
      <w:szCs w:val="20"/>
    </w:rPr>
  </w:style>
  <w:style w:type="paragraph" w:customStyle="1" w:styleId="BP4headingl">
    <w:name w:val="BP4 heading l"/>
    <w:basedOn w:val="BP4headingr"/>
    <w:semiHidden/>
    <w:rsid w:val="0052294D"/>
  </w:style>
  <w:style w:type="paragraph" w:customStyle="1" w:styleId="BP4tabletext">
    <w:name w:val="BP4 table text"/>
    <w:basedOn w:val="Normal"/>
    <w:semiHidden/>
    <w:rsid w:val="0052294D"/>
    <w:pPr>
      <w:keepLines w:val="0"/>
      <w:spacing w:before="0" w:after="30"/>
      <w:ind w:left="72" w:hanging="72"/>
    </w:pPr>
    <w:rPr>
      <w:rFonts w:eastAsia="Times New Roman" w:cs="Times New Roman"/>
      <w:sz w:val="18"/>
      <w:szCs w:val="20"/>
    </w:rPr>
  </w:style>
  <w:style w:type="paragraph" w:customStyle="1" w:styleId="OGBullet">
    <w:name w:val="OGBullet"/>
    <w:basedOn w:val="Normal"/>
    <w:semiHidden/>
    <w:rsid w:val="0052294D"/>
    <w:pPr>
      <w:keepLines w:val="0"/>
      <w:numPr>
        <w:numId w:val="16"/>
      </w:numPr>
      <w:spacing w:before="0" w:after="120"/>
    </w:pPr>
    <w:rPr>
      <w:rFonts w:ascii="Calibri" w:eastAsia="Times New Roman" w:hAnsi="Calibri" w:cs="Times New Roman"/>
      <w:sz w:val="20"/>
      <w:szCs w:val="18"/>
    </w:rPr>
  </w:style>
  <w:style w:type="paragraph" w:customStyle="1" w:styleId="OGHeading1">
    <w:name w:val="OGHeading1"/>
    <w:basedOn w:val="Normal"/>
    <w:semiHidden/>
    <w:rsid w:val="0052294D"/>
    <w:pPr>
      <w:keepLines w:val="0"/>
      <w:spacing w:before="0" w:after="120"/>
    </w:pPr>
    <w:rPr>
      <w:rFonts w:ascii="Calibri" w:eastAsia="Times New Roman" w:hAnsi="Calibri" w:cs="Times New Roman"/>
      <w:b/>
      <w:sz w:val="32"/>
      <w:szCs w:val="28"/>
    </w:rPr>
  </w:style>
  <w:style w:type="paragraph" w:customStyle="1" w:styleId="OGHeading2">
    <w:name w:val="OGHeading2"/>
    <w:basedOn w:val="Normal"/>
    <w:link w:val="OGHeading2Char"/>
    <w:semiHidden/>
    <w:rsid w:val="0052294D"/>
    <w:pPr>
      <w:keepNext/>
      <w:keepLines w:val="0"/>
      <w:spacing w:before="60" w:after="120"/>
    </w:pPr>
    <w:rPr>
      <w:rFonts w:ascii="Calibri" w:eastAsia="Times New Roman" w:hAnsi="Calibri" w:cs="Times New Roman"/>
      <w:b/>
      <w:sz w:val="28"/>
      <w:szCs w:val="24"/>
    </w:rPr>
  </w:style>
  <w:style w:type="character" w:customStyle="1" w:styleId="OGHeading2Char">
    <w:name w:val="OGHeading2 Char"/>
    <w:link w:val="OGHeading2"/>
    <w:semiHidden/>
    <w:rsid w:val="0052294D"/>
    <w:rPr>
      <w:rFonts w:ascii="Calibri" w:eastAsia="Times New Roman" w:hAnsi="Calibri" w:cs="Times New Roman"/>
      <w:b/>
      <w:sz w:val="28"/>
      <w:szCs w:val="24"/>
    </w:rPr>
  </w:style>
  <w:style w:type="paragraph" w:customStyle="1" w:styleId="OGTabHead">
    <w:name w:val="OGTabHead"/>
    <w:basedOn w:val="Normal"/>
    <w:semiHidden/>
    <w:rsid w:val="0052294D"/>
    <w:pPr>
      <w:keepNext/>
      <w:spacing w:before="30" w:after="30"/>
    </w:pPr>
    <w:rPr>
      <w:rFonts w:ascii="Calibri" w:eastAsia="Times New Roman" w:hAnsi="Calibri" w:cs="Times New Roman"/>
      <w:i/>
      <w:sz w:val="20"/>
      <w:szCs w:val="18"/>
    </w:rPr>
  </w:style>
  <w:style w:type="paragraph" w:customStyle="1" w:styleId="OGTabText">
    <w:name w:val="OGTabText"/>
    <w:basedOn w:val="Normal"/>
    <w:link w:val="OGTabTextChar"/>
    <w:semiHidden/>
    <w:rsid w:val="0052294D"/>
    <w:pPr>
      <w:keepLines w:val="0"/>
      <w:spacing w:before="30" w:after="30"/>
      <w:ind w:left="144"/>
    </w:pPr>
    <w:rPr>
      <w:rFonts w:ascii="Calibri" w:eastAsia="Times New Roman" w:hAnsi="Calibri" w:cs="Times New Roman"/>
      <w:sz w:val="20"/>
      <w:szCs w:val="18"/>
    </w:rPr>
  </w:style>
  <w:style w:type="character" w:customStyle="1" w:styleId="OGTabTextChar">
    <w:name w:val="OGTabText Char"/>
    <w:link w:val="OGTabText"/>
    <w:semiHidden/>
    <w:rsid w:val="0052294D"/>
    <w:rPr>
      <w:rFonts w:ascii="Calibri" w:eastAsia="Times New Roman" w:hAnsi="Calibri" w:cs="Times New Roman"/>
      <w:sz w:val="20"/>
      <w:szCs w:val="18"/>
    </w:rPr>
  </w:style>
  <w:style w:type="paragraph" w:customStyle="1" w:styleId="OGText">
    <w:name w:val="OGText"/>
    <w:basedOn w:val="Normal"/>
    <w:link w:val="OGTextChar"/>
    <w:semiHidden/>
    <w:rsid w:val="0052294D"/>
    <w:pPr>
      <w:keepNext/>
      <w:keepLines w:val="0"/>
      <w:spacing w:before="40" w:after="120"/>
    </w:pPr>
    <w:rPr>
      <w:rFonts w:ascii="Calibri" w:eastAsia="Times New Roman" w:hAnsi="Calibri" w:cs="Times New Roman"/>
      <w:sz w:val="20"/>
      <w:szCs w:val="18"/>
    </w:rPr>
  </w:style>
  <w:style w:type="character" w:customStyle="1" w:styleId="OGTextChar">
    <w:name w:val="OGText Char"/>
    <w:link w:val="OGText"/>
    <w:semiHidden/>
    <w:rsid w:val="0052294D"/>
    <w:rPr>
      <w:rFonts w:ascii="Calibri" w:eastAsia="Times New Roman" w:hAnsi="Calibri" w:cs="Times New Roman"/>
      <w:sz w:val="20"/>
      <w:szCs w:val="18"/>
    </w:rPr>
  </w:style>
  <w:style w:type="paragraph" w:customStyle="1" w:styleId="TableofContentsheading">
    <w:name w:val="Table of Contents heading"/>
    <w:basedOn w:val="ChapterHeading0"/>
    <w:next w:val="Normal"/>
    <w:uiPriority w:val="89"/>
    <w:rsid w:val="0052294D"/>
  </w:style>
  <w:style w:type="character" w:customStyle="1" w:styleId="OGTabBulletChar">
    <w:name w:val="OGTabBullet Char"/>
    <w:link w:val="OGTabBullet"/>
    <w:semiHidden/>
    <w:rsid w:val="0052294D"/>
    <w:rPr>
      <w:rFonts w:ascii="Calibri" w:hAnsi="Calibri"/>
      <w:szCs w:val="18"/>
    </w:rPr>
  </w:style>
  <w:style w:type="paragraph" w:customStyle="1" w:styleId="OGTabBullet">
    <w:name w:val="OGTabBullet"/>
    <w:basedOn w:val="OGBullet"/>
    <w:link w:val="OGTabBulletChar"/>
    <w:semiHidden/>
    <w:rsid w:val="0052294D"/>
    <w:pPr>
      <w:tabs>
        <w:tab w:val="clear" w:pos="360"/>
        <w:tab w:val="left" w:pos="604"/>
      </w:tabs>
      <w:spacing w:before="30" w:after="30"/>
      <w:ind w:left="605"/>
    </w:pPr>
    <w:rPr>
      <w:rFonts w:eastAsiaTheme="minorHAnsi" w:cstheme="minorBidi"/>
      <w:sz w:val="22"/>
    </w:rPr>
  </w:style>
  <w:style w:type="paragraph" w:customStyle="1" w:styleId="OGUoM">
    <w:name w:val="OGUoM"/>
    <w:basedOn w:val="Normal"/>
    <w:semiHidden/>
    <w:rsid w:val="0052294D"/>
    <w:pPr>
      <w:keepLines w:val="0"/>
      <w:spacing w:before="30" w:after="30"/>
    </w:pPr>
    <w:rPr>
      <w:rFonts w:eastAsia="Times New Roman" w:cs="Times New Roman"/>
      <w:szCs w:val="20"/>
    </w:rPr>
  </w:style>
  <w:style w:type="paragraph" w:customStyle="1" w:styleId="DashText">
    <w:name w:val="Dash Text"/>
    <w:basedOn w:val="Normal"/>
    <w:uiPriority w:val="29"/>
    <w:qFormat/>
    <w:rsid w:val="0052294D"/>
    <w:pPr>
      <w:keepLines w:val="0"/>
      <w:tabs>
        <w:tab w:val="num" w:pos="720"/>
      </w:tabs>
      <w:spacing w:before="0" w:after="120"/>
      <w:ind w:left="720" w:hanging="360"/>
    </w:pPr>
    <w:rPr>
      <w:rFonts w:eastAsia="Times New Roman" w:cs="Times New Roman"/>
      <w:szCs w:val="20"/>
    </w:rPr>
  </w:style>
  <w:style w:type="paragraph" w:customStyle="1" w:styleId="OGTableofFigures">
    <w:name w:val="OGTable of Figures"/>
    <w:basedOn w:val="Normal"/>
    <w:semiHidden/>
    <w:rsid w:val="0052294D"/>
    <w:pPr>
      <w:keepLines w:val="0"/>
      <w:spacing w:before="30" w:after="30"/>
    </w:pPr>
    <w:rPr>
      <w:rFonts w:eastAsia="Times New Roman" w:cs="Times New Roman"/>
      <w:szCs w:val="20"/>
    </w:rPr>
  </w:style>
  <w:style w:type="paragraph" w:customStyle="1" w:styleId="VAGOText">
    <w:name w:val="VAGOText"/>
    <w:basedOn w:val="Normal"/>
    <w:semiHidden/>
    <w:rsid w:val="0052294D"/>
    <w:pPr>
      <w:keepLines w:val="0"/>
      <w:spacing w:after="120"/>
    </w:pPr>
    <w:rPr>
      <w:rFonts w:ascii="Arial" w:eastAsia="Times New Roman" w:hAnsi="Arial" w:cs="Arial"/>
      <w:sz w:val="16"/>
      <w:szCs w:val="16"/>
    </w:rPr>
  </w:style>
  <w:style w:type="paragraph" w:customStyle="1" w:styleId="VAGOHeading2">
    <w:name w:val="VAGOHeading2"/>
    <w:basedOn w:val="Normal"/>
    <w:semiHidden/>
    <w:rsid w:val="0052294D"/>
    <w:pPr>
      <w:keepLines w:val="0"/>
      <w:spacing w:before="0" w:after="120"/>
    </w:pPr>
    <w:rPr>
      <w:rFonts w:ascii="Arial" w:eastAsia="Times New Roman" w:hAnsi="Arial" w:cs="Arial"/>
      <w:b/>
      <w:sz w:val="16"/>
      <w:szCs w:val="16"/>
    </w:rPr>
  </w:style>
  <w:style w:type="paragraph" w:customStyle="1" w:styleId="VAGOHeading1">
    <w:name w:val="VAGOHeading1"/>
    <w:basedOn w:val="Normal"/>
    <w:semiHidden/>
    <w:rsid w:val="0052294D"/>
    <w:pPr>
      <w:keepLines w:val="0"/>
      <w:spacing w:before="0" w:after="120"/>
      <w:jc w:val="center"/>
    </w:pPr>
    <w:rPr>
      <w:rFonts w:ascii="Arial" w:eastAsia="Times New Roman" w:hAnsi="Arial" w:cs="Arial"/>
      <w:b/>
      <w:sz w:val="17"/>
      <w:szCs w:val="17"/>
    </w:rPr>
  </w:style>
  <w:style w:type="paragraph" w:customStyle="1" w:styleId="VAGOHeading3">
    <w:name w:val="VAGOHeading3"/>
    <w:basedOn w:val="VAGOHeading2"/>
    <w:semiHidden/>
    <w:rsid w:val="0052294D"/>
    <w:rPr>
      <w:b w:val="0"/>
      <w:i/>
    </w:rPr>
  </w:style>
  <w:style w:type="paragraph" w:customStyle="1" w:styleId="VAGOBullet">
    <w:name w:val="VAGOBullet"/>
    <w:basedOn w:val="VAGOText"/>
    <w:semiHidden/>
    <w:rsid w:val="0052294D"/>
    <w:pPr>
      <w:numPr>
        <w:numId w:val="18"/>
      </w:numPr>
      <w:ind w:right="-51"/>
    </w:pPr>
    <w:rPr>
      <w:iCs/>
    </w:rPr>
  </w:style>
  <w:style w:type="paragraph" w:customStyle="1" w:styleId="Heading3NumberingBP4">
    <w:name w:val="Heading 3 Numbering BP4"/>
    <w:basedOn w:val="Normal"/>
    <w:uiPriority w:val="19"/>
    <w:semiHidden/>
    <w:rsid w:val="0052294D"/>
    <w:pPr>
      <w:keepNext/>
      <w:keepLines w:val="0"/>
      <w:numPr>
        <w:numId w:val="17"/>
      </w:numPr>
      <w:tabs>
        <w:tab w:val="clear" w:pos="720"/>
        <w:tab w:val="left" w:pos="504"/>
      </w:tabs>
      <w:spacing w:before="240" w:after="120"/>
      <w:ind w:left="504" w:hanging="504"/>
      <w:outlineLvl w:val="2"/>
    </w:pPr>
    <w:rPr>
      <w:rFonts w:asciiTheme="majorHAnsi" w:eastAsia="Times New Roman" w:hAnsiTheme="majorHAnsi" w:cs="Times New Roman"/>
      <w:b/>
      <w:i/>
      <w:kern w:val="28"/>
      <w:sz w:val="24"/>
    </w:rPr>
  </w:style>
  <w:style w:type="paragraph" w:customStyle="1" w:styleId="OGTabColCentred">
    <w:name w:val="OGTabColCentred"/>
    <w:basedOn w:val="OGUoM"/>
    <w:semiHidden/>
    <w:rsid w:val="0052294D"/>
    <w:rPr>
      <w:b/>
      <w:lang w:eastAsia="en-AU"/>
    </w:rPr>
  </w:style>
  <w:style w:type="paragraph" w:customStyle="1" w:styleId="OGTabColRight">
    <w:name w:val="OGTabColRight"/>
    <w:basedOn w:val="OGTableofFigures"/>
    <w:semiHidden/>
    <w:rsid w:val="0052294D"/>
    <w:rPr>
      <w:b/>
    </w:rPr>
  </w:style>
  <w:style w:type="paragraph" w:customStyle="1" w:styleId="OGTabColLeft">
    <w:name w:val="OGTabColLeft"/>
    <w:basedOn w:val="OGTabColRight"/>
    <w:semiHidden/>
    <w:rsid w:val="0052294D"/>
    <w:rPr>
      <w:lang w:eastAsia="en-AU"/>
    </w:rPr>
  </w:style>
  <w:style w:type="paragraph" w:customStyle="1" w:styleId="FrontPage">
    <w:name w:val="Front Page"/>
    <w:basedOn w:val="Normal"/>
    <w:semiHidden/>
    <w:rsid w:val="0052294D"/>
    <w:pPr>
      <w:keepLines w:val="0"/>
      <w:spacing w:before="0" w:after="120"/>
      <w:jc w:val="center"/>
    </w:pPr>
    <w:rPr>
      <w:rFonts w:ascii="Calibri" w:eastAsia="Times New Roman" w:hAnsi="Calibri" w:cs="Times New Roman"/>
      <w:b/>
      <w:sz w:val="52"/>
      <w:szCs w:val="52"/>
    </w:rPr>
  </w:style>
  <w:style w:type="paragraph" w:customStyle="1" w:styleId="FrontPage2">
    <w:name w:val="Front Page 2"/>
    <w:basedOn w:val="FrontPage"/>
    <w:semiHidden/>
    <w:rsid w:val="0052294D"/>
    <w:pPr>
      <w:pBdr>
        <w:bottom w:val="single" w:sz="12" w:space="1" w:color="auto"/>
      </w:pBdr>
    </w:pPr>
  </w:style>
  <w:style w:type="paragraph" w:customStyle="1" w:styleId="FrontPage3">
    <w:name w:val="Front Page 3"/>
    <w:basedOn w:val="Normal"/>
    <w:semiHidden/>
    <w:rsid w:val="0052294D"/>
    <w:pPr>
      <w:keepLines w:val="0"/>
      <w:spacing w:before="0" w:after="120"/>
      <w:jc w:val="center"/>
    </w:pPr>
    <w:rPr>
      <w:rFonts w:ascii="Calibri" w:eastAsia="Times New Roman" w:hAnsi="Calibri" w:cs="Times New Roman"/>
      <w:sz w:val="28"/>
      <w:szCs w:val="28"/>
    </w:rPr>
  </w:style>
  <w:style w:type="paragraph" w:customStyle="1" w:styleId="FrontPageMin">
    <w:name w:val="Front Page Min"/>
    <w:basedOn w:val="Normal"/>
    <w:semiHidden/>
    <w:rsid w:val="0052294D"/>
    <w:pPr>
      <w:keepLines w:val="0"/>
      <w:spacing w:before="0" w:after="120"/>
      <w:jc w:val="center"/>
    </w:pPr>
    <w:rPr>
      <w:rFonts w:ascii="Calibri" w:eastAsia="Times New Roman" w:hAnsi="Calibri" w:cs="Times New Roman"/>
      <w:sz w:val="36"/>
      <w:szCs w:val="36"/>
    </w:rPr>
  </w:style>
  <w:style w:type="paragraph" w:customStyle="1" w:styleId="FrontPageHon">
    <w:name w:val="Front Page Hon"/>
    <w:basedOn w:val="Normal"/>
    <w:semiHidden/>
    <w:rsid w:val="0052294D"/>
    <w:pPr>
      <w:keepLines w:val="0"/>
      <w:spacing w:before="0" w:after="120"/>
      <w:jc w:val="center"/>
    </w:pPr>
    <w:rPr>
      <w:rFonts w:ascii="Calibri" w:eastAsia="Times New Roman" w:hAnsi="Calibri" w:cs="Times New Roman"/>
      <w:sz w:val="30"/>
      <w:szCs w:val="30"/>
    </w:rPr>
  </w:style>
  <w:style w:type="paragraph" w:customStyle="1" w:styleId="FrontPageBP">
    <w:name w:val="Front Page BP"/>
    <w:basedOn w:val="Normal"/>
    <w:semiHidden/>
    <w:rsid w:val="0052294D"/>
    <w:pPr>
      <w:keepLines w:val="0"/>
      <w:spacing w:before="0" w:after="120"/>
      <w:jc w:val="center"/>
    </w:pPr>
    <w:rPr>
      <w:rFonts w:ascii="Calibri" w:eastAsia="Times New Roman" w:hAnsi="Calibri" w:cs="Times New Roman"/>
      <w:b/>
      <w:sz w:val="32"/>
      <w:szCs w:val="32"/>
    </w:rPr>
  </w:style>
  <w:style w:type="paragraph" w:customStyle="1" w:styleId="OGNotes">
    <w:name w:val="OGNotes"/>
    <w:basedOn w:val="Normal"/>
    <w:semiHidden/>
    <w:rsid w:val="0052294D"/>
    <w:pPr>
      <w:spacing w:after="60"/>
      <w:ind w:left="360" w:right="115"/>
    </w:pPr>
    <w:rPr>
      <w:lang w:eastAsia="en-AU"/>
    </w:rPr>
  </w:style>
  <w:style w:type="paragraph" w:customStyle="1" w:styleId="OGNotesIndent">
    <w:name w:val="OGNotesIndent"/>
    <w:basedOn w:val="OGNotes"/>
    <w:semiHidden/>
    <w:rsid w:val="0052294D"/>
    <w:pPr>
      <w:ind w:left="720" w:hanging="360"/>
    </w:pPr>
  </w:style>
  <w:style w:type="paragraph" w:customStyle="1" w:styleId="TableofContentscontinued">
    <w:name w:val="Table of Contents continued"/>
    <w:basedOn w:val="Normal"/>
    <w:uiPriority w:val="90"/>
    <w:rsid w:val="0052294D"/>
    <w:pPr>
      <w:keepNext/>
      <w:keepLines w:val="0"/>
      <w:tabs>
        <w:tab w:val="left" w:pos="1152"/>
      </w:tabs>
      <w:spacing w:before="240" w:after="120"/>
      <w:ind w:left="1152" w:hanging="1152"/>
      <w:outlineLvl w:val="1"/>
    </w:pPr>
    <w:rPr>
      <w:rFonts w:ascii="Calibri" w:eastAsia="Times New Roman" w:hAnsi="Calibri" w:cs="Times New Roman"/>
      <w:b/>
      <w:kern w:val="28"/>
      <w:sz w:val="26"/>
    </w:rPr>
  </w:style>
  <w:style w:type="table" w:customStyle="1" w:styleId="DTFTable1">
    <w:name w:val="DTF Table1"/>
    <w:basedOn w:val="TableNormal"/>
    <w:uiPriority w:val="99"/>
    <w:rsid w:val="0052294D"/>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2">
    <w:name w:val="DTF Table2"/>
    <w:basedOn w:val="TableNormal"/>
    <w:uiPriority w:val="99"/>
    <w:rsid w:val="0052294D"/>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3">
    <w:name w:val="DTF Table3"/>
    <w:basedOn w:val="TableNormal"/>
    <w:uiPriority w:val="99"/>
    <w:rsid w:val="0052294D"/>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4">
    <w:name w:val="DTF Table4"/>
    <w:basedOn w:val="TableNormal"/>
    <w:uiPriority w:val="99"/>
    <w:rsid w:val="0052294D"/>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5">
    <w:name w:val="DTF Table5"/>
    <w:basedOn w:val="TableNormal"/>
    <w:uiPriority w:val="99"/>
    <w:rsid w:val="0052294D"/>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6">
    <w:name w:val="DTF Table6"/>
    <w:basedOn w:val="TableNormal"/>
    <w:uiPriority w:val="99"/>
    <w:rsid w:val="0052294D"/>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7">
    <w:name w:val="DTF Table7"/>
    <w:basedOn w:val="TableNormal"/>
    <w:uiPriority w:val="99"/>
    <w:rsid w:val="0052294D"/>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8">
    <w:name w:val="DTF Table8"/>
    <w:basedOn w:val="TableNormal"/>
    <w:uiPriority w:val="99"/>
    <w:rsid w:val="0052294D"/>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9">
    <w:name w:val="DTF Table9"/>
    <w:basedOn w:val="TableNormal"/>
    <w:uiPriority w:val="99"/>
    <w:rsid w:val="0052294D"/>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10">
    <w:name w:val="DTF Table10"/>
    <w:basedOn w:val="TableNormal"/>
    <w:uiPriority w:val="99"/>
    <w:rsid w:val="0052294D"/>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character" w:customStyle="1" w:styleId="ChapterheadingChar">
    <w:name w:val="Chapter heading Char"/>
    <w:basedOn w:val="DefaultParagraphFont"/>
    <w:link w:val="Chapterheading"/>
    <w:uiPriority w:val="89"/>
    <w:rsid w:val="0052294D"/>
    <w:rPr>
      <w:rFonts w:asciiTheme="majorHAnsi" w:eastAsiaTheme="majorEastAsia" w:hAnsiTheme="majorHAnsi" w:cstheme="majorBidi"/>
      <w:b/>
      <w:bCs/>
      <w:caps/>
      <w:spacing w:val="-2"/>
      <w:sz w:val="36"/>
      <w:szCs w:val="28"/>
    </w:rPr>
  </w:style>
  <w:style w:type="character" w:styleId="UnresolvedMention">
    <w:name w:val="Unresolved Mention"/>
    <w:basedOn w:val="DefaultParagraphFont"/>
    <w:uiPriority w:val="99"/>
    <w:semiHidden/>
    <w:unhideWhenUsed/>
    <w:rsid w:val="004D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footer" Target="footer48.xml"/><Relationship Id="rId21" Type="http://schemas.openxmlformats.org/officeDocument/2006/relationships/image" Target="media/image4.png"/><Relationship Id="rId42" Type="http://schemas.openxmlformats.org/officeDocument/2006/relationships/header" Target="header12.xml"/><Relationship Id="rId47" Type="http://schemas.openxmlformats.org/officeDocument/2006/relationships/footer" Target="footer17.xml"/><Relationship Id="rId63" Type="http://schemas.openxmlformats.org/officeDocument/2006/relationships/footer" Target="footer24.xml"/><Relationship Id="rId68" Type="http://schemas.openxmlformats.org/officeDocument/2006/relationships/header" Target="header27.xml"/><Relationship Id="rId84" Type="http://schemas.openxmlformats.org/officeDocument/2006/relationships/header" Target="header36.xml"/><Relationship Id="rId89" Type="http://schemas.openxmlformats.org/officeDocument/2006/relationships/footer" Target="footer35.xml"/><Relationship Id="rId112" Type="http://schemas.openxmlformats.org/officeDocument/2006/relationships/header" Target="header49.xml"/><Relationship Id="rId16" Type="http://schemas.openxmlformats.org/officeDocument/2006/relationships/image" Target="media/image2.emf"/><Relationship Id="rId107" Type="http://schemas.openxmlformats.org/officeDocument/2006/relationships/header" Target="header47.xml"/><Relationship Id="rId11" Type="http://schemas.openxmlformats.org/officeDocument/2006/relationships/header" Target="header2.xml"/><Relationship Id="rId32" Type="http://schemas.openxmlformats.org/officeDocument/2006/relationships/footer" Target="footer10.xml"/><Relationship Id="rId37" Type="http://schemas.openxmlformats.org/officeDocument/2006/relationships/image" Target="media/image8.png"/><Relationship Id="rId53" Type="http://schemas.openxmlformats.org/officeDocument/2006/relationships/footer" Target="footer20.xml"/><Relationship Id="rId58" Type="http://schemas.openxmlformats.org/officeDocument/2006/relationships/header" Target="header21.xml"/><Relationship Id="rId74" Type="http://schemas.openxmlformats.org/officeDocument/2006/relationships/header" Target="header31.xml"/><Relationship Id="rId79" Type="http://schemas.openxmlformats.org/officeDocument/2006/relationships/footer" Target="footer30.xml"/><Relationship Id="rId102" Type="http://schemas.openxmlformats.org/officeDocument/2006/relationships/header" Target="header45.xm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23.xml"/><Relationship Id="rId82" Type="http://schemas.openxmlformats.org/officeDocument/2006/relationships/footer" Target="footer31.xml"/><Relationship Id="rId90" Type="http://schemas.openxmlformats.org/officeDocument/2006/relationships/header" Target="header39.xml"/><Relationship Id="rId95" Type="http://schemas.openxmlformats.org/officeDocument/2006/relationships/footer" Target="footer38.xml"/><Relationship Id="rId19" Type="http://schemas.openxmlformats.org/officeDocument/2006/relationships/footer" Target="footer6.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header" Target="header24.xml"/><Relationship Id="rId69" Type="http://schemas.openxmlformats.org/officeDocument/2006/relationships/footer" Target="footer26.xml"/><Relationship Id="rId77" Type="http://schemas.openxmlformats.org/officeDocument/2006/relationships/footer" Target="footer29.xml"/><Relationship Id="rId100" Type="http://schemas.openxmlformats.org/officeDocument/2006/relationships/footer" Target="footer40.xml"/><Relationship Id="rId105" Type="http://schemas.openxmlformats.org/officeDocument/2006/relationships/image" Target="media/image10.emf"/><Relationship Id="rId113" Type="http://schemas.openxmlformats.org/officeDocument/2006/relationships/header" Target="header50.xml"/><Relationship Id="rId118" Type="http://schemas.openxmlformats.org/officeDocument/2006/relationships/footer" Target="footer49.xml"/><Relationship Id="rId8" Type="http://schemas.openxmlformats.org/officeDocument/2006/relationships/endnotes" Target="endnotes.xml"/><Relationship Id="rId51" Type="http://schemas.openxmlformats.org/officeDocument/2006/relationships/header" Target="header17.xml"/><Relationship Id="rId72" Type="http://schemas.openxmlformats.org/officeDocument/2006/relationships/header" Target="header30.xml"/><Relationship Id="rId80" Type="http://schemas.openxmlformats.org/officeDocument/2006/relationships/header" Target="header34.xml"/><Relationship Id="rId85" Type="http://schemas.openxmlformats.org/officeDocument/2006/relationships/footer" Target="footer33.xml"/><Relationship Id="rId93" Type="http://schemas.openxmlformats.org/officeDocument/2006/relationships/header" Target="header41.xml"/><Relationship Id="rId98" Type="http://schemas.openxmlformats.org/officeDocument/2006/relationships/header" Target="header43.xml"/><Relationship Id="rId121" Type="http://schemas.openxmlformats.org/officeDocument/2006/relationships/footer" Target="footer5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0.xml"/><Relationship Id="rId46" Type="http://schemas.openxmlformats.org/officeDocument/2006/relationships/footer" Target="footer16.xml"/><Relationship Id="rId59" Type="http://schemas.openxmlformats.org/officeDocument/2006/relationships/footer" Target="footer22.xml"/><Relationship Id="rId67" Type="http://schemas.openxmlformats.org/officeDocument/2006/relationships/header" Target="header26.xml"/><Relationship Id="rId103" Type="http://schemas.openxmlformats.org/officeDocument/2006/relationships/footer" Target="footer42.xml"/><Relationship Id="rId108" Type="http://schemas.openxmlformats.org/officeDocument/2006/relationships/footer" Target="footer43.xml"/><Relationship Id="rId116" Type="http://schemas.openxmlformats.org/officeDocument/2006/relationships/header" Target="header51.xml"/><Relationship Id="rId124" Type="http://schemas.openxmlformats.org/officeDocument/2006/relationships/theme" Target="theme/theme1.xml"/><Relationship Id="rId20" Type="http://schemas.openxmlformats.org/officeDocument/2006/relationships/image" Target="media/image3.emf"/><Relationship Id="rId41" Type="http://schemas.openxmlformats.org/officeDocument/2006/relationships/footer" Target="footer14.xml"/><Relationship Id="rId54" Type="http://schemas.openxmlformats.org/officeDocument/2006/relationships/header" Target="header18.xml"/><Relationship Id="rId62" Type="http://schemas.openxmlformats.org/officeDocument/2006/relationships/footer" Target="footer23.xml"/><Relationship Id="rId70" Type="http://schemas.openxmlformats.org/officeDocument/2006/relationships/header" Target="header28.xml"/><Relationship Id="rId75" Type="http://schemas.openxmlformats.org/officeDocument/2006/relationships/header" Target="header32.xml"/><Relationship Id="rId83" Type="http://schemas.openxmlformats.org/officeDocument/2006/relationships/footer" Target="footer32.xml"/><Relationship Id="rId88" Type="http://schemas.openxmlformats.org/officeDocument/2006/relationships/footer" Target="footer34.xml"/><Relationship Id="rId91" Type="http://schemas.openxmlformats.org/officeDocument/2006/relationships/footer" Target="footer36.xml"/><Relationship Id="rId96" Type="http://schemas.openxmlformats.org/officeDocument/2006/relationships/header" Target="header42.xml"/><Relationship Id="rId111"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image" Target="media/image5.emf"/><Relationship Id="rId36" Type="http://schemas.openxmlformats.org/officeDocument/2006/relationships/image" Target="media/image7.png"/><Relationship Id="rId49" Type="http://schemas.openxmlformats.org/officeDocument/2006/relationships/footer" Target="footer18.xml"/><Relationship Id="rId57" Type="http://schemas.openxmlformats.org/officeDocument/2006/relationships/header" Target="header20.xml"/><Relationship Id="rId106" Type="http://schemas.openxmlformats.org/officeDocument/2006/relationships/header" Target="header46.xml"/><Relationship Id="rId114" Type="http://schemas.openxmlformats.org/officeDocument/2006/relationships/footer" Target="footer46.xml"/><Relationship Id="rId119" Type="http://schemas.openxmlformats.org/officeDocument/2006/relationships/footer" Target="footer50.xml"/><Relationship Id="rId10" Type="http://schemas.openxmlformats.org/officeDocument/2006/relationships/header" Target="header1.xml"/><Relationship Id="rId31" Type="http://schemas.openxmlformats.org/officeDocument/2006/relationships/header" Target="header8.xml"/><Relationship Id="rId44" Type="http://schemas.openxmlformats.org/officeDocument/2006/relationships/header" Target="header13.xml"/><Relationship Id="rId52" Type="http://schemas.openxmlformats.org/officeDocument/2006/relationships/footer" Target="footer19.xml"/><Relationship Id="rId60" Type="http://schemas.openxmlformats.org/officeDocument/2006/relationships/header" Target="header22.xml"/><Relationship Id="rId65" Type="http://schemas.openxmlformats.org/officeDocument/2006/relationships/footer" Target="footer25.xml"/><Relationship Id="rId73" Type="http://schemas.openxmlformats.org/officeDocument/2006/relationships/footer" Target="footer27.xm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header" Target="header37.xml"/><Relationship Id="rId94" Type="http://schemas.openxmlformats.org/officeDocument/2006/relationships/footer" Target="footer37.xml"/><Relationship Id="rId99" Type="http://schemas.openxmlformats.org/officeDocument/2006/relationships/header" Target="header44.xml"/><Relationship Id="rId101" Type="http://schemas.openxmlformats.org/officeDocument/2006/relationships/footer" Target="footer41.xml"/><Relationship Id="rId122" Type="http://schemas.openxmlformats.org/officeDocument/2006/relationships/footer" Target="footer52.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eader" Target="header11.xml"/><Relationship Id="rId109" Type="http://schemas.openxmlformats.org/officeDocument/2006/relationships/footer" Target="footer44.xml"/><Relationship Id="rId34" Type="http://schemas.openxmlformats.org/officeDocument/2006/relationships/header" Target="header9.xml"/><Relationship Id="rId50" Type="http://schemas.openxmlformats.org/officeDocument/2006/relationships/header" Target="header16.xml"/><Relationship Id="rId55" Type="http://schemas.openxmlformats.org/officeDocument/2006/relationships/footer" Target="footer21.xml"/><Relationship Id="rId76" Type="http://schemas.openxmlformats.org/officeDocument/2006/relationships/footer" Target="footer28.xml"/><Relationship Id="rId97" Type="http://schemas.openxmlformats.org/officeDocument/2006/relationships/footer" Target="footer39.xml"/><Relationship Id="rId104" Type="http://schemas.openxmlformats.org/officeDocument/2006/relationships/image" Target="media/image9.emf"/><Relationship Id="rId120" Type="http://schemas.openxmlformats.org/officeDocument/2006/relationships/image" Target="media/image11.emf"/><Relationship Id="rId7" Type="http://schemas.openxmlformats.org/officeDocument/2006/relationships/footnotes" Target="footnotes.xml"/><Relationship Id="rId71" Type="http://schemas.openxmlformats.org/officeDocument/2006/relationships/header" Target="header29.xml"/><Relationship Id="rId92" Type="http://schemas.openxmlformats.org/officeDocument/2006/relationships/header" Target="header40.xml"/><Relationship Id="rId2" Type="http://schemas.openxmlformats.org/officeDocument/2006/relationships/customXml" Target="../customXml/item2.xml"/><Relationship Id="rId29" Type="http://schemas.openxmlformats.org/officeDocument/2006/relationships/image" Target="media/image6.emf"/><Relationship Id="rId24" Type="http://schemas.openxmlformats.org/officeDocument/2006/relationships/footer" Target="footer7.xml"/><Relationship Id="rId40" Type="http://schemas.openxmlformats.org/officeDocument/2006/relationships/footer" Target="footer13.xml"/><Relationship Id="rId45" Type="http://schemas.openxmlformats.org/officeDocument/2006/relationships/header" Target="header14.xml"/><Relationship Id="rId66" Type="http://schemas.openxmlformats.org/officeDocument/2006/relationships/header" Target="header25.xml"/><Relationship Id="rId87" Type="http://schemas.openxmlformats.org/officeDocument/2006/relationships/header" Target="header38.xml"/><Relationship Id="rId110" Type="http://schemas.openxmlformats.org/officeDocument/2006/relationships/header" Target="header48.xml"/><Relationship Id="rId115" Type="http://schemas.openxmlformats.org/officeDocument/2006/relationships/footer" Target="footer47.xml"/></Relationships>
</file>

<file path=word/_rels/footnotes.xml.rels><?xml version="1.0" encoding="UTF-8" standalone="yes"?>
<Relationships xmlns="http://schemas.openxmlformats.org/package/2006/relationships"><Relationship Id="rId1" Type="http://schemas.openxmlformats.org/officeDocument/2006/relationships/hyperlink" Target="http://www.copsmodels.com/ftp/workpapr/g-25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Publication.dotx" TargetMode="Externa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4110-50D3-4E89-AC8A-82B58C9B2BFC}">
  <ds:schemaRefs>
    <ds:schemaRef ds:uri="http://www.w3.org/2001/XMLSchema"/>
  </ds:schemaRefs>
</ds:datastoreItem>
</file>

<file path=customXml/itemProps2.xml><?xml version="1.0" encoding="utf-8"?>
<ds:datastoreItem xmlns:ds="http://schemas.openxmlformats.org/officeDocument/2006/customXml" ds:itemID="{6812EF1F-F145-4999-BCED-A62D7E91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Publication.dotx</Template>
  <TotalTime>1</TotalTime>
  <Pages>151</Pages>
  <Words>38855</Words>
  <Characters>221475</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2019-20 Budget Update</vt:lpstr>
    </vt:vector>
  </TitlesOfParts>
  <Company>Victorian Government</Company>
  <LinksUpToDate>false</LinksUpToDate>
  <CharactersWithSpaces>259811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Budget Update</dc:title>
  <dc:subject>[publication name]</dc:subject>
  <dc:creator>Leigh Anlezark</dc:creator>
  <cp:lastModifiedBy>Leigh Anlezark</cp:lastModifiedBy>
  <cp:revision>2</cp:revision>
  <cp:lastPrinted>2019-12-09T07:52:00Z</cp:lastPrinted>
  <dcterms:created xsi:type="dcterms:W3CDTF">2019-12-10T05:31:00Z</dcterms:created>
  <dcterms:modified xsi:type="dcterms:W3CDTF">2019-12-10T05:31:00Z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c2c8aea8-fa9f-431e-8d53-6a9f9f45edd2</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Owner">
    <vt:lpwstr>leigh.anlezark@dtf.vic.gov.au</vt:lpwstr>
  </property>
  <property fmtid="{D5CDD505-2E9C-101B-9397-08002B2CF9AE}" pid="8" name="MSIP_Label_bb4ee517-5ca4-4fff-98d2-ed4f906edd6d_SetDate">
    <vt:lpwstr>2019-12-08T23:35:50.7700510Z</vt:lpwstr>
  </property>
  <property fmtid="{D5CDD505-2E9C-101B-9397-08002B2CF9AE}" pid="9" name="MSIP_Label_bb4ee517-5ca4-4fff-98d2-ed4f906edd6d_Name">
    <vt:lpwstr>DoNotMark</vt:lpwstr>
  </property>
  <property fmtid="{D5CDD505-2E9C-101B-9397-08002B2CF9AE}" pid="10" name="MSIP_Label_bb4ee517-5ca4-4fff-98d2-ed4f906edd6d_Application">
    <vt:lpwstr>Microsoft Azure Information Protection</vt:lpwstr>
  </property>
  <property fmtid="{D5CDD505-2E9C-101B-9397-08002B2CF9AE}" pid="11" name="MSIP_Label_bb4ee517-5ca4-4fff-98d2-ed4f906edd6d_Extended_MSFT_Method">
    <vt:lpwstr>Manual</vt:lpwstr>
  </property>
  <property fmtid="{D5CDD505-2E9C-101B-9397-08002B2CF9AE}" pid="12" name="Sensitivity">
    <vt:lpwstr>DoNotMark</vt:lpwstr>
  </property>
</Properties>
</file>