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E4AC5" w14:textId="77777777" w:rsidR="00826F72" w:rsidRDefault="00193353">
      <w:pPr>
        <w:spacing w:before="19"/>
        <w:ind w:left="4273" w:right="7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z w:val="28"/>
          <w:szCs w:val="28"/>
        </w:rPr>
        <w:t>2020‐21 Budget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Update</w:t>
      </w:r>
    </w:p>
    <w:p w14:paraId="0C973BF0" w14:textId="77777777" w:rsidR="00826F72" w:rsidRDefault="00826F72">
      <w:pPr>
        <w:rPr>
          <w:rFonts w:ascii="Calibri" w:eastAsia="Calibri" w:hAnsi="Calibri" w:cs="Calibri"/>
          <w:b/>
          <w:bCs/>
          <w:i/>
          <w:sz w:val="28"/>
          <w:szCs w:val="28"/>
        </w:rPr>
      </w:pPr>
    </w:p>
    <w:p w14:paraId="20E32DE5" w14:textId="77777777" w:rsidR="00826F72" w:rsidRDefault="00826F72">
      <w:pPr>
        <w:spacing w:before="3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46647D83" w14:textId="77777777" w:rsidR="00826F72" w:rsidRDefault="00193353">
      <w:pPr>
        <w:pStyle w:val="BodyText"/>
        <w:spacing w:line="259" w:lineRule="auto"/>
        <w:ind w:right="77"/>
      </w:pPr>
      <w:r>
        <w:t xml:space="preserve">As required by section 23H of the </w:t>
      </w:r>
      <w:r>
        <w:rPr>
          <w:rFonts w:cs="Calibri"/>
          <w:i/>
        </w:rPr>
        <w:t xml:space="preserve">Financial Management Act 1994 </w:t>
      </w:r>
      <w:r>
        <w:t>(FMA), estimated</w:t>
      </w:r>
      <w:r>
        <w:rPr>
          <w:spacing w:val="-12"/>
        </w:rPr>
        <w:t xml:space="preserve"> </w:t>
      </w:r>
      <w:r>
        <w:t>financial</w:t>
      </w:r>
      <w:r>
        <w:rPr>
          <w:w w:val="99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2020‐21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budget.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financial</w:t>
      </w:r>
      <w:r>
        <w:rPr>
          <w:spacing w:val="-1"/>
          <w:w w:val="99"/>
        </w:rPr>
        <w:t xml:space="preserve"> </w:t>
      </w:r>
      <w:r>
        <w:t>statements, the financial policy objectives and strategies statement required by section 23E of</w:t>
      </w:r>
      <w:r>
        <w:rPr>
          <w:spacing w:val="-13"/>
        </w:rPr>
        <w:t xml:space="preserve"> </w:t>
      </w:r>
      <w:r>
        <w:t>the</w:t>
      </w:r>
      <w:r>
        <w:rPr>
          <w:w w:val="99"/>
        </w:rPr>
        <w:t xml:space="preserve"> </w:t>
      </w:r>
      <w:r>
        <w:t>FMA, and the accompanying statement required by section 23K of the FMA, were published</w:t>
      </w:r>
      <w:r>
        <w:rPr>
          <w:spacing w:val="-14"/>
        </w:rPr>
        <w:t xml:space="preserve"> </w:t>
      </w:r>
      <w:r>
        <w:t>on</w:t>
      </w:r>
    </w:p>
    <w:p w14:paraId="182FE3D5" w14:textId="77777777" w:rsidR="00826F72" w:rsidRDefault="00193353">
      <w:pPr>
        <w:pStyle w:val="BodyText"/>
        <w:spacing w:line="259" w:lineRule="auto"/>
        <w:ind w:right="77"/>
      </w:pPr>
      <w:r>
        <w:t xml:space="preserve">24 November 2020 in the 2020‐21 Budget </w:t>
      </w:r>
      <w:proofErr w:type="gramStart"/>
      <w:r>
        <w:t>Papers, and</w:t>
      </w:r>
      <w:proofErr w:type="gramEnd"/>
      <w:r>
        <w:t xml:space="preserve"> incorporated th</w:t>
      </w:r>
      <w:r>
        <w:t>e impacts of all</w:t>
      </w:r>
      <w:r>
        <w:rPr>
          <w:spacing w:val="-31"/>
        </w:rPr>
        <w:t xml:space="preserve"> </w:t>
      </w:r>
      <w:r>
        <w:t>circumstances</w:t>
      </w:r>
      <w:r>
        <w:rPr>
          <w:spacing w:val="-1"/>
          <w:w w:val="99"/>
        </w:rPr>
        <w:t xml:space="preserve"> </w:t>
      </w:r>
      <w:r>
        <w:t>known to the Victorian Government as at 12 November</w:t>
      </w:r>
      <w:r>
        <w:rPr>
          <w:spacing w:val="-9"/>
        </w:rPr>
        <w:t xml:space="preserve"> </w:t>
      </w:r>
      <w:r>
        <w:t>2020.</w:t>
      </w:r>
    </w:p>
    <w:p w14:paraId="004422AC" w14:textId="77777777" w:rsidR="00826F72" w:rsidRDefault="00826F72">
      <w:pPr>
        <w:rPr>
          <w:rFonts w:ascii="Calibri" w:eastAsia="Calibri" w:hAnsi="Calibri" w:cs="Calibri"/>
        </w:rPr>
      </w:pPr>
    </w:p>
    <w:p w14:paraId="50F2CE1D" w14:textId="77777777" w:rsidR="00826F72" w:rsidRDefault="00826F72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0DDA2022" w14:textId="77777777" w:rsidR="00826F72" w:rsidRDefault="00193353">
      <w:pPr>
        <w:pStyle w:val="BodyText"/>
        <w:spacing w:line="259" w:lineRule="auto"/>
        <w:ind w:left="1139" w:right="77"/>
      </w:pPr>
      <w:r>
        <w:t>Section 23L of the FMA requires the Minister administering that section, i.e. the Treasurer,</w:t>
      </w:r>
      <w:r>
        <w:rPr>
          <w:spacing w:val="-13"/>
        </w:rPr>
        <w:t xml:space="preserve"> </w:t>
      </w:r>
      <w:r>
        <w:t>to</w:t>
      </w:r>
      <w:r>
        <w:rPr>
          <w:w w:val="99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year.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23N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FMA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</w:t>
      </w:r>
      <w:r>
        <w:rPr>
          <w:w w:val="99"/>
        </w:rPr>
        <w:t xml:space="preserve"> </w:t>
      </w:r>
      <w:r>
        <w:t>update comprises updated estimated financial statements which m</w:t>
      </w:r>
      <w:r>
        <w:t>ust “</w:t>
      </w:r>
      <w:proofErr w:type="gramStart"/>
      <w:r>
        <w:t>take into</w:t>
      </w:r>
      <w:r>
        <w:rPr>
          <w:spacing w:val="-22"/>
        </w:rPr>
        <w:t xml:space="preserve"> </w:t>
      </w:r>
      <w:r>
        <w:t>account</w:t>
      </w:r>
      <w:proofErr w:type="gramEnd"/>
      <w:r>
        <w:rPr>
          <w:w w:val="99"/>
        </w:rPr>
        <w:t xml:space="preserve"> </w:t>
      </w:r>
      <w:r>
        <w:t>Government decisions and other circumstances that may have a material effect on them” and</w:t>
      </w:r>
      <w:r>
        <w:rPr>
          <w:spacing w:val="-34"/>
        </w:rPr>
        <w:t xml:space="preserve"> </w:t>
      </w:r>
      <w:r>
        <w:t>“state</w:t>
      </w:r>
      <w:r>
        <w:rPr>
          <w:spacing w:val="-1"/>
          <w:w w:val="99"/>
        </w:rPr>
        <w:t xml:space="preserve"> </w:t>
      </w:r>
      <w:r>
        <w:t>the date on which the updating was undertaken.” Sections 23E and 23K of the FMA requires that</w:t>
      </w:r>
      <w:r>
        <w:rPr>
          <w:spacing w:val="-31"/>
        </w:rPr>
        <w:t xml:space="preserve"> </w:t>
      </w:r>
      <w:r>
        <w:t>a</w:t>
      </w:r>
      <w:r>
        <w:rPr>
          <w:w w:val="99"/>
        </w:rPr>
        <w:t xml:space="preserve"> </w:t>
      </w:r>
      <w:r>
        <w:t>financial policy objectives and strategi</w:t>
      </w:r>
      <w:r>
        <w:t>es statement and an accompanying statement respectively</w:t>
      </w:r>
      <w:r>
        <w:rPr>
          <w:spacing w:val="-23"/>
        </w:rPr>
        <w:t xml:space="preserve"> </w:t>
      </w:r>
      <w:r>
        <w:t>be</w:t>
      </w:r>
      <w:r>
        <w:rPr>
          <w:w w:val="99"/>
        </w:rPr>
        <w:t xml:space="preserve"> </w:t>
      </w:r>
      <w:r>
        <w:t>prepared in association with each set of estimated financial</w:t>
      </w:r>
      <w:r>
        <w:rPr>
          <w:spacing w:val="-9"/>
        </w:rPr>
        <w:t xml:space="preserve"> </w:t>
      </w:r>
      <w:r>
        <w:t>statements.</w:t>
      </w:r>
    </w:p>
    <w:p w14:paraId="040F61F1" w14:textId="77777777" w:rsidR="00826F72" w:rsidRDefault="00826F72">
      <w:pPr>
        <w:rPr>
          <w:rFonts w:ascii="Calibri" w:eastAsia="Calibri" w:hAnsi="Calibri" w:cs="Calibri"/>
        </w:rPr>
      </w:pPr>
    </w:p>
    <w:p w14:paraId="5D2D06C2" w14:textId="77777777" w:rsidR="00826F72" w:rsidRDefault="00826F72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236920C3" w14:textId="77777777" w:rsidR="00826F72" w:rsidRDefault="00193353">
      <w:pPr>
        <w:pStyle w:val="BodyText"/>
        <w:spacing w:line="259" w:lineRule="auto"/>
        <w:ind w:right="77"/>
      </w:pPr>
      <w:r>
        <w:t>As required by these provisions of the FMA, the 2020‐21 estimated financial statements,</w:t>
      </w:r>
      <w:r>
        <w:rPr>
          <w:spacing w:val="-15"/>
        </w:rPr>
        <w:t xml:space="preserve"> </w:t>
      </w:r>
      <w:r>
        <w:t>financial</w:t>
      </w:r>
      <w:r>
        <w:rPr>
          <w:w w:val="99"/>
        </w:rPr>
        <w:t xml:space="preserve"> </w:t>
      </w:r>
      <w:r>
        <w:t>policy objectives and st</w:t>
      </w:r>
      <w:r>
        <w:t>rategies statement and accompanying statement were updated</w:t>
      </w:r>
      <w:r>
        <w:rPr>
          <w:spacing w:val="-29"/>
        </w:rPr>
        <w:t xml:space="preserve"> </w:t>
      </w:r>
      <w:r>
        <w:t>on</w:t>
      </w:r>
    </w:p>
    <w:p w14:paraId="131A9BFB" w14:textId="77777777" w:rsidR="00826F72" w:rsidRDefault="00193353">
      <w:pPr>
        <w:pStyle w:val="BodyText"/>
        <w:spacing w:line="259" w:lineRule="auto"/>
        <w:ind w:right="77"/>
      </w:pPr>
      <w:r>
        <w:t>18 November 2020. During the period from 12 November 2020 to 18 November 2020, no</w:t>
      </w:r>
      <w:r>
        <w:rPr>
          <w:spacing w:val="-7"/>
        </w:rPr>
        <w:t xml:space="preserve"> </w:t>
      </w:r>
      <w:r>
        <w:t>new</w:t>
      </w:r>
      <w:r>
        <w:rPr>
          <w:w w:val="99"/>
        </w:rPr>
        <w:t xml:space="preserve"> </w:t>
      </w:r>
      <w:r>
        <w:t>events, information or Government policy decisions occurred or became known to the</w:t>
      </w:r>
      <w:r>
        <w:rPr>
          <w:spacing w:val="-23"/>
        </w:rPr>
        <w:t xml:space="preserve"> </w:t>
      </w:r>
      <w:r>
        <w:t>Victorian</w:t>
      </w:r>
      <w:r>
        <w:rPr>
          <w:w w:val="99"/>
        </w:rPr>
        <w:t xml:space="preserve"> </w:t>
      </w:r>
      <w:r>
        <w:t>Government which necessitated any change in the estimated financial statements, financial</w:t>
      </w:r>
      <w:r>
        <w:rPr>
          <w:spacing w:val="-13"/>
        </w:rPr>
        <w:t xml:space="preserve"> </w:t>
      </w:r>
      <w:r>
        <w:t>policy</w:t>
      </w:r>
      <w:r>
        <w:rPr>
          <w:w w:val="99"/>
        </w:rPr>
        <w:t xml:space="preserve"> </w:t>
      </w:r>
      <w:r>
        <w:t>objectives and strategies statement or accompanying</w:t>
      </w:r>
      <w:r>
        <w:rPr>
          <w:spacing w:val="-10"/>
        </w:rPr>
        <w:t xml:space="preserve"> </w:t>
      </w:r>
      <w:r>
        <w:t>statement.</w:t>
      </w:r>
    </w:p>
    <w:p w14:paraId="7EDE9611" w14:textId="77777777" w:rsidR="00826F72" w:rsidRDefault="00826F72">
      <w:pPr>
        <w:rPr>
          <w:rFonts w:ascii="Calibri" w:eastAsia="Calibri" w:hAnsi="Calibri" w:cs="Calibri"/>
        </w:rPr>
      </w:pPr>
    </w:p>
    <w:p w14:paraId="3C2FF89F" w14:textId="77777777" w:rsidR="00826F72" w:rsidRDefault="00826F72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1761BBB7" w14:textId="77777777" w:rsidR="00826F72" w:rsidRDefault="00193353">
      <w:pPr>
        <w:pStyle w:val="BodyText"/>
        <w:spacing w:line="259" w:lineRule="auto"/>
        <w:ind w:right="152" w:hanging="1"/>
      </w:pPr>
      <w:r>
        <w:t>A</w:t>
      </w:r>
      <w:r>
        <w:t xml:space="preserve">ccordingly, in accordance with section 23N(4) of the FMA, I </w:t>
      </w:r>
      <w:proofErr w:type="spellStart"/>
      <w:r>
        <w:t>summarise</w:t>
      </w:r>
      <w:proofErr w:type="spellEnd"/>
      <w:r>
        <w:t xml:space="preserve"> that the</w:t>
      </w:r>
      <w:r>
        <w:rPr>
          <w:spacing w:val="-25"/>
        </w:rPr>
        <w:t xml:space="preserve"> </w:t>
      </w:r>
      <w:r>
        <w:t>information</w:t>
      </w:r>
      <w:r>
        <w:rPr>
          <w:spacing w:val="-1"/>
          <w:w w:val="99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update,</w:t>
      </w:r>
      <w:r>
        <w:rPr>
          <w:spacing w:val="-3"/>
        </w:rPr>
        <w:t xml:space="preserve"> </w:t>
      </w:r>
      <w:r>
        <w:t>comprising</w:t>
      </w:r>
      <w:r>
        <w:rPr>
          <w:spacing w:val="-4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statements,</w:t>
      </w:r>
      <w:r>
        <w:rPr>
          <w:w w:val="99"/>
        </w:rPr>
        <w:t xml:space="preserve"> </w:t>
      </w:r>
      <w:proofErr w:type="gramStart"/>
      <w:r>
        <w:t>a financial policy objectives and strategies statement and an updat</w:t>
      </w:r>
      <w:r>
        <w:t>ed accompanying statement,</w:t>
      </w:r>
      <w:proofErr w:type="gramEnd"/>
      <w:r>
        <w:rPr>
          <w:spacing w:val="-23"/>
        </w:rPr>
        <w:t xml:space="preserve"> </w:t>
      </w:r>
      <w:r>
        <w:t>is</w:t>
      </w:r>
      <w:r>
        <w:rPr>
          <w:w w:val="99"/>
        </w:rPr>
        <w:t xml:space="preserve"> </w:t>
      </w:r>
      <w:r>
        <w:t>unchanged from the information published in the 2020‐21 Budget Papers. The location of</w:t>
      </w:r>
      <w:r>
        <w:rPr>
          <w:spacing w:val="-15"/>
        </w:rPr>
        <w:t xml:space="preserve"> </w:t>
      </w:r>
      <w:r>
        <w:t>this</w:t>
      </w:r>
      <w:r>
        <w:rPr>
          <w:w w:val="99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rFonts w:cs="Calibri"/>
          <w:i/>
        </w:rPr>
        <w:t>Statement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</w:rPr>
        <w:t>of</w:t>
      </w:r>
      <w:r>
        <w:rPr>
          <w:rFonts w:cs="Calibri"/>
          <w:i/>
          <w:spacing w:val="-1"/>
          <w:w w:val="99"/>
        </w:rPr>
        <w:t xml:space="preserve"> </w:t>
      </w:r>
      <w:r>
        <w:rPr>
          <w:rFonts w:cs="Calibri"/>
          <w:i/>
        </w:rPr>
        <w:t>Finances</w:t>
      </w:r>
      <w:r>
        <w:t>.</w:t>
      </w:r>
    </w:p>
    <w:p w14:paraId="1B6B07B1" w14:textId="77777777" w:rsidR="00826F72" w:rsidRDefault="00826F72">
      <w:pPr>
        <w:rPr>
          <w:rFonts w:ascii="Calibri" w:eastAsia="Calibri" w:hAnsi="Calibri" w:cs="Calibri"/>
          <w:sz w:val="20"/>
          <w:szCs w:val="20"/>
        </w:rPr>
      </w:pPr>
    </w:p>
    <w:p w14:paraId="7412CB38" w14:textId="77777777" w:rsidR="00826F72" w:rsidRDefault="00826F72">
      <w:pPr>
        <w:rPr>
          <w:rFonts w:ascii="Calibri" w:eastAsia="Calibri" w:hAnsi="Calibri" w:cs="Calibri"/>
          <w:sz w:val="20"/>
          <w:szCs w:val="20"/>
        </w:rPr>
      </w:pPr>
    </w:p>
    <w:p w14:paraId="22A99F26" w14:textId="10882F62" w:rsidR="00826F72" w:rsidRDefault="00826F72" w:rsidP="00193353">
      <w:pPr>
        <w:pStyle w:val="BodyText"/>
        <w:spacing w:before="55"/>
        <w:ind w:left="0" w:right="77"/>
      </w:pPr>
      <w:bookmarkStart w:id="0" w:name="_GoBack"/>
      <w:bookmarkEnd w:id="0"/>
    </w:p>
    <w:sectPr w:rsidR="00826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20" w:right="1380" w:bottom="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5C5E" w14:textId="77777777" w:rsidR="00770297" w:rsidRDefault="00770297" w:rsidP="00770297">
      <w:r>
        <w:separator/>
      </w:r>
    </w:p>
  </w:endnote>
  <w:endnote w:type="continuationSeparator" w:id="0">
    <w:p w14:paraId="6BBD5805" w14:textId="77777777" w:rsidR="00770297" w:rsidRDefault="00770297" w:rsidP="0077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2B70" w14:textId="77777777" w:rsidR="00770297" w:rsidRDefault="00770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56AB" w14:textId="3ED28287" w:rsidR="00770297" w:rsidRDefault="00770297">
    <w:pPr>
      <w:pStyle w:val="Footer"/>
    </w:pPr>
    <w:r>
      <w:rPr>
        <w:noProof/>
      </w:rPr>
      <w:pict w14:anchorId="2CE64D3C">
        <v:shapetype id="_x0000_t202" coordsize="21600,21600" o:spt="202" path="m,l,21600r21600,l21600,xe">
          <v:stroke joinstyle="miter"/>
          <v:path gradientshapeok="t" o:connecttype="rect"/>
        </v:shapetype>
        <v:shape id="MSIPCM27284718ac7652adf6b2348b" o:spid="_x0000_s1025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7804718D" w14:textId="5D852116" w:rsidR="00770297" w:rsidRPr="00770297" w:rsidRDefault="00770297" w:rsidP="00770297">
                <w:pPr>
                  <w:rPr>
                    <w:rFonts w:ascii="Calibri" w:hAnsi="Calibri" w:cs="Calibri"/>
                    <w:color w:val="000000"/>
                  </w:rPr>
                </w:pPr>
                <w:r w:rsidRPr="00770297"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41A8" w14:textId="77777777" w:rsidR="00770297" w:rsidRDefault="00770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683EF" w14:textId="77777777" w:rsidR="00770297" w:rsidRDefault="00770297" w:rsidP="00770297">
      <w:r>
        <w:separator/>
      </w:r>
    </w:p>
  </w:footnote>
  <w:footnote w:type="continuationSeparator" w:id="0">
    <w:p w14:paraId="1E3F119A" w14:textId="77777777" w:rsidR="00770297" w:rsidRDefault="00770297" w:rsidP="0077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64C7C" w14:textId="77777777" w:rsidR="00770297" w:rsidRDefault="00770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B8ED8" w14:textId="77777777" w:rsidR="00770297" w:rsidRDefault="00770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D9298" w14:textId="77777777" w:rsidR="00770297" w:rsidRDefault="00770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F72"/>
    <w:rsid w:val="00193353"/>
    <w:rsid w:val="00770297"/>
    <w:rsid w:val="0082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95EB"/>
  <w15:docId w15:val="{1F79A582-B7B4-40CE-993B-8C50B76B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02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297"/>
  </w:style>
  <w:style w:type="paragraph" w:styleId="Footer">
    <w:name w:val="footer"/>
    <w:basedOn w:val="Normal"/>
    <w:link w:val="FooterChar"/>
    <w:uiPriority w:val="99"/>
    <w:unhideWhenUsed/>
    <w:rsid w:val="007702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12F0509-29DD-4F33-B65C-8A05EEE7CA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Budget Update Statement to Parliament.DOCX</dc:title>
  <dc:creator>dbroadhu</dc:creator>
  <cp:lastModifiedBy>Paul Bowerman (DTF)</cp:lastModifiedBy>
  <cp:revision>3</cp:revision>
  <dcterms:created xsi:type="dcterms:W3CDTF">2020-11-25T15:57:00Z</dcterms:created>
  <dcterms:modified xsi:type="dcterms:W3CDTF">2020-11-25T04:58:00Z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2020-11-25T00:00:00Z</vt:filetime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paul.bowerman@dtf.vic.gov.au</vt:lpwstr>
  </property>
  <property fmtid="{D5CDD505-2E9C-101B-9397-08002B2CF9AE}" pid="8" name="MSIP_Label_7158ebbd-6c5e-441f-bfc9-4eb8c11e3978_SetDate">
    <vt:lpwstr>2020-11-25T04:58:29.4164783Z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