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7579F" w14:textId="505E0A31" w:rsidR="00045296" w:rsidRPr="00DF5908" w:rsidRDefault="00063926" w:rsidP="0057389E">
      <w:pPr>
        <w:pStyle w:val="Title"/>
        <w:spacing w:before="3840"/>
      </w:pPr>
      <w:bookmarkStart w:id="0" w:name="_Toc442780672"/>
      <w:r w:rsidRPr="00DF5908">
        <w:t xml:space="preserve">Summary of changes applied to </w:t>
      </w:r>
      <w:r w:rsidR="00E90046" w:rsidRPr="00DF5908">
        <w:t xml:space="preserve">the </w:t>
      </w:r>
      <w:r w:rsidR="00E90046">
        <w:t>20</w:t>
      </w:r>
      <w:r w:rsidR="004828EA">
        <w:t>20</w:t>
      </w:r>
      <w:r w:rsidR="007F76C0">
        <w:t>-2</w:t>
      </w:r>
      <w:r w:rsidR="004828EA">
        <w:t>1</w:t>
      </w:r>
      <w:r w:rsidR="00DA4121" w:rsidRPr="00DF5908">
        <w:t> </w:t>
      </w:r>
      <w:r w:rsidRPr="00DF5908">
        <w:t>Model Report</w:t>
      </w:r>
    </w:p>
    <w:p w14:paraId="1B595AF6" w14:textId="4B7B54F5" w:rsidR="00063926" w:rsidRDefault="00063926" w:rsidP="00063926">
      <w:pPr>
        <w:pStyle w:val="TertiaryTitle"/>
        <w:tabs>
          <w:tab w:val="left" w:pos="2790"/>
          <w:tab w:val="left" w:pos="5040"/>
        </w:tabs>
      </w:pPr>
    </w:p>
    <w:p w14:paraId="5577295F" w14:textId="77777777" w:rsidR="004636B4" w:rsidRPr="004636B4" w:rsidRDefault="004636B4">
      <w:pPr>
        <w:pStyle w:val="TertiaryTitle"/>
        <w:tabs>
          <w:tab w:val="left" w:pos="2790"/>
          <w:tab w:val="left" w:pos="5040"/>
        </w:tabs>
      </w:pPr>
    </w:p>
    <w:p w14:paraId="6FD196FF" w14:textId="77777777" w:rsidR="00063926" w:rsidRPr="00CE225E" w:rsidRDefault="00063926" w:rsidP="00CE225E">
      <w:pPr>
        <w:rPr>
          <w:sz w:val="28"/>
          <w:szCs w:val="22"/>
        </w:rPr>
      </w:pPr>
      <w:r w:rsidRPr="00CE225E">
        <w:rPr>
          <w:sz w:val="28"/>
          <w:szCs w:val="22"/>
        </w:rPr>
        <w:t xml:space="preserve">Contact details: </w:t>
      </w:r>
      <w:r w:rsidRPr="00CE225E">
        <w:rPr>
          <w:sz w:val="28"/>
          <w:szCs w:val="22"/>
        </w:rPr>
        <w:tab/>
      </w:r>
    </w:p>
    <w:p w14:paraId="569AB849" w14:textId="77777777" w:rsidR="00EE6810" w:rsidRPr="00EE6810" w:rsidRDefault="00EE6810" w:rsidP="00CE225E">
      <w:r w:rsidRPr="00EE6810">
        <w:t>Accounting</w:t>
      </w:r>
      <w:r>
        <w:t xml:space="preserve"> Policy</w:t>
      </w:r>
      <w:r>
        <w:tab/>
      </w:r>
      <w:r w:rsidRPr="00EE6810">
        <w:t>acc</w:t>
      </w:r>
      <w:r>
        <w:t>pol@dtf.vic.gov.au</w:t>
      </w:r>
    </w:p>
    <w:bookmarkEnd w:id="0"/>
    <w:p w14:paraId="089CA7E8" w14:textId="2BB60CAB" w:rsidR="00F4239A" w:rsidRPr="00DF5908" w:rsidRDefault="00F4239A" w:rsidP="00C35DEF">
      <w:pPr>
        <w:pStyle w:val="Heading2"/>
        <w:spacing w:before="0" w:after="0"/>
      </w:pPr>
      <w:r w:rsidRPr="00DF5908">
        <w:br w:type="page"/>
      </w:r>
    </w:p>
    <w:p w14:paraId="7CE22B85" w14:textId="77777777" w:rsidR="00222135" w:rsidRPr="00DF5908" w:rsidRDefault="00222135" w:rsidP="008D1C83">
      <w:pPr>
        <w:pStyle w:val="Heading1"/>
        <w:spacing w:after="240"/>
      </w:pPr>
      <w:r w:rsidRPr="00DF5908">
        <w:lastRenderedPageBreak/>
        <w:t>Purpose and overview</w:t>
      </w:r>
    </w:p>
    <w:p w14:paraId="0BAC8F05" w14:textId="4F90B12C" w:rsidR="000761ED" w:rsidRDefault="000761ED" w:rsidP="0050705C">
      <w:r>
        <w:t xml:space="preserve">The purpose of this document is to provide a summary of the key changes in the </w:t>
      </w:r>
      <w:r w:rsidR="007F76C0">
        <w:t>20</w:t>
      </w:r>
      <w:r w:rsidR="004828EA">
        <w:t>20</w:t>
      </w:r>
      <w:r w:rsidR="007F76C0">
        <w:t>-2</w:t>
      </w:r>
      <w:r w:rsidR="004828EA">
        <w:t>1</w:t>
      </w:r>
      <w:r w:rsidR="007F76C0">
        <w:t xml:space="preserve"> </w:t>
      </w:r>
      <w:r>
        <w:t xml:space="preserve">Model Report (Model) since the publication of the </w:t>
      </w:r>
      <w:r w:rsidR="007F76C0">
        <w:t>201</w:t>
      </w:r>
      <w:r w:rsidR="004828EA">
        <w:t>9</w:t>
      </w:r>
      <w:r w:rsidR="007F76C0">
        <w:t>-</w:t>
      </w:r>
      <w:r w:rsidR="004828EA">
        <w:t>20</w:t>
      </w:r>
      <w:r>
        <w:t xml:space="preserve"> Model. </w:t>
      </w:r>
    </w:p>
    <w:p w14:paraId="75F77679" w14:textId="007DFCD1" w:rsidR="000761ED" w:rsidRDefault="000761ED" w:rsidP="0050705C">
      <w:r>
        <w:t>The changes in the Model incorporate a combination of revisions</w:t>
      </w:r>
      <w:r w:rsidR="00F8711E">
        <w:t xml:space="preserve"> </w:t>
      </w:r>
      <w:r w:rsidR="006F46C2">
        <w:t>and enhancements</w:t>
      </w:r>
      <w:r w:rsidR="00F8711E">
        <w:t>.</w:t>
      </w:r>
      <w:r>
        <w:t xml:space="preserve"> </w:t>
      </w:r>
    </w:p>
    <w:p w14:paraId="3F3A3E19" w14:textId="32E0F19B" w:rsidR="000E4264" w:rsidRDefault="000E4264" w:rsidP="000E4264">
      <w:pPr>
        <w:rPr>
          <w:rFonts w:ascii="Arial" w:hAnsi="Arial" w:cs="Arial"/>
          <w:szCs w:val="24"/>
        </w:rPr>
      </w:pPr>
      <w:r w:rsidRPr="00577054">
        <w:rPr>
          <w:rFonts w:ascii="Arial" w:hAnsi="Arial" w:cs="Arial"/>
          <w:szCs w:val="24"/>
        </w:rPr>
        <w:t>The main changes include:</w:t>
      </w:r>
    </w:p>
    <w:p w14:paraId="30C2D5E2" w14:textId="1F86EA70" w:rsidR="00C41BA0" w:rsidRPr="004B29AF" w:rsidRDefault="00606E8C" w:rsidP="00BA3E45">
      <w:pPr>
        <w:pStyle w:val="ListParagraph"/>
        <w:numPr>
          <w:ilvl w:val="0"/>
          <w:numId w:val="39"/>
        </w:numPr>
        <w:rPr>
          <w:rFonts w:ascii="Arial" w:hAnsi="Arial" w:cs="Arial"/>
          <w:szCs w:val="24"/>
        </w:rPr>
      </w:pPr>
      <w:r w:rsidRPr="004B29AF">
        <w:rPr>
          <w:rFonts w:ascii="Arial" w:hAnsi="Arial" w:cs="Arial"/>
          <w:szCs w:val="24"/>
        </w:rPr>
        <w:t>Illustration and guidance related to the Asset Management Accountability Framework (AMAF)</w:t>
      </w:r>
      <w:r w:rsidR="00776F30">
        <w:rPr>
          <w:rFonts w:ascii="Arial" w:hAnsi="Arial" w:cs="Arial"/>
          <w:szCs w:val="24"/>
        </w:rPr>
        <w:t xml:space="preserve"> reporting requirement</w:t>
      </w:r>
      <w:r w:rsidR="003546A5">
        <w:rPr>
          <w:rFonts w:ascii="Arial" w:hAnsi="Arial" w:cs="Arial"/>
          <w:szCs w:val="24"/>
        </w:rPr>
        <w:t>;</w:t>
      </w:r>
    </w:p>
    <w:p w14:paraId="5D079947" w14:textId="0AB51BDE" w:rsidR="00606E8C" w:rsidRPr="004B29AF" w:rsidRDefault="00606E8C" w:rsidP="00BA3E45">
      <w:pPr>
        <w:pStyle w:val="ListParagraph"/>
        <w:numPr>
          <w:ilvl w:val="0"/>
          <w:numId w:val="39"/>
        </w:numPr>
        <w:rPr>
          <w:rFonts w:ascii="Arial" w:hAnsi="Arial" w:cs="Arial"/>
          <w:szCs w:val="24"/>
        </w:rPr>
      </w:pPr>
      <w:r w:rsidRPr="004B29AF">
        <w:rPr>
          <w:rFonts w:ascii="Arial" w:hAnsi="Arial" w:cs="Arial"/>
          <w:szCs w:val="24"/>
        </w:rPr>
        <w:t xml:space="preserve">A new appendix containing supplementary </w:t>
      </w:r>
      <w:r w:rsidR="00403703">
        <w:rPr>
          <w:rFonts w:ascii="Arial" w:hAnsi="Arial" w:cs="Arial"/>
          <w:szCs w:val="24"/>
        </w:rPr>
        <w:t xml:space="preserve">disclosure </w:t>
      </w:r>
      <w:r w:rsidRPr="004B29AF">
        <w:rPr>
          <w:rFonts w:ascii="Arial" w:hAnsi="Arial" w:cs="Arial"/>
          <w:szCs w:val="24"/>
        </w:rPr>
        <w:t xml:space="preserve">guidance on the </w:t>
      </w:r>
      <w:r w:rsidR="003140CD">
        <w:rPr>
          <w:rFonts w:ascii="Arial" w:hAnsi="Arial" w:cs="Arial"/>
          <w:szCs w:val="24"/>
        </w:rPr>
        <w:t xml:space="preserve">ongoing </w:t>
      </w:r>
      <w:r w:rsidRPr="004B29AF">
        <w:rPr>
          <w:rFonts w:ascii="Arial" w:hAnsi="Arial" w:cs="Arial"/>
          <w:szCs w:val="24"/>
        </w:rPr>
        <w:t xml:space="preserve">application of AASB 1059 </w:t>
      </w:r>
      <w:r w:rsidRPr="004B29AF">
        <w:rPr>
          <w:rFonts w:ascii="Arial" w:hAnsi="Arial" w:cs="Arial"/>
          <w:i/>
          <w:iCs/>
          <w:szCs w:val="24"/>
        </w:rPr>
        <w:t>Service Concession Arrangements: Grantors; and</w:t>
      </w:r>
    </w:p>
    <w:p w14:paraId="3C944A1F" w14:textId="75036B08" w:rsidR="00632BFD" w:rsidRPr="004B29AF" w:rsidRDefault="00606E8C" w:rsidP="00BA3E45">
      <w:pPr>
        <w:pStyle w:val="ListParagraph"/>
        <w:numPr>
          <w:ilvl w:val="0"/>
          <w:numId w:val="39"/>
        </w:numPr>
        <w:rPr>
          <w:rFonts w:ascii="Arial" w:hAnsi="Arial" w:cs="Arial"/>
          <w:szCs w:val="24"/>
        </w:rPr>
      </w:pPr>
      <w:r w:rsidRPr="004B29AF">
        <w:rPr>
          <w:rFonts w:ascii="Arial" w:hAnsi="Arial" w:cs="Arial"/>
          <w:szCs w:val="24"/>
        </w:rPr>
        <w:t>E</w:t>
      </w:r>
      <w:r w:rsidR="00632BFD" w:rsidRPr="004B29AF">
        <w:rPr>
          <w:rFonts w:ascii="Arial" w:hAnsi="Arial" w:cs="Arial"/>
          <w:szCs w:val="24"/>
        </w:rPr>
        <w:t>ditorial changes and enhancements.</w:t>
      </w:r>
    </w:p>
    <w:p w14:paraId="6E20A878" w14:textId="585BB836" w:rsidR="0057389E" w:rsidRDefault="000761ED" w:rsidP="001D2E12">
      <w:pPr>
        <w:pStyle w:val="Bullet2"/>
        <w:numPr>
          <w:ilvl w:val="0"/>
          <w:numId w:val="0"/>
        </w:numPr>
        <w:contextualSpacing/>
        <w:rPr>
          <w:rFonts w:ascii="Arial" w:hAnsi="Arial" w:cs="Arial"/>
        </w:rPr>
        <w:sectPr w:rsidR="0057389E" w:rsidSect="000E761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60" w:right="1440" w:bottom="1350" w:left="1440" w:header="706" w:footer="461" w:gutter="0"/>
          <w:pgNumType w:start="1"/>
          <w:cols w:space="708"/>
          <w:docGrid w:linePitch="360"/>
        </w:sectPr>
      </w:pPr>
      <w:r w:rsidRPr="001D2E12">
        <w:rPr>
          <w:rFonts w:ascii="Arial" w:hAnsi="Arial" w:cs="Arial"/>
        </w:rPr>
        <w:t xml:space="preserve">For details of the </w:t>
      </w:r>
      <w:r w:rsidRPr="001D2E12">
        <w:rPr>
          <w:rFonts w:ascii="Arial" w:hAnsi="Arial" w:cs="Arial"/>
          <w:b/>
          <w:color w:val="0063A6" w:themeColor="accent1"/>
        </w:rPr>
        <w:t>New</w:t>
      </w:r>
      <w:r w:rsidRPr="001D2E12">
        <w:rPr>
          <w:rFonts w:ascii="Arial" w:hAnsi="Arial" w:cs="Arial"/>
        </w:rPr>
        <w:t xml:space="preserve"> and </w:t>
      </w:r>
      <w:r w:rsidRPr="001D2E12">
        <w:rPr>
          <w:rFonts w:ascii="Arial" w:hAnsi="Arial" w:cs="Arial"/>
          <w:b/>
          <w:color w:val="D50032"/>
        </w:rPr>
        <w:t>Revised</w:t>
      </w:r>
      <w:r w:rsidRPr="001D2E12">
        <w:rPr>
          <w:rFonts w:ascii="Arial" w:hAnsi="Arial" w:cs="Arial"/>
        </w:rPr>
        <w:t xml:space="preserve"> reporting requirements in the Model, please refer to the summary of changes tables</w:t>
      </w:r>
      <w:r w:rsidR="00632BFD">
        <w:rPr>
          <w:rFonts w:ascii="Arial" w:hAnsi="Arial" w:cs="Arial"/>
        </w:rPr>
        <w:t xml:space="preserve"> below</w:t>
      </w:r>
      <w:r w:rsidRPr="001D2E12">
        <w:rPr>
          <w:rFonts w:ascii="Arial" w:hAnsi="Arial" w:cs="Arial"/>
        </w:rPr>
        <w:t>.</w:t>
      </w:r>
    </w:p>
    <w:p w14:paraId="53C79F89" w14:textId="33D3860B" w:rsidR="000761ED" w:rsidRDefault="0057389E" w:rsidP="00CE225E">
      <w:pPr>
        <w:pStyle w:val="Heading2"/>
      </w:pPr>
      <w:r>
        <w:lastRenderedPageBreak/>
        <w:t xml:space="preserve">General changes </w:t>
      </w:r>
      <w:r w:rsidR="00E576A4">
        <w:t>in</w:t>
      </w:r>
      <w:r>
        <w:t xml:space="preserve"> the Model Report </w:t>
      </w:r>
    </w:p>
    <w:tbl>
      <w:tblPr>
        <w:tblStyle w:val="DTFtexttable"/>
        <w:tblW w:w="5537" w:type="pct"/>
        <w:tblLayout w:type="fixed"/>
        <w:tblLook w:val="04A0" w:firstRow="1" w:lastRow="0" w:firstColumn="1" w:lastColumn="0" w:noHBand="0" w:noVBand="1"/>
      </w:tblPr>
      <w:tblGrid>
        <w:gridCol w:w="1757"/>
        <w:gridCol w:w="2814"/>
        <w:gridCol w:w="3284"/>
        <w:gridCol w:w="2267"/>
      </w:tblGrid>
      <w:tr w:rsidR="0057389E" w:rsidRPr="00DF5908" w14:paraId="32A13390" w14:textId="77777777" w:rsidTr="00562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" w:type="pct"/>
            <w:vAlign w:val="center"/>
          </w:tcPr>
          <w:p w14:paraId="30549686" w14:textId="34924C7A" w:rsidR="0057389E" w:rsidRPr="008D1C83" w:rsidRDefault="0057389E" w:rsidP="008D1C83">
            <w:pPr>
              <w:pStyle w:val="Tableheader"/>
              <w:spacing w:after="120" w:line="240" w:lineRule="atLeast"/>
              <w:rPr>
                <w:sz w:val="18"/>
                <w:szCs w:val="18"/>
              </w:rPr>
            </w:pPr>
            <w:bookmarkStart w:id="1" w:name="_Hlk32839549"/>
            <w:r w:rsidRPr="008D1C83">
              <w:rPr>
                <w:sz w:val="18"/>
                <w:szCs w:val="18"/>
              </w:rPr>
              <w:t>Subject matter</w:t>
            </w:r>
          </w:p>
        </w:tc>
        <w:tc>
          <w:tcPr>
            <w:tcW w:w="1390" w:type="pct"/>
            <w:vAlign w:val="center"/>
          </w:tcPr>
          <w:p w14:paraId="381F5B49" w14:textId="77777777" w:rsidR="0057389E" w:rsidRPr="008D1C83" w:rsidRDefault="0057389E" w:rsidP="008D1C83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>Source of change</w:t>
            </w:r>
          </w:p>
        </w:tc>
        <w:tc>
          <w:tcPr>
            <w:tcW w:w="1622" w:type="pct"/>
            <w:vAlign w:val="center"/>
          </w:tcPr>
          <w:p w14:paraId="25FDD9BC" w14:textId="6048CFC9" w:rsidR="0057389E" w:rsidRPr="008D1C83" w:rsidRDefault="0057389E" w:rsidP="008D1C83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 xml:space="preserve">Summary of changes throughout the </w:t>
            </w:r>
            <w:r w:rsidRPr="008D1C83">
              <w:rPr>
                <w:i/>
                <w:sz w:val="18"/>
                <w:szCs w:val="18"/>
              </w:rPr>
              <w:t>20</w:t>
            </w:r>
            <w:r w:rsidR="00AE7E24">
              <w:rPr>
                <w:i/>
                <w:sz w:val="18"/>
                <w:szCs w:val="18"/>
              </w:rPr>
              <w:t>20</w:t>
            </w:r>
            <w:r w:rsidRPr="008D1C83">
              <w:rPr>
                <w:i/>
                <w:sz w:val="18"/>
                <w:szCs w:val="18"/>
              </w:rPr>
              <w:t>-2</w:t>
            </w:r>
            <w:r w:rsidR="00AE7E24">
              <w:rPr>
                <w:i/>
                <w:sz w:val="18"/>
                <w:szCs w:val="18"/>
              </w:rPr>
              <w:t>1</w:t>
            </w:r>
            <w:r w:rsidRPr="008D1C83">
              <w:rPr>
                <w:i/>
                <w:sz w:val="18"/>
                <w:szCs w:val="18"/>
              </w:rPr>
              <w:t> Model Report</w:t>
            </w:r>
          </w:p>
        </w:tc>
        <w:tc>
          <w:tcPr>
            <w:tcW w:w="1120" w:type="pct"/>
            <w:vAlign w:val="center"/>
          </w:tcPr>
          <w:p w14:paraId="1696CF73" w14:textId="77777777" w:rsidR="0057389E" w:rsidRPr="008D1C83" w:rsidRDefault="0057389E" w:rsidP="008D1C83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>Page reference</w:t>
            </w:r>
          </w:p>
        </w:tc>
      </w:tr>
      <w:tr w:rsidR="0057389E" w:rsidRPr="00DF5908" w14:paraId="2F24C6B8" w14:textId="77777777" w:rsidTr="00562ED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14:paraId="6D43EB69" w14:textId="47ADDE83" w:rsidR="0057389E" w:rsidRPr="008D1C83" w:rsidRDefault="0057389E" w:rsidP="008D1C83">
            <w:pPr>
              <w:pStyle w:val="Tabletext"/>
              <w:spacing w:before="120" w:after="120" w:line="240" w:lineRule="atLeast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 xml:space="preserve">General improvements </w:t>
            </w:r>
            <w:r w:rsidR="00632BFD" w:rsidRPr="008D1C83">
              <w:rPr>
                <w:sz w:val="18"/>
                <w:szCs w:val="18"/>
              </w:rPr>
              <w:t xml:space="preserve">and revisions </w:t>
            </w:r>
            <w:r w:rsidRPr="008D1C83">
              <w:rPr>
                <w:sz w:val="18"/>
                <w:szCs w:val="18"/>
              </w:rPr>
              <w:t>to the Model</w:t>
            </w:r>
          </w:p>
        </w:tc>
        <w:tc>
          <w:tcPr>
            <w:tcW w:w="1390" w:type="pct"/>
          </w:tcPr>
          <w:p w14:paraId="61AAFBA7" w14:textId="273A9DBE" w:rsidR="0057389E" w:rsidRPr="008D1C83" w:rsidRDefault="0057389E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Roll-forward dates</w:t>
            </w:r>
          </w:p>
        </w:tc>
        <w:tc>
          <w:tcPr>
            <w:tcW w:w="1622" w:type="pct"/>
          </w:tcPr>
          <w:p w14:paraId="77850DB5" w14:textId="72BD1B57" w:rsidR="0057389E" w:rsidRPr="008D1C83" w:rsidRDefault="0057389E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All relevant dates have been rolled over in the 20</w:t>
            </w:r>
            <w:r w:rsidR="005D0AF6">
              <w:rPr>
                <w:rFonts w:ascii="Arial" w:hAnsi="Arial" w:cs="Arial"/>
                <w:sz w:val="18"/>
                <w:szCs w:val="18"/>
              </w:rPr>
              <w:t>20</w:t>
            </w:r>
            <w:r w:rsidRPr="008D1C83">
              <w:rPr>
                <w:rFonts w:ascii="Arial" w:hAnsi="Arial" w:cs="Arial"/>
                <w:sz w:val="18"/>
                <w:szCs w:val="18"/>
              </w:rPr>
              <w:t>-2</w:t>
            </w:r>
            <w:r w:rsidR="005D0AF6">
              <w:rPr>
                <w:rFonts w:ascii="Arial" w:hAnsi="Arial" w:cs="Arial"/>
                <w:sz w:val="18"/>
                <w:szCs w:val="18"/>
              </w:rPr>
              <w:t>1</w:t>
            </w:r>
            <w:r w:rsidRPr="008D1C83">
              <w:rPr>
                <w:rFonts w:ascii="Arial" w:hAnsi="Arial" w:cs="Arial"/>
                <w:sz w:val="18"/>
                <w:szCs w:val="18"/>
              </w:rPr>
              <w:t xml:space="preserve"> Model Report as part of the roll-over process from the previous Model Report. </w:t>
            </w:r>
          </w:p>
        </w:tc>
        <w:tc>
          <w:tcPr>
            <w:tcW w:w="1120" w:type="pct"/>
          </w:tcPr>
          <w:p w14:paraId="466BC301" w14:textId="4EC9FBCC" w:rsidR="0057389E" w:rsidRPr="008D1C83" w:rsidRDefault="0057389E" w:rsidP="00AE7E24">
            <w:pPr>
              <w:pStyle w:val="Tabletextcentred"/>
              <w:spacing w:before="120" w:after="120"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Whole Model</w:t>
            </w:r>
          </w:p>
        </w:tc>
      </w:tr>
      <w:tr w:rsidR="0057389E" w:rsidRPr="00DF5908" w14:paraId="51F7E0BA" w14:textId="77777777" w:rsidTr="00562E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14:paraId="30E85404" w14:textId="77777777" w:rsidR="0057389E" w:rsidRPr="008D1C83" w:rsidRDefault="0057389E" w:rsidP="008D1C83">
            <w:pPr>
              <w:pStyle w:val="Tabletext"/>
              <w:spacing w:before="120" w:after="120" w:line="240" w:lineRule="atLeast"/>
              <w:rPr>
                <w:sz w:val="18"/>
                <w:szCs w:val="18"/>
              </w:rPr>
            </w:pPr>
          </w:p>
        </w:tc>
        <w:tc>
          <w:tcPr>
            <w:tcW w:w="1390" w:type="pct"/>
          </w:tcPr>
          <w:p w14:paraId="5BEBE8C1" w14:textId="35CD98C7" w:rsidR="0057389E" w:rsidRPr="008D1C83" w:rsidRDefault="0057389E" w:rsidP="008D1C83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Enhanced guidance</w:t>
            </w:r>
          </w:p>
        </w:tc>
        <w:tc>
          <w:tcPr>
            <w:tcW w:w="1622" w:type="pct"/>
          </w:tcPr>
          <w:p w14:paraId="044D2303" w14:textId="2B6AD1B4" w:rsidR="0057389E" w:rsidRPr="008D1C83" w:rsidRDefault="0057389E" w:rsidP="008D1C83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 xml:space="preserve">Editorial changes and updates to the phrasing and structure of sentences/paragraphs have been made to improve the guidance material throughout the Model. </w:t>
            </w:r>
          </w:p>
        </w:tc>
        <w:tc>
          <w:tcPr>
            <w:tcW w:w="1120" w:type="pct"/>
          </w:tcPr>
          <w:p w14:paraId="1E44D6F9" w14:textId="3BFB9DD7" w:rsidR="0057389E" w:rsidRPr="008D1C83" w:rsidRDefault="0057389E" w:rsidP="00AE7E24">
            <w:pPr>
              <w:pStyle w:val="Tabletextcentred"/>
              <w:spacing w:before="120" w:after="120" w:line="24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Whole Model</w:t>
            </w:r>
          </w:p>
        </w:tc>
      </w:tr>
      <w:tr w:rsidR="0057389E" w:rsidRPr="00DF5908" w14:paraId="754060C2" w14:textId="77777777" w:rsidTr="00562EDE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14:paraId="2D752A58" w14:textId="546F1077" w:rsidR="0057389E" w:rsidRPr="008D1C83" w:rsidRDefault="0057389E" w:rsidP="008D1C83">
            <w:pPr>
              <w:pStyle w:val="Tabletext"/>
              <w:spacing w:before="120" w:after="120" w:line="240" w:lineRule="atLeast"/>
              <w:rPr>
                <w:sz w:val="18"/>
                <w:szCs w:val="18"/>
              </w:rPr>
            </w:pPr>
          </w:p>
        </w:tc>
        <w:tc>
          <w:tcPr>
            <w:tcW w:w="1390" w:type="pct"/>
          </w:tcPr>
          <w:p w14:paraId="02E64598" w14:textId="3EE30477" w:rsidR="0057389E" w:rsidRPr="008D1C83" w:rsidRDefault="0057389E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 xml:space="preserve">To update the source references </w:t>
            </w:r>
          </w:p>
        </w:tc>
        <w:tc>
          <w:tcPr>
            <w:tcW w:w="1622" w:type="pct"/>
          </w:tcPr>
          <w:p w14:paraId="262F2E63" w14:textId="77777777" w:rsidR="0057389E" w:rsidRPr="008D1C83" w:rsidRDefault="0057389E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The following changes have been made to the source references:</w:t>
            </w:r>
          </w:p>
          <w:p w14:paraId="7B1347AE" w14:textId="559530DD" w:rsidR="0057389E" w:rsidRPr="008D1C83" w:rsidRDefault="0057389E" w:rsidP="008D1C83">
            <w:pPr>
              <w:pStyle w:val="Tabletext"/>
              <w:numPr>
                <w:ilvl w:val="0"/>
                <w:numId w:val="24"/>
              </w:numPr>
              <w:spacing w:before="120" w:after="120" w:line="240" w:lineRule="atLeast"/>
              <w:ind w:left="34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 xml:space="preserve">Changes to the AASB/FRD source references as a result of the update to the relevant AASB/FRD since 1 July </w:t>
            </w:r>
            <w:r w:rsidR="00403703">
              <w:rPr>
                <w:rFonts w:ascii="Arial" w:hAnsi="Arial" w:cs="Arial"/>
                <w:sz w:val="18"/>
                <w:szCs w:val="18"/>
              </w:rPr>
              <w:t>2020</w:t>
            </w:r>
            <w:r w:rsidR="00403703" w:rsidRPr="008D1C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1C83">
              <w:rPr>
                <w:rFonts w:ascii="Arial" w:hAnsi="Arial" w:cs="Arial"/>
                <w:sz w:val="18"/>
                <w:szCs w:val="18"/>
              </w:rPr>
              <w:t xml:space="preserve">until 1 </w:t>
            </w:r>
            <w:r w:rsidR="00403703">
              <w:rPr>
                <w:rFonts w:ascii="Arial" w:hAnsi="Arial" w:cs="Arial"/>
                <w:sz w:val="18"/>
                <w:szCs w:val="18"/>
              </w:rPr>
              <w:t>March 2021</w:t>
            </w:r>
            <w:r w:rsidR="004B29AF" w:rsidRPr="008D1C83">
              <w:rPr>
                <w:rFonts w:ascii="Arial" w:hAnsi="Arial" w:cs="Arial"/>
                <w:sz w:val="18"/>
                <w:szCs w:val="18"/>
              </w:rPr>
              <w:t>.</w:t>
            </w:r>
            <w:r w:rsidRPr="008D1C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7E40B6" w14:textId="15037F1D" w:rsidR="005D0AF6" w:rsidRDefault="005D0AF6" w:rsidP="005D0AF6">
            <w:pPr>
              <w:pStyle w:val="Tabletext"/>
              <w:numPr>
                <w:ilvl w:val="0"/>
                <w:numId w:val="24"/>
              </w:numPr>
              <w:spacing w:before="120" w:after="120" w:line="240" w:lineRule="atLeast"/>
              <w:ind w:left="34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References to the Financial Reporting Operations Framework (FROF) have been removed</w:t>
            </w:r>
            <w:r w:rsidR="003E7642">
              <w:rPr>
                <w:rFonts w:ascii="Arial" w:hAnsi="Arial" w:cs="Arial"/>
                <w:sz w:val="18"/>
                <w:szCs w:val="18"/>
              </w:rPr>
              <w:t xml:space="preserve"> now that it has been superseded by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3E7642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r>
              <w:rPr>
                <w:rFonts w:ascii="Arial" w:hAnsi="Arial" w:cs="Arial"/>
                <w:sz w:val="18"/>
                <w:szCs w:val="18"/>
              </w:rPr>
              <w:t xml:space="preserve">Resource Management Framework </w:t>
            </w:r>
            <w:r w:rsidR="003E7642">
              <w:rPr>
                <w:rFonts w:ascii="Arial" w:hAnsi="Arial" w:cs="Arial"/>
                <w:sz w:val="18"/>
                <w:szCs w:val="18"/>
              </w:rPr>
              <w:t xml:space="preserve">(RMF) </w:t>
            </w:r>
            <w:r>
              <w:rPr>
                <w:rFonts w:ascii="Arial" w:hAnsi="Arial" w:cs="Arial"/>
                <w:sz w:val="18"/>
                <w:szCs w:val="18"/>
              </w:rPr>
              <w:t>and Financial Reporting Directions.</w:t>
            </w:r>
          </w:p>
          <w:p w14:paraId="4D85205D" w14:textId="21983036" w:rsidR="0057389E" w:rsidRPr="008D1C83" w:rsidRDefault="0057389E" w:rsidP="005D0AF6">
            <w:pPr>
              <w:pStyle w:val="Tabletext"/>
              <w:numPr>
                <w:ilvl w:val="0"/>
                <w:numId w:val="24"/>
              </w:numPr>
              <w:spacing w:before="120" w:after="120" w:line="240" w:lineRule="atLeast"/>
              <w:ind w:left="34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 xml:space="preserve">Updated references to the Guidance and Appendices section to reflect </w:t>
            </w:r>
            <w:r w:rsidR="008D1C83">
              <w:rPr>
                <w:rFonts w:ascii="Arial" w:hAnsi="Arial" w:cs="Arial"/>
                <w:sz w:val="18"/>
                <w:szCs w:val="18"/>
              </w:rPr>
              <w:t xml:space="preserve">further </w:t>
            </w:r>
            <w:r w:rsidRPr="008D1C83">
              <w:rPr>
                <w:rFonts w:ascii="Arial" w:hAnsi="Arial" w:cs="Arial"/>
                <w:sz w:val="18"/>
                <w:szCs w:val="18"/>
              </w:rPr>
              <w:t xml:space="preserve">streamlining.  </w:t>
            </w:r>
          </w:p>
        </w:tc>
        <w:tc>
          <w:tcPr>
            <w:tcW w:w="1120" w:type="pct"/>
          </w:tcPr>
          <w:p w14:paraId="073772EB" w14:textId="480B371C" w:rsidR="0057389E" w:rsidRPr="008D1C83" w:rsidRDefault="0057389E" w:rsidP="00AE7E24">
            <w:pPr>
              <w:pStyle w:val="Tabletextcentred"/>
              <w:spacing w:before="120" w:after="120"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D1C83">
              <w:rPr>
                <w:rFonts w:ascii="Arial" w:hAnsi="Arial" w:cs="Arial"/>
                <w:sz w:val="18"/>
                <w:szCs w:val="18"/>
              </w:rPr>
              <w:t>Whole Model</w:t>
            </w:r>
          </w:p>
        </w:tc>
      </w:tr>
      <w:tr w:rsidR="005E4172" w:rsidRPr="00DF5908" w14:paraId="2C4700F1" w14:textId="77777777" w:rsidTr="00562E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</w:tcPr>
          <w:p w14:paraId="03A6FAE5" w14:textId="77777777" w:rsidR="005E4172" w:rsidRPr="008D1C83" w:rsidRDefault="005E4172" w:rsidP="005E4172">
            <w:pPr>
              <w:pStyle w:val="Tabletext"/>
              <w:spacing w:before="120" w:after="120" w:line="240" w:lineRule="atLeast"/>
              <w:rPr>
                <w:sz w:val="18"/>
                <w:szCs w:val="18"/>
              </w:rPr>
            </w:pPr>
          </w:p>
        </w:tc>
        <w:tc>
          <w:tcPr>
            <w:tcW w:w="1390" w:type="pct"/>
          </w:tcPr>
          <w:p w14:paraId="37F3E6ED" w14:textId="30E53139" w:rsidR="005E4172" w:rsidRPr="008D1C83" w:rsidRDefault="005E4172" w:rsidP="005E4172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Transitional Disclosures </w:t>
            </w:r>
          </w:p>
        </w:tc>
        <w:tc>
          <w:tcPr>
            <w:tcW w:w="1622" w:type="pct"/>
          </w:tcPr>
          <w:p w14:paraId="22EEF3BB" w14:textId="24A49805" w:rsidR="005E4172" w:rsidRPr="008D1C83" w:rsidRDefault="005E4172" w:rsidP="005E4172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bookmarkStart w:id="2" w:name="_Hlk66870541"/>
            <w:r>
              <w:rPr>
                <w:rFonts w:ascii="Arial" w:hAnsi="Arial" w:cs="Arial"/>
                <w:sz w:val="18"/>
                <w:szCs w:val="18"/>
              </w:rPr>
              <w:t xml:space="preserve">Transitional disclosures and guidance that was included in the 2019-20 Model Report </w:t>
            </w:r>
            <w:r w:rsidR="00B80D10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 w:rsidR="00ED61BD">
              <w:rPr>
                <w:rFonts w:ascii="Arial" w:hAnsi="Arial" w:cs="Arial"/>
                <w:sz w:val="18"/>
                <w:szCs w:val="18"/>
              </w:rPr>
              <w:t xml:space="preserve">initial application of </w:t>
            </w:r>
            <w:r w:rsidR="00216D12" w:rsidRPr="007154B1">
              <w:rPr>
                <w:rFonts w:cstheme="minorHAnsi"/>
                <w:sz w:val="18"/>
                <w:szCs w:val="18"/>
              </w:rPr>
              <w:t xml:space="preserve">AASB 15 </w:t>
            </w:r>
            <w:r w:rsidR="00216D12" w:rsidRPr="007154B1">
              <w:rPr>
                <w:rFonts w:cstheme="minorHAnsi"/>
                <w:i/>
                <w:iCs/>
                <w:sz w:val="18"/>
                <w:szCs w:val="18"/>
              </w:rPr>
              <w:t>Revenue from Contracts with Customers</w:t>
            </w:r>
            <w:r w:rsidR="00216D12">
              <w:rPr>
                <w:rFonts w:cstheme="minorHAnsi"/>
                <w:sz w:val="18"/>
                <w:szCs w:val="18"/>
              </w:rPr>
              <w:t xml:space="preserve">, </w:t>
            </w:r>
            <w:r w:rsidR="00216D12" w:rsidRPr="008E0169">
              <w:rPr>
                <w:rFonts w:cstheme="minorHAnsi"/>
                <w:sz w:val="18"/>
                <w:szCs w:val="18"/>
              </w:rPr>
              <w:t>AASB 16</w:t>
            </w:r>
            <w:r w:rsidR="00216D12">
              <w:rPr>
                <w:rFonts w:cstheme="minorHAnsi"/>
                <w:i/>
                <w:iCs/>
                <w:sz w:val="18"/>
                <w:szCs w:val="18"/>
              </w:rPr>
              <w:t xml:space="preserve"> Leases</w:t>
            </w:r>
            <w:r w:rsidR="00216D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D12" w:rsidRPr="007154B1">
              <w:rPr>
                <w:rFonts w:cstheme="minorHAnsi"/>
                <w:sz w:val="18"/>
                <w:szCs w:val="18"/>
              </w:rPr>
              <w:t xml:space="preserve">AASB 1058 </w:t>
            </w:r>
            <w:r w:rsidR="00216D12" w:rsidRPr="007154B1">
              <w:rPr>
                <w:rFonts w:cstheme="minorHAnsi"/>
                <w:i/>
                <w:iCs/>
                <w:sz w:val="18"/>
                <w:szCs w:val="18"/>
              </w:rPr>
              <w:t>Revenue from Contracts with Customers</w:t>
            </w:r>
            <w:r w:rsidR="00216D1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216D12" w:rsidRPr="008E0169">
              <w:rPr>
                <w:rFonts w:cstheme="minorHAnsi"/>
                <w:sz w:val="18"/>
                <w:szCs w:val="18"/>
              </w:rPr>
              <w:t>and</w:t>
            </w:r>
            <w:r w:rsidR="00216D12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216D12">
              <w:rPr>
                <w:rFonts w:cstheme="minorHAnsi"/>
                <w:sz w:val="18"/>
                <w:szCs w:val="18"/>
              </w:rPr>
              <w:t xml:space="preserve">AASB 1059 </w:t>
            </w:r>
            <w:r w:rsidR="00216D12">
              <w:rPr>
                <w:rFonts w:cstheme="minorHAnsi"/>
                <w:i/>
                <w:iCs/>
                <w:sz w:val="18"/>
                <w:szCs w:val="18"/>
              </w:rPr>
              <w:t xml:space="preserve">Service Concession Arrangements: Grantors </w:t>
            </w:r>
            <w:r>
              <w:rPr>
                <w:rFonts w:ascii="Arial" w:hAnsi="Arial" w:cs="Arial"/>
                <w:sz w:val="18"/>
                <w:szCs w:val="18"/>
              </w:rPr>
              <w:t>has been removed.</w:t>
            </w:r>
            <w:bookmarkEnd w:id="2"/>
          </w:p>
        </w:tc>
        <w:tc>
          <w:tcPr>
            <w:tcW w:w="1120" w:type="pct"/>
          </w:tcPr>
          <w:p w14:paraId="44091A69" w14:textId="699A4DA2" w:rsidR="005E4172" w:rsidRPr="008D1C83" w:rsidRDefault="005E4172" w:rsidP="005E4172">
            <w:pPr>
              <w:pStyle w:val="Tabletextcentred"/>
              <w:spacing w:before="120" w:after="120" w:line="24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Statements</w:t>
            </w:r>
          </w:p>
        </w:tc>
      </w:tr>
      <w:bookmarkEnd w:id="1"/>
    </w:tbl>
    <w:p w14:paraId="45E23842" w14:textId="77777777" w:rsidR="0057389E" w:rsidRDefault="0057389E">
      <w:pPr>
        <w:spacing w:before="0" w:after="200"/>
        <w:sectPr w:rsidR="0057389E" w:rsidSect="00F461B0">
          <w:pgSz w:w="11906" w:h="16838" w:code="9"/>
          <w:pgMar w:top="2160" w:right="1440" w:bottom="1350" w:left="1440" w:header="706" w:footer="461" w:gutter="0"/>
          <w:cols w:space="708"/>
          <w:docGrid w:linePitch="360"/>
        </w:sectPr>
      </w:pPr>
    </w:p>
    <w:p w14:paraId="4F6D0BF5" w14:textId="3A93AD6F" w:rsidR="0057389E" w:rsidRDefault="0057389E" w:rsidP="0057389E">
      <w:pPr>
        <w:pStyle w:val="Heading2"/>
      </w:pPr>
      <w:r>
        <w:lastRenderedPageBreak/>
        <w:t>Model Report of Operations</w:t>
      </w:r>
    </w:p>
    <w:tbl>
      <w:tblPr>
        <w:tblStyle w:val="DTFtexttable"/>
        <w:tblW w:w="5459" w:type="pct"/>
        <w:tblLayout w:type="fixed"/>
        <w:tblLook w:val="04A0" w:firstRow="1" w:lastRow="0" w:firstColumn="1" w:lastColumn="0" w:noHBand="0" w:noVBand="1"/>
      </w:tblPr>
      <w:tblGrid>
        <w:gridCol w:w="2468"/>
        <w:gridCol w:w="1559"/>
        <w:gridCol w:w="4395"/>
        <w:gridCol w:w="1557"/>
      </w:tblGrid>
      <w:tr w:rsidR="00057B4B" w:rsidRPr="00DF5908" w14:paraId="67A64BF9" w14:textId="77777777" w:rsidTr="00053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7" w:type="pct"/>
            <w:vAlign w:val="center"/>
          </w:tcPr>
          <w:p w14:paraId="048780CF" w14:textId="77777777" w:rsidR="0057389E" w:rsidRPr="00DF5908" w:rsidRDefault="0057389E">
            <w:pPr>
              <w:pStyle w:val="Tableheader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Subject matter </w:t>
            </w:r>
          </w:p>
        </w:tc>
        <w:tc>
          <w:tcPr>
            <w:tcW w:w="781" w:type="pct"/>
            <w:vAlign w:val="center"/>
          </w:tcPr>
          <w:p w14:paraId="5D654363" w14:textId="77777777" w:rsidR="0057389E" w:rsidRPr="00D94648" w:rsidRDefault="0057389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4648">
              <w:rPr>
                <w:sz w:val="18"/>
                <w:szCs w:val="18"/>
              </w:rPr>
              <w:t>Source of change</w:t>
            </w:r>
          </w:p>
        </w:tc>
        <w:tc>
          <w:tcPr>
            <w:tcW w:w="2202" w:type="pct"/>
            <w:vAlign w:val="center"/>
          </w:tcPr>
          <w:p w14:paraId="10D72407" w14:textId="3445FAF3" w:rsidR="0057389E" w:rsidRPr="00DF5908" w:rsidRDefault="0057389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 xml:space="preserve">Summary of changes </w:t>
            </w:r>
            <w:r w:rsidR="00A36C09">
              <w:rPr>
                <w:sz w:val="18"/>
                <w:szCs w:val="18"/>
              </w:rPr>
              <w:t>to the relevant sections in the Model Report of Operations</w:t>
            </w:r>
          </w:p>
        </w:tc>
        <w:tc>
          <w:tcPr>
            <w:tcW w:w="780" w:type="pct"/>
            <w:vAlign w:val="center"/>
          </w:tcPr>
          <w:p w14:paraId="288DEC13" w14:textId="77777777" w:rsidR="0057389E" w:rsidRPr="00DF5908" w:rsidRDefault="0057389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5908">
              <w:rPr>
                <w:sz w:val="18"/>
                <w:szCs w:val="18"/>
              </w:rPr>
              <w:t>Page reference</w:t>
            </w:r>
          </w:p>
        </w:tc>
      </w:tr>
      <w:tr w:rsidR="00057B4B" w:rsidRPr="00DF5908" w14:paraId="43D52835" w14:textId="77777777" w:rsidTr="000536B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020B866D" w14:textId="77777777" w:rsidR="009076BD" w:rsidRPr="00B825BF" w:rsidRDefault="009076BD" w:rsidP="008D1C83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cstheme="minorHAnsi"/>
                <w:color w:val="FF0000"/>
                <w:sz w:val="18"/>
                <w:szCs w:val="18"/>
              </w:rPr>
              <w:t xml:space="preserve">[Revised] </w:t>
            </w:r>
          </w:p>
          <w:p w14:paraId="71BD7CB3" w14:textId="22A67170" w:rsidR="00A36C09" w:rsidRPr="00B825BF" w:rsidRDefault="00B9132F" w:rsidP="008D1C83">
            <w:pPr>
              <w:pStyle w:val="Tabletext"/>
              <w:spacing w:before="120" w:after="120" w:line="24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en-AU"/>
              </w:rPr>
              <w:t>Workforce inclusion policy</w:t>
            </w:r>
            <w:r w:rsidR="00A36C09" w:rsidRPr="00B825BF">
              <w:rPr>
                <w:rFonts w:eastAsiaTheme="minorEastAsia" w:cstheme="minorHAnsi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781" w:type="pct"/>
          </w:tcPr>
          <w:p w14:paraId="0D65D8CA" w14:textId="4313EAA5" w:rsidR="00A36C09" w:rsidRPr="00B825BF" w:rsidRDefault="00A36C09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eastAsiaTheme="minorEastAsia" w:cstheme="minorHAnsi"/>
                <w:sz w:val="18"/>
                <w:szCs w:val="18"/>
                <w:lang w:eastAsia="en-AU"/>
              </w:rPr>
              <w:t>General improvement</w:t>
            </w:r>
          </w:p>
        </w:tc>
        <w:tc>
          <w:tcPr>
            <w:tcW w:w="2202" w:type="pct"/>
          </w:tcPr>
          <w:p w14:paraId="173A774E" w14:textId="6FB7A204" w:rsidR="00A36C09" w:rsidRPr="00B825BF" w:rsidRDefault="00403703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  <w:lang w:eastAsia="en-AU"/>
              </w:rPr>
              <w:t xml:space="preserve">Section has been updated </w:t>
            </w:r>
            <w:r w:rsidR="00B9132F">
              <w:rPr>
                <w:rFonts w:eastAsiaTheme="minorEastAsia" w:cstheme="minorHAnsi"/>
                <w:sz w:val="18"/>
                <w:szCs w:val="18"/>
                <w:lang w:eastAsia="en-AU"/>
              </w:rPr>
              <w:t xml:space="preserve">to make reference to the </w:t>
            </w:r>
            <w:r w:rsidR="00B9132F">
              <w:rPr>
                <w:rFonts w:eastAsiaTheme="minorEastAsia" w:cstheme="minorHAnsi"/>
                <w:i/>
                <w:iCs/>
                <w:sz w:val="18"/>
                <w:szCs w:val="18"/>
                <w:lang w:eastAsia="en-AU"/>
              </w:rPr>
              <w:t>Gender Equality Act 2020</w:t>
            </w:r>
            <w:r w:rsidR="00562EDE" w:rsidRPr="00B825BF">
              <w:rPr>
                <w:rFonts w:eastAsiaTheme="minorEastAsia" w:cstheme="minorHAnsi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780" w:type="pct"/>
          </w:tcPr>
          <w:p w14:paraId="38FFAE79" w14:textId="793936B4" w:rsidR="00A36C09" w:rsidRPr="00CF6E46" w:rsidRDefault="00B9132F" w:rsidP="008D1C83">
            <w:pPr>
              <w:pStyle w:val="Tabletextcentred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057B4B" w:rsidRPr="00DF5908" w14:paraId="2BD36AD7" w14:textId="77777777" w:rsidTr="00053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1EAB4826" w14:textId="77777777" w:rsidR="009076BD" w:rsidRPr="00B825BF" w:rsidRDefault="009076BD" w:rsidP="008D1C83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[Revised] </w:t>
            </w:r>
          </w:p>
          <w:p w14:paraId="63744155" w14:textId="04B9FD7D" w:rsidR="00A36C09" w:rsidRPr="00B825BF" w:rsidRDefault="00B9132F" w:rsidP="008D1C83">
            <w:pPr>
              <w:pStyle w:val="Tabletext"/>
              <w:spacing w:before="120" w:after="120" w:line="24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Local Jobs First</w:t>
            </w:r>
          </w:p>
        </w:tc>
        <w:tc>
          <w:tcPr>
            <w:tcW w:w="781" w:type="pct"/>
          </w:tcPr>
          <w:p w14:paraId="7DFB500A" w14:textId="3DE2B552" w:rsidR="00A36C09" w:rsidRPr="00B825BF" w:rsidRDefault="00A36C09" w:rsidP="008D1C83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cstheme="minorHAnsi"/>
                <w:sz w:val="18"/>
                <w:szCs w:val="18"/>
              </w:rPr>
              <w:t xml:space="preserve">General improvement </w:t>
            </w:r>
          </w:p>
        </w:tc>
        <w:tc>
          <w:tcPr>
            <w:tcW w:w="2202" w:type="pct"/>
          </w:tcPr>
          <w:p w14:paraId="74138D84" w14:textId="77777777" w:rsidR="00A25D02" w:rsidRDefault="004664CD" w:rsidP="008D1C83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Illustrations </w:t>
            </w:r>
            <w:r w:rsidR="000536B8">
              <w:rPr>
                <w:rFonts w:cstheme="minorHAnsi"/>
                <w:sz w:val="18"/>
                <w:szCs w:val="18"/>
              </w:rPr>
              <w:t xml:space="preserve">previously </w:t>
            </w:r>
            <w:r>
              <w:rPr>
                <w:rFonts w:cstheme="minorHAnsi"/>
                <w:sz w:val="18"/>
                <w:szCs w:val="18"/>
              </w:rPr>
              <w:t xml:space="preserve">included under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Reporting requirements – all projects </w:t>
            </w:r>
            <w:r>
              <w:rPr>
                <w:rFonts w:cstheme="minorHAnsi"/>
                <w:sz w:val="18"/>
                <w:szCs w:val="18"/>
              </w:rPr>
              <w:t xml:space="preserve">have been </w:t>
            </w:r>
            <w:r w:rsidR="00403703">
              <w:rPr>
                <w:rFonts w:cstheme="minorHAnsi"/>
                <w:sz w:val="18"/>
                <w:szCs w:val="18"/>
              </w:rPr>
              <w:t>reallocated to the applicable headings</w:t>
            </w:r>
            <w:r w:rsidR="00041171">
              <w:rPr>
                <w:rFonts w:cstheme="minorHAnsi"/>
                <w:sz w:val="18"/>
                <w:szCs w:val="18"/>
              </w:rPr>
              <w:t>:</w:t>
            </w:r>
            <w:r w:rsidR="0040370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FBAEC9" w14:textId="77777777" w:rsidR="00A25D02" w:rsidRDefault="00A25D02" w:rsidP="00AB639A">
            <w:pPr>
              <w:pStyle w:val="Tabletext"/>
              <w:numPr>
                <w:ilvl w:val="0"/>
                <w:numId w:val="48"/>
              </w:numPr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Projects Commenced – Local Jobs First Standard;</w:t>
            </w:r>
          </w:p>
          <w:p w14:paraId="6A2144C8" w14:textId="77777777" w:rsidR="00A25D02" w:rsidRDefault="00A25D02" w:rsidP="00AB639A">
            <w:pPr>
              <w:pStyle w:val="Tabletext"/>
              <w:numPr>
                <w:ilvl w:val="0"/>
                <w:numId w:val="48"/>
              </w:numPr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5D02">
              <w:rPr>
                <w:rFonts w:cstheme="minorHAnsi"/>
                <w:sz w:val="18"/>
                <w:szCs w:val="18"/>
              </w:rPr>
              <w:t>Projects completed – Local Jobs First Standard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14:paraId="2A403A8C" w14:textId="1F621038" w:rsidR="00A25D02" w:rsidRDefault="00A25D02" w:rsidP="00AB639A">
            <w:pPr>
              <w:pStyle w:val="Tabletext"/>
              <w:numPr>
                <w:ilvl w:val="0"/>
                <w:numId w:val="48"/>
              </w:numPr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5D02">
              <w:rPr>
                <w:rFonts w:cstheme="minorHAnsi"/>
                <w:sz w:val="18"/>
                <w:szCs w:val="18"/>
              </w:rPr>
              <w:t>Projects commenced – Local Jobs First Strategic</w:t>
            </w:r>
            <w:r>
              <w:rPr>
                <w:rFonts w:cstheme="minorHAnsi"/>
                <w:sz w:val="18"/>
                <w:szCs w:val="18"/>
              </w:rPr>
              <w:t>; and</w:t>
            </w:r>
          </w:p>
          <w:p w14:paraId="2D3A7AA2" w14:textId="22EEF7F4" w:rsidR="00A36C09" w:rsidRPr="004664CD" w:rsidRDefault="00A25D02" w:rsidP="00AB639A">
            <w:pPr>
              <w:pStyle w:val="Tabletext"/>
              <w:numPr>
                <w:ilvl w:val="0"/>
                <w:numId w:val="48"/>
              </w:numPr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5D02">
              <w:rPr>
                <w:rFonts w:cstheme="minorHAnsi"/>
                <w:sz w:val="18"/>
                <w:szCs w:val="18"/>
              </w:rPr>
              <w:t xml:space="preserve">Projects </w:t>
            </w:r>
            <w:r>
              <w:rPr>
                <w:rFonts w:cstheme="minorHAnsi"/>
                <w:sz w:val="18"/>
                <w:szCs w:val="18"/>
              </w:rPr>
              <w:t xml:space="preserve">completed </w:t>
            </w:r>
            <w:r w:rsidRPr="00A25D02">
              <w:rPr>
                <w:rFonts w:cstheme="minorHAnsi"/>
                <w:sz w:val="18"/>
                <w:szCs w:val="18"/>
              </w:rPr>
              <w:t xml:space="preserve"> – Local Jobs First Strategic</w:t>
            </w:r>
            <w:r w:rsidRPr="00A25D02" w:rsidDel="0004117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0" w:type="pct"/>
          </w:tcPr>
          <w:p w14:paraId="377F5B04" w14:textId="59AF7913" w:rsidR="00A36C09" w:rsidRPr="00CF6E46" w:rsidRDefault="00B9132F" w:rsidP="008D1C83">
            <w:pPr>
              <w:pStyle w:val="Tabletextcentred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Theme="minorEastAsia"/>
                <w:szCs w:val="20"/>
                <w:lang w:eastAsia="en-AU"/>
              </w:rPr>
              <w:t>4</w:t>
            </w:r>
            <w:r w:rsidR="006C42AC" w:rsidRPr="00A42D89">
              <w:rPr>
                <w:rFonts w:eastAsiaTheme="minorEastAsia"/>
                <w:szCs w:val="20"/>
                <w:lang w:eastAsia="en-AU"/>
              </w:rPr>
              <w:t>5</w:t>
            </w:r>
            <w:r w:rsidR="00A42D89">
              <w:rPr>
                <w:rFonts w:eastAsiaTheme="minorEastAsia"/>
                <w:szCs w:val="20"/>
                <w:lang w:eastAsia="en-AU"/>
              </w:rPr>
              <w:t xml:space="preserve"> </w:t>
            </w:r>
            <w:r w:rsidR="006C42AC" w:rsidRPr="00A42D89">
              <w:rPr>
                <w:rFonts w:eastAsiaTheme="minorEastAsia"/>
                <w:szCs w:val="20"/>
                <w:lang w:eastAsia="en-AU"/>
              </w:rPr>
              <w:t>-</w:t>
            </w:r>
            <w:r w:rsidR="00A42D89">
              <w:rPr>
                <w:rFonts w:eastAsiaTheme="minorEastAsia"/>
                <w:szCs w:val="20"/>
                <w:lang w:eastAsia="en-AU"/>
              </w:rPr>
              <w:t xml:space="preserve"> </w:t>
            </w:r>
            <w:r>
              <w:rPr>
                <w:rFonts w:eastAsiaTheme="minorEastAsia"/>
                <w:szCs w:val="20"/>
                <w:lang w:eastAsia="en-AU"/>
              </w:rPr>
              <w:t>4</w:t>
            </w:r>
            <w:r w:rsidR="004F0472" w:rsidRPr="00A42D89">
              <w:rPr>
                <w:rFonts w:eastAsiaTheme="minorEastAsia"/>
                <w:szCs w:val="20"/>
                <w:lang w:eastAsia="en-AU"/>
              </w:rPr>
              <w:t>6</w:t>
            </w:r>
          </w:p>
        </w:tc>
      </w:tr>
      <w:tr w:rsidR="00057B4B" w:rsidRPr="00DF5908" w14:paraId="02AF87A6" w14:textId="77777777" w:rsidTr="000536B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3F0D64F2" w14:textId="77777777" w:rsidR="009076BD" w:rsidRPr="00B825BF" w:rsidRDefault="009076BD" w:rsidP="008D1C83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[Revised] </w:t>
            </w:r>
          </w:p>
          <w:p w14:paraId="110095E3" w14:textId="51FDC409" w:rsidR="001A0F35" w:rsidRPr="00B825BF" w:rsidRDefault="000536B8" w:rsidP="008D1C83">
            <w:pPr>
              <w:pStyle w:val="Tabletext"/>
              <w:spacing w:before="120" w:after="120" w:line="24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Information and communication technology expenditure</w:t>
            </w:r>
          </w:p>
        </w:tc>
        <w:tc>
          <w:tcPr>
            <w:tcW w:w="781" w:type="pct"/>
          </w:tcPr>
          <w:p w14:paraId="5E82E77A" w14:textId="4C42A532" w:rsidR="001A0F35" w:rsidRPr="00B825BF" w:rsidRDefault="008E6FD4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cstheme="minorHAnsi"/>
                <w:sz w:val="18"/>
                <w:szCs w:val="18"/>
              </w:rPr>
              <w:t>General improvement</w:t>
            </w:r>
          </w:p>
        </w:tc>
        <w:tc>
          <w:tcPr>
            <w:tcW w:w="2202" w:type="pct"/>
          </w:tcPr>
          <w:p w14:paraId="5EF70E22" w14:textId="59BEFAEA" w:rsidR="001A0F35" w:rsidRPr="00B825BF" w:rsidRDefault="000536B8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Minor editorial update to the URL included in the illustration. </w:t>
            </w:r>
          </w:p>
        </w:tc>
        <w:tc>
          <w:tcPr>
            <w:tcW w:w="780" w:type="pct"/>
          </w:tcPr>
          <w:p w14:paraId="46E60DE3" w14:textId="36098651" w:rsidR="001A0F35" w:rsidRDefault="00B91EEF" w:rsidP="008D1C83">
            <w:pPr>
              <w:pStyle w:val="Tabletextcentred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0536B8">
              <w:t>0</w:t>
            </w:r>
          </w:p>
        </w:tc>
      </w:tr>
      <w:tr w:rsidR="000536B8" w:rsidRPr="00DF5908" w14:paraId="58CCDAB9" w14:textId="77777777" w:rsidTr="00053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35C679B7" w14:textId="77777777" w:rsidR="000536B8" w:rsidRPr="00B825BF" w:rsidRDefault="000536B8" w:rsidP="000536B8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[Revised] </w:t>
            </w:r>
          </w:p>
          <w:p w14:paraId="68B69165" w14:textId="59188395" w:rsidR="000536B8" w:rsidRPr="00B825BF" w:rsidRDefault="000536B8" w:rsidP="000536B8">
            <w:pPr>
              <w:pStyle w:val="Tabletext"/>
              <w:spacing w:before="120" w:after="120" w:line="24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Disclosure of major contracts</w:t>
            </w:r>
          </w:p>
        </w:tc>
        <w:tc>
          <w:tcPr>
            <w:tcW w:w="781" w:type="pct"/>
          </w:tcPr>
          <w:p w14:paraId="3EF4C0FC" w14:textId="777FDB28" w:rsidR="000536B8" w:rsidRPr="00B825BF" w:rsidRDefault="000536B8" w:rsidP="000536B8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cstheme="minorHAnsi"/>
                <w:sz w:val="18"/>
                <w:szCs w:val="18"/>
              </w:rPr>
              <w:t>General improvement</w:t>
            </w:r>
          </w:p>
        </w:tc>
        <w:tc>
          <w:tcPr>
            <w:tcW w:w="2202" w:type="pct"/>
          </w:tcPr>
          <w:p w14:paraId="4E9C4F99" w14:textId="5D3A550C" w:rsidR="000536B8" w:rsidRPr="00B825BF" w:rsidRDefault="000536B8" w:rsidP="000536B8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Minor editorial update to the URL included in the guidance. </w:t>
            </w:r>
          </w:p>
        </w:tc>
        <w:tc>
          <w:tcPr>
            <w:tcW w:w="780" w:type="pct"/>
          </w:tcPr>
          <w:p w14:paraId="5DA6886E" w14:textId="2C9AF33F" w:rsidR="000536B8" w:rsidRPr="00CF6E46" w:rsidRDefault="000536B8" w:rsidP="000536B8">
            <w:pPr>
              <w:pStyle w:val="Tabletextcentred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51</w:t>
            </w:r>
          </w:p>
        </w:tc>
      </w:tr>
      <w:tr w:rsidR="00057B4B" w:rsidRPr="00DF5908" w14:paraId="2B76720B" w14:textId="77777777" w:rsidTr="000536B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37AB62A3" w14:textId="77777777" w:rsidR="00D558CA" w:rsidRPr="00B825BF" w:rsidRDefault="00D558CA" w:rsidP="008D1C83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[Revised] </w:t>
            </w:r>
          </w:p>
          <w:p w14:paraId="62C1A27A" w14:textId="64D3668A" w:rsidR="00A93772" w:rsidRPr="00B825BF" w:rsidRDefault="000536B8" w:rsidP="008D1C83">
            <w:pPr>
              <w:pStyle w:val="Tabletext"/>
              <w:spacing w:before="120" w:after="120" w:line="24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Competitive neutrality policy</w:t>
            </w:r>
          </w:p>
        </w:tc>
        <w:tc>
          <w:tcPr>
            <w:tcW w:w="781" w:type="pct"/>
          </w:tcPr>
          <w:p w14:paraId="398302AE" w14:textId="14E95CD5" w:rsidR="00A93772" w:rsidRPr="00B825BF" w:rsidRDefault="00A93772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cstheme="minorHAnsi"/>
                <w:sz w:val="18"/>
                <w:szCs w:val="18"/>
              </w:rPr>
              <w:t xml:space="preserve">General improvement </w:t>
            </w:r>
          </w:p>
        </w:tc>
        <w:tc>
          <w:tcPr>
            <w:tcW w:w="2202" w:type="pct"/>
          </w:tcPr>
          <w:p w14:paraId="720A9750" w14:textId="030D25EF" w:rsidR="00A93772" w:rsidRPr="00B825BF" w:rsidRDefault="000536B8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Reference to </w:t>
            </w:r>
            <w:r w:rsidRPr="00041171">
              <w:rPr>
                <w:rFonts w:cstheme="minorHAnsi"/>
                <w:i/>
                <w:iCs/>
                <w:sz w:val="18"/>
                <w:szCs w:val="18"/>
              </w:rPr>
              <w:t>Office of the Commissioner for Better Regulation Victoria</w:t>
            </w:r>
            <w:r>
              <w:rPr>
                <w:rFonts w:cstheme="minorHAnsi"/>
                <w:sz w:val="18"/>
                <w:szCs w:val="18"/>
              </w:rPr>
              <w:t xml:space="preserve"> updated </w:t>
            </w:r>
            <w:r w:rsidRPr="0016042F">
              <w:rPr>
                <w:rFonts w:cstheme="minorHAnsi"/>
                <w:sz w:val="18"/>
                <w:szCs w:val="18"/>
              </w:rPr>
              <w:t>to</w:t>
            </w:r>
            <w:r w:rsidRPr="00041171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1171">
              <w:rPr>
                <w:rFonts w:cstheme="minorHAnsi"/>
                <w:i/>
                <w:iCs/>
                <w:sz w:val="18"/>
                <w:szCs w:val="18"/>
              </w:rPr>
              <w:t>Better Regulation Victoria.</w:t>
            </w:r>
          </w:p>
        </w:tc>
        <w:tc>
          <w:tcPr>
            <w:tcW w:w="780" w:type="pct"/>
          </w:tcPr>
          <w:p w14:paraId="1B5BCA8E" w14:textId="71CAB986" w:rsidR="00A93772" w:rsidRDefault="005B0886" w:rsidP="008D1C83">
            <w:pPr>
              <w:pStyle w:val="Tabletextcentred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67EA7">
              <w:t>5</w:t>
            </w:r>
          </w:p>
        </w:tc>
      </w:tr>
      <w:tr w:rsidR="005B0886" w:rsidRPr="00DF5908" w14:paraId="0CFADCF4" w14:textId="77777777" w:rsidTr="00053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2C6A3857" w14:textId="77777777" w:rsidR="005B0886" w:rsidRPr="00B825BF" w:rsidRDefault="005B0886" w:rsidP="005B0886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[Revised] </w:t>
            </w:r>
          </w:p>
          <w:p w14:paraId="6EB0A55F" w14:textId="19E562AA" w:rsidR="005B0886" w:rsidRPr="005B0886" w:rsidRDefault="005B0886" w:rsidP="005B0886">
            <w:pPr>
              <w:pStyle w:val="Tabletext"/>
              <w:spacing w:before="120"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Compliance with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Disability Act 2006</w:t>
            </w:r>
          </w:p>
        </w:tc>
        <w:tc>
          <w:tcPr>
            <w:tcW w:w="781" w:type="pct"/>
          </w:tcPr>
          <w:p w14:paraId="09C511EB" w14:textId="5D6E3C2A" w:rsidR="005B0886" w:rsidRPr="00B825BF" w:rsidRDefault="005B0886" w:rsidP="005B0886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cstheme="minorHAnsi"/>
                <w:sz w:val="18"/>
                <w:szCs w:val="18"/>
              </w:rPr>
              <w:t xml:space="preserve">General improvement </w:t>
            </w:r>
          </w:p>
        </w:tc>
        <w:tc>
          <w:tcPr>
            <w:tcW w:w="2202" w:type="pct"/>
          </w:tcPr>
          <w:p w14:paraId="684D2721" w14:textId="751E06A7" w:rsidR="005B0886" w:rsidRPr="00A67EA7" w:rsidRDefault="00A67EA7" w:rsidP="005B0886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Improved clarity around the disclosure requirements under the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Disability Act 2006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80" w:type="pct"/>
          </w:tcPr>
          <w:p w14:paraId="72E3171E" w14:textId="4B4DBFB0" w:rsidR="005B0886" w:rsidRDefault="005B0886" w:rsidP="005B0886">
            <w:pPr>
              <w:pStyle w:val="Tabletextcentred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A67EA7">
              <w:t>7 - 58</w:t>
            </w:r>
          </w:p>
        </w:tc>
      </w:tr>
      <w:tr w:rsidR="00026B68" w:rsidRPr="00DF5908" w14:paraId="3B8D4F71" w14:textId="77777777" w:rsidTr="000536B8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43191D4B" w14:textId="77777777" w:rsidR="00026B68" w:rsidRPr="00B825BF" w:rsidRDefault="00026B68" w:rsidP="00026B68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[Revised] </w:t>
            </w:r>
          </w:p>
          <w:p w14:paraId="1DAE451B" w14:textId="24993804" w:rsidR="00026B68" w:rsidRPr="00B825BF" w:rsidRDefault="00026B68" w:rsidP="00026B68">
            <w:pPr>
              <w:pStyle w:val="Tabletext"/>
              <w:spacing w:before="120"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Office-based environmental impacts</w:t>
            </w:r>
          </w:p>
        </w:tc>
        <w:tc>
          <w:tcPr>
            <w:tcW w:w="781" w:type="pct"/>
          </w:tcPr>
          <w:p w14:paraId="419DEBC9" w14:textId="5F6FDF4A" w:rsidR="00026B68" w:rsidRPr="00B825BF" w:rsidRDefault="00026B68" w:rsidP="00026B68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825BF">
              <w:rPr>
                <w:rFonts w:cstheme="minorHAnsi"/>
                <w:sz w:val="18"/>
                <w:szCs w:val="18"/>
              </w:rPr>
              <w:t xml:space="preserve">General improvement </w:t>
            </w:r>
          </w:p>
        </w:tc>
        <w:tc>
          <w:tcPr>
            <w:tcW w:w="2202" w:type="pct"/>
          </w:tcPr>
          <w:p w14:paraId="626B42BA" w14:textId="219BD3EE" w:rsidR="00026B68" w:rsidRDefault="00643942" w:rsidP="00026B68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Minor </w:t>
            </w:r>
            <w:r w:rsidR="005E5D81">
              <w:rPr>
                <w:rFonts w:cstheme="minorHAnsi"/>
                <w:sz w:val="18"/>
                <w:szCs w:val="18"/>
              </w:rPr>
              <w:t xml:space="preserve">amendments to the illustration surrounding the Whole of Government Pledge under the </w:t>
            </w:r>
            <w:r w:rsidR="005E5D81" w:rsidRPr="003546A5">
              <w:rPr>
                <w:rFonts w:cstheme="minorHAnsi"/>
                <w:i/>
                <w:iCs/>
                <w:sz w:val="18"/>
                <w:szCs w:val="18"/>
              </w:rPr>
              <w:t>Climate Changes Act 2017</w:t>
            </w:r>
            <w:r w:rsidR="009F6EC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80" w:type="pct"/>
          </w:tcPr>
          <w:p w14:paraId="47EBC910" w14:textId="4D9CF365" w:rsidR="00026B68" w:rsidRDefault="00A67EA7" w:rsidP="00026B68">
            <w:pPr>
              <w:pStyle w:val="Tabletextcentred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  <w:r w:rsidR="00643942">
              <w:t xml:space="preserve"> - 6</w:t>
            </w:r>
            <w:r>
              <w:t>8</w:t>
            </w:r>
          </w:p>
        </w:tc>
      </w:tr>
      <w:tr w:rsidR="008366F4" w:rsidRPr="00DF5908" w14:paraId="71A6B225" w14:textId="77777777" w:rsidTr="00053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pct"/>
          </w:tcPr>
          <w:p w14:paraId="7A427796" w14:textId="7D723B05" w:rsidR="008366F4" w:rsidRPr="00B825BF" w:rsidRDefault="008366F4" w:rsidP="008366F4">
            <w:pPr>
              <w:pStyle w:val="Tabletext"/>
              <w:spacing w:before="120" w:after="120" w:line="240" w:lineRule="atLeast"/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</w:pP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>[</w:t>
            </w:r>
            <w:r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>New</w:t>
            </w:r>
            <w:r w:rsidRPr="00B825BF">
              <w:rPr>
                <w:rFonts w:eastAsiaTheme="minorEastAsia" w:cstheme="minorHAnsi"/>
                <w:color w:val="FF0000"/>
                <w:sz w:val="18"/>
                <w:szCs w:val="18"/>
                <w:lang w:eastAsia="en-AU"/>
              </w:rPr>
              <w:t xml:space="preserve">] </w:t>
            </w:r>
          </w:p>
          <w:p w14:paraId="3F3F6804" w14:textId="7C660765" w:rsidR="008366F4" w:rsidRPr="00B825BF" w:rsidRDefault="000D4F3C" w:rsidP="008366F4">
            <w:pPr>
              <w:pStyle w:val="Tabletext"/>
              <w:spacing w:before="120"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Asset Management Accountability Framework (AMAF) maturity assessment</w:t>
            </w:r>
          </w:p>
        </w:tc>
        <w:tc>
          <w:tcPr>
            <w:tcW w:w="781" w:type="pct"/>
          </w:tcPr>
          <w:p w14:paraId="7E8637B1" w14:textId="6536E73B" w:rsidR="008366F4" w:rsidRPr="004B29AF" w:rsidRDefault="004B29AF" w:rsidP="008366F4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Asset Management Accountability Framework</w:t>
            </w:r>
          </w:p>
        </w:tc>
        <w:tc>
          <w:tcPr>
            <w:tcW w:w="2202" w:type="pct"/>
          </w:tcPr>
          <w:p w14:paraId="7E13841F" w14:textId="26063634" w:rsidR="008366F4" w:rsidRDefault="00AF37D7" w:rsidP="008366F4">
            <w:pPr>
              <w:pStyle w:val="Tabletext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Commencing 2020-21, p</w:t>
            </w:r>
            <w:r w:rsidR="00776F30">
              <w:rPr>
                <w:rFonts w:cstheme="minorHAnsi"/>
                <w:sz w:val="18"/>
                <w:szCs w:val="18"/>
              </w:rPr>
              <w:t>reparers are required to conduct a self-assessment of the level of asset management maturity within their organisation and disclose the results</w:t>
            </w:r>
            <w:r>
              <w:rPr>
                <w:rFonts w:cstheme="minorHAnsi"/>
                <w:sz w:val="18"/>
                <w:szCs w:val="18"/>
              </w:rPr>
              <w:t xml:space="preserve"> within the annual report, with disclosure required every three years.</w:t>
            </w:r>
            <w:r w:rsidR="004849AC">
              <w:rPr>
                <w:rFonts w:cstheme="minorHAnsi"/>
                <w:sz w:val="18"/>
                <w:szCs w:val="18"/>
              </w:rPr>
              <w:t xml:space="preserve"> Illustration has been provided in the report of operations.</w:t>
            </w:r>
          </w:p>
        </w:tc>
        <w:tc>
          <w:tcPr>
            <w:tcW w:w="780" w:type="pct"/>
          </w:tcPr>
          <w:p w14:paraId="4DC09F28" w14:textId="19238DDE" w:rsidR="008366F4" w:rsidRDefault="00A67EA7" w:rsidP="008366F4">
            <w:pPr>
              <w:pStyle w:val="Tabletextcentred"/>
              <w:spacing w:before="120"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</w:t>
            </w:r>
            <w:r w:rsidR="008366F4">
              <w:t xml:space="preserve"> - </w:t>
            </w:r>
            <w:r>
              <w:t>73</w:t>
            </w:r>
          </w:p>
        </w:tc>
      </w:tr>
    </w:tbl>
    <w:p w14:paraId="444DC0D0" w14:textId="77777777" w:rsidR="0057389E" w:rsidRDefault="0057389E" w:rsidP="0057389E">
      <w:pPr>
        <w:pStyle w:val="Heading2"/>
        <w:sectPr w:rsidR="0057389E" w:rsidSect="00F461B0">
          <w:pgSz w:w="11906" w:h="16838" w:code="9"/>
          <w:pgMar w:top="2160" w:right="1440" w:bottom="1350" w:left="1440" w:header="706" w:footer="461" w:gutter="0"/>
          <w:cols w:space="708"/>
          <w:docGrid w:linePitch="360"/>
        </w:sectPr>
      </w:pPr>
    </w:p>
    <w:p w14:paraId="72BA6A94" w14:textId="5C47A62C" w:rsidR="0068319A" w:rsidRDefault="0068319A" w:rsidP="0057389E">
      <w:pPr>
        <w:pStyle w:val="Heading2"/>
      </w:pPr>
      <w:r>
        <w:lastRenderedPageBreak/>
        <w:t>Model Financial Statements</w:t>
      </w:r>
      <w:r w:rsidR="00BD07C5">
        <w:t xml:space="preserve"> </w:t>
      </w:r>
      <w:r w:rsidR="00F4464F">
        <w:tab/>
      </w:r>
    </w:p>
    <w:tbl>
      <w:tblPr>
        <w:tblStyle w:val="DTFtexttable"/>
        <w:tblW w:w="5460" w:type="pct"/>
        <w:tblLayout w:type="fixed"/>
        <w:tblLook w:val="04A0" w:firstRow="1" w:lastRow="0" w:firstColumn="1" w:lastColumn="0" w:noHBand="0" w:noVBand="1"/>
      </w:tblPr>
      <w:tblGrid>
        <w:gridCol w:w="2467"/>
        <w:gridCol w:w="1559"/>
        <w:gridCol w:w="4396"/>
        <w:gridCol w:w="1559"/>
      </w:tblGrid>
      <w:tr w:rsidR="00A64AB4" w:rsidRPr="0018391B" w14:paraId="2AB90B3C" w14:textId="77777777" w:rsidTr="00AF3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</w:tcPr>
          <w:p w14:paraId="2015F1C0" w14:textId="54DEAE8C" w:rsidR="00A64AB4" w:rsidRPr="00D24A4C" w:rsidRDefault="00A64AB4" w:rsidP="008E27FF">
            <w:pPr>
              <w:pStyle w:val="Tableheader"/>
              <w:spacing w:after="120" w:line="240" w:lineRule="atLeast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D24A4C">
              <w:rPr>
                <w:bCs/>
                <w:sz w:val="18"/>
                <w:szCs w:val="18"/>
              </w:rPr>
              <w:t>Subject matter</w:t>
            </w:r>
          </w:p>
        </w:tc>
        <w:tc>
          <w:tcPr>
            <w:tcW w:w="781" w:type="pct"/>
          </w:tcPr>
          <w:p w14:paraId="04E823FA" w14:textId="7DDB0C32" w:rsidR="00A64AB4" w:rsidRPr="00EF55A7" w:rsidDel="00862DB1" w:rsidRDefault="00A64AB4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D24A4C">
              <w:rPr>
                <w:bCs/>
                <w:sz w:val="18"/>
                <w:szCs w:val="18"/>
              </w:rPr>
              <w:t>Source of change</w:t>
            </w:r>
          </w:p>
        </w:tc>
        <w:tc>
          <w:tcPr>
            <w:tcW w:w="2202" w:type="pct"/>
          </w:tcPr>
          <w:p w14:paraId="58B8DD66" w14:textId="576FC41D" w:rsidR="00A64AB4" w:rsidRPr="00EF55A7" w:rsidDel="00862DB1" w:rsidRDefault="00A64AB4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403703">
              <w:rPr>
                <w:bCs/>
                <w:sz w:val="18"/>
                <w:szCs w:val="18"/>
              </w:rPr>
              <w:t>Summary of c</w:t>
            </w:r>
            <w:r w:rsidRPr="00D24A4C">
              <w:rPr>
                <w:bCs/>
                <w:sz w:val="18"/>
                <w:szCs w:val="18"/>
              </w:rPr>
              <w:t xml:space="preserve">hanges applied to the relevant sections in the Model Financial </w:t>
            </w:r>
            <w:r w:rsidRPr="00EF55A7">
              <w:rPr>
                <w:bCs/>
                <w:sz w:val="18"/>
                <w:szCs w:val="18"/>
              </w:rPr>
              <w:t>Statements</w:t>
            </w:r>
          </w:p>
        </w:tc>
        <w:tc>
          <w:tcPr>
            <w:tcW w:w="781" w:type="pct"/>
          </w:tcPr>
          <w:p w14:paraId="47127902" w14:textId="75C36061" w:rsidR="00A64AB4" w:rsidRPr="00EF55A7" w:rsidDel="00A24CAF" w:rsidRDefault="00A64AB4" w:rsidP="00AF37D7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8"/>
                <w:szCs w:val="18"/>
              </w:rPr>
            </w:pPr>
            <w:r w:rsidRPr="00EF55A7">
              <w:rPr>
                <w:bCs/>
                <w:sz w:val="18"/>
                <w:szCs w:val="18"/>
              </w:rPr>
              <w:t>Page reference</w:t>
            </w:r>
          </w:p>
        </w:tc>
      </w:tr>
      <w:tr w:rsidR="007154B1" w:rsidRPr="0018391B" w14:paraId="1DFFCA03" w14:textId="77777777" w:rsidTr="00A64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2595CCC7" w14:textId="77777777" w:rsidR="007154B1" w:rsidRDefault="007154B1" w:rsidP="007154B1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[Revised]</w:t>
            </w:r>
          </w:p>
          <w:p w14:paraId="18A57CD9" w14:textId="3972A5B8" w:rsidR="007154B1" w:rsidRPr="00AF37D7" w:rsidRDefault="007154B1" w:rsidP="007154B1">
            <w:pPr>
              <w:pStyle w:val="Tableheader"/>
              <w:spacing w:after="120" w:line="240" w:lineRule="atLeast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2 Funding Delivery of our services</w:t>
            </w:r>
          </w:p>
        </w:tc>
        <w:tc>
          <w:tcPr>
            <w:tcW w:w="781" w:type="pct"/>
          </w:tcPr>
          <w:p w14:paraId="1FB3565E" w14:textId="135BEF35" w:rsidR="007154B1" w:rsidRPr="008D1C83" w:rsidDel="00862DB1" w:rsidRDefault="007154B1" w:rsidP="007154B1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Enhanced guidance</w:t>
            </w:r>
          </w:p>
        </w:tc>
        <w:tc>
          <w:tcPr>
            <w:tcW w:w="2202" w:type="pct"/>
          </w:tcPr>
          <w:p w14:paraId="3E051D34" w14:textId="3B4A8B40" w:rsidR="007154B1" w:rsidRPr="008D1C83" w:rsidDel="00862DB1" w:rsidRDefault="007154B1" w:rsidP="007154B1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Significant judgements on grants revenue has been updated to provide more clarity.</w:t>
            </w:r>
          </w:p>
        </w:tc>
        <w:tc>
          <w:tcPr>
            <w:tcW w:w="781" w:type="pct"/>
          </w:tcPr>
          <w:p w14:paraId="653E318D" w14:textId="533D5851" w:rsidR="007154B1" w:rsidRPr="008D1C83" w:rsidDel="00A24CAF" w:rsidRDefault="00606E8C" w:rsidP="007154B1">
            <w:pPr>
              <w:pStyle w:val="Tableheader"/>
              <w:spacing w:after="12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98</w:t>
            </w:r>
          </w:p>
        </w:tc>
      </w:tr>
      <w:tr w:rsidR="007154B1" w:rsidRPr="0018391B" w14:paraId="35DE335B" w14:textId="77777777" w:rsidTr="00AB63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71E1A022" w14:textId="77777777" w:rsidR="007154B1" w:rsidRPr="008D1C83" w:rsidRDefault="007154B1" w:rsidP="007154B1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8D1C83">
              <w:rPr>
                <w:rFonts w:cstheme="minorHAnsi"/>
                <w:color w:val="FF0000"/>
                <w:sz w:val="18"/>
                <w:szCs w:val="18"/>
              </w:rPr>
              <w:t>[Revised]</w:t>
            </w:r>
          </w:p>
          <w:p w14:paraId="6AA9C459" w14:textId="78E9E0D1" w:rsidR="007154B1" w:rsidRPr="008D1C83" w:rsidRDefault="007154B1" w:rsidP="007154B1">
            <w:pPr>
              <w:pStyle w:val="Tableheader"/>
              <w:spacing w:after="120" w:line="240" w:lineRule="atLeast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2.4.5 Other income</w:t>
            </w:r>
          </w:p>
        </w:tc>
        <w:tc>
          <w:tcPr>
            <w:tcW w:w="781" w:type="pct"/>
          </w:tcPr>
          <w:p w14:paraId="0DDE76FB" w14:textId="6877D335" w:rsidR="007154B1" w:rsidRPr="008D1C83" w:rsidRDefault="007154B1" w:rsidP="007154B1">
            <w:pPr>
              <w:pStyle w:val="Tableheader"/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theme="minorHAnsi"/>
                <w:i/>
                <w:iCs/>
                <w:color w:val="auto"/>
                <w:sz w:val="18"/>
                <w:szCs w:val="18"/>
                <w:lang w:eastAsia="en-AU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VAGO</w:t>
            </w:r>
            <w:r w:rsidR="004B17C7">
              <w:rPr>
                <w:rFonts w:cstheme="minorHAnsi"/>
                <w:color w:val="auto"/>
                <w:sz w:val="18"/>
                <w:szCs w:val="18"/>
              </w:rPr>
              <w:t>’s recommendation</w:t>
            </w:r>
          </w:p>
        </w:tc>
        <w:tc>
          <w:tcPr>
            <w:tcW w:w="2202" w:type="pct"/>
          </w:tcPr>
          <w:p w14:paraId="331BC4BD" w14:textId="7245CE52" w:rsidR="005A781B" w:rsidRDefault="005A781B" w:rsidP="007154B1">
            <w:pPr>
              <w:pStyle w:val="Tableheader"/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Table has been updated to incorporate the following n</w:t>
            </w:r>
            <w:r w:rsidR="007154B1">
              <w:rPr>
                <w:rFonts w:cstheme="minorHAnsi"/>
                <w:color w:val="auto"/>
                <w:sz w:val="18"/>
                <w:szCs w:val="18"/>
              </w:rPr>
              <w:t>ew line items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t</w:t>
            </w:r>
            <w:r w:rsidR="004B17C7">
              <w:rPr>
                <w:rFonts w:cstheme="minorHAnsi"/>
                <w:color w:val="auto"/>
                <w:sz w:val="18"/>
                <w:szCs w:val="18"/>
              </w:rPr>
              <w:t xml:space="preserve">o </w:t>
            </w:r>
            <w:r w:rsidR="00864929">
              <w:rPr>
                <w:rFonts w:cstheme="minorHAnsi"/>
                <w:color w:val="auto"/>
                <w:sz w:val="18"/>
                <w:szCs w:val="18"/>
              </w:rPr>
              <w:t xml:space="preserve">reflect </w:t>
            </w:r>
            <w:r w:rsidR="004B17C7">
              <w:rPr>
                <w:rFonts w:cstheme="minorHAnsi"/>
                <w:color w:val="auto"/>
                <w:sz w:val="18"/>
                <w:szCs w:val="18"/>
              </w:rPr>
              <w:t>income arising from statutory requirements</w:t>
            </w:r>
            <w:r>
              <w:rPr>
                <w:rFonts w:cstheme="minorHAnsi"/>
                <w:color w:val="auto"/>
                <w:sz w:val="18"/>
                <w:szCs w:val="18"/>
              </w:rPr>
              <w:t>:</w:t>
            </w:r>
          </w:p>
          <w:p w14:paraId="325A03AF" w14:textId="0E7E40DC" w:rsidR="005A781B" w:rsidRDefault="005A781B" w:rsidP="004B17C7">
            <w:pPr>
              <w:pStyle w:val="Tableheader"/>
              <w:numPr>
                <w:ilvl w:val="0"/>
                <w:numId w:val="47"/>
              </w:numPr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Fine and regulatory frees and;</w:t>
            </w:r>
          </w:p>
          <w:p w14:paraId="2A873D32" w14:textId="7B0921F0" w:rsidR="007154B1" w:rsidRPr="008D1C83" w:rsidRDefault="005A781B" w:rsidP="004B17C7">
            <w:pPr>
              <w:pStyle w:val="Tableheader"/>
              <w:numPr>
                <w:ilvl w:val="0"/>
                <w:numId w:val="47"/>
              </w:numPr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Other miscellaneous income</w:t>
            </w:r>
            <w:r w:rsidR="004B17C7">
              <w:rPr>
                <w:rFonts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781" w:type="pct"/>
          </w:tcPr>
          <w:p w14:paraId="214381FB" w14:textId="2867E1A9" w:rsidR="007154B1" w:rsidRPr="008D1C83" w:rsidRDefault="00606E8C" w:rsidP="007154B1">
            <w:pPr>
              <w:pStyle w:val="Tableheader"/>
              <w:spacing w:after="12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103</w:t>
            </w:r>
          </w:p>
        </w:tc>
      </w:tr>
      <w:tr w:rsidR="00606E8C" w:rsidRPr="0018391B" w14:paraId="0D8ADC4C" w14:textId="77777777" w:rsidTr="00A64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67E12B32" w14:textId="77777777" w:rsidR="00606E8C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[Revised]</w:t>
            </w:r>
          </w:p>
          <w:p w14:paraId="2537FD7B" w14:textId="77777777" w:rsidR="00606E8C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6</w:t>
            </w:r>
            <w:r w:rsidRPr="007154B1">
              <w:rPr>
                <w:rFonts w:cstheme="minorHAnsi"/>
                <w:color w:val="auto"/>
                <w:sz w:val="18"/>
                <w:szCs w:val="18"/>
              </w:rPr>
              <w:t>.1 Receivables</w:t>
            </w:r>
          </w:p>
          <w:p w14:paraId="5DCAB59F" w14:textId="41595A59" w:rsidR="00606E8C" w:rsidRPr="00606E8C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6.2 Payables</w:t>
            </w:r>
          </w:p>
        </w:tc>
        <w:tc>
          <w:tcPr>
            <w:tcW w:w="781" w:type="pct"/>
          </w:tcPr>
          <w:p w14:paraId="44A66B87" w14:textId="09B2B620" w:rsidR="00606E8C" w:rsidRDefault="00606E8C" w:rsidP="00606E8C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7154B1">
              <w:rPr>
                <w:rFonts w:cstheme="minorHAnsi"/>
                <w:color w:val="auto"/>
                <w:sz w:val="18"/>
                <w:szCs w:val="18"/>
              </w:rPr>
              <w:t xml:space="preserve">Australian Accounting Standards  </w:t>
            </w:r>
          </w:p>
        </w:tc>
        <w:tc>
          <w:tcPr>
            <w:tcW w:w="2202" w:type="pct"/>
          </w:tcPr>
          <w:p w14:paraId="28018E91" w14:textId="68892DBA" w:rsidR="00606E8C" w:rsidRPr="007154B1" w:rsidRDefault="00041171" w:rsidP="00606E8C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The following </w:t>
            </w:r>
            <w:r w:rsidR="00657BEA">
              <w:rPr>
                <w:rFonts w:cstheme="minorHAnsi"/>
                <w:color w:val="auto"/>
                <w:sz w:val="18"/>
                <w:szCs w:val="18"/>
              </w:rPr>
              <w:t>tables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have been updated to</w:t>
            </w:r>
            <w:r w:rsidR="008E0169">
              <w:rPr>
                <w:rFonts w:cstheme="minorHAnsi"/>
                <w:color w:val="auto"/>
                <w:sz w:val="18"/>
                <w:szCs w:val="18"/>
              </w:rPr>
              <w:t xml:space="preserve"> reflect the ongoing application of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="00606E8C" w:rsidRPr="007154B1">
              <w:rPr>
                <w:rFonts w:cstheme="minorHAnsi"/>
                <w:color w:val="auto"/>
                <w:sz w:val="18"/>
                <w:szCs w:val="18"/>
              </w:rPr>
              <w:t xml:space="preserve">AASB 15 </w:t>
            </w:r>
            <w:r w:rsidR="00606E8C" w:rsidRPr="007154B1">
              <w:rPr>
                <w:rFonts w:cstheme="minorHAnsi"/>
                <w:i/>
                <w:iCs/>
                <w:color w:val="auto"/>
                <w:sz w:val="18"/>
                <w:szCs w:val="18"/>
              </w:rPr>
              <w:t>Revenue from Contracts with Customers</w:t>
            </w:r>
            <w:r w:rsidR="008E0169">
              <w:rPr>
                <w:rFonts w:cstheme="minorHAnsi"/>
                <w:color w:val="auto"/>
                <w:sz w:val="18"/>
                <w:szCs w:val="18"/>
              </w:rPr>
              <w:t>,</w:t>
            </w:r>
            <w:r w:rsidR="00606E8C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="00606E8C" w:rsidRPr="007154B1">
              <w:rPr>
                <w:rFonts w:cstheme="minorHAnsi"/>
                <w:color w:val="auto"/>
                <w:sz w:val="18"/>
                <w:szCs w:val="18"/>
              </w:rPr>
              <w:t xml:space="preserve">AASB 1058 </w:t>
            </w:r>
            <w:r w:rsidR="00606E8C" w:rsidRPr="007154B1">
              <w:rPr>
                <w:rFonts w:cstheme="minorHAnsi"/>
                <w:i/>
                <w:iCs/>
                <w:color w:val="auto"/>
                <w:sz w:val="18"/>
                <w:szCs w:val="18"/>
              </w:rPr>
              <w:t>Revenue from Contracts with Customers</w:t>
            </w:r>
            <w:r w:rsidR="008E0169">
              <w:rPr>
                <w:rFonts w:cstheme="minorHAnsi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8E0169" w:rsidRPr="008E0169">
              <w:rPr>
                <w:rFonts w:cstheme="minorHAnsi"/>
                <w:color w:val="auto"/>
                <w:sz w:val="18"/>
                <w:szCs w:val="18"/>
              </w:rPr>
              <w:t>and</w:t>
            </w:r>
            <w:r w:rsidR="008E0169">
              <w:rPr>
                <w:rFonts w:cstheme="minorHAnsi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8E0169" w:rsidRPr="008E0169">
              <w:rPr>
                <w:rFonts w:cstheme="minorHAnsi"/>
                <w:color w:val="auto"/>
                <w:sz w:val="18"/>
                <w:szCs w:val="18"/>
              </w:rPr>
              <w:t>AASB 16</w:t>
            </w:r>
            <w:r w:rsidR="008E0169">
              <w:rPr>
                <w:rFonts w:cstheme="minorHAnsi"/>
                <w:i/>
                <w:iCs/>
                <w:color w:val="auto"/>
                <w:sz w:val="18"/>
                <w:szCs w:val="18"/>
              </w:rPr>
              <w:t xml:space="preserve"> Leases</w:t>
            </w:r>
            <w:r w:rsidR="00606E8C">
              <w:rPr>
                <w:rFonts w:cstheme="minorHAnsi"/>
                <w:i/>
                <w:iCs/>
                <w:color w:val="auto"/>
                <w:sz w:val="18"/>
                <w:szCs w:val="18"/>
              </w:rPr>
              <w:t>.</w:t>
            </w:r>
          </w:p>
          <w:p w14:paraId="5EC71934" w14:textId="77777777" w:rsidR="00606E8C" w:rsidRPr="007154B1" w:rsidRDefault="00606E8C" w:rsidP="00606E8C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7154B1">
              <w:rPr>
                <w:rFonts w:cstheme="minorHAnsi"/>
                <w:color w:val="auto"/>
                <w:sz w:val="18"/>
                <w:szCs w:val="18"/>
              </w:rPr>
              <w:t>6.1 Receivables</w:t>
            </w:r>
          </w:p>
          <w:p w14:paraId="171ED981" w14:textId="77777777" w:rsidR="00606E8C" w:rsidRPr="007154B1" w:rsidRDefault="00606E8C" w:rsidP="00606E8C">
            <w:pPr>
              <w:pStyle w:val="Tableheader"/>
              <w:numPr>
                <w:ilvl w:val="0"/>
                <w:numId w:val="44"/>
              </w:num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 w:rsidRPr="007154B1">
              <w:rPr>
                <w:rFonts w:cstheme="minorHAnsi"/>
                <w:color w:val="auto"/>
                <w:sz w:val="18"/>
                <w:szCs w:val="18"/>
              </w:rPr>
              <w:t xml:space="preserve">Finance lease receivables (Department as lessor) table </w:t>
            </w:r>
          </w:p>
          <w:p w14:paraId="158AD5C6" w14:textId="77777777" w:rsidR="00606E8C" w:rsidRDefault="00606E8C" w:rsidP="00606E8C">
            <w:pPr>
              <w:pStyle w:val="Tableheader"/>
              <w:numPr>
                <w:ilvl w:val="0"/>
                <w:numId w:val="44"/>
              </w:num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Contract assets</w:t>
            </w:r>
          </w:p>
          <w:p w14:paraId="0A37D158" w14:textId="77777777" w:rsidR="00606E8C" w:rsidRDefault="00606E8C" w:rsidP="00606E8C">
            <w:pPr>
              <w:pStyle w:val="Tableheader"/>
              <w:numPr>
                <w:ilvl w:val="0"/>
                <w:numId w:val="44"/>
              </w:num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Deferred capital revenue</w:t>
            </w:r>
          </w:p>
          <w:p w14:paraId="3F7800EB" w14:textId="1041FE29" w:rsidR="00606E8C" w:rsidRDefault="00606E8C" w:rsidP="00606E8C">
            <w:pPr>
              <w:pStyle w:val="Tableheader"/>
              <w:numPr>
                <w:ilvl w:val="0"/>
                <w:numId w:val="44"/>
              </w:numPr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Contract liabilities</w:t>
            </w:r>
          </w:p>
        </w:tc>
        <w:tc>
          <w:tcPr>
            <w:tcW w:w="781" w:type="pct"/>
          </w:tcPr>
          <w:p w14:paraId="79C82044" w14:textId="463235FE" w:rsidR="00606E8C" w:rsidRPr="008D1C83" w:rsidDel="00A24CAF" w:rsidRDefault="00606E8C" w:rsidP="00606E8C">
            <w:pPr>
              <w:pStyle w:val="Tableheader"/>
              <w:spacing w:after="12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153-159</w:t>
            </w:r>
          </w:p>
        </w:tc>
      </w:tr>
      <w:tr w:rsidR="00606E8C" w:rsidRPr="0018391B" w14:paraId="7C430A86" w14:textId="77777777" w:rsidTr="00A64A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122E548B" w14:textId="77777777" w:rsidR="00606E8C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[Revised]</w:t>
            </w:r>
          </w:p>
          <w:p w14:paraId="1921265C" w14:textId="77777777" w:rsidR="00606E8C" w:rsidRDefault="00606E8C" w:rsidP="00606E8C">
            <w:pPr>
              <w:pStyle w:val="Tableheader"/>
              <w:spacing w:after="120" w:line="240" w:lineRule="atLeas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7.2.2 Amounts recognised in the Comprehensive Operating Statement</w:t>
            </w:r>
          </w:p>
          <w:p w14:paraId="110F5E1E" w14:textId="77777777" w:rsidR="00606E8C" w:rsidRPr="008D1C83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81" w:type="pct"/>
          </w:tcPr>
          <w:p w14:paraId="159A5455" w14:textId="184054B0" w:rsidR="00606E8C" w:rsidRDefault="00606E8C" w:rsidP="00606E8C">
            <w:pPr>
              <w:pStyle w:val="Tableheader"/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7154B1">
              <w:rPr>
                <w:rFonts w:cstheme="minorHAnsi"/>
                <w:color w:val="auto"/>
                <w:sz w:val="18"/>
                <w:szCs w:val="18"/>
              </w:rPr>
              <w:t xml:space="preserve">Australian Accounting Standards  </w:t>
            </w:r>
          </w:p>
        </w:tc>
        <w:tc>
          <w:tcPr>
            <w:tcW w:w="2202" w:type="pct"/>
          </w:tcPr>
          <w:p w14:paraId="76FDB4DB" w14:textId="1371969E" w:rsidR="00606E8C" w:rsidRPr="007154B1" w:rsidRDefault="008E0169" w:rsidP="00606E8C">
            <w:pPr>
              <w:pStyle w:val="Tableheader"/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The following tables have been updated to reflect the ongoing application </w:t>
            </w:r>
            <w:r w:rsidR="00EA6A9B">
              <w:rPr>
                <w:rFonts w:cstheme="minorHAnsi"/>
                <w:color w:val="auto"/>
                <w:sz w:val="18"/>
                <w:szCs w:val="18"/>
              </w:rPr>
              <w:t>of AASB</w:t>
            </w:r>
            <w:r w:rsidR="00606E8C" w:rsidRPr="007154B1">
              <w:rPr>
                <w:rFonts w:cstheme="minorHAnsi"/>
                <w:color w:val="auto"/>
                <w:sz w:val="18"/>
                <w:szCs w:val="18"/>
              </w:rPr>
              <w:t xml:space="preserve"> 16 </w:t>
            </w:r>
            <w:r w:rsidR="00606E8C" w:rsidRPr="007154B1">
              <w:rPr>
                <w:rFonts w:cstheme="minorHAnsi"/>
                <w:i/>
                <w:iCs/>
                <w:color w:val="auto"/>
                <w:sz w:val="18"/>
                <w:szCs w:val="18"/>
              </w:rPr>
              <w:t>Leases</w:t>
            </w:r>
            <w:r w:rsidR="00606E8C">
              <w:rPr>
                <w:rFonts w:cstheme="minorHAnsi"/>
                <w:i/>
                <w:iCs/>
                <w:color w:val="auto"/>
                <w:sz w:val="18"/>
                <w:szCs w:val="18"/>
              </w:rPr>
              <w:t>.</w:t>
            </w:r>
          </w:p>
          <w:p w14:paraId="747715F1" w14:textId="65D4C884" w:rsidR="00606E8C" w:rsidRDefault="00606E8C" w:rsidP="00606E8C">
            <w:pPr>
              <w:pStyle w:val="Tableheader"/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7.2.2 Amounts recognised in the Comprehensive Operating Statement</w:t>
            </w:r>
          </w:p>
          <w:p w14:paraId="5CA1F387" w14:textId="19410E4C" w:rsidR="00CE5965" w:rsidRDefault="00CE5965" w:rsidP="00AB639A">
            <w:pPr>
              <w:pStyle w:val="Tableheader"/>
              <w:spacing w:after="12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7.2.3 Amounts recognised in the Statement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of Cashflows</w:t>
            </w:r>
          </w:p>
        </w:tc>
        <w:tc>
          <w:tcPr>
            <w:tcW w:w="781" w:type="pct"/>
          </w:tcPr>
          <w:p w14:paraId="4C087A27" w14:textId="26EA555B" w:rsidR="00606E8C" w:rsidRPr="008D1C83" w:rsidDel="00A24CAF" w:rsidRDefault="00606E8C" w:rsidP="00606E8C">
            <w:pPr>
              <w:pStyle w:val="Tableheader"/>
              <w:spacing w:after="12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168</w:t>
            </w:r>
          </w:p>
        </w:tc>
      </w:tr>
      <w:tr w:rsidR="00606E8C" w:rsidRPr="0018391B" w14:paraId="02E9194A" w14:textId="77777777" w:rsidTr="0035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28A3DA82" w14:textId="77777777" w:rsidR="00606E8C" w:rsidRPr="008D1C83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8D1C83">
              <w:rPr>
                <w:rFonts w:cstheme="minorHAnsi"/>
                <w:color w:val="FF0000"/>
                <w:sz w:val="18"/>
                <w:szCs w:val="18"/>
              </w:rPr>
              <w:t>[Revised]</w:t>
            </w:r>
          </w:p>
          <w:p w14:paraId="73E6DC84" w14:textId="271CFAA4" w:rsidR="00606E8C" w:rsidRPr="008D1C83" w:rsidRDefault="00606E8C" w:rsidP="00606E8C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7.5.3 </w:t>
            </w:r>
            <w:r w:rsidRPr="00AB1B5A">
              <w:rPr>
                <w:rFonts w:cstheme="minorHAnsi"/>
                <w:color w:val="auto"/>
                <w:sz w:val="18"/>
                <w:szCs w:val="18"/>
              </w:rPr>
              <w:t>AASB 1059 Service Concession Arrangements: Grantors</w:t>
            </w:r>
            <w:r w:rsidRPr="00AB1B5A" w:rsidDel="00AB1B5A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81" w:type="pct"/>
          </w:tcPr>
          <w:p w14:paraId="7AA6B02E" w14:textId="563CDD68" w:rsidR="00606E8C" w:rsidRPr="00237232" w:rsidRDefault="00AF37D7" w:rsidP="00606E8C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18"/>
                <w:szCs w:val="18"/>
                <w:lang w:eastAsia="en-AU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Enhanced guidance</w:t>
            </w:r>
            <w:r w:rsidR="00606E8C" w:rsidRPr="00E07ACD">
              <w:rPr>
                <w:rFonts w:cstheme="minorHAns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202" w:type="pct"/>
          </w:tcPr>
          <w:p w14:paraId="67C1DB35" w14:textId="40322309" w:rsidR="00606E8C" w:rsidRPr="00606E8C" w:rsidRDefault="00606E8C" w:rsidP="00606E8C">
            <w:pPr>
              <w:pStyle w:val="Tableheader"/>
              <w:spacing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i/>
                <w:iCs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Theme="minorEastAsia" w:cstheme="minorHAnsi"/>
                <w:color w:val="auto"/>
                <w:sz w:val="18"/>
                <w:szCs w:val="18"/>
                <w:lang w:eastAsia="en-AU"/>
              </w:rPr>
              <w:t xml:space="preserve">Improved clarity around the disclosure requirements for AASB 1059 </w:t>
            </w:r>
            <w:r>
              <w:rPr>
                <w:rFonts w:eastAsiaTheme="minorEastAsia" w:cstheme="minorHAnsi"/>
                <w:i/>
                <w:iCs/>
                <w:color w:val="auto"/>
                <w:sz w:val="18"/>
                <w:szCs w:val="18"/>
                <w:lang w:eastAsia="en-AU"/>
              </w:rPr>
              <w:t>Service Concession Arrangements: Grantors</w:t>
            </w:r>
          </w:p>
        </w:tc>
        <w:tc>
          <w:tcPr>
            <w:tcW w:w="781" w:type="pct"/>
          </w:tcPr>
          <w:p w14:paraId="13035BE5" w14:textId="52A1C24D" w:rsidR="00606E8C" w:rsidRPr="00237232" w:rsidRDefault="00606E8C" w:rsidP="00606E8C">
            <w:pPr>
              <w:pStyle w:val="Tableheader"/>
              <w:spacing w:after="12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Theme="minorEastAsia" w:cstheme="minorHAnsi"/>
                <w:color w:val="auto"/>
                <w:sz w:val="18"/>
                <w:szCs w:val="18"/>
                <w:lang w:eastAsia="en-AU"/>
              </w:rPr>
              <w:t>178-180</w:t>
            </w:r>
          </w:p>
        </w:tc>
      </w:tr>
    </w:tbl>
    <w:p w14:paraId="4C965457" w14:textId="22A7F6FD" w:rsidR="000C2434" w:rsidRDefault="000C2434"/>
    <w:p w14:paraId="73836D5A" w14:textId="77777777" w:rsidR="0068319A" w:rsidRDefault="0068319A" w:rsidP="0068319A">
      <w:pPr>
        <w:sectPr w:rsidR="0068319A" w:rsidSect="00F461B0">
          <w:pgSz w:w="11906" w:h="16838" w:code="9"/>
          <w:pgMar w:top="2160" w:right="1440" w:bottom="1350" w:left="1440" w:header="706" w:footer="461" w:gutter="0"/>
          <w:cols w:space="708"/>
          <w:docGrid w:linePitch="360"/>
        </w:sectPr>
      </w:pPr>
    </w:p>
    <w:p w14:paraId="76EA59FD" w14:textId="06432848" w:rsidR="0068319A" w:rsidRDefault="0068319A" w:rsidP="00A36C09">
      <w:pPr>
        <w:pStyle w:val="Heading2"/>
      </w:pPr>
      <w:r>
        <w:lastRenderedPageBreak/>
        <w:t>Model Appendices</w:t>
      </w:r>
    </w:p>
    <w:tbl>
      <w:tblPr>
        <w:tblStyle w:val="DTFtexttable"/>
        <w:tblW w:w="5000" w:type="pct"/>
        <w:tblLayout w:type="fixed"/>
        <w:tblLook w:val="04A0" w:firstRow="1" w:lastRow="0" w:firstColumn="1" w:lastColumn="0" w:noHBand="0" w:noVBand="1"/>
      </w:tblPr>
      <w:tblGrid>
        <w:gridCol w:w="1758"/>
        <w:gridCol w:w="1631"/>
        <w:gridCol w:w="4608"/>
        <w:gridCol w:w="1143"/>
      </w:tblGrid>
      <w:tr w:rsidR="00A36C09" w:rsidRPr="0018391B" w14:paraId="530E07C7" w14:textId="77777777" w:rsidTr="00C72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" w:type="pct"/>
            <w:shd w:val="clear" w:color="auto" w:fill="749CC9" w:themeFill="accent3"/>
            <w:vAlign w:val="center"/>
          </w:tcPr>
          <w:p w14:paraId="60F49F5D" w14:textId="77777777" w:rsidR="00A36C09" w:rsidRPr="008D1C83" w:rsidRDefault="00A36C09" w:rsidP="008D1C83">
            <w:pPr>
              <w:pStyle w:val="Tableheader"/>
              <w:spacing w:after="120" w:line="240" w:lineRule="atLeast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 xml:space="preserve">Subject matter </w:t>
            </w:r>
          </w:p>
        </w:tc>
        <w:tc>
          <w:tcPr>
            <w:tcW w:w="892" w:type="pct"/>
            <w:shd w:val="clear" w:color="auto" w:fill="749CC9" w:themeFill="accent3"/>
            <w:vAlign w:val="center"/>
          </w:tcPr>
          <w:p w14:paraId="2392A919" w14:textId="77777777" w:rsidR="00A36C09" w:rsidRPr="008D1C83" w:rsidRDefault="00A36C09" w:rsidP="008D1C83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>Source of change</w:t>
            </w:r>
          </w:p>
        </w:tc>
        <w:tc>
          <w:tcPr>
            <w:tcW w:w="2521" w:type="pct"/>
            <w:shd w:val="clear" w:color="auto" w:fill="749CC9" w:themeFill="accent3"/>
            <w:vAlign w:val="center"/>
          </w:tcPr>
          <w:p w14:paraId="4C6DF6A7" w14:textId="0049932C" w:rsidR="00A36C09" w:rsidRPr="008D1C83" w:rsidRDefault="00A36C09" w:rsidP="008D1C83">
            <w:pPr>
              <w:pStyle w:val="Tableheader"/>
              <w:spacing w:after="12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>Summary of changes applied to the relevant sections in the Model Appendices</w:t>
            </w:r>
          </w:p>
        </w:tc>
        <w:tc>
          <w:tcPr>
            <w:tcW w:w="626" w:type="pct"/>
            <w:shd w:val="clear" w:color="auto" w:fill="749CC9" w:themeFill="accent3"/>
            <w:vAlign w:val="center"/>
          </w:tcPr>
          <w:p w14:paraId="319C44F4" w14:textId="77777777" w:rsidR="00A36C09" w:rsidRPr="008D1C83" w:rsidRDefault="00A36C09" w:rsidP="008D1C83">
            <w:pPr>
              <w:pStyle w:val="Tableheader"/>
              <w:spacing w:after="12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1C83">
              <w:rPr>
                <w:sz w:val="18"/>
                <w:szCs w:val="18"/>
              </w:rPr>
              <w:t>Page reference</w:t>
            </w:r>
          </w:p>
        </w:tc>
      </w:tr>
      <w:tr w:rsidR="00A36C09" w:rsidRPr="0018391B" w14:paraId="61615039" w14:textId="77777777" w:rsidTr="00C72AD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pct"/>
          </w:tcPr>
          <w:p w14:paraId="29F8721C" w14:textId="4ABFF689" w:rsidR="004B29AF" w:rsidRPr="008D1C83" w:rsidRDefault="004B29AF" w:rsidP="004B29AF">
            <w:pPr>
              <w:pStyle w:val="Tableheader"/>
              <w:spacing w:after="120" w:line="240" w:lineRule="atLeast"/>
              <w:rPr>
                <w:rFonts w:cstheme="minorHAnsi"/>
                <w:color w:val="FF0000"/>
                <w:sz w:val="18"/>
                <w:szCs w:val="18"/>
              </w:rPr>
            </w:pPr>
            <w:r w:rsidRPr="008D1C83">
              <w:rPr>
                <w:rFonts w:cstheme="minorHAnsi"/>
                <w:color w:val="FF0000"/>
                <w:sz w:val="18"/>
                <w:szCs w:val="18"/>
              </w:rPr>
              <w:t>[</w:t>
            </w:r>
            <w:r>
              <w:rPr>
                <w:rFonts w:cstheme="minorHAnsi"/>
                <w:color w:val="FF0000"/>
                <w:sz w:val="18"/>
                <w:szCs w:val="18"/>
              </w:rPr>
              <w:t>New</w:t>
            </w:r>
            <w:r w:rsidRPr="008D1C83">
              <w:rPr>
                <w:rFonts w:cstheme="minorHAnsi"/>
                <w:color w:val="FF0000"/>
                <w:sz w:val="18"/>
                <w:szCs w:val="18"/>
              </w:rPr>
              <w:t>]</w:t>
            </w:r>
          </w:p>
          <w:p w14:paraId="5C4D2D8A" w14:textId="147C4CFF" w:rsidR="00A36C09" w:rsidRPr="008D1C83" w:rsidRDefault="004B29AF" w:rsidP="004B29AF">
            <w:pPr>
              <w:pStyle w:val="Tabletext"/>
              <w:spacing w:before="120" w:after="120" w:line="240" w:lineRule="atLeast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Appendix 4 </w:t>
            </w:r>
            <w:r w:rsidRPr="00AB1B5A">
              <w:rPr>
                <w:rFonts w:cstheme="minorHAnsi"/>
                <w:sz w:val="18"/>
                <w:szCs w:val="18"/>
              </w:rPr>
              <w:t>Service Concession Arrangements</w:t>
            </w:r>
            <w:r>
              <w:rPr>
                <w:rFonts w:cstheme="minorHAnsi"/>
                <w:sz w:val="18"/>
                <w:szCs w:val="18"/>
              </w:rPr>
              <w:t xml:space="preserve"> Disclosures</w:t>
            </w:r>
            <w:r w:rsidRPr="00AB1B5A" w:rsidDel="00AB1B5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</w:tcPr>
          <w:p w14:paraId="17D8F594" w14:textId="7E77F83A" w:rsidR="00A36C09" w:rsidRPr="008D1C83" w:rsidRDefault="00041171" w:rsidP="008D1C83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Enhanced guidance</w:t>
            </w:r>
            <w:r w:rsidR="004B29AF" w:rsidRPr="007154B1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521" w:type="pct"/>
          </w:tcPr>
          <w:p w14:paraId="7951FE90" w14:textId="44FF4073" w:rsidR="00B35951" w:rsidRPr="008D1C83" w:rsidRDefault="004B29AF" w:rsidP="00606E8C">
            <w:pPr>
              <w:pStyle w:val="Tabletext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Appendix 4 has been added to provide additional guidance </w:t>
            </w:r>
            <w:r w:rsidR="00041171">
              <w:rPr>
                <w:rFonts w:ascii="Arial" w:hAnsi="Arial" w:cs="Arial"/>
                <w:sz w:val="18"/>
                <w:szCs w:val="18"/>
              </w:rPr>
              <w:t xml:space="preserve">on the disclosures </w:t>
            </w:r>
            <w:r w:rsidR="00657BEA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eastAsiaTheme="minorEastAsia" w:cstheme="minorHAnsi"/>
                <w:sz w:val="18"/>
                <w:szCs w:val="18"/>
                <w:lang w:eastAsia="en-AU"/>
              </w:rPr>
              <w:t xml:space="preserve">AASB 1059 </w:t>
            </w:r>
            <w:r>
              <w:rPr>
                <w:rFonts w:eastAsiaTheme="minorEastAsia" w:cstheme="minorHAnsi"/>
                <w:i/>
                <w:iCs/>
                <w:sz w:val="18"/>
                <w:szCs w:val="18"/>
                <w:lang w:eastAsia="en-AU"/>
              </w:rPr>
              <w:t>Service Concession Arrangements: Grantors</w:t>
            </w:r>
            <w:r w:rsidR="00657BEA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657BEA" w:rsidRPr="00657BEA">
              <w:rPr>
                <w:rFonts w:cstheme="minorHAnsi"/>
                <w:sz w:val="18"/>
                <w:szCs w:val="18"/>
              </w:rPr>
              <w:t>for complex and material arrangements</w:t>
            </w:r>
            <w:r w:rsidR="00657BEA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26" w:type="pct"/>
          </w:tcPr>
          <w:p w14:paraId="599FC54F" w14:textId="0A3582FB" w:rsidR="00A36C09" w:rsidRPr="008D1C83" w:rsidRDefault="004B29AF" w:rsidP="008D1C83">
            <w:pPr>
              <w:pStyle w:val="Tabletextcentred"/>
              <w:spacing w:before="120" w:after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</w:tr>
    </w:tbl>
    <w:p w14:paraId="4C2432E8" w14:textId="77777777" w:rsidR="00A36C09" w:rsidRPr="00A36C09" w:rsidRDefault="00A36C09" w:rsidP="00D858BD"/>
    <w:sectPr w:rsidR="00A36C09" w:rsidRPr="00A36C09" w:rsidSect="00F461B0"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7DE0" w14:textId="77777777" w:rsidR="00AF37D7" w:rsidRDefault="00AF37D7" w:rsidP="002D711A">
      <w:pPr>
        <w:spacing w:after="0" w:line="240" w:lineRule="auto"/>
      </w:pPr>
      <w:r>
        <w:separator/>
      </w:r>
    </w:p>
  </w:endnote>
  <w:endnote w:type="continuationSeparator" w:id="0">
    <w:p w14:paraId="423B3D18" w14:textId="77777777" w:rsidR="00AF37D7" w:rsidRDefault="00AF37D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E10B" w14:textId="77777777" w:rsidR="00AF37D7" w:rsidRPr="00014213" w:rsidRDefault="00AF37D7" w:rsidP="00C022F9">
    <w:pPr>
      <w:pStyle w:val="Footer"/>
    </w:pPr>
    <w:r>
      <w:drawing>
        <wp:anchor distT="0" distB="0" distL="114300" distR="114300" simplePos="0" relativeHeight="251652608" behindDoc="0" locked="0" layoutInCell="1" allowOverlap="1" wp14:anchorId="131A3204" wp14:editId="6EFD878F">
          <wp:simplePos x="0" y="0"/>
          <wp:positionH relativeFrom="column">
            <wp:posOffset>4240861</wp:posOffset>
          </wp:positionH>
          <wp:positionV relativeFrom="page">
            <wp:posOffset>9493250</wp:posOffset>
          </wp:positionV>
          <wp:extent cx="1956435" cy="582930"/>
          <wp:effectExtent l="0" t="0" r="5715" b="7620"/>
          <wp:wrapNone/>
          <wp:docPr id="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36635" w14:textId="32F89543" w:rsidR="00AF37D7" w:rsidRPr="00C022F9" w:rsidRDefault="00AF37D7" w:rsidP="0041689E">
    <w:pPr>
      <w:pStyle w:val="Footer"/>
      <w:spacing w:before="0"/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5472E59" wp14:editId="7F175E9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d8e430db652ad19fc14fc2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18575" w14:textId="39D809ED" w:rsidR="00AF37D7" w:rsidRPr="00094F6F" w:rsidRDefault="00AF37D7" w:rsidP="00094F6F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72E59" id="_x0000_t202" coordsize="21600,21600" o:spt="202" path="m,l,21600r21600,l21600,xe">
              <v:stroke joinstyle="miter"/>
              <v:path gradientshapeok="t" o:connecttype="rect"/>
            </v:shapetype>
            <v:shape id="MSIPCMfd8e430db652ad19fc14fc23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yQtAIAAE8FAAAOAAAAZHJzL2Uyb0RvYy54bWysVEtPGzEQvlfqf7B86Kmwu3kBKRuUBqUg&#10;BYgUKs6O186utOsxtkM2rfrfO/Y6oaU9Vb3Y8/I8vpnx5VXb1ORFGFuByml2mlIiFIeiUpucfn2c&#10;n5xTYh1TBatBiZzuhaVXk/fvLnd6LHpQQl0IQ9CJsuOdzmnpnB4nieWlaJg9BS0UKiWYhjlkzSYp&#10;DNuh96ZOemk6SnZgCm2AC2tRet0p6ST4l1Jw9yClFY7UOcXcXDhNONf+TCaXbLwxTJcVj2mwf8ii&#10;YZXCoEdX18wxsjXVH66aihuwIN0phyYBKSsuQg1YTZa+qWZVMi1CLQiO1UeY7P9zy+9floZUBfaO&#10;EsUabNHd6nY5u5PFuRj002I9GvZYkV1Ing0k7/UpKYTliOD3D89bcJ9umC1nUIiOG59kvdHZKO0P&#10;0/7HaCCqTemi+nyAIxIVT1XhyigfXgyP8mXNuGiEOrzpTOYATpiOjg5uVSHa6KC7lqZqmNn/ZrXC&#10;GcDhjHZZfPsIOkrSY+CFkIeYKPzhZ2On7RghWmkEybWfofU4RblFoW95K03jb2wmQT1O2f44WaJ1&#10;hKPwbIiYZKjiqOuNRmdpGL3k9bU21n0R0BBP5NRg1mGg2MvCOoyIpgcTH0zBvKrrML21IrucjhDy&#10;8OCowRe1woe+hi5XT7l23cZ+xzrWUOyxPAPdcljN5xXmsGDWLZnBbcC0ccPdAx6yBowFkaKkBPPt&#10;b3Jvj0OKWkp2uF05tc9bZgQl9a3C8e0NBylCQFzgkDCBuMgGA2TWB6naNjPAzcXZxLQC6W1dfSCl&#10;geYJf4CpD4cqpjgGzen6QM4ccqjAH4SL6TTQuHmauYVaae5dezg9tI/tEzM64u+wc/dwWEA2ftOG&#10;zrZrxHTrQFahRx7gDs6IO25taF38Yfy38CsfrF7/wclPA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EbPjJC0AgAATw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22118575" w14:textId="39D809ED" w:rsidR="00AF37D7" w:rsidRPr="00094F6F" w:rsidRDefault="00AF37D7" w:rsidP="00094F6F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F56E9F">
      <w:rPr>
        <w:b/>
        <w:color w:val="0063A6" w:themeColor="accent1"/>
      </w:rPr>
      <w:t>Summary of changes applied to the 2020-21 Model Report</w:t>
    </w:r>
    <w:r w:rsidRPr="00C022F9">
      <w:rPr>
        <w:b/>
        <w:color w:val="0063A6" w:themeColor="accent1"/>
      </w:rPr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4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8612" w14:textId="77777777" w:rsidR="00F56E9F" w:rsidRDefault="00F56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FFE60" w14:textId="77777777" w:rsidR="00AF37D7" w:rsidRDefault="00AF37D7" w:rsidP="002D711A">
      <w:pPr>
        <w:spacing w:after="0" w:line="240" w:lineRule="auto"/>
      </w:pPr>
      <w:r>
        <w:separator/>
      </w:r>
    </w:p>
  </w:footnote>
  <w:footnote w:type="continuationSeparator" w:id="0">
    <w:p w14:paraId="480238DF" w14:textId="77777777" w:rsidR="00AF37D7" w:rsidRDefault="00AF37D7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5C815" w14:textId="77777777" w:rsidR="00F56E9F" w:rsidRDefault="00F56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46EB" w14:textId="7D334BD3" w:rsidR="00AF37D7" w:rsidRPr="0041689E" w:rsidRDefault="00AF37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3F0DEFB" wp14:editId="292927E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6fd14ce78c789a9c5c7c4778" descr="{&quot;HashCode&quot;:-128890135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8C4A27" w14:textId="351DC864" w:rsidR="00AF37D7" w:rsidRPr="00641D6F" w:rsidRDefault="00AF37D7" w:rsidP="00641D6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0DEFB" id="_x0000_t202" coordsize="21600,21600" o:spt="202" path="m,l,21600r21600,l21600,xe">
              <v:stroke joinstyle="miter"/>
              <v:path gradientshapeok="t" o:connecttype="rect"/>
            </v:shapetype>
            <v:shape id="MSIPCM6fd14ce78c789a9c5c7c4778" o:spid="_x0000_s1026" type="#_x0000_t202" alt="{&quot;HashCode&quot;:-128890135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birgIAAEcFAAAOAAAAZHJzL2Uyb0RvYy54bWysVEtv2zAMvg/YfxB02Gmr7SSOHa9OkaXo&#10;ViBtA6RDz4osxwJsSZWUxtmw/z7KltPHdhp2sSmS4uPjR51ftE2Nnpg2XIocR2chRkxQWXCxy/H3&#10;+6tPKUbGElGQWgqW4yMz+GL+/t35QWVsJCtZF0wjCCJMdlA5rqxVWRAYWrGGmDOpmABjKXVDLBz1&#10;Lig0OUD0pg5GYTgNDlIXSkvKjAHtZW/E8y5+WTJq78rSMIvqHENttvvq7rt132B+TrKdJqri1JdB&#10;/qGKhnABSU+hLoklaK/5H6EaTrU0srRnVDaBLEtOWdcDdBOFb7rZVESxrhcAx6gTTOb/haW3T2uN&#10;eJHjGCNBGhjRzeZ6vbyZlkU0oSxJaZLOyIzGNKGTJIFxFsxQQPDnh8e9tJ+/EVMtZcH6U/YpGqXp&#10;LIzGcfrROzC+q6w3pxOgiDc88MJWXh/P4pN+XRPKGiaGO0MYAkzpZR/gWhSs9QH631rzhujjK68N&#10;cADI6f0if/deKq8JT4lXrBxygvKX48ZBmQwg2igAybZfZAscH/QGlG7kbakb94dhIrADy44nZrHW&#10;IgrKJJ6G4whMFGyjZBzGHfWC59tKG/uVyQY5Iccaqu4IRZ5WxkIl4Dq4uGRCXvG67thbC3TI8XQM&#10;IV9Z4EYt4KLroa/VSbbdtr6xrSyO0JeW/VYYRa84JF8RY9dEwxpAvbDa9g4+ZS0hifQSRpXUP/6m&#10;d/7ATrBidIC1yrF53BPNMKqvBfB2Fk0mbg+7Awj6pXY7aMW+WUrY2AgeD0U70fnaehBLLZsH2PyF&#10;ywYmIijkzLEdxKWFExjg5aBssehk2DhF7EpsFHWhHVgO0vv2gWjlcbcwsVs5LB7J3sDf+/YwL/ZW&#10;lrybjQO2R9PjDdvajcy/LO45eHnuvJ7fv/lvAA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kn9bi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738C4A27" w14:textId="351DC864" w:rsidR="00AF37D7" w:rsidRPr="00641D6F" w:rsidRDefault="00AF37D7" w:rsidP="00641D6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3BF06C3" wp14:editId="327360AD">
          <wp:simplePos x="0" y="0"/>
          <wp:positionH relativeFrom="column">
            <wp:posOffset>-309880</wp:posOffset>
          </wp:positionH>
          <wp:positionV relativeFrom="page">
            <wp:posOffset>308610</wp:posOffset>
          </wp:positionV>
          <wp:extent cx="1380490" cy="4114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0F50A4AB" wp14:editId="23C9E31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7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1F1F" w14:textId="77777777" w:rsidR="00F56E9F" w:rsidRDefault="00F5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29E799C"/>
    <w:multiLevelType w:val="hybridMultilevel"/>
    <w:tmpl w:val="7A0207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C074F"/>
    <w:multiLevelType w:val="hybridMultilevel"/>
    <w:tmpl w:val="43FE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3A40"/>
    <w:multiLevelType w:val="hybridMultilevel"/>
    <w:tmpl w:val="ABF2CE84"/>
    <w:lvl w:ilvl="0" w:tplc="0C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1C1A5583"/>
    <w:multiLevelType w:val="hybridMultilevel"/>
    <w:tmpl w:val="9A4A8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029"/>
    <w:multiLevelType w:val="hybridMultilevel"/>
    <w:tmpl w:val="19228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6FFD"/>
    <w:multiLevelType w:val="multilevel"/>
    <w:tmpl w:val="0EA8B9BE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1B7C70"/>
    <w:multiLevelType w:val="hybridMultilevel"/>
    <w:tmpl w:val="37C00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73F4"/>
    <w:multiLevelType w:val="hybridMultilevel"/>
    <w:tmpl w:val="6EEE2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151C8"/>
    <w:multiLevelType w:val="multilevel"/>
    <w:tmpl w:val="27AA0C2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2"/>
        </w:tabs>
        <w:ind w:left="2016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86"/>
        </w:tabs>
        <w:ind w:left="2520" w:hanging="50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024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94"/>
        </w:tabs>
        <w:ind w:left="3528" w:hanging="50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98"/>
        </w:tabs>
        <w:ind w:left="4032" w:hanging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2"/>
        </w:tabs>
        <w:ind w:left="4536" w:hanging="504"/>
      </w:pPr>
      <w:rPr>
        <w:rFonts w:hint="default"/>
      </w:rPr>
    </w:lvl>
  </w:abstractNum>
  <w:abstractNum w:abstractNumId="10" w15:restartNumberingAfterBreak="0">
    <w:nsid w:val="2C631F58"/>
    <w:multiLevelType w:val="hybridMultilevel"/>
    <w:tmpl w:val="BF06C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33D4D"/>
    <w:multiLevelType w:val="hybridMultilevel"/>
    <w:tmpl w:val="C6BCC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22154"/>
    <w:multiLevelType w:val="hybridMultilevel"/>
    <w:tmpl w:val="960C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4" w15:restartNumberingAfterBreak="0">
    <w:nsid w:val="488E23E2"/>
    <w:multiLevelType w:val="hybridMultilevel"/>
    <w:tmpl w:val="B48CE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82F43"/>
    <w:multiLevelType w:val="hybridMultilevel"/>
    <w:tmpl w:val="91ACF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90777"/>
    <w:multiLevelType w:val="hybridMultilevel"/>
    <w:tmpl w:val="136430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1E0B1A"/>
    <w:multiLevelType w:val="hybridMultilevel"/>
    <w:tmpl w:val="9E362F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3033"/>
    <w:multiLevelType w:val="hybridMultilevel"/>
    <w:tmpl w:val="B5DEB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6D44"/>
    <w:multiLevelType w:val="hybridMultilevel"/>
    <w:tmpl w:val="3C0C207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AE83201"/>
    <w:multiLevelType w:val="hybridMultilevel"/>
    <w:tmpl w:val="40C8B2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A2E53"/>
    <w:multiLevelType w:val="hybridMultilevel"/>
    <w:tmpl w:val="28B044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BE1229"/>
    <w:multiLevelType w:val="hybridMultilevel"/>
    <w:tmpl w:val="CE2C0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20388"/>
    <w:multiLevelType w:val="hybridMultilevel"/>
    <w:tmpl w:val="35F6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16245"/>
    <w:multiLevelType w:val="hybridMultilevel"/>
    <w:tmpl w:val="99C0D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A67BB"/>
    <w:multiLevelType w:val="hybridMultilevel"/>
    <w:tmpl w:val="6F465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9B418D"/>
    <w:multiLevelType w:val="hybridMultilevel"/>
    <w:tmpl w:val="98102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672D"/>
    <w:multiLevelType w:val="hybridMultilevel"/>
    <w:tmpl w:val="E5023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55"/>
    <w:multiLevelType w:val="hybridMultilevel"/>
    <w:tmpl w:val="4EEC0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E12E5"/>
    <w:multiLevelType w:val="hybridMultilevel"/>
    <w:tmpl w:val="A8B82154"/>
    <w:lvl w:ilvl="0" w:tplc="DB862236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4514"/>
    <w:multiLevelType w:val="multilevel"/>
    <w:tmpl w:val="0252461C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"/>
        </w:tabs>
        <w:ind w:left="792" w:hanging="792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30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30"/>
  </w:num>
  <w:num w:numId="10">
    <w:abstractNumId w:val="30"/>
  </w:num>
  <w:num w:numId="11">
    <w:abstractNumId w:val="30"/>
  </w:num>
  <w:num w:numId="12">
    <w:abstractNumId w:val="30"/>
  </w:num>
  <w:num w:numId="13">
    <w:abstractNumId w:val="30"/>
  </w:num>
  <w:num w:numId="14">
    <w:abstractNumId w:val="30"/>
  </w:num>
  <w:num w:numId="15">
    <w:abstractNumId w:val="30"/>
  </w:num>
  <w:num w:numId="16">
    <w:abstractNumId w:val="30"/>
  </w:num>
  <w:num w:numId="17">
    <w:abstractNumId w:val="6"/>
  </w:num>
  <w:num w:numId="18">
    <w:abstractNumId w:val="6"/>
  </w:num>
  <w:num w:numId="19">
    <w:abstractNumId w:val="29"/>
  </w:num>
  <w:num w:numId="20">
    <w:abstractNumId w:val="0"/>
  </w:num>
  <w:num w:numId="21">
    <w:abstractNumId w:val="19"/>
  </w:num>
  <w:num w:numId="22">
    <w:abstractNumId w:val="10"/>
  </w:num>
  <w:num w:numId="23">
    <w:abstractNumId w:val="9"/>
  </w:num>
  <w:num w:numId="24">
    <w:abstractNumId w:val="26"/>
  </w:num>
  <w:num w:numId="25">
    <w:abstractNumId w:val="16"/>
  </w:num>
  <w:num w:numId="26">
    <w:abstractNumId w:val="27"/>
  </w:num>
  <w:num w:numId="27">
    <w:abstractNumId w:val="17"/>
  </w:num>
  <w:num w:numId="28">
    <w:abstractNumId w:val="2"/>
  </w:num>
  <w:num w:numId="29">
    <w:abstractNumId w:val="4"/>
  </w:num>
  <w:num w:numId="30">
    <w:abstractNumId w:val="13"/>
  </w:num>
  <w:num w:numId="31">
    <w:abstractNumId w:val="21"/>
  </w:num>
  <w:num w:numId="32">
    <w:abstractNumId w:val="28"/>
  </w:num>
  <w:num w:numId="33">
    <w:abstractNumId w:val="11"/>
  </w:num>
  <w:num w:numId="34">
    <w:abstractNumId w:val="13"/>
  </w:num>
  <w:num w:numId="35">
    <w:abstractNumId w:val="3"/>
  </w:num>
  <w:num w:numId="36">
    <w:abstractNumId w:val="1"/>
  </w:num>
  <w:num w:numId="37">
    <w:abstractNumId w:val="8"/>
  </w:num>
  <w:num w:numId="38">
    <w:abstractNumId w:val="22"/>
  </w:num>
  <w:num w:numId="39">
    <w:abstractNumId w:val="14"/>
  </w:num>
  <w:num w:numId="40">
    <w:abstractNumId w:val="20"/>
  </w:num>
  <w:num w:numId="41">
    <w:abstractNumId w:val="25"/>
  </w:num>
  <w:num w:numId="42">
    <w:abstractNumId w:val="15"/>
  </w:num>
  <w:num w:numId="43">
    <w:abstractNumId w:val="5"/>
  </w:num>
  <w:num w:numId="44">
    <w:abstractNumId w:val="18"/>
  </w:num>
  <w:num w:numId="45">
    <w:abstractNumId w:val="12"/>
  </w:num>
  <w:num w:numId="46">
    <w:abstractNumId w:val="23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AF"/>
    <w:rsid w:val="0000076D"/>
    <w:rsid w:val="00001FB3"/>
    <w:rsid w:val="00006937"/>
    <w:rsid w:val="000070F0"/>
    <w:rsid w:val="00007921"/>
    <w:rsid w:val="00012F6F"/>
    <w:rsid w:val="00014213"/>
    <w:rsid w:val="00014B55"/>
    <w:rsid w:val="0001515F"/>
    <w:rsid w:val="0001599F"/>
    <w:rsid w:val="00020E3E"/>
    <w:rsid w:val="00023BF3"/>
    <w:rsid w:val="0002408B"/>
    <w:rsid w:val="0002680A"/>
    <w:rsid w:val="00026811"/>
    <w:rsid w:val="00026B32"/>
    <w:rsid w:val="00026B68"/>
    <w:rsid w:val="00035F62"/>
    <w:rsid w:val="00041171"/>
    <w:rsid w:val="00041315"/>
    <w:rsid w:val="00042CD6"/>
    <w:rsid w:val="00043344"/>
    <w:rsid w:val="0004356D"/>
    <w:rsid w:val="00045296"/>
    <w:rsid w:val="000515AE"/>
    <w:rsid w:val="00052293"/>
    <w:rsid w:val="000528A3"/>
    <w:rsid w:val="00052EEA"/>
    <w:rsid w:val="000536B8"/>
    <w:rsid w:val="00054B00"/>
    <w:rsid w:val="00056DFF"/>
    <w:rsid w:val="00057B4B"/>
    <w:rsid w:val="00063926"/>
    <w:rsid w:val="00065120"/>
    <w:rsid w:val="00066B32"/>
    <w:rsid w:val="00067294"/>
    <w:rsid w:val="00067BE9"/>
    <w:rsid w:val="00071E9F"/>
    <w:rsid w:val="00073606"/>
    <w:rsid w:val="00075A98"/>
    <w:rsid w:val="00075E6C"/>
    <w:rsid w:val="000761ED"/>
    <w:rsid w:val="00077411"/>
    <w:rsid w:val="00080154"/>
    <w:rsid w:val="00080A04"/>
    <w:rsid w:val="00082A58"/>
    <w:rsid w:val="00094F6F"/>
    <w:rsid w:val="000958CB"/>
    <w:rsid w:val="00096141"/>
    <w:rsid w:val="000A4D21"/>
    <w:rsid w:val="000A4ED9"/>
    <w:rsid w:val="000B29AD"/>
    <w:rsid w:val="000B64D6"/>
    <w:rsid w:val="000B7293"/>
    <w:rsid w:val="000C2434"/>
    <w:rsid w:val="000C302D"/>
    <w:rsid w:val="000C6372"/>
    <w:rsid w:val="000C6643"/>
    <w:rsid w:val="000C6D2F"/>
    <w:rsid w:val="000D2584"/>
    <w:rsid w:val="000D2CB5"/>
    <w:rsid w:val="000D34DF"/>
    <w:rsid w:val="000D4F3C"/>
    <w:rsid w:val="000D55B5"/>
    <w:rsid w:val="000E08D3"/>
    <w:rsid w:val="000E392D"/>
    <w:rsid w:val="000E4264"/>
    <w:rsid w:val="000E7610"/>
    <w:rsid w:val="000F0E1C"/>
    <w:rsid w:val="000F4288"/>
    <w:rsid w:val="000F7165"/>
    <w:rsid w:val="00101A3E"/>
    <w:rsid w:val="00102379"/>
    <w:rsid w:val="00102DEB"/>
    <w:rsid w:val="001065D6"/>
    <w:rsid w:val="00106DFE"/>
    <w:rsid w:val="00107F92"/>
    <w:rsid w:val="00111699"/>
    <w:rsid w:val="00112262"/>
    <w:rsid w:val="001133F9"/>
    <w:rsid w:val="00113626"/>
    <w:rsid w:val="00113951"/>
    <w:rsid w:val="001147D6"/>
    <w:rsid w:val="00116208"/>
    <w:rsid w:val="00121252"/>
    <w:rsid w:val="001238D5"/>
    <w:rsid w:val="001240A4"/>
    <w:rsid w:val="00124609"/>
    <w:rsid w:val="00124F21"/>
    <w:rsid w:val="001254CE"/>
    <w:rsid w:val="001306CB"/>
    <w:rsid w:val="00130EC2"/>
    <w:rsid w:val="00131CC6"/>
    <w:rsid w:val="001345CD"/>
    <w:rsid w:val="00134B3A"/>
    <w:rsid w:val="00134C45"/>
    <w:rsid w:val="00134CEA"/>
    <w:rsid w:val="0013780D"/>
    <w:rsid w:val="001416DD"/>
    <w:rsid w:val="00141A73"/>
    <w:rsid w:val="001422CC"/>
    <w:rsid w:val="00142779"/>
    <w:rsid w:val="0014371A"/>
    <w:rsid w:val="0014382D"/>
    <w:rsid w:val="001439F1"/>
    <w:rsid w:val="0014422D"/>
    <w:rsid w:val="00147227"/>
    <w:rsid w:val="00147ECB"/>
    <w:rsid w:val="001501FD"/>
    <w:rsid w:val="0015423E"/>
    <w:rsid w:val="00154AB2"/>
    <w:rsid w:val="00155FA3"/>
    <w:rsid w:val="001571BA"/>
    <w:rsid w:val="001575BE"/>
    <w:rsid w:val="00157C9F"/>
    <w:rsid w:val="0016042F"/>
    <w:rsid w:val="001617B6"/>
    <w:rsid w:val="001632D5"/>
    <w:rsid w:val="00163D6D"/>
    <w:rsid w:val="001658F9"/>
    <w:rsid w:val="00165E66"/>
    <w:rsid w:val="00166230"/>
    <w:rsid w:val="001672BC"/>
    <w:rsid w:val="001677F2"/>
    <w:rsid w:val="00172E97"/>
    <w:rsid w:val="00173CD6"/>
    <w:rsid w:val="00173F5E"/>
    <w:rsid w:val="00174C87"/>
    <w:rsid w:val="00175BAC"/>
    <w:rsid w:val="0018391B"/>
    <w:rsid w:val="0018445E"/>
    <w:rsid w:val="00186016"/>
    <w:rsid w:val="001916EC"/>
    <w:rsid w:val="00191B1E"/>
    <w:rsid w:val="00192EBD"/>
    <w:rsid w:val="00193281"/>
    <w:rsid w:val="001934DD"/>
    <w:rsid w:val="001A0F35"/>
    <w:rsid w:val="001A274B"/>
    <w:rsid w:val="001A32EB"/>
    <w:rsid w:val="001A51F1"/>
    <w:rsid w:val="001A6393"/>
    <w:rsid w:val="001A6CA1"/>
    <w:rsid w:val="001A728C"/>
    <w:rsid w:val="001B0EC7"/>
    <w:rsid w:val="001B1306"/>
    <w:rsid w:val="001B315F"/>
    <w:rsid w:val="001B57CD"/>
    <w:rsid w:val="001C037F"/>
    <w:rsid w:val="001C4C3D"/>
    <w:rsid w:val="001C7BAE"/>
    <w:rsid w:val="001D2E12"/>
    <w:rsid w:val="001D79C6"/>
    <w:rsid w:val="001E0604"/>
    <w:rsid w:val="001E31FA"/>
    <w:rsid w:val="001E42BB"/>
    <w:rsid w:val="001E64F6"/>
    <w:rsid w:val="001E6EEB"/>
    <w:rsid w:val="001E70D1"/>
    <w:rsid w:val="001E7480"/>
    <w:rsid w:val="001F08AE"/>
    <w:rsid w:val="001F210E"/>
    <w:rsid w:val="001F66B4"/>
    <w:rsid w:val="001F7F09"/>
    <w:rsid w:val="00200545"/>
    <w:rsid w:val="002007FC"/>
    <w:rsid w:val="002022D0"/>
    <w:rsid w:val="00207ACC"/>
    <w:rsid w:val="00210EFE"/>
    <w:rsid w:val="002127A6"/>
    <w:rsid w:val="0021450C"/>
    <w:rsid w:val="00216D12"/>
    <w:rsid w:val="002216EA"/>
    <w:rsid w:val="00221E41"/>
    <w:rsid w:val="00222135"/>
    <w:rsid w:val="00222BEB"/>
    <w:rsid w:val="002255FF"/>
    <w:rsid w:val="00225E60"/>
    <w:rsid w:val="00226861"/>
    <w:rsid w:val="00227768"/>
    <w:rsid w:val="00227907"/>
    <w:rsid w:val="0023202C"/>
    <w:rsid w:val="002334BC"/>
    <w:rsid w:val="00233BF6"/>
    <w:rsid w:val="00235E57"/>
    <w:rsid w:val="00236203"/>
    <w:rsid w:val="0023688D"/>
    <w:rsid w:val="00236CF7"/>
    <w:rsid w:val="00236D7B"/>
    <w:rsid w:val="00237232"/>
    <w:rsid w:val="002377A6"/>
    <w:rsid w:val="002414DF"/>
    <w:rsid w:val="0024246A"/>
    <w:rsid w:val="00242C1C"/>
    <w:rsid w:val="00243A2B"/>
    <w:rsid w:val="00245043"/>
    <w:rsid w:val="00250F0E"/>
    <w:rsid w:val="00254107"/>
    <w:rsid w:val="002542B6"/>
    <w:rsid w:val="00257760"/>
    <w:rsid w:val="00257AAC"/>
    <w:rsid w:val="00261E88"/>
    <w:rsid w:val="00262C8B"/>
    <w:rsid w:val="0026454D"/>
    <w:rsid w:val="002648D1"/>
    <w:rsid w:val="00265CF4"/>
    <w:rsid w:val="00266B18"/>
    <w:rsid w:val="00266FF8"/>
    <w:rsid w:val="00267238"/>
    <w:rsid w:val="002672AA"/>
    <w:rsid w:val="00267DA4"/>
    <w:rsid w:val="00270216"/>
    <w:rsid w:val="00280666"/>
    <w:rsid w:val="00283A04"/>
    <w:rsid w:val="002854CB"/>
    <w:rsid w:val="0028554C"/>
    <w:rsid w:val="00287722"/>
    <w:rsid w:val="0029265F"/>
    <w:rsid w:val="00292D36"/>
    <w:rsid w:val="00293983"/>
    <w:rsid w:val="00294557"/>
    <w:rsid w:val="00294558"/>
    <w:rsid w:val="00295511"/>
    <w:rsid w:val="00297033"/>
    <w:rsid w:val="00297281"/>
    <w:rsid w:val="002A6156"/>
    <w:rsid w:val="002A7979"/>
    <w:rsid w:val="002B16C9"/>
    <w:rsid w:val="002B53C2"/>
    <w:rsid w:val="002B67A7"/>
    <w:rsid w:val="002B7EDF"/>
    <w:rsid w:val="002C0A0F"/>
    <w:rsid w:val="002C4A68"/>
    <w:rsid w:val="002C54E0"/>
    <w:rsid w:val="002C5CFE"/>
    <w:rsid w:val="002C7098"/>
    <w:rsid w:val="002C7C2B"/>
    <w:rsid w:val="002D00DD"/>
    <w:rsid w:val="002D284F"/>
    <w:rsid w:val="002D5DB2"/>
    <w:rsid w:val="002D711A"/>
    <w:rsid w:val="002D7336"/>
    <w:rsid w:val="002E3396"/>
    <w:rsid w:val="002F151C"/>
    <w:rsid w:val="002F1AC0"/>
    <w:rsid w:val="002F3DD4"/>
    <w:rsid w:val="002F4102"/>
    <w:rsid w:val="002F4B16"/>
    <w:rsid w:val="002F55E4"/>
    <w:rsid w:val="002F60C9"/>
    <w:rsid w:val="002F7661"/>
    <w:rsid w:val="003043E0"/>
    <w:rsid w:val="003051C1"/>
    <w:rsid w:val="0030791B"/>
    <w:rsid w:val="0031149C"/>
    <w:rsid w:val="00311811"/>
    <w:rsid w:val="0031322E"/>
    <w:rsid w:val="00313DF9"/>
    <w:rsid w:val="003140CD"/>
    <w:rsid w:val="00314EDB"/>
    <w:rsid w:val="00320E10"/>
    <w:rsid w:val="00322129"/>
    <w:rsid w:val="00326A03"/>
    <w:rsid w:val="00330437"/>
    <w:rsid w:val="00330C40"/>
    <w:rsid w:val="003314E7"/>
    <w:rsid w:val="003363B9"/>
    <w:rsid w:val="00340A71"/>
    <w:rsid w:val="0034496E"/>
    <w:rsid w:val="003458F0"/>
    <w:rsid w:val="00350284"/>
    <w:rsid w:val="0035059E"/>
    <w:rsid w:val="003542B9"/>
    <w:rsid w:val="003546A5"/>
    <w:rsid w:val="003550CF"/>
    <w:rsid w:val="00355864"/>
    <w:rsid w:val="00355FFB"/>
    <w:rsid w:val="00362A32"/>
    <w:rsid w:val="003655FB"/>
    <w:rsid w:val="0036743A"/>
    <w:rsid w:val="00367FCB"/>
    <w:rsid w:val="00370380"/>
    <w:rsid w:val="00371863"/>
    <w:rsid w:val="00372D89"/>
    <w:rsid w:val="00373E8B"/>
    <w:rsid w:val="003756B8"/>
    <w:rsid w:val="00375D18"/>
    <w:rsid w:val="003768B3"/>
    <w:rsid w:val="00377B38"/>
    <w:rsid w:val="00380C9E"/>
    <w:rsid w:val="00381AC2"/>
    <w:rsid w:val="0038220A"/>
    <w:rsid w:val="00383180"/>
    <w:rsid w:val="0038610D"/>
    <w:rsid w:val="00386701"/>
    <w:rsid w:val="00386BC1"/>
    <w:rsid w:val="0038771C"/>
    <w:rsid w:val="0039405B"/>
    <w:rsid w:val="00397A77"/>
    <w:rsid w:val="00397E96"/>
    <w:rsid w:val="003A075E"/>
    <w:rsid w:val="003A1C92"/>
    <w:rsid w:val="003A1C96"/>
    <w:rsid w:val="003A541A"/>
    <w:rsid w:val="003A5516"/>
    <w:rsid w:val="003A6923"/>
    <w:rsid w:val="003A6D63"/>
    <w:rsid w:val="003A6FA3"/>
    <w:rsid w:val="003A73B0"/>
    <w:rsid w:val="003A73CB"/>
    <w:rsid w:val="003B1B6A"/>
    <w:rsid w:val="003B73C7"/>
    <w:rsid w:val="003C12DC"/>
    <w:rsid w:val="003C2323"/>
    <w:rsid w:val="003C2C67"/>
    <w:rsid w:val="003C5BA4"/>
    <w:rsid w:val="003C5E30"/>
    <w:rsid w:val="003C63E3"/>
    <w:rsid w:val="003C7148"/>
    <w:rsid w:val="003D1463"/>
    <w:rsid w:val="003D1CDE"/>
    <w:rsid w:val="003D62BA"/>
    <w:rsid w:val="003E1143"/>
    <w:rsid w:val="003E125D"/>
    <w:rsid w:val="003E1F2A"/>
    <w:rsid w:val="003E3E26"/>
    <w:rsid w:val="003E420B"/>
    <w:rsid w:val="003E7642"/>
    <w:rsid w:val="003F0E47"/>
    <w:rsid w:val="003F1295"/>
    <w:rsid w:val="003F1C34"/>
    <w:rsid w:val="003F24B1"/>
    <w:rsid w:val="003F281B"/>
    <w:rsid w:val="003F38A0"/>
    <w:rsid w:val="003F393C"/>
    <w:rsid w:val="003F4403"/>
    <w:rsid w:val="003F59F7"/>
    <w:rsid w:val="003F67BF"/>
    <w:rsid w:val="003F6E39"/>
    <w:rsid w:val="003F76FC"/>
    <w:rsid w:val="00400089"/>
    <w:rsid w:val="004002EB"/>
    <w:rsid w:val="004013A7"/>
    <w:rsid w:val="00403703"/>
    <w:rsid w:val="00404C6D"/>
    <w:rsid w:val="00405185"/>
    <w:rsid w:val="004100D5"/>
    <w:rsid w:val="0041052F"/>
    <w:rsid w:val="0041201F"/>
    <w:rsid w:val="0041286E"/>
    <w:rsid w:val="004135E5"/>
    <w:rsid w:val="0041689E"/>
    <w:rsid w:val="00417AD5"/>
    <w:rsid w:val="004229CB"/>
    <w:rsid w:val="00423235"/>
    <w:rsid w:val="004236C8"/>
    <w:rsid w:val="00424AA0"/>
    <w:rsid w:val="00425ECF"/>
    <w:rsid w:val="00426AAE"/>
    <w:rsid w:val="00427681"/>
    <w:rsid w:val="00431935"/>
    <w:rsid w:val="00431EC3"/>
    <w:rsid w:val="00433DB7"/>
    <w:rsid w:val="0043634D"/>
    <w:rsid w:val="004413BB"/>
    <w:rsid w:val="00441B95"/>
    <w:rsid w:val="00446463"/>
    <w:rsid w:val="00446C71"/>
    <w:rsid w:val="00453750"/>
    <w:rsid w:val="00456941"/>
    <w:rsid w:val="004636B4"/>
    <w:rsid w:val="004664CD"/>
    <w:rsid w:val="0046684C"/>
    <w:rsid w:val="004669E3"/>
    <w:rsid w:val="004702EA"/>
    <w:rsid w:val="0047712B"/>
    <w:rsid w:val="00480265"/>
    <w:rsid w:val="00481D97"/>
    <w:rsid w:val="004828EA"/>
    <w:rsid w:val="00482D02"/>
    <w:rsid w:val="00483C0A"/>
    <w:rsid w:val="004849AC"/>
    <w:rsid w:val="00484E77"/>
    <w:rsid w:val="0048799A"/>
    <w:rsid w:val="00491983"/>
    <w:rsid w:val="004976A3"/>
    <w:rsid w:val="004A245A"/>
    <w:rsid w:val="004A2D2F"/>
    <w:rsid w:val="004A7519"/>
    <w:rsid w:val="004B14FA"/>
    <w:rsid w:val="004B17C7"/>
    <w:rsid w:val="004B24DC"/>
    <w:rsid w:val="004B2852"/>
    <w:rsid w:val="004B29AF"/>
    <w:rsid w:val="004B4303"/>
    <w:rsid w:val="004B4447"/>
    <w:rsid w:val="004B46A1"/>
    <w:rsid w:val="004B51E9"/>
    <w:rsid w:val="004B51EA"/>
    <w:rsid w:val="004B56F2"/>
    <w:rsid w:val="004B7334"/>
    <w:rsid w:val="004C2793"/>
    <w:rsid w:val="004C2BD8"/>
    <w:rsid w:val="004C2F8E"/>
    <w:rsid w:val="004C3780"/>
    <w:rsid w:val="004C38D0"/>
    <w:rsid w:val="004C3B4B"/>
    <w:rsid w:val="004C56AE"/>
    <w:rsid w:val="004C634C"/>
    <w:rsid w:val="004D3518"/>
    <w:rsid w:val="004D426D"/>
    <w:rsid w:val="004D5969"/>
    <w:rsid w:val="004D5EE7"/>
    <w:rsid w:val="004D62D6"/>
    <w:rsid w:val="004E0741"/>
    <w:rsid w:val="004E2644"/>
    <w:rsid w:val="004E3C16"/>
    <w:rsid w:val="004E4717"/>
    <w:rsid w:val="004E4918"/>
    <w:rsid w:val="004E64D8"/>
    <w:rsid w:val="004F0472"/>
    <w:rsid w:val="004F2985"/>
    <w:rsid w:val="004F4ABA"/>
    <w:rsid w:val="004F55D3"/>
    <w:rsid w:val="004F613C"/>
    <w:rsid w:val="004F6FF5"/>
    <w:rsid w:val="004F708F"/>
    <w:rsid w:val="005056B1"/>
    <w:rsid w:val="00506E2C"/>
    <w:rsid w:val="0050705C"/>
    <w:rsid w:val="0051091B"/>
    <w:rsid w:val="00510DBB"/>
    <w:rsid w:val="005137DB"/>
    <w:rsid w:val="00513BCE"/>
    <w:rsid w:val="00514DA1"/>
    <w:rsid w:val="00515024"/>
    <w:rsid w:val="00525B18"/>
    <w:rsid w:val="00531158"/>
    <w:rsid w:val="005331E3"/>
    <w:rsid w:val="0053416C"/>
    <w:rsid w:val="0053539E"/>
    <w:rsid w:val="00536054"/>
    <w:rsid w:val="00537675"/>
    <w:rsid w:val="00541C2F"/>
    <w:rsid w:val="005425EE"/>
    <w:rsid w:val="00543AF1"/>
    <w:rsid w:val="005442FE"/>
    <w:rsid w:val="00545666"/>
    <w:rsid w:val="005461F2"/>
    <w:rsid w:val="0054680E"/>
    <w:rsid w:val="005506BF"/>
    <w:rsid w:val="0055127B"/>
    <w:rsid w:val="00553AE6"/>
    <w:rsid w:val="005603AC"/>
    <w:rsid w:val="00562E74"/>
    <w:rsid w:val="00562EDE"/>
    <w:rsid w:val="00563527"/>
    <w:rsid w:val="00564099"/>
    <w:rsid w:val="00566EC1"/>
    <w:rsid w:val="005670CC"/>
    <w:rsid w:val="005713BD"/>
    <w:rsid w:val="0057389E"/>
    <w:rsid w:val="00573EF0"/>
    <w:rsid w:val="005740A6"/>
    <w:rsid w:val="005749F2"/>
    <w:rsid w:val="00577054"/>
    <w:rsid w:val="00577E1C"/>
    <w:rsid w:val="0058124E"/>
    <w:rsid w:val="00584301"/>
    <w:rsid w:val="0058744B"/>
    <w:rsid w:val="005875A3"/>
    <w:rsid w:val="00587621"/>
    <w:rsid w:val="00592CF8"/>
    <w:rsid w:val="005930A0"/>
    <w:rsid w:val="00594DAC"/>
    <w:rsid w:val="00595DF0"/>
    <w:rsid w:val="00596F82"/>
    <w:rsid w:val="005A15BF"/>
    <w:rsid w:val="005A234C"/>
    <w:rsid w:val="005A2379"/>
    <w:rsid w:val="005A323F"/>
    <w:rsid w:val="005A3416"/>
    <w:rsid w:val="005A6E7F"/>
    <w:rsid w:val="005A71DE"/>
    <w:rsid w:val="005A781B"/>
    <w:rsid w:val="005B0886"/>
    <w:rsid w:val="005B27FE"/>
    <w:rsid w:val="005B364E"/>
    <w:rsid w:val="005B3B9F"/>
    <w:rsid w:val="005B469A"/>
    <w:rsid w:val="005B5113"/>
    <w:rsid w:val="005B5DA7"/>
    <w:rsid w:val="005C007D"/>
    <w:rsid w:val="005C0366"/>
    <w:rsid w:val="005C1096"/>
    <w:rsid w:val="005C3E6D"/>
    <w:rsid w:val="005C4C28"/>
    <w:rsid w:val="005C5671"/>
    <w:rsid w:val="005C6219"/>
    <w:rsid w:val="005C6BBF"/>
    <w:rsid w:val="005C7591"/>
    <w:rsid w:val="005C7D3D"/>
    <w:rsid w:val="005D09A9"/>
    <w:rsid w:val="005D0AF6"/>
    <w:rsid w:val="005D26E4"/>
    <w:rsid w:val="005E15E9"/>
    <w:rsid w:val="005E4172"/>
    <w:rsid w:val="005E45C1"/>
    <w:rsid w:val="005E4A9F"/>
    <w:rsid w:val="005E5D81"/>
    <w:rsid w:val="005E62C7"/>
    <w:rsid w:val="005E696D"/>
    <w:rsid w:val="005E6AE4"/>
    <w:rsid w:val="005F0B6F"/>
    <w:rsid w:val="005F13D1"/>
    <w:rsid w:val="005F2DD4"/>
    <w:rsid w:val="005F5CA5"/>
    <w:rsid w:val="005F61DF"/>
    <w:rsid w:val="005F71A1"/>
    <w:rsid w:val="00600C61"/>
    <w:rsid w:val="006019B4"/>
    <w:rsid w:val="006023F9"/>
    <w:rsid w:val="00602FF3"/>
    <w:rsid w:val="006032E3"/>
    <w:rsid w:val="0060346E"/>
    <w:rsid w:val="00605A24"/>
    <w:rsid w:val="00606E8C"/>
    <w:rsid w:val="00610559"/>
    <w:rsid w:val="0061493C"/>
    <w:rsid w:val="00615340"/>
    <w:rsid w:val="006170FF"/>
    <w:rsid w:val="00620529"/>
    <w:rsid w:val="00622A01"/>
    <w:rsid w:val="0062386E"/>
    <w:rsid w:val="006258F5"/>
    <w:rsid w:val="00632BFD"/>
    <w:rsid w:val="00633201"/>
    <w:rsid w:val="006332F6"/>
    <w:rsid w:val="00633DF0"/>
    <w:rsid w:val="00633E07"/>
    <w:rsid w:val="006348D0"/>
    <w:rsid w:val="006361E7"/>
    <w:rsid w:val="00636331"/>
    <w:rsid w:val="00637BD2"/>
    <w:rsid w:val="00637E3A"/>
    <w:rsid w:val="0064107D"/>
    <w:rsid w:val="0064151C"/>
    <w:rsid w:val="00641D6F"/>
    <w:rsid w:val="00643247"/>
    <w:rsid w:val="00643942"/>
    <w:rsid w:val="0064653C"/>
    <w:rsid w:val="00652625"/>
    <w:rsid w:val="0065280B"/>
    <w:rsid w:val="00652F5F"/>
    <w:rsid w:val="006534B2"/>
    <w:rsid w:val="006535B0"/>
    <w:rsid w:val="00656156"/>
    <w:rsid w:val="0065615D"/>
    <w:rsid w:val="00656D9F"/>
    <w:rsid w:val="00657011"/>
    <w:rsid w:val="00657BEA"/>
    <w:rsid w:val="00664239"/>
    <w:rsid w:val="006650B5"/>
    <w:rsid w:val="006651B1"/>
    <w:rsid w:val="00665778"/>
    <w:rsid w:val="00674577"/>
    <w:rsid w:val="0067564B"/>
    <w:rsid w:val="00676306"/>
    <w:rsid w:val="00676C04"/>
    <w:rsid w:val="00677BD0"/>
    <w:rsid w:val="006826D1"/>
    <w:rsid w:val="0068319A"/>
    <w:rsid w:val="00683BEB"/>
    <w:rsid w:val="006848D1"/>
    <w:rsid w:val="00684CE5"/>
    <w:rsid w:val="00687FB4"/>
    <w:rsid w:val="00691C7E"/>
    <w:rsid w:val="00692A23"/>
    <w:rsid w:val="00694991"/>
    <w:rsid w:val="00696B6F"/>
    <w:rsid w:val="00697F0C"/>
    <w:rsid w:val="006A1220"/>
    <w:rsid w:val="006A492B"/>
    <w:rsid w:val="006A5B34"/>
    <w:rsid w:val="006A5F5B"/>
    <w:rsid w:val="006B1484"/>
    <w:rsid w:val="006B1A99"/>
    <w:rsid w:val="006B565E"/>
    <w:rsid w:val="006B7224"/>
    <w:rsid w:val="006C2651"/>
    <w:rsid w:val="006C2BEA"/>
    <w:rsid w:val="006C42AC"/>
    <w:rsid w:val="006C4A88"/>
    <w:rsid w:val="006C5A51"/>
    <w:rsid w:val="006C600F"/>
    <w:rsid w:val="006C6C95"/>
    <w:rsid w:val="006C77A9"/>
    <w:rsid w:val="006C7AA2"/>
    <w:rsid w:val="006D0991"/>
    <w:rsid w:val="006D1B9F"/>
    <w:rsid w:val="006D1EED"/>
    <w:rsid w:val="006D7C46"/>
    <w:rsid w:val="006E077D"/>
    <w:rsid w:val="006E6E6B"/>
    <w:rsid w:val="006F074C"/>
    <w:rsid w:val="006F1234"/>
    <w:rsid w:val="006F17B7"/>
    <w:rsid w:val="006F3CD6"/>
    <w:rsid w:val="006F46C2"/>
    <w:rsid w:val="006F46E1"/>
    <w:rsid w:val="006F50A0"/>
    <w:rsid w:val="006F6693"/>
    <w:rsid w:val="006F7A24"/>
    <w:rsid w:val="006F7B96"/>
    <w:rsid w:val="00701955"/>
    <w:rsid w:val="00707FE8"/>
    <w:rsid w:val="007124CA"/>
    <w:rsid w:val="00713DA8"/>
    <w:rsid w:val="0071531C"/>
    <w:rsid w:val="007154B1"/>
    <w:rsid w:val="0071675B"/>
    <w:rsid w:val="0071698E"/>
    <w:rsid w:val="00716B49"/>
    <w:rsid w:val="00717D4F"/>
    <w:rsid w:val="007213E5"/>
    <w:rsid w:val="00721480"/>
    <w:rsid w:val="007243B4"/>
    <w:rsid w:val="00724962"/>
    <w:rsid w:val="00724A0F"/>
    <w:rsid w:val="0072556B"/>
    <w:rsid w:val="00727E0A"/>
    <w:rsid w:val="007320B4"/>
    <w:rsid w:val="007320E5"/>
    <w:rsid w:val="00732162"/>
    <w:rsid w:val="00734E09"/>
    <w:rsid w:val="00734F2B"/>
    <w:rsid w:val="00736732"/>
    <w:rsid w:val="0073796C"/>
    <w:rsid w:val="007407C3"/>
    <w:rsid w:val="007446DE"/>
    <w:rsid w:val="00745BDA"/>
    <w:rsid w:val="0074664F"/>
    <w:rsid w:val="0074745D"/>
    <w:rsid w:val="00750CBE"/>
    <w:rsid w:val="00751323"/>
    <w:rsid w:val="00751EDD"/>
    <w:rsid w:val="00751FF0"/>
    <w:rsid w:val="00752666"/>
    <w:rsid w:val="00752A42"/>
    <w:rsid w:val="0075384F"/>
    <w:rsid w:val="00754BA6"/>
    <w:rsid w:val="00754E8C"/>
    <w:rsid w:val="007613C7"/>
    <w:rsid w:val="0076389A"/>
    <w:rsid w:val="00763FBD"/>
    <w:rsid w:val="00764F99"/>
    <w:rsid w:val="0076546B"/>
    <w:rsid w:val="00766B5A"/>
    <w:rsid w:val="00772AD2"/>
    <w:rsid w:val="007744D7"/>
    <w:rsid w:val="007751F5"/>
    <w:rsid w:val="00776F30"/>
    <w:rsid w:val="007800B3"/>
    <w:rsid w:val="007813C5"/>
    <w:rsid w:val="00782EF3"/>
    <w:rsid w:val="007834F2"/>
    <w:rsid w:val="007835EC"/>
    <w:rsid w:val="00783A9A"/>
    <w:rsid w:val="00784753"/>
    <w:rsid w:val="00784E8D"/>
    <w:rsid w:val="00791020"/>
    <w:rsid w:val="00792939"/>
    <w:rsid w:val="0079326A"/>
    <w:rsid w:val="0079575E"/>
    <w:rsid w:val="00796559"/>
    <w:rsid w:val="0079728A"/>
    <w:rsid w:val="007A01CB"/>
    <w:rsid w:val="007A238A"/>
    <w:rsid w:val="007A5F82"/>
    <w:rsid w:val="007A7C1E"/>
    <w:rsid w:val="007B2DE8"/>
    <w:rsid w:val="007B2E7C"/>
    <w:rsid w:val="007B6A10"/>
    <w:rsid w:val="007C0352"/>
    <w:rsid w:val="007C109B"/>
    <w:rsid w:val="007C171F"/>
    <w:rsid w:val="007C27EC"/>
    <w:rsid w:val="007C372D"/>
    <w:rsid w:val="007C4121"/>
    <w:rsid w:val="007C504F"/>
    <w:rsid w:val="007C5689"/>
    <w:rsid w:val="007D0F7B"/>
    <w:rsid w:val="007D2078"/>
    <w:rsid w:val="007D3A9F"/>
    <w:rsid w:val="007D6A71"/>
    <w:rsid w:val="007D7025"/>
    <w:rsid w:val="007D7A86"/>
    <w:rsid w:val="007E10C8"/>
    <w:rsid w:val="007E3216"/>
    <w:rsid w:val="007E4441"/>
    <w:rsid w:val="007E514F"/>
    <w:rsid w:val="007E5987"/>
    <w:rsid w:val="007E781E"/>
    <w:rsid w:val="007E797A"/>
    <w:rsid w:val="007F01E2"/>
    <w:rsid w:val="007F04DD"/>
    <w:rsid w:val="007F1A4C"/>
    <w:rsid w:val="007F2FA5"/>
    <w:rsid w:val="007F42C3"/>
    <w:rsid w:val="007F76C0"/>
    <w:rsid w:val="008022C3"/>
    <w:rsid w:val="0080289A"/>
    <w:rsid w:val="00803EA8"/>
    <w:rsid w:val="008041E6"/>
    <w:rsid w:val="00804611"/>
    <w:rsid w:val="00806529"/>
    <w:rsid w:val="008065D2"/>
    <w:rsid w:val="0080710C"/>
    <w:rsid w:val="008078C6"/>
    <w:rsid w:val="00811928"/>
    <w:rsid w:val="00812638"/>
    <w:rsid w:val="00812B90"/>
    <w:rsid w:val="00812BD4"/>
    <w:rsid w:val="0081651C"/>
    <w:rsid w:val="0081775C"/>
    <w:rsid w:val="008179E5"/>
    <w:rsid w:val="00817B8F"/>
    <w:rsid w:val="00820493"/>
    <w:rsid w:val="0082194C"/>
    <w:rsid w:val="008220C4"/>
    <w:rsid w:val="008222FF"/>
    <w:rsid w:val="008241FF"/>
    <w:rsid w:val="00824E25"/>
    <w:rsid w:val="00825D39"/>
    <w:rsid w:val="00827D29"/>
    <w:rsid w:val="00827FCC"/>
    <w:rsid w:val="00830851"/>
    <w:rsid w:val="00831E8C"/>
    <w:rsid w:val="00835C1F"/>
    <w:rsid w:val="00835E74"/>
    <w:rsid w:val="008366F4"/>
    <w:rsid w:val="0083682F"/>
    <w:rsid w:val="0084094F"/>
    <w:rsid w:val="00840EA0"/>
    <w:rsid w:val="008411E9"/>
    <w:rsid w:val="00841317"/>
    <w:rsid w:val="008413E5"/>
    <w:rsid w:val="0084200F"/>
    <w:rsid w:val="00843B2C"/>
    <w:rsid w:val="00844502"/>
    <w:rsid w:val="00844647"/>
    <w:rsid w:val="0085123C"/>
    <w:rsid w:val="0085145C"/>
    <w:rsid w:val="00853532"/>
    <w:rsid w:val="0085477B"/>
    <w:rsid w:val="0085765C"/>
    <w:rsid w:val="008617E5"/>
    <w:rsid w:val="00862DB1"/>
    <w:rsid w:val="00864929"/>
    <w:rsid w:val="00864F3E"/>
    <w:rsid w:val="00871568"/>
    <w:rsid w:val="008726FD"/>
    <w:rsid w:val="00872AC3"/>
    <w:rsid w:val="00873B75"/>
    <w:rsid w:val="00873C2B"/>
    <w:rsid w:val="00874080"/>
    <w:rsid w:val="00874C8C"/>
    <w:rsid w:val="008757E7"/>
    <w:rsid w:val="00875BDC"/>
    <w:rsid w:val="00891BEC"/>
    <w:rsid w:val="008932B6"/>
    <w:rsid w:val="00895A8C"/>
    <w:rsid w:val="00895C1F"/>
    <w:rsid w:val="00895C7E"/>
    <w:rsid w:val="008A3B15"/>
    <w:rsid w:val="008A4900"/>
    <w:rsid w:val="008A625F"/>
    <w:rsid w:val="008A6846"/>
    <w:rsid w:val="008A6C29"/>
    <w:rsid w:val="008B053E"/>
    <w:rsid w:val="008B3C19"/>
    <w:rsid w:val="008B3E8E"/>
    <w:rsid w:val="008B489B"/>
    <w:rsid w:val="008B6950"/>
    <w:rsid w:val="008B70D6"/>
    <w:rsid w:val="008C173D"/>
    <w:rsid w:val="008C194F"/>
    <w:rsid w:val="008C37C6"/>
    <w:rsid w:val="008C4D09"/>
    <w:rsid w:val="008C6698"/>
    <w:rsid w:val="008C7675"/>
    <w:rsid w:val="008C781D"/>
    <w:rsid w:val="008D0281"/>
    <w:rsid w:val="008D1C83"/>
    <w:rsid w:val="008D3290"/>
    <w:rsid w:val="008D6059"/>
    <w:rsid w:val="008D634B"/>
    <w:rsid w:val="008E0169"/>
    <w:rsid w:val="008E0A48"/>
    <w:rsid w:val="008E1BC5"/>
    <w:rsid w:val="008E26AA"/>
    <w:rsid w:val="008E27FF"/>
    <w:rsid w:val="008E3C4E"/>
    <w:rsid w:val="008E4F2F"/>
    <w:rsid w:val="008E5C8B"/>
    <w:rsid w:val="008E6FD4"/>
    <w:rsid w:val="008E7463"/>
    <w:rsid w:val="008E7FE0"/>
    <w:rsid w:val="008F2D4B"/>
    <w:rsid w:val="008F546A"/>
    <w:rsid w:val="008F6513"/>
    <w:rsid w:val="008F69BB"/>
    <w:rsid w:val="008F6D45"/>
    <w:rsid w:val="009024BC"/>
    <w:rsid w:val="00903C75"/>
    <w:rsid w:val="0090585D"/>
    <w:rsid w:val="00905BEB"/>
    <w:rsid w:val="00906D03"/>
    <w:rsid w:val="009076BD"/>
    <w:rsid w:val="009100A9"/>
    <w:rsid w:val="00910360"/>
    <w:rsid w:val="0091094E"/>
    <w:rsid w:val="009134E3"/>
    <w:rsid w:val="00913752"/>
    <w:rsid w:val="009142E0"/>
    <w:rsid w:val="00914478"/>
    <w:rsid w:val="009163C2"/>
    <w:rsid w:val="00917652"/>
    <w:rsid w:val="00917A72"/>
    <w:rsid w:val="009203B8"/>
    <w:rsid w:val="009204BA"/>
    <w:rsid w:val="0092476E"/>
    <w:rsid w:val="009264CB"/>
    <w:rsid w:val="009306FA"/>
    <w:rsid w:val="00930A86"/>
    <w:rsid w:val="00932990"/>
    <w:rsid w:val="00933C87"/>
    <w:rsid w:val="0093475D"/>
    <w:rsid w:val="0093501B"/>
    <w:rsid w:val="00935435"/>
    <w:rsid w:val="009401E4"/>
    <w:rsid w:val="0094081C"/>
    <w:rsid w:val="00941B26"/>
    <w:rsid w:val="00942623"/>
    <w:rsid w:val="00942D58"/>
    <w:rsid w:val="00943D12"/>
    <w:rsid w:val="009455DC"/>
    <w:rsid w:val="0095090A"/>
    <w:rsid w:val="009513CE"/>
    <w:rsid w:val="00955547"/>
    <w:rsid w:val="00955BB0"/>
    <w:rsid w:val="00956D7F"/>
    <w:rsid w:val="00960623"/>
    <w:rsid w:val="009622B2"/>
    <w:rsid w:val="00962F88"/>
    <w:rsid w:val="0096308E"/>
    <w:rsid w:val="00970978"/>
    <w:rsid w:val="00970AD7"/>
    <w:rsid w:val="00970DC7"/>
    <w:rsid w:val="00972CBD"/>
    <w:rsid w:val="009731E9"/>
    <w:rsid w:val="0097743E"/>
    <w:rsid w:val="009805E3"/>
    <w:rsid w:val="00982EFF"/>
    <w:rsid w:val="009834C0"/>
    <w:rsid w:val="00985C25"/>
    <w:rsid w:val="00986AAC"/>
    <w:rsid w:val="00986DAF"/>
    <w:rsid w:val="00986E93"/>
    <w:rsid w:val="00987D4B"/>
    <w:rsid w:val="009901A2"/>
    <w:rsid w:val="0099048E"/>
    <w:rsid w:val="00991B35"/>
    <w:rsid w:val="00992E18"/>
    <w:rsid w:val="009943AF"/>
    <w:rsid w:val="00994CE1"/>
    <w:rsid w:val="009964F2"/>
    <w:rsid w:val="009A1028"/>
    <w:rsid w:val="009A1DA2"/>
    <w:rsid w:val="009A3704"/>
    <w:rsid w:val="009A383F"/>
    <w:rsid w:val="009A4739"/>
    <w:rsid w:val="009A5573"/>
    <w:rsid w:val="009A6177"/>
    <w:rsid w:val="009A674F"/>
    <w:rsid w:val="009A6A3D"/>
    <w:rsid w:val="009B1238"/>
    <w:rsid w:val="009B199C"/>
    <w:rsid w:val="009B2AAA"/>
    <w:rsid w:val="009B54C8"/>
    <w:rsid w:val="009B61F1"/>
    <w:rsid w:val="009B62E0"/>
    <w:rsid w:val="009B727C"/>
    <w:rsid w:val="009C0C58"/>
    <w:rsid w:val="009C3D88"/>
    <w:rsid w:val="009C3E5C"/>
    <w:rsid w:val="009C3E90"/>
    <w:rsid w:val="009D0240"/>
    <w:rsid w:val="009D45A1"/>
    <w:rsid w:val="009D6513"/>
    <w:rsid w:val="009D652F"/>
    <w:rsid w:val="009E05A9"/>
    <w:rsid w:val="009E0800"/>
    <w:rsid w:val="009E1897"/>
    <w:rsid w:val="009E2E79"/>
    <w:rsid w:val="009E32B1"/>
    <w:rsid w:val="009E3858"/>
    <w:rsid w:val="009E4573"/>
    <w:rsid w:val="009E5B9E"/>
    <w:rsid w:val="009E6D1D"/>
    <w:rsid w:val="009E70DD"/>
    <w:rsid w:val="009F2ED9"/>
    <w:rsid w:val="009F3231"/>
    <w:rsid w:val="009F5C58"/>
    <w:rsid w:val="009F6EC6"/>
    <w:rsid w:val="009F7DFF"/>
    <w:rsid w:val="00A023A0"/>
    <w:rsid w:val="00A036AA"/>
    <w:rsid w:val="00A03C9E"/>
    <w:rsid w:val="00A03DD5"/>
    <w:rsid w:val="00A0679C"/>
    <w:rsid w:val="00A075B0"/>
    <w:rsid w:val="00A10C50"/>
    <w:rsid w:val="00A128FC"/>
    <w:rsid w:val="00A130E7"/>
    <w:rsid w:val="00A14BF5"/>
    <w:rsid w:val="00A1562B"/>
    <w:rsid w:val="00A170F4"/>
    <w:rsid w:val="00A21D12"/>
    <w:rsid w:val="00A22192"/>
    <w:rsid w:val="00A22A4E"/>
    <w:rsid w:val="00A2377C"/>
    <w:rsid w:val="00A24CAF"/>
    <w:rsid w:val="00A2559E"/>
    <w:rsid w:val="00A25D02"/>
    <w:rsid w:val="00A25FD9"/>
    <w:rsid w:val="00A3229D"/>
    <w:rsid w:val="00A32D57"/>
    <w:rsid w:val="00A36C09"/>
    <w:rsid w:val="00A425FB"/>
    <w:rsid w:val="00A42D89"/>
    <w:rsid w:val="00A42E21"/>
    <w:rsid w:val="00A44BF5"/>
    <w:rsid w:val="00A46492"/>
    <w:rsid w:val="00A4669B"/>
    <w:rsid w:val="00A46BA8"/>
    <w:rsid w:val="00A47634"/>
    <w:rsid w:val="00A50912"/>
    <w:rsid w:val="00A51B74"/>
    <w:rsid w:val="00A5515A"/>
    <w:rsid w:val="00A562FA"/>
    <w:rsid w:val="00A56587"/>
    <w:rsid w:val="00A566F0"/>
    <w:rsid w:val="00A60DC8"/>
    <w:rsid w:val="00A612FE"/>
    <w:rsid w:val="00A6455E"/>
    <w:rsid w:val="00A64AB4"/>
    <w:rsid w:val="00A65350"/>
    <w:rsid w:val="00A65D80"/>
    <w:rsid w:val="00A66B00"/>
    <w:rsid w:val="00A67C1C"/>
    <w:rsid w:val="00A67EA7"/>
    <w:rsid w:val="00A70696"/>
    <w:rsid w:val="00A7205A"/>
    <w:rsid w:val="00A746C7"/>
    <w:rsid w:val="00A82D0F"/>
    <w:rsid w:val="00A83A6F"/>
    <w:rsid w:val="00A83C4E"/>
    <w:rsid w:val="00A8445D"/>
    <w:rsid w:val="00A84D6B"/>
    <w:rsid w:val="00A91BCF"/>
    <w:rsid w:val="00A935AB"/>
    <w:rsid w:val="00A93772"/>
    <w:rsid w:val="00A93FD8"/>
    <w:rsid w:val="00A955A3"/>
    <w:rsid w:val="00A97C75"/>
    <w:rsid w:val="00AA03E9"/>
    <w:rsid w:val="00AA06A9"/>
    <w:rsid w:val="00AA0D7D"/>
    <w:rsid w:val="00AA18F9"/>
    <w:rsid w:val="00AA23F0"/>
    <w:rsid w:val="00AA26B8"/>
    <w:rsid w:val="00AA7BD9"/>
    <w:rsid w:val="00AB1B5A"/>
    <w:rsid w:val="00AB1C85"/>
    <w:rsid w:val="00AB3FE2"/>
    <w:rsid w:val="00AB512C"/>
    <w:rsid w:val="00AB639A"/>
    <w:rsid w:val="00AB7306"/>
    <w:rsid w:val="00AB7EA0"/>
    <w:rsid w:val="00AC1FF9"/>
    <w:rsid w:val="00AC2076"/>
    <w:rsid w:val="00AC3A1E"/>
    <w:rsid w:val="00AC432D"/>
    <w:rsid w:val="00AC7A52"/>
    <w:rsid w:val="00AD2403"/>
    <w:rsid w:val="00AD3322"/>
    <w:rsid w:val="00AD5CD5"/>
    <w:rsid w:val="00AD695A"/>
    <w:rsid w:val="00AD6EC7"/>
    <w:rsid w:val="00AD7864"/>
    <w:rsid w:val="00AD7886"/>
    <w:rsid w:val="00AD7E4E"/>
    <w:rsid w:val="00AD7E7A"/>
    <w:rsid w:val="00AE012E"/>
    <w:rsid w:val="00AE20EB"/>
    <w:rsid w:val="00AE245F"/>
    <w:rsid w:val="00AE7978"/>
    <w:rsid w:val="00AE7E24"/>
    <w:rsid w:val="00AF1112"/>
    <w:rsid w:val="00AF1795"/>
    <w:rsid w:val="00AF1EF7"/>
    <w:rsid w:val="00AF37D7"/>
    <w:rsid w:val="00AF4D58"/>
    <w:rsid w:val="00AF6666"/>
    <w:rsid w:val="00B00B15"/>
    <w:rsid w:val="00B017B8"/>
    <w:rsid w:val="00B04449"/>
    <w:rsid w:val="00B0483D"/>
    <w:rsid w:val="00B04F2C"/>
    <w:rsid w:val="00B10154"/>
    <w:rsid w:val="00B10A01"/>
    <w:rsid w:val="00B1234D"/>
    <w:rsid w:val="00B1324A"/>
    <w:rsid w:val="00B134E2"/>
    <w:rsid w:val="00B150E8"/>
    <w:rsid w:val="00B17265"/>
    <w:rsid w:val="00B17DEF"/>
    <w:rsid w:val="00B2296E"/>
    <w:rsid w:val="00B24017"/>
    <w:rsid w:val="00B24687"/>
    <w:rsid w:val="00B2593E"/>
    <w:rsid w:val="00B34894"/>
    <w:rsid w:val="00B35951"/>
    <w:rsid w:val="00B37860"/>
    <w:rsid w:val="00B42197"/>
    <w:rsid w:val="00B42DD7"/>
    <w:rsid w:val="00B43450"/>
    <w:rsid w:val="00B46C75"/>
    <w:rsid w:val="00B5024E"/>
    <w:rsid w:val="00B51703"/>
    <w:rsid w:val="00B51DB3"/>
    <w:rsid w:val="00B52F46"/>
    <w:rsid w:val="00B55E40"/>
    <w:rsid w:val="00B57C00"/>
    <w:rsid w:val="00B625BD"/>
    <w:rsid w:val="00B636BE"/>
    <w:rsid w:val="00B67318"/>
    <w:rsid w:val="00B700E5"/>
    <w:rsid w:val="00B72672"/>
    <w:rsid w:val="00B72A71"/>
    <w:rsid w:val="00B7634B"/>
    <w:rsid w:val="00B76FA4"/>
    <w:rsid w:val="00B80D10"/>
    <w:rsid w:val="00B8128F"/>
    <w:rsid w:val="00B814A5"/>
    <w:rsid w:val="00B81B44"/>
    <w:rsid w:val="00B825BF"/>
    <w:rsid w:val="00B831AC"/>
    <w:rsid w:val="00B9053B"/>
    <w:rsid w:val="00B9132F"/>
    <w:rsid w:val="00B91EEF"/>
    <w:rsid w:val="00B91F35"/>
    <w:rsid w:val="00B93493"/>
    <w:rsid w:val="00B9556D"/>
    <w:rsid w:val="00B96C9B"/>
    <w:rsid w:val="00BA1E4E"/>
    <w:rsid w:val="00BA28A4"/>
    <w:rsid w:val="00BA3E45"/>
    <w:rsid w:val="00BA4533"/>
    <w:rsid w:val="00BA5E4E"/>
    <w:rsid w:val="00BA71FA"/>
    <w:rsid w:val="00BB12A3"/>
    <w:rsid w:val="00BB14B2"/>
    <w:rsid w:val="00BB167A"/>
    <w:rsid w:val="00BB372E"/>
    <w:rsid w:val="00BC0D3A"/>
    <w:rsid w:val="00BC1F9F"/>
    <w:rsid w:val="00BC31C7"/>
    <w:rsid w:val="00BC32C0"/>
    <w:rsid w:val="00BC3422"/>
    <w:rsid w:val="00BC4461"/>
    <w:rsid w:val="00BC7CF0"/>
    <w:rsid w:val="00BD07C5"/>
    <w:rsid w:val="00BD1BA8"/>
    <w:rsid w:val="00BD6406"/>
    <w:rsid w:val="00BE06B9"/>
    <w:rsid w:val="00BE192A"/>
    <w:rsid w:val="00BE7233"/>
    <w:rsid w:val="00BF15D9"/>
    <w:rsid w:val="00BF2C10"/>
    <w:rsid w:val="00BF40CC"/>
    <w:rsid w:val="00BF4746"/>
    <w:rsid w:val="00C015B9"/>
    <w:rsid w:val="00C0165F"/>
    <w:rsid w:val="00C01DFC"/>
    <w:rsid w:val="00C022F9"/>
    <w:rsid w:val="00C031CF"/>
    <w:rsid w:val="00C032EA"/>
    <w:rsid w:val="00C05DD9"/>
    <w:rsid w:val="00C06403"/>
    <w:rsid w:val="00C06EB5"/>
    <w:rsid w:val="00C100A9"/>
    <w:rsid w:val="00C1145F"/>
    <w:rsid w:val="00C11BA7"/>
    <w:rsid w:val="00C160C4"/>
    <w:rsid w:val="00C21B27"/>
    <w:rsid w:val="00C2515F"/>
    <w:rsid w:val="00C2690D"/>
    <w:rsid w:val="00C27D82"/>
    <w:rsid w:val="00C30808"/>
    <w:rsid w:val="00C330C5"/>
    <w:rsid w:val="00C34322"/>
    <w:rsid w:val="00C346E1"/>
    <w:rsid w:val="00C34B38"/>
    <w:rsid w:val="00C3536C"/>
    <w:rsid w:val="00C35DEF"/>
    <w:rsid w:val="00C41BA0"/>
    <w:rsid w:val="00C42C2D"/>
    <w:rsid w:val="00C437FD"/>
    <w:rsid w:val="00C472D4"/>
    <w:rsid w:val="00C527D4"/>
    <w:rsid w:val="00C530FF"/>
    <w:rsid w:val="00C55401"/>
    <w:rsid w:val="00C56A6A"/>
    <w:rsid w:val="00C60A95"/>
    <w:rsid w:val="00C637E1"/>
    <w:rsid w:val="00C648DE"/>
    <w:rsid w:val="00C65E84"/>
    <w:rsid w:val="00C70A7E"/>
    <w:rsid w:val="00C70D50"/>
    <w:rsid w:val="00C72ADE"/>
    <w:rsid w:val="00C73719"/>
    <w:rsid w:val="00C738F0"/>
    <w:rsid w:val="00C74613"/>
    <w:rsid w:val="00C74B8D"/>
    <w:rsid w:val="00C829C5"/>
    <w:rsid w:val="00C83490"/>
    <w:rsid w:val="00C84BC2"/>
    <w:rsid w:val="00C85E5D"/>
    <w:rsid w:val="00C8638E"/>
    <w:rsid w:val="00C907D7"/>
    <w:rsid w:val="00C92338"/>
    <w:rsid w:val="00C9361E"/>
    <w:rsid w:val="00C937DC"/>
    <w:rsid w:val="00C963FB"/>
    <w:rsid w:val="00CA1B72"/>
    <w:rsid w:val="00CA1FC2"/>
    <w:rsid w:val="00CA3DD3"/>
    <w:rsid w:val="00CA45C2"/>
    <w:rsid w:val="00CA7C3A"/>
    <w:rsid w:val="00CB135A"/>
    <w:rsid w:val="00CB20D9"/>
    <w:rsid w:val="00CB2E2B"/>
    <w:rsid w:val="00CB4665"/>
    <w:rsid w:val="00CC2DB2"/>
    <w:rsid w:val="00CC385D"/>
    <w:rsid w:val="00CC3B91"/>
    <w:rsid w:val="00CC5F87"/>
    <w:rsid w:val="00CC7A20"/>
    <w:rsid w:val="00CD0307"/>
    <w:rsid w:val="00CD030B"/>
    <w:rsid w:val="00CD06C7"/>
    <w:rsid w:val="00CD12E6"/>
    <w:rsid w:val="00CD18EE"/>
    <w:rsid w:val="00CD3942"/>
    <w:rsid w:val="00CD3D18"/>
    <w:rsid w:val="00CD3D1B"/>
    <w:rsid w:val="00CE158C"/>
    <w:rsid w:val="00CE225E"/>
    <w:rsid w:val="00CE238F"/>
    <w:rsid w:val="00CE27F9"/>
    <w:rsid w:val="00CE3ADC"/>
    <w:rsid w:val="00CE3F2B"/>
    <w:rsid w:val="00CE48D6"/>
    <w:rsid w:val="00CE5965"/>
    <w:rsid w:val="00CE5BB0"/>
    <w:rsid w:val="00CF1ACA"/>
    <w:rsid w:val="00CF37B5"/>
    <w:rsid w:val="00CF670C"/>
    <w:rsid w:val="00CF7043"/>
    <w:rsid w:val="00CF7DCA"/>
    <w:rsid w:val="00D007E6"/>
    <w:rsid w:val="00D01985"/>
    <w:rsid w:val="00D021B1"/>
    <w:rsid w:val="00D03FAF"/>
    <w:rsid w:val="00D04355"/>
    <w:rsid w:val="00D06716"/>
    <w:rsid w:val="00D0673A"/>
    <w:rsid w:val="00D11CA3"/>
    <w:rsid w:val="00D13C51"/>
    <w:rsid w:val="00D14D98"/>
    <w:rsid w:val="00D16C2E"/>
    <w:rsid w:val="00D211E9"/>
    <w:rsid w:val="00D2312F"/>
    <w:rsid w:val="00D24A4C"/>
    <w:rsid w:val="00D258FF"/>
    <w:rsid w:val="00D264DE"/>
    <w:rsid w:val="00D269C1"/>
    <w:rsid w:val="00D26A55"/>
    <w:rsid w:val="00D27870"/>
    <w:rsid w:val="00D27D2D"/>
    <w:rsid w:val="00D326C2"/>
    <w:rsid w:val="00D36633"/>
    <w:rsid w:val="00D379D2"/>
    <w:rsid w:val="00D37A7A"/>
    <w:rsid w:val="00D40611"/>
    <w:rsid w:val="00D44953"/>
    <w:rsid w:val="00D519A1"/>
    <w:rsid w:val="00D51FD6"/>
    <w:rsid w:val="00D53503"/>
    <w:rsid w:val="00D53B88"/>
    <w:rsid w:val="00D542F3"/>
    <w:rsid w:val="00D555E9"/>
    <w:rsid w:val="00D558CA"/>
    <w:rsid w:val="00D5644B"/>
    <w:rsid w:val="00D56826"/>
    <w:rsid w:val="00D56BB9"/>
    <w:rsid w:val="00D56E25"/>
    <w:rsid w:val="00D57D39"/>
    <w:rsid w:val="00D60BC3"/>
    <w:rsid w:val="00D61700"/>
    <w:rsid w:val="00D61BF7"/>
    <w:rsid w:val="00D63D76"/>
    <w:rsid w:val="00D64F32"/>
    <w:rsid w:val="00D67136"/>
    <w:rsid w:val="00D71077"/>
    <w:rsid w:val="00D710E2"/>
    <w:rsid w:val="00D718D7"/>
    <w:rsid w:val="00D73E66"/>
    <w:rsid w:val="00D80220"/>
    <w:rsid w:val="00D814B7"/>
    <w:rsid w:val="00D84E34"/>
    <w:rsid w:val="00D85586"/>
    <w:rsid w:val="00D855A5"/>
    <w:rsid w:val="00D858BD"/>
    <w:rsid w:val="00D86153"/>
    <w:rsid w:val="00D90688"/>
    <w:rsid w:val="00D934F7"/>
    <w:rsid w:val="00D94648"/>
    <w:rsid w:val="00DA1E76"/>
    <w:rsid w:val="00DA3AAD"/>
    <w:rsid w:val="00DA4121"/>
    <w:rsid w:val="00DA5408"/>
    <w:rsid w:val="00DA6F2A"/>
    <w:rsid w:val="00DB0D59"/>
    <w:rsid w:val="00DB0E25"/>
    <w:rsid w:val="00DB312B"/>
    <w:rsid w:val="00DB3E3B"/>
    <w:rsid w:val="00DB3FF4"/>
    <w:rsid w:val="00DB46C7"/>
    <w:rsid w:val="00DB4852"/>
    <w:rsid w:val="00DB51E1"/>
    <w:rsid w:val="00DB7E36"/>
    <w:rsid w:val="00DC2596"/>
    <w:rsid w:val="00DC35B2"/>
    <w:rsid w:val="00DC5654"/>
    <w:rsid w:val="00DC658F"/>
    <w:rsid w:val="00DC72F8"/>
    <w:rsid w:val="00DD341E"/>
    <w:rsid w:val="00DD41D6"/>
    <w:rsid w:val="00DD5029"/>
    <w:rsid w:val="00DD54C9"/>
    <w:rsid w:val="00DD7746"/>
    <w:rsid w:val="00DD77B6"/>
    <w:rsid w:val="00DE0452"/>
    <w:rsid w:val="00DE1077"/>
    <w:rsid w:val="00DE2904"/>
    <w:rsid w:val="00DE4FE3"/>
    <w:rsid w:val="00DE55ED"/>
    <w:rsid w:val="00DE60CC"/>
    <w:rsid w:val="00DE785D"/>
    <w:rsid w:val="00DF195E"/>
    <w:rsid w:val="00DF3DD0"/>
    <w:rsid w:val="00DF41AE"/>
    <w:rsid w:val="00DF4468"/>
    <w:rsid w:val="00DF5908"/>
    <w:rsid w:val="00E07ACD"/>
    <w:rsid w:val="00E11B6B"/>
    <w:rsid w:val="00E16564"/>
    <w:rsid w:val="00E23C6D"/>
    <w:rsid w:val="00E26B32"/>
    <w:rsid w:val="00E31762"/>
    <w:rsid w:val="00E318E3"/>
    <w:rsid w:val="00E32FB8"/>
    <w:rsid w:val="00E346A2"/>
    <w:rsid w:val="00E35527"/>
    <w:rsid w:val="00E35C70"/>
    <w:rsid w:val="00E35E6C"/>
    <w:rsid w:val="00E37783"/>
    <w:rsid w:val="00E407B6"/>
    <w:rsid w:val="00E41EA2"/>
    <w:rsid w:val="00E41EF1"/>
    <w:rsid w:val="00E42942"/>
    <w:rsid w:val="00E42BCF"/>
    <w:rsid w:val="00E440BD"/>
    <w:rsid w:val="00E4622B"/>
    <w:rsid w:val="00E46242"/>
    <w:rsid w:val="00E462F1"/>
    <w:rsid w:val="00E468A6"/>
    <w:rsid w:val="00E46BA7"/>
    <w:rsid w:val="00E53FAE"/>
    <w:rsid w:val="00E54B62"/>
    <w:rsid w:val="00E54ED3"/>
    <w:rsid w:val="00E576A4"/>
    <w:rsid w:val="00E61FF8"/>
    <w:rsid w:val="00E62541"/>
    <w:rsid w:val="00E62960"/>
    <w:rsid w:val="00E6335D"/>
    <w:rsid w:val="00E65D8C"/>
    <w:rsid w:val="00E66760"/>
    <w:rsid w:val="00E677B9"/>
    <w:rsid w:val="00E70B9C"/>
    <w:rsid w:val="00E71BDF"/>
    <w:rsid w:val="00E73B31"/>
    <w:rsid w:val="00E74D08"/>
    <w:rsid w:val="00E75094"/>
    <w:rsid w:val="00E77CC1"/>
    <w:rsid w:val="00E77D8A"/>
    <w:rsid w:val="00E8007D"/>
    <w:rsid w:val="00E802B8"/>
    <w:rsid w:val="00E83CA7"/>
    <w:rsid w:val="00E87075"/>
    <w:rsid w:val="00E90046"/>
    <w:rsid w:val="00E96B4D"/>
    <w:rsid w:val="00EA12C9"/>
    <w:rsid w:val="00EA39DB"/>
    <w:rsid w:val="00EA4A1E"/>
    <w:rsid w:val="00EA6A9B"/>
    <w:rsid w:val="00EA7EF3"/>
    <w:rsid w:val="00EB07E6"/>
    <w:rsid w:val="00EB13BB"/>
    <w:rsid w:val="00EB494C"/>
    <w:rsid w:val="00EC0C93"/>
    <w:rsid w:val="00EC171D"/>
    <w:rsid w:val="00EC3098"/>
    <w:rsid w:val="00EC6022"/>
    <w:rsid w:val="00EC60B8"/>
    <w:rsid w:val="00EC7A72"/>
    <w:rsid w:val="00ED039C"/>
    <w:rsid w:val="00ED287C"/>
    <w:rsid w:val="00ED420C"/>
    <w:rsid w:val="00ED487E"/>
    <w:rsid w:val="00ED584B"/>
    <w:rsid w:val="00ED61BD"/>
    <w:rsid w:val="00ED6460"/>
    <w:rsid w:val="00ED7D11"/>
    <w:rsid w:val="00EE0FC7"/>
    <w:rsid w:val="00EE57DA"/>
    <w:rsid w:val="00EE5D6C"/>
    <w:rsid w:val="00EE5EAB"/>
    <w:rsid w:val="00EE62A7"/>
    <w:rsid w:val="00EE6810"/>
    <w:rsid w:val="00EE7A0D"/>
    <w:rsid w:val="00EE7B94"/>
    <w:rsid w:val="00EE7C97"/>
    <w:rsid w:val="00EF55A7"/>
    <w:rsid w:val="00EF5F67"/>
    <w:rsid w:val="00F012BC"/>
    <w:rsid w:val="00F023EE"/>
    <w:rsid w:val="00F02429"/>
    <w:rsid w:val="00F02A63"/>
    <w:rsid w:val="00F0370A"/>
    <w:rsid w:val="00F0374D"/>
    <w:rsid w:val="00F04E7E"/>
    <w:rsid w:val="00F06601"/>
    <w:rsid w:val="00F06A70"/>
    <w:rsid w:val="00F076EA"/>
    <w:rsid w:val="00F12061"/>
    <w:rsid w:val="00F12A5F"/>
    <w:rsid w:val="00F14217"/>
    <w:rsid w:val="00F143AC"/>
    <w:rsid w:val="00F15CF4"/>
    <w:rsid w:val="00F17CE1"/>
    <w:rsid w:val="00F2089A"/>
    <w:rsid w:val="00F2115C"/>
    <w:rsid w:val="00F22ABA"/>
    <w:rsid w:val="00F24D2C"/>
    <w:rsid w:val="00F30F01"/>
    <w:rsid w:val="00F3422A"/>
    <w:rsid w:val="00F35A41"/>
    <w:rsid w:val="00F36B12"/>
    <w:rsid w:val="00F36B66"/>
    <w:rsid w:val="00F36E09"/>
    <w:rsid w:val="00F37760"/>
    <w:rsid w:val="00F41E7D"/>
    <w:rsid w:val="00F4239A"/>
    <w:rsid w:val="00F43B13"/>
    <w:rsid w:val="00F4464F"/>
    <w:rsid w:val="00F44803"/>
    <w:rsid w:val="00F44A92"/>
    <w:rsid w:val="00F44CB2"/>
    <w:rsid w:val="00F44DE3"/>
    <w:rsid w:val="00F44EA0"/>
    <w:rsid w:val="00F4572C"/>
    <w:rsid w:val="00F461B0"/>
    <w:rsid w:val="00F46391"/>
    <w:rsid w:val="00F519F0"/>
    <w:rsid w:val="00F56E9F"/>
    <w:rsid w:val="00F60F9F"/>
    <w:rsid w:val="00F6471E"/>
    <w:rsid w:val="00F64F08"/>
    <w:rsid w:val="00F656A3"/>
    <w:rsid w:val="00F659C5"/>
    <w:rsid w:val="00F659DA"/>
    <w:rsid w:val="00F66478"/>
    <w:rsid w:val="00F664DC"/>
    <w:rsid w:val="00F734F5"/>
    <w:rsid w:val="00F81377"/>
    <w:rsid w:val="00F8168D"/>
    <w:rsid w:val="00F81A5F"/>
    <w:rsid w:val="00F861BF"/>
    <w:rsid w:val="00F86634"/>
    <w:rsid w:val="00F8711E"/>
    <w:rsid w:val="00F874A6"/>
    <w:rsid w:val="00F92738"/>
    <w:rsid w:val="00F93076"/>
    <w:rsid w:val="00F93E9F"/>
    <w:rsid w:val="00F966B1"/>
    <w:rsid w:val="00F97048"/>
    <w:rsid w:val="00F97D48"/>
    <w:rsid w:val="00FA0311"/>
    <w:rsid w:val="00FA154A"/>
    <w:rsid w:val="00FA1FB5"/>
    <w:rsid w:val="00FA24AF"/>
    <w:rsid w:val="00FA24ED"/>
    <w:rsid w:val="00FA2921"/>
    <w:rsid w:val="00FB087D"/>
    <w:rsid w:val="00FB0B11"/>
    <w:rsid w:val="00FB2E90"/>
    <w:rsid w:val="00FB3DD6"/>
    <w:rsid w:val="00FB7393"/>
    <w:rsid w:val="00FB7DB9"/>
    <w:rsid w:val="00FC13C7"/>
    <w:rsid w:val="00FC38C0"/>
    <w:rsid w:val="00FC42E5"/>
    <w:rsid w:val="00FC47AB"/>
    <w:rsid w:val="00FC47B6"/>
    <w:rsid w:val="00FC4DF7"/>
    <w:rsid w:val="00FC6778"/>
    <w:rsid w:val="00FC6FE1"/>
    <w:rsid w:val="00FC7AF6"/>
    <w:rsid w:val="00FD4CB2"/>
    <w:rsid w:val="00FD4FC5"/>
    <w:rsid w:val="00FD640F"/>
    <w:rsid w:val="00FD6B4C"/>
    <w:rsid w:val="00FE0171"/>
    <w:rsid w:val="00FE0E4E"/>
    <w:rsid w:val="00FE1029"/>
    <w:rsid w:val="00FE4423"/>
    <w:rsid w:val="00FE5152"/>
    <w:rsid w:val="00FE570A"/>
    <w:rsid w:val="00FE6E38"/>
    <w:rsid w:val="00FF4E3A"/>
    <w:rsid w:val="00FF4E9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E467778"/>
  <w15:docId w15:val="{6B98D29C-5275-4BFB-9A03-369BB8E6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4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864"/>
    <w:pPr>
      <w:spacing w:before="160" w:after="100"/>
    </w:pPr>
    <w:rPr>
      <w:spacing w:val="2"/>
      <w:sz w:val="24"/>
    </w:rPr>
  </w:style>
  <w:style w:type="paragraph" w:styleId="Heading1">
    <w:name w:val="heading 1"/>
    <w:next w:val="Normal"/>
    <w:link w:val="Heading1Char"/>
    <w:qFormat/>
    <w:rsid w:val="00EC171D"/>
    <w:pPr>
      <w:keepNext/>
      <w:keepLines/>
      <w:spacing w:before="600" w:after="88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A5F5B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C171D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50705C"/>
    <w:pPr>
      <w:numPr>
        <w:numId w:val="1"/>
      </w:numPr>
      <w:spacing w:before="100" w:after="100" w:line="240" w:lineRule="auto"/>
    </w:pPr>
    <w:rPr>
      <w:rFonts w:eastAsia="Times New Roman" w:cs="Calibri"/>
      <w:spacing w:val="2"/>
      <w:sz w:val="24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5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EC171D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4"/>
    <w:qFormat/>
    <w:rsid w:val="00EC171D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4"/>
    <w:qFormat/>
    <w:rsid w:val="00EC171D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EC171D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4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C171D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9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EC171D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EC171D"/>
    <w:rPr>
      <w:rFonts w:asciiTheme="majorHAnsi" w:eastAsia="Times New Roman" w:hAnsiTheme="majorHAnsi" w:cstheme="majorHAnsi"/>
      <w:b/>
      <w:color w:val="0063A6" w:themeColor="accent1"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5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EC171D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EC171D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EC171D"/>
    <w:rPr>
      <w:b w:val="0"/>
      <w:color w:val="4C4C4C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5"/>
    <w:qFormat/>
    <w:rsid w:val="00EC171D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5"/>
    <w:qFormat/>
    <w:rsid w:val="00EC171D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qFormat/>
    <w:rsid w:val="00EC171D"/>
    <w:pPr>
      <w:numPr>
        <w:numId w:val="4"/>
      </w:numPr>
    </w:pPr>
  </w:style>
  <w:style w:type="paragraph" w:customStyle="1" w:styleId="Listnum2">
    <w:name w:val="List num 2"/>
    <w:basedOn w:val="Normal"/>
    <w:qFormat/>
    <w:rsid w:val="00EC171D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6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7"/>
    <w:rsid w:val="00D211E9"/>
    <w:pPr>
      <w:numPr>
        <w:numId w:val="18"/>
      </w:numPr>
    </w:pPr>
  </w:style>
  <w:style w:type="paragraph" w:customStyle="1" w:styleId="Tabledash">
    <w:name w:val="Table dash"/>
    <w:basedOn w:val="Tablebullet"/>
    <w:uiPriority w:val="7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3"/>
    <w:qFormat/>
    <w:rsid w:val="006361E7"/>
    <w:pPr>
      <w:numPr>
        <w:numId w:val="19"/>
      </w:numPr>
      <w:tabs>
        <w:tab w:val="num" w:pos="504"/>
        <w:tab w:val="left" w:pos="540"/>
      </w:tabs>
      <w:ind w:left="504" w:hanging="504"/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table" w:customStyle="1" w:styleId="Summarytable">
    <w:name w:val="Summary table"/>
    <w:basedOn w:val="TableNormal"/>
    <w:uiPriority w:val="99"/>
    <w:rsid w:val="005E6A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1">
    <w:name w:val="Summary table1"/>
    <w:basedOn w:val="TableNormal"/>
    <w:uiPriority w:val="99"/>
    <w:rsid w:val="009555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2">
    <w:name w:val="Summary table2"/>
    <w:basedOn w:val="TableNormal"/>
    <w:uiPriority w:val="99"/>
    <w:rsid w:val="007800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3">
    <w:name w:val="Summary table3"/>
    <w:basedOn w:val="TableNormal"/>
    <w:uiPriority w:val="99"/>
    <w:rsid w:val="00F04E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table" w:customStyle="1" w:styleId="Summarytable4">
    <w:name w:val="Summary table4"/>
    <w:basedOn w:val="TableNormal"/>
    <w:uiPriority w:val="99"/>
    <w:rsid w:val="005B3B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BFBFBF"/>
      </w:tblBorders>
      <w:tblCellMar>
        <w:left w:w="57" w:type="dxa"/>
        <w:right w:w="57" w:type="dxa"/>
      </w:tblCellMar>
    </w:tblPr>
    <w:trPr>
      <w:cantSplit/>
    </w:trPr>
    <w:tblStylePr w:type="firstRow">
      <w:rPr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B9DD6"/>
      </w:tcPr>
    </w:tblStylePr>
  </w:style>
  <w:style w:type="paragraph" w:customStyle="1" w:styleId="Listnum3">
    <w:name w:val="List num 3"/>
    <w:basedOn w:val="Normal"/>
    <w:rsid w:val="000761ED"/>
    <w:pPr>
      <w:tabs>
        <w:tab w:val="num" w:pos="1512"/>
      </w:tabs>
      <w:spacing w:before="0" w:after="0" w:line="240" w:lineRule="auto"/>
      <w:ind w:left="1512" w:hanging="504"/>
    </w:pPr>
    <w:rPr>
      <w:rFonts w:eastAsia="Times New Roman" w:cs="Times New Roman"/>
      <w:color w:val="000000" w:themeColor="text1"/>
      <w:sz w:val="20"/>
      <w:lang w:eastAsia="en-US"/>
    </w:rPr>
  </w:style>
  <w:style w:type="paragraph" w:customStyle="1" w:styleId="Reference">
    <w:name w:val="Reference"/>
    <w:basedOn w:val="Normal"/>
    <w:link w:val="ReferenceChar"/>
    <w:qFormat/>
    <w:rsid w:val="00A83C4E"/>
    <w:pPr>
      <w:spacing w:before="20" w:after="20" w:line="240" w:lineRule="auto"/>
    </w:pPr>
    <w:rPr>
      <w:rFonts w:eastAsia="Tahoma" w:cs="Arial"/>
      <w:iCs/>
      <w:noProof/>
      <w:color w:val="0072CE" w:themeColor="accent4"/>
      <w:sz w:val="14"/>
      <w:szCs w:val="14"/>
    </w:rPr>
  </w:style>
  <w:style w:type="character" w:customStyle="1" w:styleId="ReferenceChar">
    <w:name w:val="Reference Char"/>
    <w:link w:val="Reference"/>
    <w:rsid w:val="00A83C4E"/>
    <w:rPr>
      <w:rFonts w:eastAsia="Tahoma" w:cs="Arial"/>
      <w:iCs/>
      <w:noProof/>
      <w:color w:val="0072CE" w:themeColor="accent4"/>
      <w:spacing w:val="2"/>
      <w:sz w:val="14"/>
      <w:szCs w:val="14"/>
    </w:rPr>
  </w:style>
  <w:style w:type="paragraph" w:customStyle="1" w:styleId="Referencered">
    <w:name w:val="Reference red"/>
    <w:basedOn w:val="Reference"/>
    <w:qFormat/>
    <w:rsid w:val="00A83C4E"/>
    <w:pPr>
      <w:keepNext/>
      <w:spacing w:before="0" w:after="0"/>
    </w:pPr>
    <w:rPr>
      <w:rFonts w:ascii="Arial" w:hAnsi="Arial" w:cs="Arial Narrow"/>
      <w:iCs w:val="0"/>
      <w:noProof w:val="0"/>
      <w:color w:val="AF272F"/>
      <w:spacing w:val="0"/>
      <w:szCs w:val="16"/>
    </w:rPr>
  </w:style>
  <w:style w:type="character" w:styleId="FollowedHyperlink">
    <w:name w:val="FollowedHyperlink"/>
    <w:basedOn w:val="DefaultParagraphFont"/>
    <w:uiPriority w:val="99"/>
    <w:semiHidden/>
    <w:rsid w:val="00C55401"/>
    <w:rPr>
      <w:color w:val="8A2A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33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35D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3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35D"/>
    <w:rPr>
      <w:b/>
      <w:bCs/>
      <w:spacing w:val="2"/>
    </w:rPr>
  </w:style>
  <w:style w:type="paragraph" w:styleId="Revision">
    <w:name w:val="Revision"/>
    <w:hidden/>
    <w:uiPriority w:val="99"/>
    <w:semiHidden/>
    <w:rsid w:val="00636331"/>
    <w:pPr>
      <w:spacing w:after="0" w:line="240" w:lineRule="auto"/>
    </w:pPr>
    <w:rPr>
      <w:spacing w:val="2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7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22A36A83A7439E16E842C7933804" ma:contentTypeVersion="4" ma:contentTypeDescription="Create a new document." ma:contentTypeScope="" ma:versionID="ad5b4fa94c2676025a1955c5391e9fc1">
  <xsd:schema xmlns:xsd="http://www.w3.org/2001/XMLSchema" xmlns:xs="http://www.w3.org/2001/XMLSchema" xmlns:p="http://schemas.microsoft.com/office/2006/metadata/properties" xmlns:ns3="c93116ac-fc53-426d-9414-a1cb3b1334eb" targetNamespace="http://schemas.microsoft.com/office/2006/metadata/properties" ma:root="true" ma:fieldsID="2c8c58fccc3571c28f700afe16088586" ns3:_="">
    <xsd:import namespace="c93116ac-fc53-426d-9414-a1cb3b133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16ac-fc53-426d-9414-a1cb3b133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8DF00A-32D0-45EF-A16E-C103F27F5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8AE2D-52AB-46CC-B499-8AC6A41D8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C1F6-2972-420A-92A5-39177730D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BFF4C-9FF1-4DA9-A8EA-F3500993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116ac-fc53-426d-9414-a1cb3b13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AAF0A2-C38A-4C22-8555-0053D62C8C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McGowan</dc:creator>
  <cp:keywords/>
  <dc:description/>
  <cp:lastModifiedBy>Paul Bowerman (DTF)</cp:lastModifiedBy>
  <cp:revision>3</cp:revision>
  <cp:lastPrinted>2019-05-16T22:56:00Z</cp:lastPrinted>
  <dcterms:created xsi:type="dcterms:W3CDTF">2021-04-15T03:19:00Z</dcterms:created>
  <dcterms:modified xsi:type="dcterms:W3CDTF">2021-04-15T03:20:00Z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f4e1f2c0-aaca-49af-a098-9b1bfc145e90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ContentTypeId">
    <vt:lpwstr>0x010100393622A36A83A7439E16E842C7933804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2021-04-15T03:20:36Z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/>
  </property>
  <property fmtid="{D5CDD505-2E9C-101B-9397-08002B2CF9AE}" pid="12" name="MSIP_Label_7158ebbd-6c5e-441f-bfc9-4eb8c11e3978_ContentBits">
    <vt:lpwstr>2</vt:lpwstr>
  </property>
</Properties>
</file>