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4A" w:rsidRDefault="00B3510E" w:rsidP="0021214A">
      <w:pPr>
        <w:pStyle w:val="Title"/>
        <w:rPr>
          <w:i/>
        </w:rPr>
      </w:pPr>
      <w:bookmarkStart w:id="0" w:name="_Toc442780672"/>
      <w:bookmarkStart w:id="1" w:name="_GoBack"/>
      <w:bookmarkEnd w:id="1"/>
      <w:r w:rsidRPr="0021214A">
        <w:t xml:space="preserve">2A. AASB 124 </w:t>
      </w:r>
      <w:r w:rsidR="0021214A">
        <w:rPr>
          <w:i/>
        </w:rPr>
        <w:t>Related Party Disclosures</w:t>
      </w:r>
    </w:p>
    <w:p w:rsidR="006F5199" w:rsidRPr="0021214A" w:rsidRDefault="0021214A" w:rsidP="0021214A">
      <w:pPr>
        <w:pStyle w:val="Subtitle"/>
      </w:pPr>
      <w:r>
        <w:t>I</w:t>
      </w:r>
      <w:r w:rsidR="00B3510E" w:rsidRPr="0021214A">
        <w:t xml:space="preserve">llustrative examples for when Key Management Personnel (KMP) declaration of related party transactions </w:t>
      </w:r>
      <w:r w:rsidR="00AA2326" w:rsidRPr="0021214A">
        <w:t>would be require</w:t>
      </w:r>
      <w:r w:rsidR="00B3510E" w:rsidRPr="0021214A">
        <w:t>d</w:t>
      </w:r>
      <w:bookmarkEnd w:id="0"/>
    </w:p>
    <w:p w:rsidR="00B3510E" w:rsidRPr="00B3510E" w:rsidRDefault="0021214A" w:rsidP="00FD75EB">
      <w:pPr>
        <w:pStyle w:val="Caption"/>
      </w:pPr>
      <w:bookmarkStart w:id="2" w:name="_Toc442780675"/>
      <w:r>
        <w:t>Related party relationships</w:t>
      </w:r>
    </w:p>
    <w:tbl>
      <w:tblPr>
        <w:tblStyle w:val="DTFtexttable"/>
        <w:tblW w:w="13949" w:type="dxa"/>
        <w:tblLook w:val="0620" w:firstRow="1" w:lastRow="0" w:firstColumn="0" w:lastColumn="0" w:noHBand="1" w:noVBand="1"/>
      </w:tblPr>
      <w:tblGrid>
        <w:gridCol w:w="1942"/>
        <w:gridCol w:w="1436"/>
        <w:gridCol w:w="1641"/>
        <w:gridCol w:w="3969"/>
        <w:gridCol w:w="1417"/>
        <w:gridCol w:w="3544"/>
      </w:tblGrid>
      <w:tr w:rsidR="006F5199" w:rsidRPr="00B3510E" w:rsidTr="00E16CBD">
        <w:trPr>
          <w:cnfStyle w:val="100000000000" w:firstRow="1" w:lastRow="0" w:firstColumn="0" w:lastColumn="0" w:oddVBand="0" w:evenVBand="0" w:oddHBand="0" w:evenHBand="0" w:firstRowFirstColumn="0" w:firstRowLastColumn="0" w:lastRowFirstColumn="0" w:lastRowLastColumn="0"/>
          <w:tblHeader/>
        </w:trPr>
        <w:tc>
          <w:tcPr>
            <w:tcW w:w="1942" w:type="dxa"/>
          </w:tcPr>
          <w:p w:rsidR="006F5199" w:rsidRPr="00B3510E" w:rsidRDefault="006F5199" w:rsidP="0021214A">
            <w:pPr>
              <w:pStyle w:val="Tableheader"/>
              <w:rPr>
                <w:b w:val="0"/>
              </w:rPr>
            </w:pPr>
            <w:r w:rsidRPr="00B3510E">
              <w:t>Scenario</w:t>
            </w:r>
          </w:p>
        </w:tc>
        <w:tc>
          <w:tcPr>
            <w:tcW w:w="1436" w:type="dxa"/>
          </w:tcPr>
          <w:p w:rsidR="006F5199" w:rsidRPr="00B3510E" w:rsidRDefault="006F5199" w:rsidP="0021214A">
            <w:pPr>
              <w:pStyle w:val="Tableheader"/>
              <w:rPr>
                <w:b w:val="0"/>
              </w:rPr>
            </w:pPr>
            <w:r w:rsidRPr="00B3510E">
              <w:t>KMP</w:t>
            </w:r>
          </w:p>
        </w:tc>
        <w:tc>
          <w:tcPr>
            <w:tcW w:w="1641" w:type="dxa"/>
          </w:tcPr>
          <w:p w:rsidR="006F5199" w:rsidRPr="00B3510E" w:rsidRDefault="006F5199" w:rsidP="0021214A">
            <w:pPr>
              <w:pStyle w:val="Tableheader"/>
              <w:rPr>
                <w:b w:val="0"/>
              </w:rPr>
            </w:pPr>
            <w:r w:rsidRPr="00B3510E">
              <w:t>Related party</w:t>
            </w:r>
          </w:p>
        </w:tc>
        <w:tc>
          <w:tcPr>
            <w:tcW w:w="3969" w:type="dxa"/>
          </w:tcPr>
          <w:p w:rsidR="006F5199" w:rsidRPr="00B3510E" w:rsidRDefault="006F5199" w:rsidP="0021214A">
            <w:pPr>
              <w:pStyle w:val="Tableheader"/>
              <w:rPr>
                <w:b w:val="0"/>
              </w:rPr>
            </w:pPr>
            <w:r w:rsidRPr="00B3510E">
              <w:t>Whether information is required to be declared</w:t>
            </w:r>
          </w:p>
        </w:tc>
        <w:tc>
          <w:tcPr>
            <w:tcW w:w="1417" w:type="dxa"/>
          </w:tcPr>
          <w:p w:rsidR="006F5199" w:rsidRPr="00B3510E" w:rsidRDefault="006F5199" w:rsidP="0021214A">
            <w:pPr>
              <w:pStyle w:val="Tableheader"/>
              <w:rPr>
                <w:b w:val="0"/>
              </w:rPr>
            </w:pPr>
            <w:r w:rsidRPr="00B3510E">
              <w:t>Declaration required?</w:t>
            </w:r>
          </w:p>
        </w:tc>
        <w:tc>
          <w:tcPr>
            <w:tcW w:w="3544" w:type="dxa"/>
          </w:tcPr>
          <w:p w:rsidR="006F5199" w:rsidRPr="00B3510E" w:rsidRDefault="006F5199" w:rsidP="0021214A">
            <w:pPr>
              <w:pStyle w:val="Tableheader"/>
              <w:rPr>
                <w:b w:val="0"/>
              </w:rPr>
            </w:pPr>
            <w:r w:rsidRPr="00B3510E">
              <w:t>Information for KMP to disclose in their declaration checklist</w:t>
            </w:r>
          </w:p>
        </w:tc>
      </w:tr>
      <w:tr w:rsidR="006F5199" w:rsidRPr="00B3510E" w:rsidTr="00E16CBD">
        <w:tc>
          <w:tcPr>
            <w:tcW w:w="1942" w:type="dxa"/>
          </w:tcPr>
          <w:p w:rsidR="006F5199" w:rsidRPr="00B3510E" w:rsidRDefault="006F5199" w:rsidP="00521648">
            <w:pPr>
              <w:pStyle w:val="Tabletext"/>
            </w:pPr>
            <w:r w:rsidRPr="00B3510E">
              <w:t>CEO’s sister is employed as a nurse at the Royal Children’s Hospital</w:t>
            </w:r>
            <w:r w:rsidR="00E42B5E">
              <w:t xml:space="preserve"> </w:t>
            </w:r>
          </w:p>
        </w:tc>
        <w:tc>
          <w:tcPr>
            <w:tcW w:w="1436" w:type="dxa"/>
          </w:tcPr>
          <w:p w:rsidR="006F5199" w:rsidRPr="00B3510E" w:rsidRDefault="006F5199" w:rsidP="00521648">
            <w:pPr>
              <w:pStyle w:val="Tabletext"/>
            </w:pPr>
            <w:r w:rsidRPr="00B3510E">
              <w:t>CEO of the Royal Children’s Hospital</w:t>
            </w:r>
            <w:r w:rsidR="00E42B5E">
              <w:t xml:space="preserve"> </w:t>
            </w:r>
          </w:p>
        </w:tc>
        <w:tc>
          <w:tcPr>
            <w:tcW w:w="1641" w:type="dxa"/>
          </w:tcPr>
          <w:p w:rsidR="006F5199" w:rsidRPr="00B3510E" w:rsidRDefault="006F5199" w:rsidP="00521648">
            <w:pPr>
              <w:pStyle w:val="Tabletext"/>
            </w:pPr>
            <w:r w:rsidRPr="00B3510E">
              <w:t>Sister</w:t>
            </w:r>
          </w:p>
        </w:tc>
        <w:tc>
          <w:tcPr>
            <w:tcW w:w="3969" w:type="dxa"/>
          </w:tcPr>
          <w:p w:rsidR="006F5199" w:rsidRPr="00B3510E" w:rsidRDefault="006F5199" w:rsidP="00521648">
            <w:pPr>
              <w:pStyle w:val="Tabletext"/>
            </w:pPr>
            <w:r w:rsidRPr="00B3510E">
              <w:t xml:space="preserve">The CEO’s sister is not in a senior position (i.e. an executive) that has decision-making responsibility. </w:t>
            </w:r>
          </w:p>
          <w:p w:rsidR="006F5199" w:rsidRPr="00B3510E" w:rsidRDefault="006F5199" w:rsidP="00521648">
            <w:pPr>
              <w:pStyle w:val="Tabletext"/>
            </w:pPr>
            <w:r w:rsidRPr="00B3510E">
              <w:t>No perceived ability for this relationship to influence transactions between the public hospital and the agency.</w:t>
            </w:r>
          </w:p>
        </w:tc>
        <w:tc>
          <w:tcPr>
            <w:tcW w:w="1417" w:type="dxa"/>
          </w:tcPr>
          <w:p w:rsidR="006F5199" w:rsidRPr="00B3510E" w:rsidRDefault="006F5199" w:rsidP="00521648">
            <w:pPr>
              <w:pStyle w:val="Tabletext"/>
            </w:pPr>
            <w:r w:rsidRPr="00B3510E">
              <w:t>No</w:t>
            </w:r>
          </w:p>
        </w:tc>
        <w:tc>
          <w:tcPr>
            <w:tcW w:w="3544" w:type="dxa"/>
          </w:tcPr>
          <w:p w:rsidR="006F5199" w:rsidRPr="00B3510E" w:rsidRDefault="006F5199" w:rsidP="00521648">
            <w:pPr>
              <w:pStyle w:val="Tabletext"/>
            </w:pPr>
            <w:r w:rsidRPr="00B3510E">
              <w:t xml:space="preserve">None. </w:t>
            </w:r>
          </w:p>
        </w:tc>
      </w:tr>
      <w:tr w:rsidR="006F5199" w:rsidRPr="00B3510E" w:rsidTr="00E16CBD">
        <w:tc>
          <w:tcPr>
            <w:tcW w:w="1942" w:type="dxa"/>
            <w:tcBorders>
              <w:bottom w:val="nil"/>
            </w:tcBorders>
            <w:shd w:val="clear" w:color="auto" w:fill="E3EBF4" w:themeFill="accent3" w:themeFillTint="33"/>
          </w:tcPr>
          <w:p w:rsidR="006F5199" w:rsidRPr="00B3510E" w:rsidRDefault="006F5199" w:rsidP="00521648">
            <w:pPr>
              <w:pStyle w:val="Tabletext"/>
            </w:pPr>
            <w:r w:rsidRPr="00B3510E">
              <w:t>Deputy Secretary’s son is a tax partner of a large accounting firm providing</w:t>
            </w:r>
            <w:r w:rsidR="007039B7">
              <w:t xml:space="preserve"> PPP advisory services to DET. </w:t>
            </w:r>
          </w:p>
        </w:tc>
        <w:tc>
          <w:tcPr>
            <w:tcW w:w="1436" w:type="dxa"/>
            <w:tcBorders>
              <w:bottom w:val="nil"/>
            </w:tcBorders>
            <w:shd w:val="clear" w:color="auto" w:fill="E3EBF4" w:themeFill="accent3" w:themeFillTint="33"/>
          </w:tcPr>
          <w:p w:rsidR="006F5199" w:rsidRPr="00B3510E" w:rsidRDefault="006F5199" w:rsidP="00521648">
            <w:pPr>
              <w:pStyle w:val="Tabletext"/>
            </w:pPr>
            <w:r w:rsidRPr="00B3510E">
              <w:t>Deputy Secretary of DET</w:t>
            </w:r>
          </w:p>
        </w:tc>
        <w:tc>
          <w:tcPr>
            <w:tcW w:w="1641" w:type="dxa"/>
            <w:tcBorders>
              <w:bottom w:val="nil"/>
            </w:tcBorders>
            <w:shd w:val="clear" w:color="auto" w:fill="E3EBF4" w:themeFill="accent3" w:themeFillTint="33"/>
          </w:tcPr>
          <w:p w:rsidR="006F5199" w:rsidRPr="00B3510E" w:rsidRDefault="006F5199" w:rsidP="00521648">
            <w:pPr>
              <w:pStyle w:val="Tabletext"/>
            </w:pPr>
            <w:r w:rsidRPr="00B3510E">
              <w:t>Firm where son is a partner</w:t>
            </w:r>
          </w:p>
        </w:tc>
        <w:tc>
          <w:tcPr>
            <w:tcW w:w="3969" w:type="dxa"/>
            <w:tcBorders>
              <w:bottom w:val="nil"/>
            </w:tcBorders>
            <w:shd w:val="clear" w:color="auto" w:fill="E3EBF4" w:themeFill="accent3" w:themeFillTint="33"/>
          </w:tcPr>
          <w:p w:rsidR="006F5199" w:rsidRPr="00B3510E" w:rsidRDefault="006F5199" w:rsidP="00521648">
            <w:pPr>
              <w:pStyle w:val="Tabletext"/>
            </w:pPr>
            <w:r w:rsidRPr="00B3510E">
              <w:t>The Deputy Secretary’s son is a tax partner in a large firm with multiple partners and does not have any influence on his firm for the provision of PPP advisory services.</w:t>
            </w:r>
          </w:p>
          <w:p w:rsidR="006F5199" w:rsidRPr="00B3510E" w:rsidRDefault="006F5199" w:rsidP="00521648">
            <w:pPr>
              <w:pStyle w:val="Tabletext"/>
            </w:pPr>
            <w:r w:rsidRPr="00B3510E">
              <w:t xml:space="preserve">No perceived ability for this relationship to influence transactions between the accounting firm and the department. </w:t>
            </w:r>
          </w:p>
        </w:tc>
        <w:tc>
          <w:tcPr>
            <w:tcW w:w="1417" w:type="dxa"/>
            <w:tcBorders>
              <w:bottom w:val="nil"/>
            </w:tcBorders>
            <w:shd w:val="clear" w:color="auto" w:fill="E3EBF4" w:themeFill="accent3" w:themeFillTint="33"/>
          </w:tcPr>
          <w:p w:rsidR="006F5199" w:rsidRPr="00B3510E" w:rsidRDefault="006F5199" w:rsidP="00521648">
            <w:pPr>
              <w:pStyle w:val="Tabletext"/>
            </w:pPr>
            <w:r w:rsidRPr="00B3510E">
              <w:t>No</w:t>
            </w:r>
          </w:p>
        </w:tc>
        <w:tc>
          <w:tcPr>
            <w:tcW w:w="3544" w:type="dxa"/>
            <w:tcBorders>
              <w:bottom w:val="nil"/>
            </w:tcBorders>
            <w:shd w:val="clear" w:color="auto" w:fill="E3EBF4" w:themeFill="accent3" w:themeFillTint="33"/>
          </w:tcPr>
          <w:p w:rsidR="006F5199" w:rsidRPr="00B3510E" w:rsidRDefault="006F5199" w:rsidP="00521648">
            <w:pPr>
              <w:pStyle w:val="Tabletext"/>
            </w:pPr>
            <w:r w:rsidRPr="00B3510E">
              <w:t xml:space="preserve">None. </w:t>
            </w:r>
          </w:p>
        </w:tc>
      </w:tr>
      <w:tr w:rsidR="00D4186F" w:rsidRPr="00B3510E" w:rsidTr="00E16CBD">
        <w:tc>
          <w:tcPr>
            <w:tcW w:w="1942" w:type="dxa"/>
            <w:tcBorders>
              <w:bottom w:val="single" w:sz="4" w:space="0" w:color="0063A6" w:themeColor="accent1"/>
            </w:tcBorders>
          </w:tcPr>
          <w:p w:rsidR="00D4186F" w:rsidRPr="00B3510E" w:rsidRDefault="00D4186F" w:rsidP="00521648">
            <w:pPr>
              <w:pStyle w:val="Tabletext"/>
            </w:pPr>
            <w:r w:rsidRPr="00B3510E">
              <w:t>Cabinet Minister’s wife has been appointed Secretary of another department (DTF).</w:t>
            </w:r>
          </w:p>
        </w:tc>
        <w:tc>
          <w:tcPr>
            <w:tcW w:w="1436" w:type="dxa"/>
            <w:tcBorders>
              <w:bottom w:val="single" w:sz="4" w:space="0" w:color="0063A6" w:themeColor="accent1"/>
            </w:tcBorders>
          </w:tcPr>
          <w:p w:rsidR="00D4186F" w:rsidRPr="00B3510E" w:rsidRDefault="00D4186F" w:rsidP="00521648">
            <w:pPr>
              <w:pStyle w:val="Tabletext"/>
            </w:pPr>
            <w:r w:rsidRPr="00B3510E">
              <w:t xml:space="preserve">Cabinet Minister (who is Portfolio Minister of DHHS) </w:t>
            </w:r>
          </w:p>
        </w:tc>
        <w:tc>
          <w:tcPr>
            <w:tcW w:w="1641" w:type="dxa"/>
            <w:tcBorders>
              <w:bottom w:val="single" w:sz="4" w:space="0" w:color="0063A6" w:themeColor="accent1"/>
            </w:tcBorders>
          </w:tcPr>
          <w:p w:rsidR="00D4186F" w:rsidRPr="00B3510E" w:rsidRDefault="00D4186F" w:rsidP="00521648">
            <w:pPr>
              <w:pStyle w:val="Tabletext"/>
            </w:pPr>
            <w:r w:rsidRPr="00B3510E">
              <w:t>Wife</w:t>
            </w:r>
          </w:p>
        </w:tc>
        <w:tc>
          <w:tcPr>
            <w:tcW w:w="3969" w:type="dxa"/>
            <w:tcBorders>
              <w:bottom w:val="single" w:sz="4" w:space="0" w:color="0063A6" w:themeColor="accent1"/>
            </w:tcBorders>
          </w:tcPr>
          <w:p w:rsidR="00D4186F" w:rsidRPr="00B3510E" w:rsidRDefault="00D4186F" w:rsidP="00521648">
            <w:pPr>
              <w:pStyle w:val="Tabletext"/>
            </w:pPr>
            <w:r w:rsidRPr="00B3510E">
              <w:t xml:space="preserve">The Minister’s wife is in a senior (executive) position with decision-making responsibility for a department. </w:t>
            </w:r>
          </w:p>
          <w:p w:rsidR="00D4186F" w:rsidRPr="00B3510E" w:rsidRDefault="00D4186F" w:rsidP="00521648">
            <w:pPr>
              <w:pStyle w:val="Tabletext"/>
            </w:pPr>
            <w:r w:rsidRPr="00B3510E">
              <w:t>Perceived ability to influence or be influenced in her appointment.</w:t>
            </w:r>
          </w:p>
          <w:p w:rsidR="00D4186F" w:rsidRPr="00B3510E" w:rsidRDefault="00D4186F" w:rsidP="00521648">
            <w:pPr>
              <w:pStyle w:val="Tabletext"/>
            </w:pPr>
            <w:r w:rsidRPr="00B3510E">
              <w:t xml:space="preserve">Perceived ability to influence transactions by the existence of this relationship. </w:t>
            </w:r>
          </w:p>
        </w:tc>
        <w:tc>
          <w:tcPr>
            <w:tcW w:w="1417" w:type="dxa"/>
            <w:tcBorders>
              <w:bottom w:val="single" w:sz="4" w:space="0" w:color="0063A6" w:themeColor="accent1"/>
            </w:tcBorders>
          </w:tcPr>
          <w:p w:rsidR="00D4186F" w:rsidRPr="00B3510E" w:rsidRDefault="00D4186F" w:rsidP="00521648">
            <w:pPr>
              <w:pStyle w:val="Tabletext"/>
            </w:pPr>
            <w:r w:rsidRPr="00B3510E">
              <w:t>Yes</w:t>
            </w:r>
          </w:p>
        </w:tc>
        <w:tc>
          <w:tcPr>
            <w:tcW w:w="3544" w:type="dxa"/>
            <w:tcBorders>
              <w:bottom w:val="single" w:sz="4" w:space="0" w:color="0063A6" w:themeColor="accent1"/>
            </w:tcBorders>
          </w:tcPr>
          <w:p w:rsidR="00D4186F" w:rsidRPr="00B3510E" w:rsidRDefault="00D4186F" w:rsidP="00521648">
            <w:pPr>
              <w:pStyle w:val="Tabletext"/>
            </w:pPr>
            <w:r w:rsidRPr="00B3510E">
              <w:t xml:space="preserve">The KMP would need to declare any involvement he may have had in his wife’s appointment. </w:t>
            </w:r>
          </w:p>
          <w:p w:rsidR="00D4186F" w:rsidRPr="00B3510E" w:rsidRDefault="00D4186F" w:rsidP="00521648">
            <w:pPr>
              <w:pStyle w:val="Tabletext"/>
            </w:pPr>
            <w:r w:rsidRPr="00B3510E">
              <w:t>He would also need to declare the nature of the amount and terms and conditions of any transactions influenced by the existence of this related party relationship.</w:t>
            </w:r>
          </w:p>
        </w:tc>
      </w:tr>
      <w:bookmarkEnd w:id="2"/>
      <w:tr w:rsidR="00883113" w:rsidRPr="00B3510E" w:rsidTr="00E16CBD">
        <w:tc>
          <w:tcPr>
            <w:tcW w:w="1942" w:type="dxa"/>
            <w:tcBorders>
              <w:top w:val="single" w:sz="4" w:space="0" w:color="0063A6" w:themeColor="accent1"/>
              <w:bottom w:val="nil"/>
            </w:tcBorders>
            <w:shd w:val="clear" w:color="auto" w:fill="E3EBF4" w:themeFill="accent3" w:themeFillTint="33"/>
          </w:tcPr>
          <w:p w:rsidR="00D4186F" w:rsidRPr="007039B7" w:rsidRDefault="00D4186F" w:rsidP="007039B7">
            <w:pPr>
              <w:pStyle w:val="Tabletext"/>
              <w:pageBreakBefore/>
            </w:pPr>
            <w:r w:rsidRPr="00B3510E">
              <w:lastRenderedPageBreak/>
              <w:t>Portfolio Minister’s brother-in-law is a board member of a PNFC entity within his portfolio.</w:t>
            </w:r>
          </w:p>
        </w:tc>
        <w:tc>
          <w:tcPr>
            <w:tcW w:w="1436" w:type="dxa"/>
            <w:tcBorders>
              <w:top w:val="single" w:sz="4" w:space="0" w:color="0063A6" w:themeColor="accent1"/>
              <w:bottom w:val="nil"/>
            </w:tcBorders>
            <w:shd w:val="clear" w:color="auto" w:fill="E3EBF4" w:themeFill="accent3" w:themeFillTint="33"/>
          </w:tcPr>
          <w:p w:rsidR="00D4186F" w:rsidRPr="00B3510E" w:rsidRDefault="00D4186F" w:rsidP="00521648">
            <w:pPr>
              <w:pStyle w:val="Tabletext"/>
            </w:pPr>
            <w:r w:rsidRPr="00B3510E">
              <w:t>Portfolio Minister</w:t>
            </w:r>
          </w:p>
        </w:tc>
        <w:tc>
          <w:tcPr>
            <w:tcW w:w="1641" w:type="dxa"/>
            <w:tcBorders>
              <w:top w:val="single" w:sz="4" w:space="0" w:color="0063A6" w:themeColor="accent1"/>
              <w:bottom w:val="nil"/>
            </w:tcBorders>
            <w:shd w:val="clear" w:color="auto" w:fill="E3EBF4" w:themeFill="accent3" w:themeFillTint="33"/>
          </w:tcPr>
          <w:p w:rsidR="00D4186F" w:rsidRPr="00B3510E" w:rsidRDefault="00D4186F" w:rsidP="00521648">
            <w:pPr>
              <w:pStyle w:val="Tabletext"/>
            </w:pPr>
            <w:r w:rsidRPr="00B3510E">
              <w:t>Brother-in-law</w:t>
            </w:r>
          </w:p>
        </w:tc>
        <w:tc>
          <w:tcPr>
            <w:tcW w:w="3969" w:type="dxa"/>
            <w:tcBorders>
              <w:top w:val="single" w:sz="4" w:space="0" w:color="0063A6" w:themeColor="accent1"/>
              <w:bottom w:val="nil"/>
            </w:tcBorders>
            <w:shd w:val="clear" w:color="auto" w:fill="E3EBF4" w:themeFill="accent3" w:themeFillTint="33"/>
          </w:tcPr>
          <w:p w:rsidR="00D4186F" w:rsidRPr="00B3510E" w:rsidRDefault="00D4186F" w:rsidP="00521648">
            <w:pPr>
              <w:pStyle w:val="Tabletext"/>
            </w:pPr>
            <w:r w:rsidRPr="00B3510E">
              <w:t>While not considered a close family member, regard must be given to other family relationships that may be expected to influence, or be influenced by, the KMP’s decisions.</w:t>
            </w:r>
          </w:p>
          <w:p w:rsidR="00D4186F" w:rsidRPr="00521648" w:rsidRDefault="00D4186F" w:rsidP="00521648">
            <w:pPr>
              <w:pStyle w:val="Tabletext"/>
            </w:pPr>
            <w:r w:rsidRPr="00D4186F">
              <w:t>The Minister would need to consider whether there is the ability for his brother-in-law to influence, or be influenced, by the Minister’s decisions. The rebuttable presumption is that the ability to influence exists.</w:t>
            </w:r>
          </w:p>
        </w:tc>
        <w:tc>
          <w:tcPr>
            <w:tcW w:w="1417" w:type="dxa"/>
            <w:tcBorders>
              <w:top w:val="single" w:sz="4" w:space="0" w:color="0063A6" w:themeColor="accent1"/>
              <w:bottom w:val="nil"/>
            </w:tcBorders>
            <w:shd w:val="clear" w:color="auto" w:fill="E3EBF4" w:themeFill="accent3" w:themeFillTint="33"/>
          </w:tcPr>
          <w:p w:rsidR="00D4186F" w:rsidRPr="00B3510E" w:rsidRDefault="00D4186F" w:rsidP="00521648">
            <w:pPr>
              <w:pStyle w:val="Tabletext"/>
            </w:pPr>
          </w:p>
        </w:tc>
        <w:tc>
          <w:tcPr>
            <w:tcW w:w="3544" w:type="dxa"/>
            <w:tcBorders>
              <w:top w:val="single" w:sz="4" w:space="0" w:color="0063A6" w:themeColor="accent1"/>
              <w:bottom w:val="nil"/>
            </w:tcBorders>
            <w:shd w:val="clear" w:color="auto" w:fill="E3EBF4" w:themeFill="accent3" w:themeFillTint="33"/>
          </w:tcPr>
          <w:p w:rsidR="00D4186F" w:rsidRPr="00A749C1" w:rsidRDefault="00D4186F" w:rsidP="00521648">
            <w:pPr>
              <w:pStyle w:val="Tabletext"/>
            </w:pPr>
          </w:p>
        </w:tc>
      </w:tr>
      <w:tr w:rsidR="007039B7" w:rsidRPr="00B3510E" w:rsidTr="00E16CBD">
        <w:tc>
          <w:tcPr>
            <w:tcW w:w="1942" w:type="dxa"/>
            <w:tcBorders>
              <w:top w:val="nil"/>
              <w:bottom w:val="nil"/>
            </w:tcBorders>
            <w:shd w:val="clear" w:color="auto" w:fill="E3EBF4" w:themeFill="accent3" w:themeFillTint="33"/>
          </w:tcPr>
          <w:p w:rsidR="007039B7" w:rsidRPr="00B3510E" w:rsidRDefault="007039B7" w:rsidP="00521648">
            <w:pPr>
              <w:pStyle w:val="Tabletext"/>
            </w:pPr>
            <w:r w:rsidRPr="00A749C1">
              <w:rPr>
                <w:rFonts w:cstheme="minorHAnsi"/>
                <w:b/>
              </w:rPr>
              <w:t>Scenario A</w:t>
            </w:r>
            <w:r w:rsidRPr="00A749C1">
              <w:rPr>
                <w:rFonts w:cstheme="minorHAnsi"/>
              </w:rPr>
              <w:t xml:space="preserve"> – </w:t>
            </w:r>
            <w:r>
              <w:rPr>
                <w:rFonts w:cstheme="minorHAnsi"/>
              </w:rPr>
              <w:t>the Minister is estranged from his brother-in-law or is unaware of his position as a board member</w:t>
            </w:r>
          </w:p>
        </w:tc>
        <w:tc>
          <w:tcPr>
            <w:tcW w:w="1436" w:type="dxa"/>
            <w:tcBorders>
              <w:top w:val="nil"/>
              <w:bottom w:val="nil"/>
            </w:tcBorders>
            <w:shd w:val="clear" w:color="auto" w:fill="E3EBF4" w:themeFill="accent3" w:themeFillTint="33"/>
          </w:tcPr>
          <w:p w:rsidR="007039B7" w:rsidRPr="00B3510E" w:rsidRDefault="007039B7" w:rsidP="00521648">
            <w:pPr>
              <w:pStyle w:val="Tabletext"/>
            </w:pPr>
          </w:p>
        </w:tc>
        <w:tc>
          <w:tcPr>
            <w:tcW w:w="1641" w:type="dxa"/>
            <w:tcBorders>
              <w:top w:val="nil"/>
              <w:bottom w:val="nil"/>
            </w:tcBorders>
            <w:shd w:val="clear" w:color="auto" w:fill="E3EBF4" w:themeFill="accent3" w:themeFillTint="33"/>
          </w:tcPr>
          <w:p w:rsidR="007039B7" w:rsidRPr="00B3510E" w:rsidRDefault="007039B7" w:rsidP="00521648">
            <w:pPr>
              <w:pStyle w:val="Tabletext"/>
            </w:pPr>
          </w:p>
        </w:tc>
        <w:tc>
          <w:tcPr>
            <w:tcW w:w="3969" w:type="dxa"/>
            <w:tcBorders>
              <w:top w:val="nil"/>
              <w:bottom w:val="nil"/>
            </w:tcBorders>
            <w:shd w:val="clear" w:color="auto" w:fill="E3EBF4" w:themeFill="accent3" w:themeFillTint="33"/>
          </w:tcPr>
          <w:p w:rsidR="007039B7" w:rsidRPr="00B3510E" w:rsidRDefault="007039B7" w:rsidP="00521648">
            <w:pPr>
              <w:pStyle w:val="Tabletext"/>
            </w:pPr>
            <w:r w:rsidRPr="008B1394">
              <w:t xml:space="preserve">There is no </w:t>
            </w:r>
            <w:r>
              <w:t xml:space="preserve">actual or </w:t>
            </w:r>
            <w:r w:rsidRPr="008B1394">
              <w:t xml:space="preserve">perceived ability to influence transactions by the existence of </w:t>
            </w:r>
            <w:r>
              <w:t xml:space="preserve">this related party relationship. </w:t>
            </w:r>
          </w:p>
        </w:tc>
        <w:tc>
          <w:tcPr>
            <w:tcW w:w="1417" w:type="dxa"/>
            <w:tcBorders>
              <w:top w:val="nil"/>
              <w:bottom w:val="nil"/>
            </w:tcBorders>
            <w:shd w:val="clear" w:color="auto" w:fill="E3EBF4" w:themeFill="accent3" w:themeFillTint="33"/>
          </w:tcPr>
          <w:p w:rsidR="007039B7" w:rsidRDefault="007039B7" w:rsidP="00521648">
            <w:pPr>
              <w:pStyle w:val="Tabletext"/>
            </w:pPr>
            <w:r>
              <w:t>No</w:t>
            </w:r>
          </w:p>
        </w:tc>
        <w:tc>
          <w:tcPr>
            <w:tcW w:w="3544" w:type="dxa"/>
            <w:tcBorders>
              <w:top w:val="nil"/>
              <w:bottom w:val="nil"/>
            </w:tcBorders>
            <w:shd w:val="clear" w:color="auto" w:fill="E3EBF4" w:themeFill="accent3" w:themeFillTint="33"/>
          </w:tcPr>
          <w:p w:rsidR="007039B7" w:rsidRDefault="007039B7" w:rsidP="00521648">
            <w:pPr>
              <w:pStyle w:val="Tabletext"/>
            </w:pPr>
            <w:r w:rsidRPr="00A749C1">
              <w:t>None</w:t>
            </w:r>
            <w:r>
              <w:t>.</w:t>
            </w:r>
          </w:p>
        </w:tc>
      </w:tr>
      <w:tr w:rsidR="007039B7" w:rsidRPr="00B3510E" w:rsidTr="00E16CBD">
        <w:tc>
          <w:tcPr>
            <w:tcW w:w="1942" w:type="dxa"/>
            <w:tcBorders>
              <w:top w:val="nil"/>
              <w:bottom w:val="single" w:sz="12" w:space="0" w:color="0063A6" w:themeColor="accent1"/>
            </w:tcBorders>
            <w:shd w:val="clear" w:color="auto" w:fill="E3EBF4" w:themeFill="accent3" w:themeFillTint="33"/>
          </w:tcPr>
          <w:p w:rsidR="007039B7" w:rsidRDefault="007039B7" w:rsidP="00521648">
            <w:pPr>
              <w:pStyle w:val="Tabletext"/>
            </w:pPr>
            <w:r w:rsidRPr="001C7F8E">
              <w:rPr>
                <w:rFonts w:cstheme="minorHAnsi"/>
                <w:b/>
              </w:rPr>
              <w:t>Scenario B</w:t>
            </w:r>
            <w:r w:rsidRPr="001C7F8E">
              <w:rPr>
                <w:rFonts w:cstheme="minorHAnsi"/>
              </w:rPr>
              <w:t xml:space="preserve"> – the Minister has a relationship with his brother-in-law and is aware of his position as a board member</w:t>
            </w:r>
          </w:p>
        </w:tc>
        <w:tc>
          <w:tcPr>
            <w:tcW w:w="1436" w:type="dxa"/>
            <w:tcBorders>
              <w:top w:val="nil"/>
              <w:bottom w:val="single" w:sz="12" w:space="0" w:color="0063A6" w:themeColor="accent1"/>
            </w:tcBorders>
            <w:shd w:val="clear" w:color="auto" w:fill="E3EBF4" w:themeFill="accent3" w:themeFillTint="33"/>
          </w:tcPr>
          <w:p w:rsidR="007039B7" w:rsidRPr="00B3510E" w:rsidRDefault="007039B7" w:rsidP="00521648">
            <w:pPr>
              <w:pStyle w:val="Tabletext"/>
            </w:pPr>
          </w:p>
        </w:tc>
        <w:tc>
          <w:tcPr>
            <w:tcW w:w="1641" w:type="dxa"/>
            <w:tcBorders>
              <w:top w:val="nil"/>
              <w:bottom w:val="single" w:sz="12" w:space="0" w:color="0063A6" w:themeColor="accent1"/>
            </w:tcBorders>
            <w:shd w:val="clear" w:color="auto" w:fill="E3EBF4" w:themeFill="accent3" w:themeFillTint="33"/>
          </w:tcPr>
          <w:p w:rsidR="007039B7" w:rsidRPr="00B3510E" w:rsidRDefault="007039B7" w:rsidP="00521648">
            <w:pPr>
              <w:pStyle w:val="Tabletext"/>
            </w:pPr>
          </w:p>
        </w:tc>
        <w:tc>
          <w:tcPr>
            <w:tcW w:w="3969" w:type="dxa"/>
            <w:tcBorders>
              <w:top w:val="nil"/>
              <w:bottom w:val="single" w:sz="12" w:space="0" w:color="0063A6" w:themeColor="accent1"/>
            </w:tcBorders>
            <w:shd w:val="clear" w:color="auto" w:fill="E3EBF4" w:themeFill="accent3" w:themeFillTint="33"/>
          </w:tcPr>
          <w:p w:rsidR="007039B7" w:rsidRDefault="007039B7" w:rsidP="00521648">
            <w:pPr>
              <w:pStyle w:val="Tabletext"/>
            </w:pPr>
            <w:r>
              <w:t>There may be</w:t>
            </w:r>
            <w:r w:rsidRPr="008B1394">
              <w:t xml:space="preserve"> a p</w:t>
            </w:r>
            <w:r>
              <w:t xml:space="preserve">erceived ability to influence </w:t>
            </w:r>
            <w:r w:rsidRPr="008B1394">
              <w:t>transactions by the existence of this related party relationship.</w:t>
            </w:r>
          </w:p>
          <w:p w:rsidR="007039B7" w:rsidRDefault="007039B7" w:rsidP="007039B7">
            <w:pPr>
              <w:pStyle w:val="Tablenum2"/>
              <w:ind w:left="360"/>
            </w:pPr>
            <w:r>
              <w:t>There are no transactions or the Minister has not been involved in any funding decisions for the PNFC entity.</w:t>
            </w:r>
          </w:p>
          <w:p w:rsidR="007039B7" w:rsidRDefault="007039B7" w:rsidP="007039B7">
            <w:pPr>
              <w:pStyle w:val="Tablenum2"/>
              <w:spacing w:before="160"/>
              <w:ind w:left="360"/>
            </w:pPr>
            <w:r w:rsidRPr="00D4186F">
              <w:t xml:space="preserve">There are transactions that may be perceived as being influenced by </w:t>
            </w:r>
            <w:r>
              <w:t xml:space="preserve">this related party relationship. </w:t>
            </w:r>
          </w:p>
        </w:tc>
        <w:tc>
          <w:tcPr>
            <w:tcW w:w="1417" w:type="dxa"/>
            <w:tcBorders>
              <w:top w:val="nil"/>
              <w:bottom w:val="single" w:sz="12" w:space="0" w:color="0063A6" w:themeColor="accent1"/>
            </w:tcBorders>
            <w:shd w:val="clear" w:color="auto" w:fill="E3EBF4" w:themeFill="accent3" w:themeFillTint="33"/>
          </w:tcPr>
          <w:p w:rsidR="007039B7" w:rsidRDefault="007039B7" w:rsidP="00521648">
            <w:pPr>
              <w:pStyle w:val="Tabletext"/>
            </w:pPr>
            <w:r>
              <w:br/>
            </w:r>
            <w:r>
              <w:br/>
            </w:r>
          </w:p>
          <w:p w:rsidR="007039B7" w:rsidRDefault="007039B7" w:rsidP="007039B7">
            <w:pPr>
              <w:pStyle w:val="Tabletext"/>
            </w:pPr>
            <w:r>
              <w:t>No</w:t>
            </w:r>
            <w:r>
              <w:br/>
            </w:r>
            <w:r>
              <w:br/>
            </w:r>
            <w:r>
              <w:br/>
            </w:r>
            <w:r>
              <w:br/>
            </w:r>
            <w:r w:rsidRPr="00A749C1">
              <w:t>Yes</w:t>
            </w:r>
          </w:p>
        </w:tc>
        <w:tc>
          <w:tcPr>
            <w:tcW w:w="3544" w:type="dxa"/>
            <w:tcBorders>
              <w:top w:val="nil"/>
              <w:bottom w:val="single" w:sz="12" w:space="0" w:color="0063A6" w:themeColor="accent1"/>
            </w:tcBorders>
            <w:shd w:val="clear" w:color="auto" w:fill="E3EBF4" w:themeFill="accent3" w:themeFillTint="33"/>
          </w:tcPr>
          <w:p w:rsidR="007039B7" w:rsidRDefault="007039B7" w:rsidP="00521648">
            <w:pPr>
              <w:pStyle w:val="Tabletext"/>
            </w:pPr>
            <w:r>
              <w:br/>
            </w:r>
            <w:r>
              <w:br/>
            </w:r>
          </w:p>
          <w:p w:rsidR="007039B7" w:rsidRDefault="007039B7" w:rsidP="007039B7">
            <w:pPr>
              <w:pStyle w:val="Tabletext"/>
            </w:pPr>
            <w:r w:rsidRPr="00A749C1">
              <w:t>None</w:t>
            </w:r>
            <w:r>
              <w:t>.</w:t>
            </w:r>
            <w:r>
              <w:br/>
            </w:r>
            <w:r>
              <w:br/>
            </w:r>
            <w:r>
              <w:br/>
            </w:r>
            <w:r>
              <w:br/>
            </w:r>
            <w:r w:rsidRPr="00A749C1">
              <w:t>The Minister would need to declare the nature, amount and terms and conditions of any transactions influenced by the existence of this related party relationship.</w:t>
            </w:r>
          </w:p>
        </w:tc>
      </w:tr>
    </w:tbl>
    <w:p w:rsidR="006F5199" w:rsidRDefault="006F5199" w:rsidP="00BC2DE7">
      <w:pPr>
        <w:pStyle w:val="Heading3"/>
        <w:rPr>
          <w:sz w:val="24"/>
          <w:szCs w:val="24"/>
        </w:rPr>
        <w:sectPr w:rsidR="006F5199" w:rsidSect="0055344F">
          <w:headerReference w:type="default" r:id="rId9"/>
          <w:footerReference w:type="default" r:id="rId10"/>
          <w:type w:val="continuous"/>
          <w:pgSz w:w="16838" w:h="11906" w:orient="landscape" w:code="9"/>
          <w:pgMar w:top="1259" w:right="1440" w:bottom="1349" w:left="1440" w:header="448" w:footer="459" w:gutter="0"/>
          <w:cols w:space="708"/>
          <w:docGrid w:linePitch="360"/>
        </w:sectPr>
      </w:pPr>
    </w:p>
    <w:p w:rsidR="007039B7" w:rsidRDefault="007039B7">
      <w:pPr>
        <w:spacing w:before="0" w:after="200"/>
        <w:rPr>
          <w:rFonts w:eastAsiaTheme="majorEastAsia"/>
          <w:b/>
          <w:bCs/>
          <w:color w:val="383834" w:themeColor="background2" w:themeShade="40"/>
          <w:sz w:val="22"/>
          <w:szCs w:val="18"/>
        </w:rPr>
      </w:pPr>
      <w:r>
        <w:lastRenderedPageBreak/>
        <w:br w:type="page"/>
      </w:r>
    </w:p>
    <w:p w:rsidR="00BC2DE7" w:rsidRDefault="00FD75EB" w:rsidP="00780BFC">
      <w:pPr>
        <w:pStyle w:val="Caption"/>
      </w:pPr>
      <w:r>
        <w:lastRenderedPageBreak/>
        <w:t>Related party transactions</w:t>
      </w:r>
    </w:p>
    <w:p w:rsidR="006F5199" w:rsidRPr="00B3510E" w:rsidRDefault="006F5199" w:rsidP="006F5199">
      <w:pPr>
        <w:pStyle w:val="Heading4"/>
        <w:rPr>
          <w:b w:val="0"/>
          <w:color w:val="auto"/>
          <w:sz w:val="22"/>
          <w:szCs w:val="22"/>
        </w:rPr>
      </w:pPr>
      <w:r w:rsidRPr="00B3510E">
        <w:rPr>
          <w:b w:val="0"/>
          <w:color w:val="auto"/>
          <w:sz w:val="22"/>
          <w:szCs w:val="22"/>
        </w:rPr>
        <w:t xml:space="preserve">For transactions or contracts on </w:t>
      </w:r>
      <w:r w:rsidRPr="00B3510E">
        <w:rPr>
          <w:color w:val="auto"/>
          <w:sz w:val="22"/>
          <w:szCs w:val="22"/>
        </w:rPr>
        <w:t>standard terms and conditions of the State</w:t>
      </w:r>
      <w:r w:rsidRPr="00B3510E">
        <w:rPr>
          <w:b w:val="0"/>
          <w:color w:val="auto"/>
          <w:sz w:val="22"/>
          <w:szCs w:val="22"/>
        </w:rPr>
        <w:t>, KMPs may apply a threshold of $100</w:t>
      </w:r>
      <w:r w:rsidR="00EE7ED4">
        <w:rPr>
          <w:b w:val="0"/>
          <w:color w:val="auto"/>
          <w:sz w:val="22"/>
          <w:szCs w:val="22"/>
        </w:rPr>
        <w:t> </w:t>
      </w:r>
      <w:r w:rsidRPr="00B3510E">
        <w:rPr>
          <w:b w:val="0"/>
          <w:color w:val="auto"/>
          <w:sz w:val="22"/>
          <w:szCs w:val="22"/>
        </w:rPr>
        <w:t>000 to exclude those transactions with a total contract value that is less than the threshold. However, KMPs may choose to declare all transactions.</w:t>
      </w:r>
      <w:r w:rsidR="00E42B5E">
        <w:rPr>
          <w:b w:val="0"/>
          <w:color w:val="auto"/>
          <w:sz w:val="22"/>
          <w:szCs w:val="22"/>
        </w:rPr>
        <w:t xml:space="preserve"> </w:t>
      </w:r>
    </w:p>
    <w:p w:rsidR="008229BB" w:rsidRDefault="006F5199" w:rsidP="00EA36C4">
      <w:pPr>
        <w:rPr>
          <w:b/>
          <w:sz w:val="22"/>
          <w:szCs w:val="22"/>
        </w:rPr>
      </w:pPr>
      <w:r w:rsidRPr="00B3510E">
        <w:rPr>
          <w:b/>
          <w:sz w:val="22"/>
          <w:szCs w:val="22"/>
        </w:rPr>
        <w:t xml:space="preserve">For contracts or agreements on </w:t>
      </w:r>
      <w:r w:rsidRPr="00B3510E">
        <w:rPr>
          <w:sz w:val="22"/>
          <w:szCs w:val="22"/>
        </w:rPr>
        <w:t>non-standard (varied or negotiated) terms or conditions</w:t>
      </w:r>
      <w:r w:rsidRPr="00B3510E">
        <w:rPr>
          <w:b/>
          <w:sz w:val="22"/>
          <w:szCs w:val="22"/>
        </w:rPr>
        <w:t>, KMPs would be required to declare all transactions, regardless of the financial amount</w:t>
      </w:r>
    </w:p>
    <w:tbl>
      <w:tblPr>
        <w:tblStyle w:val="DTFtexttable"/>
        <w:tblW w:w="13949" w:type="dxa"/>
        <w:tblLook w:val="0620" w:firstRow="1" w:lastRow="0" w:firstColumn="0" w:lastColumn="0" w:noHBand="1" w:noVBand="1"/>
      </w:tblPr>
      <w:tblGrid>
        <w:gridCol w:w="1942"/>
        <w:gridCol w:w="1436"/>
        <w:gridCol w:w="1641"/>
        <w:gridCol w:w="3969"/>
        <w:gridCol w:w="1417"/>
        <w:gridCol w:w="3544"/>
      </w:tblGrid>
      <w:tr w:rsidR="008229BB" w:rsidRPr="00B3510E" w:rsidTr="00E16CBD">
        <w:trPr>
          <w:cnfStyle w:val="100000000000" w:firstRow="1" w:lastRow="0" w:firstColumn="0" w:lastColumn="0" w:oddVBand="0" w:evenVBand="0" w:oddHBand="0" w:evenHBand="0" w:firstRowFirstColumn="0" w:firstRowLastColumn="0" w:lastRowFirstColumn="0" w:lastRowLastColumn="0"/>
          <w:tblHeader/>
        </w:trPr>
        <w:tc>
          <w:tcPr>
            <w:tcW w:w="1942" w:type="dxa"/>
          </w:tcPr>
          <w:p w:rsidR="008229BB" w:rsidRPr="00B3510E" w:rsidRDefault="008229BB" w:rsidP="0021214A">
            <w:pPr>
              <w:pStyle w:val="Tableheader"/>
              <w:rPr>
                <w:b w:val="0"/>
              </w:rPr>
            </w:pPr>
            <w:r w:rsidRPr="00B3510E">
              <w:t>Scenario</w:t>
            </w:r>
          </w:p>
        </w:tc>
        <w:tc>
          <w:tcPr>
            <w:tcW w:w="1436" w:type="dxa"/>
          </w:tcPr>
          <w:p w:rsidR="008229BB" w:rsidRPr="00B3510E" w:rsidRDefault="008229BB" w:rsidP="0021214A">
            <w:pPr>
              <w:pStyle w:val="Tableheader"/>
              <w:rPr>
                <w:b w:val="0"/>
              </w:rPr>
            </w:pPr>
            <w:r w:rsidRPr="00B3510E">
              <w:t>KMP</w:t>
            </w:r>
          </w:p>
        </w:tc>
        <w:tc>
          <w:tcPr>
            <w:tcW w:w="1641" w:type="dxa"/>
          </w:tcPr>
          <w:p w:rsidR="008229BB" w:rsidRPr="00B3510E" w:rsidRDefault="008229BB" w:rsidP="0021214A">
            <w:pPr>
              <w:pStyle w:val="Tableheader"/>
              <w:rPr>
                <w:b w:val="0"/>
              </w:rPr>
            </w:pPr>
            <w:r w:rsidRPr="00B3510E">
              <w:t>Related party</w:t>
            </w:r>
          </w:p>
        </w:tc>
        <w:tc>
          <w:tcPr>
            <w:tcW w:w="3969" w:type="dxa"/>
          </w:tcPr>
          <w:p w:rsidR="008229BB" w:rsidRPr="00B3510E" w:rsidRDefault="008229BB" w:rsidP="0021214A">
            <w:pPr>
              <w:pStyle w:val="Tableheader"/>
              <w:rPr>
                <w:b w:val="0"/>
              </w:rPr>
            </w:pPr>
            <w:r w:rsidRPr="00B3510E">
              <w:t>Whether information is required to be declared</w:t>
            </w:r>
          </w:p>
        </w:tc>
        <w:tc>
          <w:tcPr>
            <w:tcW w:w="1417" w:type="dxa"/>
          </w:tcPr>
          <w:p w:rsidR="008229BB" w:rsidRPr="00B3510E" w:rsidRDefault="008229BB" w:rsidP="0021214A">
            <w:pPr>
              <w:pStyle w:val="Tableheader"/>
              <w:rPr>
                <w:b w:val="0"/>
              </w:rPr>
            </w:pPr>
            <w:r w:rsidRPr="00B3510E">
              <w:t>Declaration required?</w:t>
            </w:r>
          </w:p>
        </w:tc>
        <w:tc>
          <w:tcPr>
            <w:tcW w:w="3544" w:type="dxa"/>
          </w:tcPr>
          <w:p w:rsidR="008229BB" w:rsidRPr="00B3510E" w:rsidRDefault="008229BB" w:rsidP="0021214A">
            <w:pPr>
              <w:pStyle w:val="Tableheader"/>
              <w:rPr>
                <w:b w:val="0"/>
              </w:rPr>
            </w:pPr>
            <w:r w:rsidRPr="00B3510E">
              <w:t>Information for KMP to disclose in their declaration checklist</w:t>
            </w:r>
          </w:p>
        </w:tc>
      </w:tr>
      <w:tr w:rsidR="008229BB" w:rsidRPr="00B3510E" w:rsidTr="00E16CBD">
        <w:trPr>
          <w:trHeight w:val="1101"/>
        </w:trPr>
        <w:tc>
          <w:tcPr>
            <w:tcW w:w="1942" w:type="dxa"/>
          </w:tcPr>
          <w:p w:rsidR="008229BB" w:rsidRPr="000539FE" w:rsidRDefault="008229BB" w:rsidP="0021214A">
            <w:pPr>
              <w:pStyle w:val="Tabletext"/>
            </w:pPr>
            <w:r>
              <w:t xml:space="preserve">Chairman’s daughter receives a student allowance. </w:t>
            </w:r>
          </w:p>
        </w:tc>
        <w:tc>
          <w:tcPr>
            <w:tcW w:w="1436" w:type="dxa"/>
          </w:tcPr>
          <w:p w:rsidR="008229BB" w:rsidRPr="000539FE" w:rsidRDefault="008229BB" w:rsidP="0021214A">
            <w:pPr>
              <w:pStyle w:val="Tabletext"/>
              <w:rPr>
                <w:sz w:val="18"/>
                <w:szCs w:val="18"/>
              </w:rPr>
            </w:pPr>
            <w:r>
              <w:rPr>
                <w:sz w:val="18"/>
                <w:szCs w:val="18"/>
              </w:rPr>
              <w:t>Chairman of the Board of a public sector entity</w:t>
            </w:r>
            <w:r w:rsidR="00E42B5E">
              <w:rPr>
                <w:sz w:val="18"/>
                <w:szCs w:val="18"/>
              </w:rPr>
              <w:t xml:space="preserve"> </w:t>
            </w:r>
          </w:p>
        </w:tc>
        <w:tc>
          <w:tcPr>
            <w:tcW w:w="1641" w:type="dxa"/>
          </w:tcPr>
          <w:p w:rsidR="008229BB" w:rsidRPr="000539FE" w:rsidRDefault="008229BB" w:rsidP="0021214A">
            <w:pPr>
              <w:pStyle w:val="Tabletext"/>
              <w:rPr>
                <w:sz w:val="18"/>
                <w:szCs w:val="18"/>
              </w:rPr>
            </w:pPr>
            <w:r>
              <w:rPr>
                <w:sz w:val="18"/>
                <w:szCs w:val="18"/>
              </w:rPr>
              <w:t xml:space="preserve">Daughter </w:t>
            </w:r>
          </w:p>
        </w:tc>
        <w:tc>
          <w:tcPr>
            <w:tcW w:w="3969" w:type="dxa"/>
          </w:tcPr>
          <w:p w:rsidR="008229BB" w:rsidRPr="00B3510E" w:rsidRDefault="008229BB" w:rsidP="0021214A">
            <w:pPr>
              <w:pStyle w:val="Tabletext"/>
              <w:rPr>
                <w:sz w:val="18"/>
                <w:szCs w:val="18"/>
              </w:rPr>
            </w:pPr>
            <w:r>
              <w:rPr>
                <w:sz w:val="18"/>
                <w:szCs w:val="18"/>
              </w:rPr>
              <w:t>Transactions that are typical citizen transactions are excluded from disclosure.</w:t>
            </w:r>
          </w:p>
        </w:tc>
        <w:tc>
          <w:tcPr>
            <w:tcW w:w="1417" w:type="dxa"/>
          </w:tcPr>
          <w:p w:rsidR="008229BB" w:rsidRPr="00B3510E" w:rsidRDefault="008229BB" w:rsidP="0021214A">
            <w:pPr>
              <w:pStyle w:val="Tabletext"/>
              <w:rPr>
                <w:sz w:val="18"/>
                <w:szCs w:val="18"/>
              </w:rPr>
            </w:pPr>
            <w:r w:rsidRPr="00B3510E">
              <w:rPr>
                <w:sz w:val="18"/>
                <w:szCs w:val="18"/>
              </w:rPr>
              <w:t>No</w:t>
            </w:r>
          </w:p>
        </w:tc>
        <w:tc>
          <w:tcPr>
            <w:tcW w:w="3544" w:type="dxa"/>
          </w:tcPr>
          <w:p w:rsidR="008229BB" w:rsidRPr="00B3510E" w:rsidRDefault="008229BB" w:rsidP="0021214A">
            <w:pPr>
              <w:pStyle w:val="Tabletext"/>
              <w:rPr>
                <w:sz w:val="18"/>
                <w:szCs w:val="18"/>
              </w:rPr>
            </w:pPr>
            <w:r w:rsidRPr="00B3510E">
              <w:rPr>
                <w:sz w:val="18"/>
                <w:szCs w:val="18"/>
              </w:rPr>
              <w:t xml:space="preserve">None. </w:t>
            </w:r>
          </w:p>
        </w:tc>
      </w:tr>
      <w:tr w:rsidR="008229BB" w:rsidRPr="00B3510E" w:rsidTr="00E16CBD">
        <w:trPr>
          <w:trHeight w:val="1243"/>
        </w:trPr>
        <w:tc>
          <w:tcPr>
            <w:tcW w:w="1942" w:type="dxa"/>
            <w:shd w:val="clear" w:color="auto" w:fill="E3EBF4" w:themeFill="accent3" w:themeFillTint="33"/>
          </w:tcPr>
          <w:p w:rsidR="008229BB" w:rsidRDefault="008229BB" w:rsidP="0021214A">
            <w:pPr>
              <w:pStyle w:val="Tabletext"/>
              <w:rPr>
                <w:sz w:val="18"/>
                <w:szCs w:val="18"/>
              </w:rPr>
            </w:pPr>
            <w:r>
              <w:rPr>
                <w:sz w:val="18"/>
                <w:szCs w:val="18"/>
              </w:rPr>
              <w:t>Deputy Secretary’s son’s company (XYZ Ltd) has a contract to provide web design services to DEDJTR.</w:t>
            </w:r>
          </w:p>
        </w:tc>
        <w:tc>
          <w:tcPr>
            <w:tcW w:w="1436" w:type="dxa"/>
            <w:shd w:val="clear" w:color="auto" w:fill="E3EBF4" w:themeFill="accent3" w:themeFillTint="33"/>
          </w:tcPr>
          <w:p w:rsidR="008229BB" w:rsidRPr="000539FE" w:rsidRDefault="008229BB" w:rsidP="0021214A">
            <w:pPr>
              <w:pStyle w:val="Tabletext"/>
              <w:rPr>
                <w:sz w:val="18"/>
                <w:szCs w:val="18"/>
              </w:rPr>
            </w:pPr>
            <w:r>
              <w:rPr>
                <w:sz w:val="18"/>
                <w:szCs w:val="18"/>
              </w:rPr>
              <w:t xml:space="preserve">Deputy </w:t>
            </w:r>
            <w:r w:rsidRPr="0026786D">
              <w:rPr>
                <w:sz w:val="18"/>
                <w:szCs w:val="18"/>
              </w:rPr>
              <w:t>Secretary</w:t>
            </w:r>
            <w:r>
              <w:rPr>
                <w:sz w:val="18"/>
                <w:szCs w:val="18"/>
              </w:rPr>
              <w:t xml:space="preserve"> of DEDJTR</w:t>
            </w:r>
          </w:p>
        </w:tc>
        <w:tc>
          <w:tcPr>
            <w:tcW w:w="1641" w:type="dxa"/>
            <w:shd w:val="clear" w:color="auto" w:fill="E3EBF4" w:themeFill="accent3" w:themeFillTint="33"/>
          </w:tcPr>
          <w:p w:rsidR="008229BB" w:rsidRPr="000539FE" w:rsidRDefault="008229BB" w:rsidP="0021214A">
            <w:pPr>
              <w:pStyle w:val="Tabletext"/>
              <w:rPr>
                <w:sz w:val="18"/>
                <w:szCs w:val="18"/>
              </w:rPr>
            </w:pPr>
            <w:r>
              <w:rPr>
                <w:sz w:val="18"/>
                <w:szCs w:val="18"/>
              </w:rPr>
              <w:t>XYZ Ltd.</w:t>
            </w:r>
          </w:p>
        </w:tc>
        <w:tc>
          <w:tcPr>
            <w:tcW w:w="8930" w:type="dxa"/>
            <w:gridSpan w:val="3"/>
            <w:shd w:val="clear" w:color="auto" w:fill="E3EBF4" w:themeFill="accent3" w:themeFillTint="33"/>
          </w:tcPr>
          <w:p w:rsidR="008229BB" w:rsidRDefault="008229BB" w:rsidP="0021214A">
            <w:pPr>
              <w:pStyle w:val="Tabletext"/>
              <w:rPr>
                <w:sz w:val="18"/>
                <w:szCs w:val="18"/>
              </w:rPr>
            </w:pPr>
            <w:r>
              <w:rPr>
                <w:sz w:val="18"/>
                <w:szCs w:val="18"/>
              </w:rPr>
              <w:t xml:space="preserve">The Deputy Secretary would need to consider where there is the ability for his son to influence, or be influenced by, the Deputy Secretary’s decisions. The rebuttable presumption is that the ability to influence exists. </w:t>
            </w:r>
          </w:p>
          <w:p w:rsidR="008229BB" w:rsidRPr="00B3510E" w:rsidRDefault="008229BB" w:rsidP="0021214A">
            <w:pPr>
              <w:pStyle w:val="Tabletext"/>
              <w:rPr>
                <w:sz w:val="18"/>
                <w:szCs w:val="18"/>
              </w:rPr>
            </w:pPr>
            <w:r>
              <w:rPr>
                <w:sz w:val="18"/>
                <w:szCs w:val="18"/>
              </w:rPr>
              <w:t>Scenarios A to C below are variations to this example to demonstrate when declaration would be required.</w:t>
            </w:r>
            <w:r w:rsidR="00E42B5E">
              <w:rPr>
                <w:sz w:val="18"/>
                <w:szCs w:val="18"/>
              </w:rPr>
              <w:t xml:space="preserve"> </w:t>
            </w:r>
          </w:p>
        </w:tc>
      </w:tr>
      <w:tr w:rsidR="008229BB" w:rsidRPr="00B3510E" w:rsidTr="00E16CBD">
        <w:trPr>
          <w:trHeight w:val="1243"/>
        </w:trPr>
        <w:tc>
          <w:tcPr>
            <w:tcW w:w="1942" w:type="dxa"/>
            <w:shd w:val="clear" w:color="auto" w:fill="E3EBF4" w:themeFill="accent3" w:themeFillTint="33"/>
          </w:tcPr>
          <w:p w:rsidR="008229BB" w:rsidRDefault="008229BB" w:rsidP="0021214A">
            <w:pPr>
              <w:pStyle w:val="Tabletext"/>
              <w:rPr>
                <w:sz w:val="18"/>
                <w:szCs w:val="18"/>
              </w:rPr>
            </w:pPr>
            <w:r w:rsidRPr="008D412D">
              <w:rPr>
                <w:b/>
                <w:sz w:val="18"/>
                <w:szCs w:val="18"/>
              </w:rPr>
              <w:t xml:space="preserve">Scenario </w:t>
            </w:r>
            <w:r>
              <w:rPr>
                <w:b/>
                <w:sz w:val="18"/>
                <w:szCs w:val="18"/>
              </w:rPr>
              <w:t>A</w:t>
            </w:r>
            <w:r w:rsidRPr="008D412D">
              <w:rPr>
                <w:b/>
                <w:sz w:val="18"/>
                <w:szCs w:val="18"/>
              </w:rPr>
              <w:t>:</w:t>
            </w:r>
            <w:r>
              <w:rPr>
                <w:i/>
                <w:sz w:val="18"/>
                <w:szCs w:val="18"/>
              </w:rPr>
              <w:t xml:space="preserve"> </w:t>
            </w:r>
            <w:r w:rsidRPr="008D412D">
              <w:rPr>
                <w:sz w:val="18"/>
                <w:szCs w:val="18"/>
              </w:rPr>
              <w:t xml:space="preserve">the son is a </w:t>
            </w:r>
            <w:r>
              <w:rPr>
                <w:sz w:val="18"/>
                <w:szCs w:val="18"/>
              </w:rPr>
              <w:t>junior employee of t</w:t>
            </w:r>
            <w:r w:rsidRPr="008D412D">
              <w:rPr>
                <w:sz w:val="18"/>
                <w:szCs w:val="18"/>
              </w:rPr>
              <w:t>he company</w:t>
            </w:r>
            <w:r>
              <w:rPr>
                <w:sz w:val="18"/>
                <w:szCs w:val="18"/>
              </w:rPr>
              <w:t>.</w:t>
            </w:r>
          </w:p>
        </w:tc>
        <w:tc>
          <w:tcPr>
            <w:tcW w:w="1436" w:type="dxa"/>
            <w:shd w:val="clear" w:color="auto" w:fill="E3EBF4" w:themeFill="accent3" w:themeFillTint="33"/>
          </w:tcPr>
          <w:p w:rsidR="008229BB" w:rsidRPr="0026786D" w:rsidRDefault="008229BB" w:rsidP="0021214A">
            <w:pPr>
              <w:pStyle w:val="Tabletext"/>
              <w:rPr>
                <w:sz w:val="18"/>
                <w:szCs w:val="18"/>
              </w:rPr>
            </w:pPr>
            <w:r>
              <w:rPr>
                <w:sz w:val="18"/>
                <w:szCs w:val="18"/>
              </w:rPr>
              <w:t xml:space="preserve">Deputy </w:t>
            </w:r>
            <w:r w:rsidRPr="0026786D">
              <w:rPr>
                <w:sz w:val="18"/>
                <w:szCs w:val="18"/>
              </w:rPr>
              <w:t>Secretary</w:t>
            </w:r>
            <w:r>
              <w:rPr>
                <w:sz w:val="18"/>
                <w:szCs w:val="18"/>
              </w:rPr>
              <w:t xml:space="preserve"> of DEDJTR</w:t>
            </w:r>
          </w:p>
        </w:tc>
        <w:tc>
          <w:tcPr>
            <w:tcW w:w="1641" w:type="dxa"/>
            <w:shd w:val="clear" w:color="auto" w:fill="E3EBF4" w:themeFill="accent3" w:themeFillTint="33"/>
          </w:tcPr>
          <w:p w:rsidR="008229BB" w:rsidRPr="0026786D" w:rsidRDefault="008229BB" w:rsidP="0021214A">
            <w:pPr>
              <w:pStyle w:val="Tabletext"/>
              <w:rPr>
                <w:sz w:val="18"/>
                <w:szCs w:val="18"/>
              </w:rPr>
            </w:pPr>
            <w:r w:rsidRPr="0026786D">
              <w:rPr>
                <w:sz w:val="18"/>
                <w:szCs w:val="18"/>
              </w:rPr>
              <w:t>XYZ Ltd.</w:t>
            </w:r>
          </w:p>
        </w:tc>
        <w:tc>
          <w:tcPr>
            <w:tcW w:w="3969" w:type="dxa"/>
            <w:shd w:val="clear" w:color="auto" w:fill="E3EBF4" w:themeFill="accent3" w:themeFillTint="33"/>
          </w:tcPr>
          <w:p w:rsidR="008229BB" w:rsidRDefault="008229BB" w:rsidP="0021214A">
            <w:pPr>
              <w:pStyle w:val="Tabletext"/>
              <w:rPr>
                <w:sz w:val="18"/>
                <w:szCs w:val="18"/>
              </w:rPr>
            </w:pPr>
            <w:r>
              <w:rPr>
                <w:sz w:val="18"/>
                <w:szCs w:val="18"/>
              </w:rPr>
              <w:t>The Deputy Secretary’s son is not in a position to influence/direct the activities of the company.</w:t>
            </w:r>
          </w:p>
          <w:p w:rsidR="008229BB" w:rsidRDefault="008229BB" w:rsidP="0021214A">
            <w:pPr>
              <w:pStyle w:val="Tabletext"/>
              <w:rPr>
                <w:sz w:val="18"/>
                <w:szCs w:val="18"/>
              </w:rPr>
            </w:pPr>
            <w:r>
              <w:rPr>
                <w:sz w:val="18"/>
                <w:szCs w:val="18"/>
              </w:rPr>
              <w:t>No perceived ability for this relationship to influence transactions.</w:t>
            </w:r>
            <w:r w:rsidR="00E42B5E">
              <w:rPr>
                <w:sz w:val="18"/>
                <w:szCs w:val="18"/>
              </w:rPr>
              <w:t xml:space="preserve"> </w:t>
            </w:r>
            <w:r>
              <w:rPr>
                <w:sz w:val="18"/>
                <w:szCs w:val="18"/>
              </w:rPr>
              <w:t xml:space="preserve"> </w:t>
            </w:r>
          </w:p>
        </w:tc>
        <w:tc>
          <w:tcPr>
            <w:tcW w:w="1417" w:type="dxa"/>
            <w:shd w:val="clear" w:color="auto" w:fill="E3EBF4" w:themeFill="accent3" w:themeFillTint="33"/>
          </w:tcPr>
          <w:p w:rsidR="008229BB" w:rsidRPr="00B3510E" w:rsidRDefault="008229BB" w:rsidP="0021214A">
            <w:pPr>
              <w:pStyle w:val="Tabletext"/>
              <w:rPr>
                <w:sz w:val="18"/>
                <w:szCs w:val="18"/>
              </w:rPr>
            </w:pPr>
            <w:r w:rsidRPr="00B3510E">
              <w:rPr>
                <w:sz w:val="18"/>
                <w:szCs w:val="18"/>
              </w:rPr>
              <w:t>No</w:t>
            </w:r>
          </w:p>
        </w:tc>
        <w:tc>
          <w:tcPr>
            <w:tcW w:w="3544" w:type="dxa"/>
            <w:shd w:val="clear" w:color="auto" w:fill="E3EBF4" w:themeFill="accent3" w:themeFillTint="33"/>
          </w:tcPr>
          <w:p w:rsidR="008229BB" w:rsidRPr="00B3510E" w:rsidRDefault="008229BB" w:rsidP="0021214A">
            <w:pPr>
              <w:pStyle w:val="Tabletext"/>
              <w:rPr>
                <w:sz w:val="18"/>
                <w:szCs w:val="18"/>
              </w:rPr>
            </w:pPr>
            <w:r w:rsidRPr="00B3510E">
              <w:rPr>
                <w:sz w:val="18"/>
                <w:szCs w:val="18"/>
              </w:rPr>
              <w:t xml:space="preserve">None. </w:t>
            </w:r>
          </w:p>
        </w:tc>
      </w:tr>
      <w:tr w:rsidR="008229BB" w:rsidRPr="00B3510E" w:rsidTr="00E16CBD">
        <w:trPr>
          <w:trHeight w:val="1243"/>
        </w:trPr>
        <w:tc>
          <w:tcPr>
            <w:tcW w:w="1942" w:type="dxa"/>
            <w:shd w:val="clear" w:color="auto" w:fill="E3EBF4" w:themeFill="accent3" w:themeFillTint="33"/>
          </w:tcPr>
          <w:p w:rsidR="008229BB" w:rsidRPr="008D412D" w:rsidRDefault="008229BB" w:rsidP="0021214A">
            <w:pPr>
              <w:pStyle w:val="Tabletext"/>
              <w:rPr>
                <w:b/>
                <w:sz w:val="18"/>
                <w:szCs w:val="18"/>
              </w:rPr>
            </w:pPr>
            <w:r w:rsidRPr="008D412D">
              <w:rPr>
                <w:b/>
                <w:sz w:val="18"/>
                <w:szCs w:val="18"/>
              </w:rPr>
              <w:t xml:space="preserve">Scenario </w:t>
            </w:r>
            <w:r>
              <w:rPr>
                <w:b/>
                <w:sz w:val="18"/>
                <w:szCs w:val="18"/>
              </w:rPr>
              <w:t>B</w:t>
            </w:r>
            <w:r w:rsidRPr="008D412D">
              <w:rPr>
                <w:b/>
                <w:sz w:val="18"/>
                <w:szCs w:val="18"/>
              </w:rPr>
              <w:t>:</w:t>
            </w:r>
            <w:r>
              <w:rPr>
                <w:i/>
                <w:sz w:val="18"/>
                <w:szCs w:val="18"/>
              </w:rPr>
              <w:t xml:space="preserve"> </w:t>
            </w:r>
            <w:r w:rsidRPr="008D412D">
              <w:rPr>
                <w:sz w:val="18"/>
                <w:szCs w:val="18"/>
              </w:rPr>
              <w:t>the son is a HR Executive of the company</w:t>
            </w:r>
            <w:r>
              <w:rPr>
                <w:sz w:val="18"/>
                <w:szCs w:val="18"/>
              </w:rPr>
              <w:t>.</w:t>
            </w:r>
          </w:p>
        </w:tc>
        <w:tc>
          <w:tcPr>
            <w:tcW w:w="1436" w:type="dxa"/>
            <w:shd w:val="clear" w:color="auto" w:fill="E3EBF4" w:themeFill="accent3" w:themeFillTint="33"/>
          </w:tcPr>
          <w:p w:rsidR="008229BB" w:rsidRPr="0026786D" w:rsidRDefault="008229BB" w:rsidP="0021214A">
            <w:pPr>
              <w:pStyle w:val="Tabletext"/>
              <w:rPr>
                <w:sz w:val="18"/>
                <w:szCs w:val="18"/>
              </w:rPr>
            </w:pPr>
            <w:r>
              <w:rPr>
                <w:sz w:val="18"/>
                <w:szCs w:val="18"/>
              </w:rPr>
              <w:t xml:space="preserve">Deputy </w:t>
            </w:r>
            <w:r w:rsidRPr="0026786D">
              <w:rPr>
                <w:sz w:val="18"/>
                <w:szCs w:val="18"/>
              </w:rPr>
              <w:t>Secretary</w:t>
            </w:r>
            <w:r>
              <w:rPr>
                <w:sz w:val="18"/>
                <w:szCs w:val="18"/>
              </w:rPr>
              <w:t xml:space="preserve"> of DEDJTR</w:t>
            </w:r>
          </w:p>
        </w:tc>
        <w:tc>
          <w:tcPr>
            <w:tcW w:w="1641" w:type="dxa"/>
            <w:shd w:val="clear" w:color="auto" w:fill="E3EBF4" w:themeFill="accent3" w:themeFillTint="33"/>
          </w:tcPr>
          <w:p w:rsidR="008229BB" w:rsidRPr="0026786D" w:rsidRDefault="008229BB" w:rsidP="0021214A">
            <w:pPr>
              <w:pStyle w:val="Tabletext"/>
              <w:rPr>
                <w:sz w:val="18"/>
                <w:szCs w:val="18"/>
              </w:rPr>
            </w:pPr>
            <w:r w:rsidRPr="0026786D">
              <w:rPr>
                <w:sz w:val="18"/>
                <w:szCs w:val="18"/>
              </w:rPr>
              <w:t>XYZ Ltd.</w:t>
            </w:r>
          </w:p>
        </w:tc>
        <w:tc>
          <w:tcPr>
            <w:tcW w:w="3969" w:type="dxa"/>
            <w:shd w:val="clear" w:color="auto" w:fill="E3EBF4" w:themeFill="accent3" w:themeFillTint="33"/>
          </w:tcPr>
          <w:p w:rsidR="008229BB" w:rsidRDefault="008229BB" w:rsidP="0021214A">
            <w:pPr>
              <w:pStyle w:val="Tabletext"/>
              <w:rPr>
                <w:sz w:val="18"/>
                <w:szCs w:val="18"/>
              </w:rPr>
            </w:pPr>
            <w:r>
              <w:rPr>
                <w:sz w:val="18"/>
                <w:szCs w:val="18"/>
              </w:rPr>
              <w:t xml:space="preserve">The Deputy Secretary’s son is in a senior position within the HR department, but has no influence over the web design services provided to the department. </w:t>
            </w:r>
          </w:p>
          <w:p w:rsidR="008229BB" w:rsidRDefault="008229BB" w:rsidP="0021214A">
            <w:pPr>
              <w:pStyle w:val="Tabletext"/>
              <w:rPr>
                <w:sz w:val="18"/>
                <w:szCs w:val="18"/>
              </w:rPr>
            </w:pPr>
            <w:r>
              <w:rPr>
                <w:sz w:val="18"/>
                <w:szCs w:val="18"/>
              </w:rPr>
              <w:t>There is no perceived ability for this relationship to influence transactions between the company and the department.</w:t>
            </w:r>
          </w:p>
        </w:tc>
        <w:tc>
          <w:tcPr>
            <w:tcW w:w="1417" w:type="dxa"/>
            <w:shd w:val="clear" w:color="auto" w:fill="E3EBF4" w:themeFill="accent3" w:themeFillTint="33"/>
          </w:tcPr>
          <w:p w:rsidR="008229BB" w:rsidRPr="00B3510E" w:rsidRDefault="008229BB" w:rsidP="0021214A">
            <w:pPr>
              <w:pStyle w:val="Tabletext"/>
              <w:rPr>
                <w:sz w:val="18"/>
                <w:szCs w:val="18"/>
              </w:rPr>
            </w:pPr>
            <w:r w:rsidRPr="00B3510E">
              <w:rPr>
                <w:sz w:val="18"/>
                <w:szCs w:val="18"/>
              </w:rPr>
              <w:t>No</w:t>
            </w:r>
          </w:p>
        </w:tc>
        <w:tc>
          <w:tcPr>
            <w:tcW w:w="3544" w:type="dxa"/>
            <w:shd w:val="clear" w:color="auto" w:fill="E3EBF4" w:themeFill="accent3" w:themeFillTint="33"/>
          </w:tcPr>
          <w:p w:rsidR="008229BB" w:rsidRPr="00B3510E" w:rsidRDefault="008229BB" w:rsidP="0021214A">
            <w:pPr>
              <w:pStyle w:val="Tabletext"/>
              <w:rPr>
                <w:sz w:val="18"/>
                <w:szCs w:val="18"/>
              </w:rPr>
            </w:pPr>
            <w:r w:rsidRPr="00B3510E">
              <w:rPr>
                <w:sz w:val="18"/>
                <w:szCs w:val="18"/>
              </w:rPr>
              <w:t xml:space="preserve">None. </w:t>
            </w:r>
          </w:p>
        </w:tc>
      </w:tr>
      <w:tr w:rsidR="00E16CBD" w:rsidRPr="00B3510E" w:rsidTr="00E16CBD">
        <w:trPr>
          <w:trHeight w:val="1101"/>
        </w:trPr>
        <w:tc>
          <w:tcPr>
            <w:tcW w:w="1942" w:type="dxa"/>
            <w:shd w:val="clear" w:color="auto" w:fill="E3EBF4" w:themeFill="accent3" w:themeFillTint="33"/>
          </w:tcPr>
          <w:p w:rsidR="001B14FD" w:rsidRPr="000539FE" w:rsidRDefault="001B14FD" w:rsidP="00E16CBD">
            <w:pPr>
              <w:pStyle w:val="Tabletext"/>
              <w:pageBreakBefore/>
            </w:pPr>
            <w:r w:rsidRPr="008D412D">
              <w:rPr>
                <w:b/>
              </w:rPr>
              <w:t xml:space="preserve">Scenario </w:t>
            </w:r>
            <w:r>
              <w:rPr>
                <w:b/>
              </w:rPr>
              <w:t>C</w:t>
            </w:r>
            <w:r w:rsidRPr="008D412D">
              <w:rPr>
                <w:b/>
              </w:rPr>
              <w:t>:</w:t>
            </w:r>
            <w:r>
              <w:rPr>
                <w:i/>
              </w:rPr>
              <w:t xml:space="preserve"> </w:t>
            </w:r>
            <w:r w:rsidRPr="008D412D">
              <w:t xml:space="preserve">the son </w:t>
            </w:r>
            <w:r>
              <w:t>owns the company.</w:t>
            </w:r>
          </w:p>
        </w:tc>
        <w:tc>
          <w:tcPr>
            <w:tcW w:w="1436" w:type="dxa"/>
            <w:shd w:val="clear" w:color="auto" w:fill="E3EBF4" w:themeFill="accent3" w:themeFillTint="33"/>
          </w:tcPr>
          <w:p w:rsidR="001B14FD" w:rsidRPr="0026786D" w:rsidRDefault="001B14FD" w:rsidP="0021214A">
            <w:pPr>
              <w:pStyle w:val="Tabletext"/>
            </w:pPr>
            <w:r>
              <w:t xml:space="preserve">Deputy </w:t>
            </w:r>
            <w:r w:rsidRPr="0026786D">
              <w:t>Secretary</w:t>
            </w:r>
            <w:r>
              <w:t xml:space="preserve"> of DEDJTR</w:t>
            </w:r>
          </w:p>
        </w:tc>
        <w:tc>
          <w:tcPr>
            <w:tcW w:w="1641" w:type="dxa"/>
            <w:shd w:val="clear" w:color="auto" w:fill="E3EBF4" w:themeFill="accent3" w:themeFillTint="33"/>
          </w:tcPr>
          <w:p w:rsidR="001B14FD" w:rsidRPr="0026786D" w:rsidRDefault="001B14FD" w:rsidP="0021214A">
            <w:pPr>
              <w:pStyle w:val="Tabletext"/>
            </w:pPr>
            <w:r w:rsidRPr="0026786D">
              <w:t>XYZ Ltd.</w:t>
            </w:r>
          </w:p>
        </w:tc>
        <w:tc>
          <w:tcPr>
            <w:tcW w:w="3969" w:type="dxa"/>
            <w:shd w:val="clear" w:color="auto" w:fill="E3EBF4" w:themeFill="accent3" w:themeFillTint="33"/>
          </w:tcPr>
          <w:p w:rsidR="001B14FD" w:rsidRDefault="001B14FD" w:rsidP="0021214A">
            <w:pPr>
              <w:pStyle w:val="Tabletext"/>
            </w:pPr>
            <w:r>
              <w:t>The Deputy Secretary’s son has control to direct or influence the activities of the company.</w:t>
            </w:r>
          </w:p>
          <w:p w:rsidR="001B14FD" w:rsidRPr="0026786D" w:rsidRDefault="001B14FD" w:rsidP="0021214A">
            <w:pPr>
              <w:pStyle w:val="Tabletext"/>
            </w:pPr>
            <w:r>
              <w:t xml:space="preserve">Perceived ability for this relationship to influence transactions between the company and the </w:t>
            </w:r>
            <w:r>
              <w:lastRenderedPageBreak/>
              <w:t>department.</w:t>
            </w:r>
          </w:p>
        </w:tc>
        <w:tc>
          <w:tcPr>
            <w:tcW w:w="1417" w:type="dxa"/>
            <w:shd w:val="clear" w:color="auto" w:fill="E3EBF4" w:themeFill="accent3" w:themeFillTint="33"/>
          </w:tcPr>
          <w:p w:rsidR="001B14FD" w:rsidRPr="00B3510E" w:rsidRDefault="001B14FD" w:rsidP="0021214A">
            <w:pPr>
              <w:pStyle w:val="Tabletext"/>
            </w:pPr>
            <w:r>
              <w:lastRenderedPageBreak/>
              <w:t>Yes</w:t>
            </w:r>
          </w:p>
        </w:tc>
        <w:tc>
          <w:tcPr>
            <w:tcW w:w="3544" w:type="dxa"/>
            <w:shd w:val="clear" w:color="auto" w:fill="E3EBF4" w:themeFill="accent3" w:themeFillTint="33"/>
          </w:tcPr>
          <w:p w:rsidR="001B14FD" w:rsidRDefault="001B14FD" w:rsidP="0021214A">
            <w:pPr>
              <w:pStyle w:val="Tabletext"/>
            </w:pPr>
            <w:r>
              <w:t xml:space="preserve">The KMP would need to declare: </w:t>
            </w:r>
          </w:p>
          <w:p w:rsidR="001B14FD" w:rsidRPr="00D93155" w:rsidRDefault="001B14FD" w:rsidP="0021214A">
            <w:pPr>
              <w:pStyle w:val="Tablebullet"/>
            </w:pPr>
            <w:r>
              <w:t>the t</w:t>
            </w:r>
            <w:r w:rsidRPr="00D93155">
              <w:t>erms and conditions of the contract</w:t>
            </w:r>
            <w:r>
              <w:t xml:space="preserve"> </w:t>
            </w:r>
          </w:p>
          <w:p w:rsidR="001B14FD" w:rsidRDefault="001B14FD" w:rsidP="0021214A">
            <w:pPr>
              <w:pStyle w:val="Tablebullet"/>
            </w:pPr>
            <w:r w:rsidRPr="00D93155">
              <w:t xml:space="preserve">the total value of transactions incurred and amounts outstanding in the current </w:t>
            </w:r>
            <w:r w:rsidRPr="00D93155">
              <w:lastRenderedPageBreak/>
              <w:t xml:space="preserve">period; and </w:t>
            </w:r>
          </w:p>
          <w:p w:rsidR="001B14FD" w:rsidRPr="001B14FD" w:rsidRDefault="001B14FD" w:rsidP="0021214A">
            <w:pPr>
              <w:pStyle w:val="Tablebullet"/>
            </w:pPr>
            <w:r w:rsidRPr="001B14FD">
              <w:t>any amounts committed for future periods.</w:t>
            </w:r>
          </w:p>
        </w:tc>
      </w:tr>
      <w:tr w:rsidR="001B14FD" w:rsidRPr="00B3510E" w:rsidTr="00E16CBD">
        <w:trPr>
          <w:trHeight w:val="1101"/>
        </w:trPr>
        <w:tc>
          <w:tcPr>
            <w:tcW w:w="1942" w:type="dxa"/>
          </w:tcPr>
          <w:p w:rsidR="001B14FD" w:rsidRPr="008D412D" w:rsidRDefault="001B14FD" w:rsidP="0021214A">
            <w:pPr>
              <w:pStyle w:val="Tabletext"/>
              <w:rPr>
                <w:b/>
              </w:rPr>
            </w:pPr>
            <w:r w:rsidRPr="0052693C">
              <w:t xml:space="preserve">Minister’s daughter-in-law’s company (RST Ltd) provides IT equipment </w:t>
            </w:r>
            <w:r w:rsidR="0021214A">
              <w:t xml:space="preserve">to DTF. </w:t>
            </w:r>
          </w:p>
        </w:tc>
        <w:tc>
          <w:tcPr>
            <w:tcW w:w="1436" w:type="dxa"/>
          </w:tcPr>
          <w:p w:rsidR="001B14FD" w:rsidRDefault="001B14FD" w:rsidP="0021214A">
            <w:pPr>
              <w:pStyle w:val="Tabletext"/>
            </w:pPr>
            <w:r w:rsidRPr="00987252">
              <w:t>Port</w:t>
            </w:r>
            <w:r>
              <w:t>folio Minister of DELWP and also member of Cabinet</w:t>
            </w:r>
          </w:p>
        </w:tc>
        <w:tc>
          <w:tcPr>
            <w:tcW w:w="1641" w:type="dxa"/>
          </w:tcPr>
          <w:p w:rsidR="001B14FD" w:rsidRPr="0026786D" w:rsidRDefault="001B14FD" w:rsidP="0021214A">
            <w:pPr>
              <w:pStyle w:val="Tabletext"/>
            </w:pPr>
            <w:r>
              <w:t>RST Ltd.</w:t>
            </w:r>
          </w:p>
        </w:tc>
        <w:tc>
          <w:tcPr>
            <w:tcW w:w="8930" w:type="dxa"/>
            <w:gridSpan w:val="3"/>
          </w:tcPr>
          <w:p w:rsidR="001B14FD" w:rsidRDefault="001B14FD" w:rsidP="0021214A">
            <w:pPr>
              <w:pStyle w:val="Tabletext"/>
            </w:pPr>
            <w:r>
              <w:t xml:space="preserve">While not considered a direct family member, regard must be given to other family relationships that may be expected to influence, or be influenced by, the KMP’s decisions. </w:t>
            </w:r>
          </w:p>
          <w:p w:rsidR="001B14FD" w:rsidRDefault="001B14FD" w:rsidP="0021214A">
            <w:pPr>
              <w:pStyle w:val="Tabletext"/>
            </w:pPr>
            <w:r>
              <w:t xml:space="preserve">In this example the Minister’s daughter-in-law can direct or influence the activities of the company, therefore there is a perceived ability for this relationship to influence transactions. </w:t>
            </w:r>
          </w:p>
          <w:p w:rsidR="001B14FD" w:rsidRDefault="001B14FD" w:rsidP="0021214A">
            <w:pPr>
              <w:pStyle w:val="Tabletext"/>
            </w:pPr>
            <w:r>
              <w:t>Scenarios A and B below are variations to the nature of the contract negotiated in this example to demonstrate when declaration would be required.</w:t>
            </w:r>
            <w:r w:rsidR="00E42B5E">
              <w:t xml:space="preserve"> </w:t>
            </w:r>
          </w:p>
        </w:tc>
      </w:tr>
      <w:tr w:rsidR="001B14FD" w:rsidRPr="00B3510E" w:rsidTr="00E16CBD">
        <w:trPr>
          <w:trHeight w:val="1101"/>
        </w:trPr>
        <w:tc>
          <w:tcPr>
            <w:tcW w:w="1942" w:type="dxa"/>
          </w:tcPr>
          <w:p w:rsidR="001B14FD" w:rsidRPr="0052693C" w:rsidRDefault="001B14FD" w:rsidP="0021214A">
            <w:pPr>
              <w:pStyle w:val="Tabletext"/>
            </w:pPr>
            <w:r w:rsidRPr="008D412D">
              <w:rPr>
                <w:b/>
              </w:rPr>
              <w:t xml:space="preserve">Scenario </w:t>
            </w:r>
            <w:r>
              <w:rPr>
                <w:b/>
              </w:rPr>
              <w:t>A</w:t>
            </w:r>
            <w:r w:rsidRPr="008D412D">
              <w:rPr>
                <w:b/>
              </w:rPr>
              <w:t>:</w:t>
            </w:r>
            <w:r>
              <w:rPr>
                <w:b/>
              </w:rPr>
              <w:t xml:space="preserve"> </w:t>
            </w:r>
            <w:r w:rsidRPr="00011DC0">
              <w:t>the</w:t>
            </w:r>
            <w:r w:rsidRPr="00011DC0">
              <w:rPr>
                <w:i/>
              </w:rPr>
              <w:t xml:space="preserve"> </w:t>
            </w:r>
            <w:r w:rsidRPr="00011DC0">
              <w:t>IT equipment</w:t>
            </w:r>
            <w:r>
              <w:t xml:space="preserve"> is provided </w:t>
            </w:r>
            <w:r w:rsidRPr="00011DC0">
              <w:t>under a standard contract of $6</w:t>
            </w:r>
            <w:r>
              <w:t>0</w:t>
            </w:r>
            <w:r w:rsidR="00E42B5E">
              <w:t> </w:t>
            </w:r>
            <w:r w:rsidRPr="00011DC0">
              <w:t>000 for a term of 3 years.</w:t>
            </w:r>
          </w:p>
        </w:tc>
        <w:tc>
          <w:tcPr>
            <w:tcW w:w="1436" w:type="dxa"/>
          </w:tcPr>
          <w:p w:rsidR="001B14FD" w:rsidRPr="0026786D" w:rsidRDefault="001B14FD" w:rsidP="0021214A">
            <w:pPr>
              <w:pStyle w:val="Tabletext"/>
            </w:pPr>
            <w:r w:rsidRPr="00987252">
              <w:t>Port</w:t>
            </w:r>
            <w:r>
              <w:t>folio Minister of DELWP and also member of Cabinet</w:t>
            </w:r>
          </w:p>
        </w:tc>
        <w:tc>
          <w:tcPr>
            <w:tcW w:w="1641" w:type="dxa"/>
          </w:tcPr>
          <w:p w:rsidR="001B14FD" w:rsidRPr="0026786D" w:rsidRDefault="001B14FD" w:rsidP="0021214A">
            <w:pPr>
              <w:pStyle w:val="Tabletext"/>
            </w:pPr>
            <w:r>
              <w:t>RST</w:t>
            </w:r>
            <w:r w:rsidRPr="0026786D">
              <w:t xml:space="preserve"> Ltd.</w:t>
            </w:r>
          </w:p>
        </w:tc>
        <w:tc>
          <w:tcPr>
            <w:tcW w:w="3969" w:type="dxa"/>
          </w:tcPr>
          <w:p w:rsidR="001B14FD" w:rsidRDefault="001B14FD" w:rsidP="0021214A">
            <w:pPr>
              <w:pStyle w:val="Tabletext"/>
            </w:pPr>
            <w:r>
              <w:t>The Minister has opted to apply the disclosure threshold of $100</w:t>
            </w:r>
            <w:r w:rsidR="00E42B5E">
              <w:t> </w:t>
            </w:r>
            <w:r>
              <w:t xml:space="preserve">000 as the contract has standard terms and conditions of the State, and </w:t>
            </w:r>
            <w:r w:rsidR="00E42B5E">
              <w:t>the total contract value of $60 </w:t>
            </w:r>
            <w:r>
              <w:t>000 is below the $100</w:t>
            </w:r>
            <w:r w:rsidR="00E42B5E">
              <w:t> </w:t>
            </w:r>
            <w:r>
              <w:t>000 threshold.</w:t>
            </w:r>
            <w:r w:rsidR="00E42B5E">
              <w:t xml:space="preserve"> </w:t>
            </w:r>
          </w:p>
          <w:p w:rsidR="001B14FD" w:rsidRDefault="001B14FD" w:rsidP="0021214A">
            <w:pPr>
              <w:pStyle w:val="Tabletext"/>
            </w:pPr>
            <w:r w:rsidRPr="00503DA3">
              <w:rPr>
                <w:b/>
              </w:rPr>
              <w:t>Note</w:t>
            </w:r>
            <w:r>
              <w:t xml:space="preserve"> that the minister may declare the transaction if he/she wishes.</w:t>
            </w:r>
          </w:p>
        </w:tc>
        <w:tc>
          <w:tcPr>
            <w:tcW w:w="1417" w:type="dxa"/>
          </w:tcPr>
          <w:p w:rsidR="001B14FD" w:rsidRDefault="001B14FD" w:rsidP="0021214A">
            <w:pPr>
              <w:pStyle w:val="Tabletext"/>
            </w:pPr>
            <w:r>
              <w:t>No</w:t>
            </w:r>
          </w:p>
        </w:tc>
        <w:tc>
          <w:tcPr>
            <w:tcW w:w="3544" w:type="dxa"/>
          </w:tcPr>
          <w:p w:rsidR="001B14FD" w:rsidRDefault="001B14FD" w:rsidP="0021214A">
            <w:pPr>
              <w:pStyle w:val="Tabletext"/>
            </w:pPr>
            <w:r>
              <w:t xml:space="preserve">None. </w:t>
            </w:r>
          </w:p>
        </w:tc>
      </w:tr>
      <w:tr w:rsidR="001B14FD" w:rsidRPr="00B3510E" w:rsidTr="00E16CBD">
        <w:trPr>
          <w:trHeight w:val="1101"/>
        </w:trPr>
        <w:tc>
          <w:tcPr>
            <w:tcW w:w="1942" w:type="dxa"/>
          </w:tcPr>
          <w:p w:rsidR="001B14FD" w:rsidRPr="008D412D" w:rsidRDefault="001B14FD" w:rsidP="0021214A">
            <w:pPr>
              <w:pStyle w:val="Tabletext"/>
              <w:rPr>
                <w:b/>
              </w:rPr>
            </w:pPr>
            <w:r w:rsidRPr="008D412D">
              <w:rPr>
                <w:b/>
              </w:rPr>
              <w:t xml:space="preserve">Scenario </w:t>
            </w:r>
            <w:r>
              <w:rPr>
                <w:b/>
              </w:rPr>
              <w:t>B</w:t>
            </w:r>
            <w:r w:rsidRPr="008D412D">
              <w:rPr>
                <w:b/>
              </w:rPr>
              <w:t>:</w:t>
            </w:r>
            <w:r>
              <w:rPr>
                <w:i/>
              </w:rPr>
              <w:t xml:space="preserve"> </w:t>
            </w:r>
            <w:r w:rsidRPr="00011DC0">
              <w:t>the</w:t>
            </w:r>
            <w:r w:rsidRPr="00011DC0">
              <w:rPr>
                <w:i/>
              </w:rPr>
              <w:t xml:space="preserve"> </w:t>
            </w:r>
            <w:r w:rsidRPr="00011DC0">
              <w:t>IT equipment</w:t>
            </w:r>
            <w:r>
              <w:t xml:space="preserve"> is provided under non-</w:t>
            </w:r>
            <w:r w:rsidRPr="00011DC0">
              <w:t xml:space="preserve">standard contract </w:t>
            </w:r>
            <w:r>
              <w:t>terms.</w:t>
            </w:r>
          </w:p>
        </w:tc>
        <w:tc>
          <w:tcPr>
            <w:tcW w:w="1436" w:type="dxa"/>
          </w:tcPr>
          <w:p w:rsidR="00351861" w:rsidRPr="0021214A" w:rsidRDefault="001B14FD" w:rsidP="0021214A">
            <w:pPr>
              <w:pStyle w:val="Tabletext"/>
              <w:rPr>
                <w:vertAlign w:val="superscript"/>
              </w:rPr>
            </w:pPr>
            <w:r w:rsidRPr="00987252">
              <w:t>Port</w:t>
            </w:r>
            <w:r>
              <w:t>folio Minister of DELWP and also member of Cabinet</w:t>
            </w:r>
          </w:p>
        </w:tc>
        <w:tc>
          <w:tcPr>
            <w:tcW w:w="1641" w:type="dxa"/>
          </w:tcPr>
          <w:p w:rsidR="001B14FD" w:rsidRPr="0026786D" w:rsidRDefault="001B14FD" w:rsidP="0021214A">
            <w:pPr>
              <w:pStyle w:val="Tabletext"/>
            </w:pPr>
            <w:r>
              <w:t>RST Ltd.</w:t>
            </w:r>
          </w:p>
        </w:tc>
        <w:tc>
          <w:tcPr>
            <w:tcW w:w="3969" w:type="dxa"/>
          </w:tcPr>
          <w:p w:rsidR="001B14FD" w:rsidRDefault="001B14FD" w:rsidP="0021214A">
            <w:pPr>
              <w:pStyle w:val="Tabletext"/>
            </w:pPr>
            <w:r>
              <w:t xml:space="preserve">Varied/negotiated terms that are more favourable then would be generally contracted with other suppliers. </w:t>
            </w:r>
          </w:p>
          <w:p w:rsidR="001B14FD" w:rsidRDefault="001B14FD" w:rsidP="0021214A">
            <w:pPr>
              <w:pStyle w:val="Tabletext"/>
            </w:pPr>
            <w:r>
              <w:t xml:space="preserve">Perceived advantage in acquiring contract due to the existence of this related party relationship. </w:t>
            </w:r>
          </w:p>
          <w:p w:rsidR="001B14FD" w:rsidRDefault="001B14FD" w:rsidP="0021214A">
            <w:pPr>
              <w:pStyle w:val="Tabletext"/>
            </w:pPr>
            <w:r>
              <w:t>No threshold applies – disclosure is required for all such contracts regardless of the financial amounts.</w:t>
            </w:r>
          </w:p>
        </w:tc>
        <w:tc>
          <w:tcPr>
            <w:tcW w:w="1417" w:type="dxa"/>
          </w:tcPr>
          <w:p w:rsidR="001B14FD" w:rsidRDefault="001B14FD" w:rsidP="0021214A">
            <w:pPr>
              <w:pStyle w:val="Tabletext"/>
            </w:pPr>
            <w:r>
              <w:t>Yes</w:t>
            </w:r>
          </w:p>
        </w:tc>
        <w:tc>
          <w:tcPr>
            <w:tcW w:w="3544" w:type="dxa"/>
          </w:tcPr>
          <w:p w:rsidR="001B14FD" w:rsidRDefault="001B14FD" w:rsidP="0021214A">
            <w:pPr>
              <w:pStyle w:val="Tabletext"/>
            </w:pPr>
            <w:r>
              <w:t xml:space="preserve">The KMP would need to declare: </w:t>
            </w:r>
          </w:p>
          <w:p w:rsidR="001B14FD" w:rsidRPr="00D93155" w:rsidRDefault="001B14FD" w:rsidP="0021214A">
            <w:pPr>
              <w:pStyle w:val="Tablebullet"/>
            </w:pPr>
            <w:r>
              <w:t>the t</w:t>
            </w:r>
            <w:r w:rsidRPr="00D93155">
              <w:t>erms and conditions of the contract</w:t>
            </w:r>
            <w:r>
              <w:t xml:space="preserve"> </w:t>
            </w:r>
          </w:p>
          <w:p w:rsidR="001B14FD" w:rsidRDefault="001B14FD" w:rsidP="0021214A">
            <w:pPr>
              <w:pStyle w:val="Tablebullet"/>
            </w:pPr>
            <w:r w:rsidRPr="00D93155">
              <w:t xml:space="preserve">the total value of transactions incurred and amounts outstanding in the current period; and </w:t>
            </w:r>
          </w:p>
          <w:p w:rsidR="001B14FD" w:rsidRPr="001B14FD" w:rsidRDefault="001B14FD" w:rsidP="0021214A">
            <w:pPr>
              <w:pStyle w:val="Tablebullet"/>
            </w:pPr>
            <w:r w:rsidRPr="001B14FD">
              <w:t>any amounts committed for future periods.</w:t>
            </w:r>
          </w:p>
        </w:tc>
      </w:tr>
    </w:tbl>
    <w:p w:rsidR="001B14FD" w:rsidRDefault="001B14FD" w:rsidP="0021214A"/>
    <w:sectPr w:rsidR="001B14FD" w:rsidSect="0055344F">
      <w:type w:val="continuous"/>
      <w:pgSz w:w="16838" w:h="11906" w:orient="landscape" w:code="9"/>
      <w:pgMar w:top="1259" w:right="1440" w:bottom="1349" w:left="1440" w:header="448"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CF" w:rsidRDefault="002978CF" w:rsidP="002D711A">
      <w:pPr>
        <w:spacing w:after="0" w:line="240" w:lineRule="auto"/>
      </w:pPr>
      <w:r>
        <w:separator/>
      </w:r>
    </w:p>
  </w:endnote>
  <w:endnote w:type="continuationSeparator" w:id="0">
    <w:p w:rsidR="002978CF" w:rsidRDefault="002978CF"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62" w:rsidRDefault="00764162" w:rsidP="00BF12A1">
    <w:pPr>
      <w:pStyle w:val="Spacer"/>
    </w:pPr>
  </w:p>
  <w:p w:rsidR="00AA2326" w:rsidRDefault="00764162">
    <w:pPr>
      <w:pStyle w:val="Footer"/>
    </w:pPr>
    <w:r w:rsidRPr="006E0266">
      <w:rPr>
        <w:b/>
        <w:noProof w:val="0"/>
        <w:color w:val="0063A6" w:themeColor="accent1"/>
      </w:rPr>
      <w:fldChar w:fldCharType="begin"/>
    </w:r>
    <w:r w:rsidRPr="006E0266">
      <w:rPr>
        <w:b/>
        <w:color w:val="0063A6" w:themeColor="accent1"/>
      </w:rPr>
      <w:instrText xml:space="preserve"> StyleRef “Title” </w:instrText>
    </w:r>
    <w:r w:rsidRPr="006E0266">
      <w:rPr>
        <w:b/>
        <w:noProof w:val="0"/>
        <w:color w:val="0063A6" w:themeColor="accent1"/>
      </w:rPr>
      <w:fldChar w:fldCharType="separate"/>
    </w:r>
    <w:r w:rsidR="00E42B5E">
      <w:rPr>
        <w:b/>
        <w:color w:val="0063A6" w:themeColor="accent1"/>
      </w:rPr>
      <w:t>2A. AASB 124 Related Party Disclosures</w:t>
    </w:r>
    <w:r w:rsidRPr="006E0266">
      <w:rPr>
        <w:b/>
        <w:color w:val="0063A6" w:themeColor="accent1"/>
      </w:rPr>
      <w:fldChar w:fldCharType="end"/>
    </w:r>
    <w:r w:rsidRPr="00C022F9">
      <w:tab/>
    </w:r>
    <w:r w:rsidRPr="006E0266">
      <w:t xml:space="preserve">Page </w:t>
    </w:r>
    <w:r w:rsidRPr="006E0266">
      <w:rPr>
        <w:rStyle w:val="PageNumber"/>
        <w:color w:val="auto"/>
      </w:rPr>
      <w:fldChar w:fldCharType="begin"/>
    </w:r>
    <w:r w:rsidRPr="006E0266">
      <w:rPr>
        <w:rStyle w:val="PageNumber"/>
        <w:color w:val="auto"/>
      </w:rPr>
      <w:instrText xml:space="preserve"> Page </w:instrText>
    </w:r>
    <w:r w:rsidRPr="006E0266">
      <w:rPr>
        <w:rStyle w:val="PageNumber"/>
        <w:color w:val="auto"/>
      </w:rPr>
      <w:fldChar w:fldCharType="separate"/>
    </w:r>
    <w:r w:rsidR="00E42B5E">
      <w:rPr>
        <w:rStyle w:val="PageNumber"/>
        <w:color w:val="auto"/>
      </w:rPr>
      <w:t>2</w:t>
    </w:r>
    <w:r w:rsidRPr="006E0266">
      <w:rPr>
        <w:rStyle w:val="PageNumbe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CF" w:rsidRDefault="002978CF" w:rsidP="002D711A">
      <w:pPr>
        <w:spacing w:after="0" w:line="240" w:lineRule="auto"/>
      </w:pPr>
      <w:r>
        <w:separator/>
      </w:r>
    </w:p>
  </w:footnote>
  <w:footnote w:type="continuationSeparator" w:id="0">
    <w:p w:rsidR="002978CF" w:rsidRDefault="002978CF"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62" w:rsidRPr="0041689E" w:rsidRDefault="00764162">
    <w:pPr>
      <w:pStyle w:val="Header"/>
    </w:pPr>
    <w:r>
      <w:rPr>
        <w:noProof/>
      </w:rPr>
      <w:drawing>
        <wp:anchor distT="0" distB="0" distL="114300" distR="114300" simplePos="0" relativeHeight="251657728" behindDoc="0" locked="0" layoutInCell="1" allowOverlap="1" wp14:anchorId="32215077" wp14:editId="4318A85E">
          <wp:simplePos x="0" y="0"/>
          <wp:positionH relativeFrom="column">
            <wp:posOffset>-237379</wp:posOffset>
          </wp:positionH>
          <wp:positionV relativeFrom="page">
            <wp:posOffset>229870</wp:posOffset>
          </wp:positionV>
          <wp:extent cx="1183640" cy="3524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83640" cy="352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7B62C914" wp14:editId="17C8F2F0">
          <wp:simplePos x="0" y="0"/>
          <wp:positionH relativeFrom="column">
            <wp:posOffset>-2218994</wp:posOffset>
          </wp:positionH>
          <wp:positionV relativeFrom="page">
            <wp:posOffset>115570</wp:posOffset>
          </wp:positionV>
          <wp:extent cx="13157835" cy="548640"/>
          <wp:effectExtent l="0" t="0" r="571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783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15E"/>
    <w:multiLevelType w:val="hybridMultilevel"/>
    <w:tmpl w:val="27B2407A"/>
    <w:lvl w:ilvl="0" w:tplc="DC4030A8">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DE44B61"/>
    <w:multiLevelType w:val="hybridMultilevel"/>
    <w:tmpl w:val="3F5AD3E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3">
    <w:nsid w:val="446D3A6A"/>
    <w:multiLevelType w:val="multilevel"/>
    <w:tmpl w:val="1CB0DDC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216"/>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nsid w:val="7A7E12E5"/>
    <w:multiLevelType w:val="hybridMultilevel"/>
    <w:tmpl w:val="62AE4AF0"/>
    <w:lvl w:ilvl="0" w:tplc="37647EC8">
      <w:start w:val="1"/>
      <w:numFmt w:val="decimal"/>
      <w:pStyle w:val="Numpara"/>
      <w:lvlText w:val="%1."/>
      <w:lvlJc w:val="left"/>
      <w:pPr>
        <w:tabs>
          <w:tab w:val="num" w:pos="504"/>
        </w:tabs>
        <w:ind w:left="504" w:hanging="5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3"/>
  </w:num>
  <w:num w:numId="2">
    <w:abstractNumId w:val="3"/>
  </w:num>
  <w:num w:numId="3">
    <w:abstractNumId w:val="3"/>
  </w:num>
  <w:num w:numId="4">
    <w:abstractNumId w:val="5"/>
  </w:num>
  <w:num w:numId="5">
    <w:abstractNumId w:val="3"/>
  </w:num>
  <w:num w:numId="6">
    <w:abstractNumId w:val="3"/>
  </w:num>
  <w:num w:numId="7">
    <w:abstractNumId w:val="3"/>
  </w:num>
  <w:num w:numId="8">
    <w:abstractNumId w:val="3"/>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5"/>
  </w:num>
  <w:num w:numId="21">
    <w:abstractNumId w:val="5"/>
  </w:num>
  <w:num w:numId="22">
    <w:abstractNumId w:val="5"/>
  </w:num>
  <w:num w:numId="23">
    <w:abstractNumId w:val="1"/>
  </w:num>
  <w:num w:numId="24">
    <w:abstractNumId w:val="1"/>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CF"/>
    <w:rsid w:val="00011805"/>
    <w:rsid w:val="00012F6F"/>
    <w:rsid w:val="00014213"/>
    <w:rsid w:val="00014B55"/>
    <w:rsid w:val="00020E3E"/>
    <w:rsid w:val="00023BF3"/>
    <w:rsid w:val="00026811"/>
    <w:rsid w:val="0003355C"/>
    <w:rsid w:val="00045296"/>
    <w:rsid w:val="000648D6"/>
    <w:rsid w:val="00075E6C"/>
    <w:rsid w:val="00077D59"/>
    <w:rsid w:val="000848BB"/>
    <w:rsid w:val="000A29BD"/>
    <w:rsid w:val="000B29AD"/>
    <w:rsid w:val="000C6372"/>
    <w:rsid w:val="000D261A"/>
    <w:rsid w:val="000E392D"/>
    <w:rsid w:val="000F4288"/>
    <w:rsid w:val="000F7165"/>
    <w:rsid w:val="00102379"/>
    <w:rsid w:val="001065D6"/>
    <w:rsid w:val="00116F4B"/>
    <w:rsid w:val="0011713F"/>
    <w:rsid w:val="00121252"/>
    <w:rsid w:val="001224AB"/>
    <w:rsid w:val="00124609"/>
    <w:rsid w:val="001254CE"/>
    <w:rsid w:val="00134CEA"/>
    <w:rsid w:val="001422CC"/>
    <w:rsid w:val="00147E60"/>
    <w:rsid w:val="00153637"/>
    <w:rsid w:val="001617B6"/>
    <w:rsid w:val="00164EF8"/>
    <w:rsid w:val="00165E66"/>
    <w:rsid w:val="001B14FD"/>
    <w:rsid w:val="001C7BAE"/>
    <w:rsid w:val="001E31FA"/>
    <w:rsid w:val="001E64F6"/>
    <w:rsid w:val="00206FFA"/>
    <w:rsid w:val="00207C7A"/>
    <w:rsid w:val="0021214A"/>
    <w:rsid w:val="00222BEB"/>
    <w:rsid w:val="00225E60"/>
    <w:rsid w:val="0023202C"/>
    <w:rsid w:val="002355BA"/>
    <w:rsid w:val="00236203"/>
    <w:rsid w:val="00245043"/>
    <w:rsid w:val="00257760"/>
    <w:rsid w:val="00292D36"/>
    <w:rsid w:val="00297281"/>
    <w:rsid w:val="002978CF"/>
    <w:rsid w:val="002B13CD"/>
    <w:rsid w:val="002C54E0"/>
    <w:rsid w:val="002D711A"/>
    <w:rsid w:val="002D7336"/>
    <w:rsid w:val="002E3396"/>
    <w:rsid w:val="003026D2"/>
    <w:rsid w:val="0031149C"/>
    <w:rsid w:val="00320879"/>
    <w:rsid w:val="003320CA"/>
    <w:rsid w:val="00351861"/>
    <w:rsid w:val="0038771C"/>
    <w:rsid w:val="0039405B"/>
    <w:rsid w:val="003A1C92"/>
    <w:rsid w:val="003A49D3"/>
    <w:rsid w:val="003A541A"/>
    <w:rsid w:val="003A6923"/>
    <w:rsid w:val="003B698D"/>
    <w:rsid w:val="003C2C67"/>
    <w:rsid w:val="003C5BA4"/>
    <w:rsid w:val="003E3E26"/>
    <w:rsid w:val="003F1295"/>
    <w:rsid w:val="003F3FBC"/>
    <w:rsid w:val="003F76FC"/>
    <w:rsid w:val="004002EB"/>
    <w:rsid w:val="0040270E"/>
    <w:rsid w:val="0041689E"/>
    <w:rsid w:val="0042111D"/>
    <w:rsid w:val="004234AC"/>
    <w:rsid w:val="004236C8"/>
    <w:rsid w:val="00427681"/>
    <w:rsid w:val="00433DB7"/>
    <w:rsid w:val="004407D6"/>
    <w:rsid w:val="00453750"/>
    <w:rsid w:val="00456941"/>
    <w:rsid w:val="004702EA"/>
    <w:rsid w:val="00482D02"/>
    <w:rsid w:val="004865B9"/>
    <w:rsid w:val="004905DA"/>
    <w:rsid w:val="004A7519"/>
    <w:rsid w:val="004A7BB1"/>
    <w:rsid w:val="004D3518"/>
    <w:rsid w:val="004D62D6"/>
    <w:rsid w:val="004E6CCF"/>
    <w:rsid w:val="00503DA3"/>
    <w:rsid w:val="005135A9"/>
    <w:rsid w:val="00520170"/>
    <w:rsid w:val="00521648"/>
    <w:rsid w:val="0053416C"/>
    <w:rsid w:val="005413D5"/>
    <w:rsid w:val="00541C2F"/>
    <w:rsid w:val="0055344F"/>
    <w:rsid w:val="00563527"/>
    <w:rsid w:val="0058124E"/>
    <w:rsid w:val="005875A3"/>
    <w:rsid w:val="0058781C"/>
    <w:rsid w:val="005A3416"/>
    <w:rsid w:val="005B0D53"/>
    <w:rsid w:val="005B27FE"/>
    <w:rsid w:val="005C1F6F"/>
    <w:rsid w:val="005C3E6D"/>
    <w:rsid w:val="005E582D"/>
    <w:rsid w:val="005F1659"/>
    <w:rsid w:val="005F3DC5"/>
    <w:rsid w:val="005F61DF"/>
    <w:rsid w:val="006023F9"/>
    <w:rsid w:val="00610559"/>
    <w:rsid w:val="006332F6"/>
    <w:rsid w:val="00646DFC"/>
    <w:rsid w:val="006534B2"/>
    <w:rsid w:val="006542DE"/>
    <w:rsid w:val="0065615D"/>
    <w:rsid w:val="00657011"/>
    <w:rsid w:val="006650B5"/>
    <w:rsid w:val="006651B1"/>
    <w:rsid w:val="00665778"/>
    <w:rsid w:val="00666EB3"/>
    <w:rsid w:val="006731FC"/>
    <w:rsid w:val="006766C9"/>
    <w:rsid w:val="0069721C"/>
    <w:rsid w:val="006A5B34"/>
    <w:rsid w:val="006A69CF"/>
    <w:rsid w:val="006A73C0"/>
    <w:rsid w:val="006C77A9"/>
    <w:rsid w:val="006C7C12"/>
    <w:rsid w:val="006D79FB"/>
    <w:rsid w:val="006E0266"/>
    <w:rsid w:val="006F5199"/>
    <w:rsid w:val="006F6693"/>
    <w:rsid w:val="007039B7"/>
    <w:rsid w:val="00707FE8"/>
    <w:rsid w:val="00715811"/>
    <w:rsid w:val="00723557"/>
    <w:rsid w:val="00724892"/>
    <w:rsid w:val="00724962"/>
    <w:rsid w:val="00724A0F"/>
    <w:rsid w:val="00732162"/>
    <w:rsid w:val="00733267"/>
    <w:rsid w:val="00736732"/>
    <w:rsid w:val="00750CBE"/>
    <w:rsid w:val="00764162"/>
    <w:rsid w:val="00766B5A"/>
    <w:rsid w:val="007805F0"/>
    <w:rsid w:val="00780BFC"/>
    <w:rsid w:val="007834F2"/>
    <w:rsid w:val="00791020"/>
    <w:rsid w:val="00791C29"/>
    <w:rsid w:val="00794FEC"/>
    <w:rsid w:val="007A540F"/>
    <w:rsid w:val="007A5F82"/>
    <w:rsid w:val="007A6D7D"/>
    <w:rsid w:val="007C4456"/>
    <w:rsid w:val="007E77EB"/>
    <w:rsid w:val="007F1A4C"/>
    <w:rsid w:val="007F1BA8"/>
    <w:rsid w:val="008022C3"/>
    <w:rsid w:val="008039B2"/>
    <w:rsid w:val="008041E6"/>
    <w:rsid w:val="00805BD5"/>
    <w:rsid w:val="008065D2"/>
    <w:rsid w:val="0081559C"/>
    <w:rsid w:val="0082194C"/>
    <w:rsid w:val="008220C4"/>
    <w:rsid w:val="008222FF"/>
    <w:rsid w:val="008229BB"/>
    <w:rsid w:val="008241FF"/>
    <w:rsid w:val="00824A66"/>
    <w:rsid w:val="008411E9"/>
    <w:rsid w:val="0084200F"/>
    <w:rsid w:val="00843B2C"/>
    <w:rsid w:val="00867F2E"/>
    <w:rsid w:val="00883113"/>
    <w:rsid w:val="00885F1B"/>
    <w:rsid w:val="00894046"/>
    <w:rsid w:val="008A4900"/>
    <w:rsid w:val="008B5897"/>
    <w:rsid w:val="008D0281"/>
    <w:rsid w:val="008F0172"/>
    <w:rsid w:val="008F4FC2"/>
    <w:rsid w:val="008F5562"/>
    <w:rsid w:val="008F6D45"/>
    <w:rsid w:val="008F7873"/>
    <w:rsid w:val="00913170"/>
    <w:rsid w:val="00920D93"/>
    <w:rsid w:val="00931020"/>
    <w:rsid w:val="009834C0"/>
    <w:rsid w:val="00986AAC"/>
    <w:rsid w:val="00987BF0"/>
    <w:rsid w:val="00991FA0"/>
    <w:rsid w:val="00994D92"/>
    <w:rsid w:val="009A1DA2"/>
    <w:rsid w:val="009A3704"/>
    <w:rsid w:val="009A4739"/>
    <w:rsid w:val="009A674F"/>
    <w:rsid w:val="009B199C"/>
    <w:rsid w:val="009B54C8"/>
    <w:rsid w:val="009B61F1"/>
    <w:rsid w:val="009B62E0"/>
    <w:rsid w:val="009C3D62"/>
    <w:rsid w:val="009C3D88"/>
    <w:rsid w:val="009E3858"/>
    <w:rsid w:val="009E70DD"/>
    <w:rsid w:val="009F2ED9"/>
    <w:rsid w:val="009F3231"/>
    <w:rsid w:val="009F5C58"/>
    <w:rsid w:val="00A023A0"/>
    <w:rsid w:val="00A11C12"/>
    <w:rsid w:val="00A1562B"/>
    <w:rsid w:val="00A170F4"/>
    <w:rsid w:val="00A2559E"/>
    <w:rsid w:val="00A25FD9"/>
    <w:rsid w:val="00A414D4"/>
    <w:rsid w:val="00A42504"/>
    <w:rsid w:val="00A46BA8"/>
    <w:rsid w:val="00A47634"/>
    <w:rsid w:val="00A5126B"/>
    <w:rsid w:val="00A57D89"/>
    <w:rsid w:val="00A612FE"/>
    <w:rsid w:val="00A72CF8"/>
    <w:rsid w:val="00AA0D40"/>
    <w:rsid w:val="00AA2326"/>
    <w:rsid w:val="00AA26B8"/>
    <w:rsid w:val="00AB3FE2"/>
    <w:rsid w:val="00AC0EBA"/>
    <w:rsid w:val="00AD3322"/>
    <w:rsid w:val="00AD7E4E"/>
    <w:rsid w:val="00AE25F0"/>
    <w:rsid w:val="00AF4D58"/>
    <w:rsid w:val="00AF6666"/>
    <w:rsid w:val="00B10154"/>
    <w:rsid w:val="00B3510E"/>
    <w:rsid w:val="00B37245"/>
    <w:rsid w:val="00B76B17"/>
    <w:rsid w:val="00B81B44"/>
    <w:rsid w:val="00B9053B"/>
    <w:rsid w:val="00B90EAB"/>
    <w:rsid w:val="00BA166C"/>
    <w:rsid w:val="00BC2DE7"/>
    <w:rsid w:val="00BC3422"/>
    <w:rsid w:val="00BE2FF0"/>
    <w:rsid w:val="00BF12A1"/>
    <w:rsid w:val="00BF7291"/>
    <w:rsid w:val="00C015B9"/>
    <w:rsid w:val="00C022F9"/>
    <w:rsid w:val="00C032EA"/>
    <w:rsid w:val="00C061AA"/>
    <w:rsid w:val="00C06EB5"/>
    <w:rsid w:val="00C1145F"/>
    <w:rsid w:val="00C216EA"/>
    <w:rsid w:val="00C37E6D"/>
    <w:rsid w:val="00C46FD1"/>
    <w:rsid w:val="00C637E1"/>
    <w:rsid w:val="00C70D50"/>
    <w:rsid w:val="00C907D7"/>
    <w:rsid w:val="00C91BEF"/>
    <w:rsid w:val="00C92338"/>
    <w:rsid w:val="00CA7C3A"/>
    <w:rsid w:val="00CC2DB2"/>
    <w:rsid w:val="00CD0307"/>
    <w:rsid w:val="00CD151F"/>
    <w:rsid w:val="00CD3D1B"/>
    <w:rsid w:val="00CE2090"/>
    <w:rsid w:val="00CE79B9"/>
    <w:rsid w:val="00CF7DCA"/>
    <w:rsid w:val="00D21F48"/>
    <w:rsid w:val="00D2312F"/>
    <w:rsid w:val="00D269C1"/>
    <w:rsid w:val="00D40B38"/>
    <w:rsid w:val="00D4186F"/>
    <w:rsid w:val="00D44953"/>
    <w:rsid w:val="00D542F3"/>
    <w:rsid w:val="00D5441A"/>
    <w:rsid w:val="00D5644B"/>
    <w:rsid w:val="00D56E25"/>
    <w:rsid w:val="00D615D9"/>
    <w:rsid w:val="00D718D7"/>
    <w:rsid w:val="00D814B7"/>
    <w:rsid w:val="00D905B0"/>
    <w:rsid w:val="00D90688"/>
    <w:rsid w:val="00D91E6D"/>
    <w:rsid w:val="00DA3AAD"/>
    <w:rsid w:val="00DB312B"/>
    <w:rsid w:val="00DC1FC6"/>
    <w:rsid w:val="00DC5654"/>
    <w:rsid w:val="00DC658F"/>
    <w:rsid w:val="00DE60CC"/>
    <w:rsid w:val="00E15A83"/>
    <w:rsid w:val="00E16CBD"/>
    <w:rsid w:val="00E26B32"/>
    <w:rsid w:val="00E407B6"/>
    <w:rsid w:val="00E41EF1"/>
    <w:rsid w:val="00E42942"/>
    <w:rsid w:val="00E42B5E"/>
    <w:rsid w:val="00E468A6"/>
    <w:rsid w:val="00E478EB"/>
    <w:rsid w:val="00E62C4D"/>
    <w:rsid w:val="00E649E8"/>
    <w:rsid w:val="00E71BDF"/>
    <w:rsid w:val="00E80549"/>
    <w:rsid w:val="00E83CA7"/>
    <w:rsid w:val="00E87828"/>
    <w:rsid w:val="00EA36C4"/>
    <w:rsid w:val="00EC171D"/>
    <w:rsid w:val="00ED487E"/>
    <w:rsid w:val="00ED5033"/>
    <w:rsid w:val="00EE7A0D"/>
    <w:rsid w:val="00EE7ED4"/>
    <w:rsid w:val="00F00320"/>
    <w:rsid w:val="00F031B6"/>
    <w:rsid w:val="00F12CD7"/>
    <w:rsid w:val="00F17CE1"/>
    <w:rsid w:val="00F2115C"/>
    <w:rsid w:val="00F22ABA"/>
    <w:rsid w:val="00F24D2E"/>
    <w:rsid w:val="00F32F2B"/>
    <w:rsid w:val="00F36B12"/>
    <w:rsid w:val="00F56471"/>
    <w:rsid w:val="00F60F9F"/>
    <w:rsid w:val="00F64F08"/>
    <w:rsid w:val="00F709F7"/>
    <w:rsid w:val="00F734F5"/>
    <w:rsid w:val="00F76028"/>
    <w:rsid w:val="00F966B1"/>
    <w:rsid w:val="00F97D48"/>
    <w:rsid w:val="00FA0311"/>
    <w:rsid w:val="00FA6020"/>
    <w:rsid w:val="00FD640F"/>
    <w:rsid w:val="00FD6B4C"/>
    <w:rsid w:val="00FD75EB"/>
    <w:rsid w:val="00FE0DF4"/>
    <w:rsid w:val="00FE7D76"/>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21214A"/>
    <w:pPr>
      <w:spacing w:before="160" w:after="100"/>
    </w:pPr>
    <w:rPr>
      <w:spacing w:val="2"/>
    </w:rPr>
  </w:style>
  <w:style w:type="paragraph" w:styleId="Heading1">
    <w:name w:val="heading 1"/>
    <w:next w:val="Normal"/>
    <w:link w:val="Heading1Char"/>
    <w:qFormat/>
    <w:rsid w:val="00715811"/>
    <w:pPr>
      <w:keepNext/>
      <w:keepLines/>
      <w:spacing w:before="400" w:after="400"/>
      <w:outlineLvl w:val="0"/>
    </w:pPr>
    <w:rPr>
      <w:rFonts w:asciiTheme="majorHAnsi" w:eastAsiaTheme="majorEastAsia" w:hAnsiTheme="majorHAnsi" w:cstheme="majorBidi"/>
      <w:b/>
      <w:bCs/>
      <w:color w:val="201547"/>
      <w:spacing w:val="-1"/>
      <w:sz w:val="32"/>
      <w:szCs w:val="28"/>
    </w:rPr>
  </w:style>
  <w:style w:type="paragraph" w:styleId="Heading2">
    <w:name w:val="heading 2"/>
    <w:basedOn w:val="Normal"/>
    <w:next w:val="Normal"/>
    <w:link w:val="Heading2Char"/>
    <w:qFormat/>
    <w:rsid w:val="005F3DC5"/>
    <w:pPr>
      <w:keepNext/>
      <w:keepLines/>
      <w:spacing w:before="280" w:after="24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5F3DC5"/>
    <w:pPr>
      <w:keepNext/>
      <w:keepLines/>
      <w:spacing w:before="240" w:after="120"/>
      <w:outlineLvl w:val="2"/>
    </w:pPr>
    <w:rPr>
      <w:rFonts w:asciiTheme="majorHAnsi" w:eastAsiaTheme="majorEastAsia" w:hAnsiTheme="majorHAnsi" w:cstheme="majorBidi"/>
      <w:b/>
      <w:bCs/>
      <w:color w:val="0063A6" w:themeColor="accent1"/>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91FA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semiHidden/>
    <w:rsid w:val="00EC171D"/>
    <w:pPr>
      <w:tabs>
        <w:tab w:val="right" w:leader="dot" w:pos="9000"/>
      </w:tabs>
      <w:ind w:right="432"/>
    </w:pPr>
    <w:rPr>
      <w:sz w:val="24"/>
      <w:szCs w:val="24"/>
    </w:rPr>
  </w:style>
  <w:style w:type="paragraph" w:styleId="TOC2">
    <w:name w:val="toc 2"/>
    <w:next w:val="Normal"/>
    <w:uiPriority w:val="39"/>
    <w:semiHidden/>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semiHidden/>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715811"/>
    <w:rPr>
      <w:rFonts w:asciiTheme="majorHAnsi" w:eastAsiaTheme="majorEastAsia" w:hAnsiTheme="majorHAnsi" w:cstheme="majorBidi"/>
      <w:b/>
      <w:bCs/>
      <w:color w:val="201547"/>
      <w:spacing w:val="-1"/>
      <w:sz w:val="32"/>
      <w:szCs w:val="28"/>
    </w:rPr>
  </w:style>
  <w:style w:type="character" w:customStyle="1" w:styleId="Heading2Char">
    <w:name w:val="Heading 2 Char"/>
    <w:basedOn w:val="DefaultParagraphFont"/>
    <w:link w:val="Heading2"/>
    <w:rsid w:val="005F3DC5"/>
    <w:rPr>
      <w:rFonts w:asciiTheme="majorHAnsi" w:eastAsiaTheme="majorEastAsia" w:hAnsiTheme="majorHAnsi" w:cstheme="majorBidi"/>
      <w:b/>
      <w:bCs/>
      <w:color w:val="0063A6" w:themeColor="accent1"/>
      <w:spacing w:val="2"/>
      <w:sz w:val="24"/>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8"/>
    <w:qFormat/>
    <w:rsid w:val="00EC171D"/>
    <w:pPr>
      <w:numPr>
        <w:ilvl w:val="2"/>
      </w:numPr>
    </w:pPr>
  </w:style>
  <w:style w:type="paragraph" w:customStyle="1" w:styleId="Heading1numbered">
    <w:name w:val="Heading 1 numbered"/>
    <w:basedOn w:val="Heading1"/>
    <w:next w:val="NormalIndent"/>
    <w:uiPriority w:val="7"/>
    <w:qFormat/>
    <w:rsid w:val="00EC171D"/>
    <w:pPr>
      <w:numPr>
        <w:ilvl w:val="2"/>
        <w:numId w:val="22"/>
      </w:numPr>
    </w:pPr>
  </w:style>
  <w:style w:type="paragraph" w:customStyle="1" w:styleId="Heading2numbered">
    <w:name w:val="Heading 2 numbered"/>
    <w:basedOn w:val="Heading2"/>
    <w:next w:val="NormalIndent"/>
    <w:uiPriority w:val="7"/>
    <w:qFormat/>
    <w:rsid w:val="00EC171D"/>
    <w:pPr>
      <w:numPr>
        <w:ilvl w:val="3"/>
        <w:numId w:val="22"/>
      </w:numPr>
    </w:pPr>
  </w:style>
  <w:style w:type="paragraph" w:customStyle="1" w:styleId="Heading3numbered">
    <w:name w:val="Heading 3 numbered"/>
    <w:basedOn w:val="Heading3"/>
    <w:next w:val="NormalIndent"/>
    <w:uiPriority w:val="7"/>
    <w:qFormat/>
    <w:rsid w:val="00EC171D"/>
    <w:pPr>
      <w:numPr>
        <w:ilvl w:val="4"/>
        <w:numId w:val="22"/>
      </w:numPr>
    </w:pPr>
  </w:style>
  <w:style w:type="character" w:customStyle="1" w:styleId="Heading3Char">
    <w:name w:val="Heading 3 Char"/>
    <w:basedOn w:val="DefaultParagraphFont"/>
    <w:link w:val="Heading3"/>
    <w:rsid w:val="005F3DC5"/>
    <w:rPr>
      <w:rFonts w:asciiTheme="majorHAnsi" w:eastAsiaTheme="majorEastAsia" w:hAnsiTheme="majorHAnsi" w:cstheme="majorBidi"/>
      <w:b/>
      <w:bCs/>
      <w:color w:val="0063A6" w:themeColor="accent1"/>
      <w:spacing w:val="2"/>
      <w:szCs w:val="22"/>
    </w:rPr>
  </w:style>
  <w:style w:type="paragraph" w:customStyle="1" w:styleId="Heading4numbered">
    <w:name w:val="Heading 4 numbered"/>
    <w:basedOn w:val="Heading4"/>
    <w:next w:val="NormalIndent"/>
    <w:uiPriority w:val="7"/>
    <w:qFormat/>
    <w:rsid w:val="00EC171D"/>
    <w:pPr>
      <w:numPr>
        <w:ilvl w:val="5"/>
        <w:numId w:val="22"/>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21214A"/>
    <w:pPr>
      <w:spacing w:after="0" w:line="360" w:lineRule="exact"/>
    </w:pPr>
    <w:rPr>
      <w:rFonts w:asciiTheme="majorHAnsi" w:eastAsia="Times New Roman" w:hAnsiTheme="majorHAnsi" w:cstheme="majorHAnsi"/>
      <w:color w:val="0063A6" w:themeColor="accent1"/>
      <w:spacing w:val="-2"/>
      <w:sz w:val="32"/>
      <w:szCs w:val="32"/>
    </w:rPr>
  </w:style>
  <w:style w:type="character" w:customStyle="1" w:styleId="SubtitleChar">
    <w:name w:val="Subtitle Char"/>
    <w:basedOn w:val="DefaultParagraphFont"/>
    <w:link w:val="Subtitle"/>
    <w:uiPriority w:val="99"/>
    <w:rsid w:val="0021214A"/>
    <w:rPr>
      <w:rFonts w:asciiTheme="majorHAnsi" w:eastAsia="Times New Roman" w:hAnsiTheme="majorHAnsi" w:cstheme="majorHAnsi"/>
      <w:color w:val="0063A6" w:themeColor="accent1"/>
      <w:spacing w:val="-2"/>
      <w:sz w:val="32"/>
      <w:szCs w:val="32"/>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21214A"/>
    <w:pPr>
      <w:spacing w:before="240" w:after="40" w:line="252" w:lineRule="auto"/>
    </w:pPr>
    <w:rPr>
      <w:rFonts w:asciiTheme="majorHAnsi" w:eastAsia="Times New Roman" w:hAnsiTheme="majorHAnsi" w:cstheme="majorHAnsi"/>
      <w:b/>
      <w:color w:val="0063A6" w:themeColor="accent1"/>
      <w:spacing w:val="-2"/>
      <w:sz w:val="36"/>
      <w:szCs w:val="36"/>
    </w:rPr>
  </w:style>
  <w:style w:type="character" w:customStyle="1" w:styleId="TitleChar">
    <w:name w:val="Title Char"/>
    <w:basedOn w:val="DefaultParagraphFont"/>
    <w:link w:val="Title"/>
    <w:uiPriority w:val="99"/>
    <w:rsid w:val="0021214A"/>
    <w:rPr>
      <w:rFonts w:asciiTheme="majorHAnsi" w:eastAsia="Times New Roman" w:hAnsiTheme="majorHAnsi" w:cstheme="majorHAnsi"/>
      <w:b/>
      <w:color w:val="0063A6" w:themeColor="accent1"/>
      <w:spacing w:val="-2"/>
      <w:sz w:val="36"/>
      <w:szCs w:val="3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8"/>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6E0266"/>
    <w:pPr>
      <w:tabs>
        <w:tab w:val="right" w:pos="13950"/>
      </w:tabs>
      <w:spacing w:before="0" w:after="0" w:line="240" w:lineRule="auto"/>
    </w:pPr>
    <w:rPr>
      <w:noProof/>
      <w:sz w:val="18"/>
      <w:szCs w:val="18"/>
    </w:rPr>
  </w:style>
  <w:style w:type="character" w:customStyle="1" w:styleId="FooterChar">
    <w:name w:val="Footer Char"/>
    <w:basedOn w:val="DefaultParagraphFont"/>
    <w:link w:val="Footer"/>
    <w:uiPriority w:val="24"/>
    <w:rsid w:val="006E0266"/>
    <w:rPr>
      <w:noProof/>
      <w:spacing w:val="2"/>
      <w:sz w:val="18"/>
      <w:szCs w:val="18"/>
    </w:rPr>
  </w:style>
  <w:style w:type="character" w:styleId="PageNumber">
    <w:name w:val="page number"/>
    <w:uiPriority w:val="49"/>
    <w:semiHidden/>
    <w:rsid w:val="00764162"/>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991FA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91FA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E2090"/>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8"/>
    <w:qFormat/>
    <w:rsid w:val="00A414D4"/>
    <w:pPr>
      <w:numPr>
        <w:ilvl w:val="7"/>
        <w:numId w:val="22"/>
      </w:numPr>
      <w:spacing w:before="100"/>
      <w:contextualSpacing/>
    </w:pPr>
  </w:style>
  <w:style w:type="paragraph" w:customStyle="1" w:styleId="Listnumindent">
    <w:name w:val="List num indent"/>
    <w:basedOn w:val="Normal"/>
    <w:uiPriority w:val="8"/>
    <w:qFormat/>
    <w:rsid w:val="00A414D4"/>
    <w:pPr>
      <w:numPr>
        <w:ilvl w:val="6"/>
        <w:numId w:val="22"/>
      </w:numPr>
      <w:spacing w:before="100"/>
    </w:pPr>
  </w:style>
  <w:style w:type="paragraph" w:customStyle="1" w:styleId="Listnum">
    <w:name w:val="List num"/>
    <w:basedOn w:val="Normal"/>
    <w:uiPriority w:val="1"/>
    <w:qFormat/>
    <w:rsid w:val="00EC171D"/>
    <w:pPr>
      <w:numPr>
        <w:numId w:val="22"/>
      </w:numPr>
    </w:pPr>
  </w:style>
  <w:style w:type="paragraph" w:customStyle="1" w:styleId="Listnum2">
    <w:name w:val="List num 2"/>
    <w:basedOn w:val="Normal"/>
    <w:uiPriority w:val="1"/>
    <w:qFormat/>
    <w:rsid w:val="00EC171D"/>
    <w:pPr>
      <w:numPr>
        <w:ilvl w:val="1"/>
        <w:numId w:val="22"/>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C1FC6"/>
    <w:pPr>
      <w:numPr>
        <w:numId w:val="24"/>
      </w:numPr>
    </w:pPr>
  </w:style>
  <w:style w:type="paragraph" w:customStyle="1" w:styleId="Tabledash">
    <w:name w:val="Table dash"/>
    <w:basedOn w:val="Tablebullet"/>
    <w:uiPriority w:val="6"/>
    <w:rsid w:val="00DC1FC6"/>
    <w:pPr>
      <w:numPr>
        <w:ilvl w:val="1"/>
      </w:numPr>
    </w:pPr>
  </w:style>
  <w:style w:type="paragraph" w:customStyle="1" w:styleId="Tabletextindent">
    <w:name w:val="Table text indent"/>
    <w:basedOn w:val="Tabletext"/>
    <w:uiPriority w:val="6"/>
    <w:qFormat/>
    <w:rsid w:val="00DC1FC6"/>
    <w:pPr>
      <w:ind w:left="288"/>
    </w:pPr>
  </w:style>
  <w:style w:type="paragraph" w:customStyle="1" w:styleId="Numpara">
    <w:name w:val="Num para"/>
    <w:basedOn w:val="ListParagraph"/>
    <w:uiPriority w:val="3"/>
    <w:qFormat/>
    <w:rsid w:val="00E478EB"/>
    <w:pPr>
      <w:numPr>
        <w:numId w:val="19"/>
      </w:numPr>
    </w:pPr>
  </w:style>
  <w:style w:type="paragraph" w:styleId="ListParagraph">
    <w:name w:val="List Paragraph"/>
    <w:basedOn w:val="Normal"/>
    <w:uiPriority w:val="34"/>
    <w:qFormat/>
    <w:rsid w:val="00D40B38"/>
    <w:pPr>
      <w:ind w:left="720"/>
      <w:contextualSpacing/>
    </w:pPr>
  </w:style>
  <w:style w:type="paragraph" w:styleId="FootnoteText">
    <w:name w:val="footnote text"/>
    <w:basedOn w:val="Normal"/>
    <w:link w:val="FootnoteTextChar"/>
    <w:uiPriority w:val="99"/>
    <w:semiHidden/>
    <w:rsid w:val="003320CA"/>
    <w:pPr>
      <w:spacing w:before="0" w:after="0" w:line="240" w:lineRule="auto"/>
    </w:pPr>
    <w:rPr>
      <w:sz w:val="17"/>
    </w:rPr>
  </w:style>
  <w:style w:type="character" w:customStyle="1" w:styleId="FootnoteTextChar">
    <w:name w:val="Footnote Text Char"/>
    <w:basedOn w:val="DefaultParagraphFont"/>
    <w:link w:val="FootnoteText"/>
    <w:uiPriority w:val="99"/>
    <w:semiHidden/>
    <w:rsid w:val="003320CA"/>
    <w:rPr>
      <w:spacing w:val="2"/>
      <w:sz w:val="17"/>
    </w:rPr>
  </w:style>
  <w:style w:type="character" w:styleId="FootnoteReference">
    <w:name w:val="footnote reference"/>
    <w:basedOn w:val="DefaultParagraphFont"/>
    <w:uiPriority w:val="99"/>
    <w:semiHidden/>
    <w:rsid w:val="003320CA"/>
    <w:rPr>
      <w:vertAlign w:val="superscript"/>
    </w:rPr>
  </w:style>
  <w:style w:type="table" w:customStyle="1" w:styleId="DTFfinancialtableindent">
    <w:name w:val="DTF financial table indent"/>
    <w:basedOn w:val="DTFfinancialtable"/>
    <w:uiPriority w:val="99"/>
    <w:rsid w:val="00A414D4"/>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A414D4"/>
    <w:pPr>
      <w:spacing w:after="0" w:line="240" w:lineRule="auto"/>
    </w:pPr>
    <w:tblPr>
      <w:tblInd w:w="821" w:type="dxa"/>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teNormalindent">
    <w:name w:val="Note Normal indent"/>
    <w:basedOn w:val="NoteNormal"/>
    <w:uiPriority w:val="9"/>
    <w:qFormat/>
    <w:rsid w:val="00A414D4"/>
    <w:pPr>
      <w:ind w:left="792"/>
    </w:pPr>
  </w:style>
  <w:style w:type="paragraph" w:customStyle="1" w:styleId="Numparaindent">
    <w:name w:val="Num para indent"/>
    <w:basedOn w:val="Numpara"/>
    <w:uiPriority w:val="8"/>
    <w:qFormat/>
    <w:rsid w:val="00A414D4"/>
    <w:pPr>
      <w:numPr>
        <w:ilvl w:val="8"/>
        <w:numId w:val="22"/>
      </w:numPr>
    </w:pPr>
  </w:style>
  <w:style w:type="paragraph" w:customStyle="1" w:styleId="Tablenum1">
    <w:name w:val="Table num 1"/>
    <w:basedOn w:val="Normal"/>
    <w:uiPriority w:val="6"/>
    <w:rsid w:val="00A414D4"/>
    <w:pPr>
      <w:numPr>
        <w:ilvl w:val="2"/>
        <w:numId w:val="24"/>
      </w:numPr>
    </w:pPr>
    <w:rPr>
      <w:sz w:val="17"/>
    </w:rPr>
  </w:style>
  <w:style w:type="paragraph" w:customStyle="1" w:styleId="Tablenum2">
    <w:name w:val="Table num 2"/>
    <w:basedOn w:val="Normal"/>
    <w:uiPriority w:val="6"/>
    <w:rsid w:val="007039B7"/>
    <w:pPr>
      <w:numPr>
        <w:ilvl w:val="3"/>
        <w:numId w:val="24"/>
      </w:numPr>
      <w:spacing w:before="60"/>
      <w:contextualSpacing/>
    </w:pPr>
    <w:rPr>
      <w:sz w:val="17"/>
    </w:rPr>
  </w:style>
  <w:style w:type="paragraph" w:styleId="Caption">
    <w:name w:val="caption"/>
    <w:basedOn w:val="Normal"/>
    <w:next w:val="Normal"/>
    <w:uiPriority w:val="35"/>
    <w:rsid w:val="00FD75EB"/>
    <w:pPr>
      <w:spacing w:before="200" w:after="120" w:line="240" w:lineRule="auto"/>
    </w:pPr>
    <w:rPr>
      <w:rFonts w:eastAsiaTheme="majorEastAsia"/>
      <w:b/>
      <w:bCs/>
      <w:color w:val="383834" w:themeColor="background2" w:themeShade="40"/>
      <w:sz w:val="2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21214A"/>
    <w:pPr>
      <w:spacing w:before="160" w:after="100"/>
    </w:pPr>
    <w:rPr>
      <w:spacing w:val="2"/>
    </w:rPr>
  </w:style>
  <w:style w:type="paragraph" w:styleId="Heading1">
    <w:name w:val="heading 1"/>
    <w:next w:val="Normal"/>
    <w:link w:val="Heading1Char"/>
    <w:qFormat/>
    <w:rsid w:val="00715811"/>
    <w:pPr>
      <w:keepNext/>
      <w:keepLines/>
      <w:spacing w:before="400" w:after="400"/>
      <w:outlineLvl w:val="0"/>
    </w:pPr>
    <w:rPr>
      <w:rFonts w:asciiTheme="majorHAnsi" w:eastAsiaTheme="majorEastAsia" w:hAnsiTheme="majorHAnsi" w:cstheme="majorBidi"/>
      <w:b/>
      <w:bCs/>
      <w:color w:val="201547"/>
      <w:spacing w:val="-1"/>
      <w:sz w:val="32"/>
      <w:szCs w:val="28"/>
    </w:rPr>
  </w:style>
  <w:style w:type="paragraph" w:styleId="Heading2">
    <w:name w:val="heading 2"/>
    <w:basedOn w:val="Normal"/>
    <w:next w:val="Normal"/>
    <w:link w:val="Heading2Char"/>
    <w:qFormat/>
    <w:rsid w:val="005F3DC5"/>
    <w:pPr>
      <w:keepNext/>
      <w:keepLines/>
      <w:spacing w:before="280" w:after="24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5F3DC5"/>
    <w:pPr>
      <w:keepNext/>
      <w:keepLines/>
      <w:spacing w:before="240" w:after="120"/>
      <w:outlineLvl w:val="2"/>
    </w:pPr>
    <w:rPr>
      <w:rFonts w:asciiTheme="majorHAnsi" w:eastAsiaTheme="majorEastAsia" w:hAnsiTheme="majorHAnsi" w:cstheme="majorBidi"/>
      <w:b/>
      <w:bCs/>
      <w:color w:val="0063A6" w:themeColor="accent1"/>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91FA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semiHidden/>
    <w:rsid w:val="00EC171D"/>
    <w:pPr>
      <w:tabs>
        <w:tab w:val="right" w:leader="dot" w:pos="9000"/>
      </w:tabs>
      <w:ind w:right="432"/>
    </w:pPr>
    <w:rPr>
      <w:sz w:val="24"/>
      <w:szCs w:val="24"/>
    </w:rPr>
  </w:style>
  <w:style w:type="paragraph" w:styleId="TOC2">
    <w:name w:val="toc 2"/>
    <w:next w:val="Normal"/>
    <w:uiPriority w:val="39"/>
    <w:semiHidden/>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semiHidden/>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715811"/>
    <w:rPr>
      <w:rFonts w:asciiTheme="majorHAnsi" w:eastAsiaTheme="majorEastAsia" w:hAnsiTheme="majorHAnsi" w:cstheme="majorBidi"/>
      <w:b/>
      <w:bCs/>
      <w:color w:val="201547"/>
      <w:spacing w:val="-1"/>
      <w:sz w:val="32"/>
      <w:szCs w:val="28"/>
    </w:rPr>
  </w:style>
  <w:style w:type="character" w:customStyle="1" w:styleId="Heading2Char">
    <w:name w:val="Heading 2 Char"/>
    <w:basedOn w:val="DefaultParagraphFont"/>
    <w:link w:val="Heading2"/>
    <w:rsid w:val="005F3DC5"/>
    <w:rPr>
      <w:rFonts w:asciiTheme="majorHAnsi" w:eastAsiaTheme="majorEastAsia" w:hAnsiTheme="majorHAnsi" w:cstheme="majorBidi"/>
      <w:b/>
      <w:bCs/>
      <w:color w:val="0063A6" w:themeColor="accent1"/>
      <w:spacing w:val="2"/>
      <w:sz w:val="24"/>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8"/>
    <w:qFormat/>
    <w:rsid w:val="00EC171D"/>
    <w:pPr>
      <w:numPr>
        <w:ilvl w:val="2"/>
      </w:numPr>
    </w:pPr>
  </w:style>
  <w:style w:type="paragraph" w:customStyle="1" w:styleId="Heading1numbered">
    <w:name w:val="Heading 1 numbered"/>
    <w:basedOn w:val="Heading1"/>
    <w:next w:val="NormalIndent"/>
    <w:uiPriority w:val="7"/>
    <w:qFormat/>
    <w:rsid w:val="00EC171D"/>
    <w:pPr>
      <w:numPr>
        <w:ilvl w:val="2"/>
        <w:numId w:val="22"/>
      </w:numPr>
    </w:pPr>
  </w:style>
  <w:style w:type="paragraph" w:customStyle="1" w:styleId="Heading2numbered">
    <w:name w:val="Heading 2 numbered"/>
    <w:basedOn w:val="Heading2"/>
    <w:next w:val="NormalIndent"/>
    <w:uiPriority w:val="7"/>
    <w:qFormat/>
    <w:rsid w:val="00EC171D"/>
    <w:pPr>
      <w:numPr>
        <w:ilvl w:val="3"/>
        <w:numId w:val="22"/>
      </w:numPr>
    </w:pPr>
  </w:style>
  <w:style w:type="paragraph" w:customStyle="1" w:styleId="Heading3numbered">
    <w:name w:val="Heading 3 numbered"/>
    <w:basedOn w:val="Heading3"/>
    <w:next w:val="NormalIndent"/>
    <w:uiPriority w:val="7"/>
    <w:qFormat/>
    <w:rsid w:val="00EC171D"/>
    <w:pPr>
      <w:numPr>
        <w:ilvl w:val="4"/>
        <w:numId w:val="22"/>
      </w:numPr>
    </w:pPr>
  </w:style>
  <w:style w:type="character" w:customStyle="1" w:styleId="Heading3Char">
    <w:name w:val="Heading 3 Char"/>
    <w:basedOn w:val="DefaultParagraphFont"/>
    <w:link w:val="Heading3"/>
    <w:rsid w:val="005F3DC5"/>
    <w:rPr>
      <w:rFonts w:asciiTheme="majorHAnsi" w:eastAsiaTheme="majorEastAsia" w:hAnsiTheme="majorHAnsi" w:cstheme="majorBidi"/>
      <w:b/>
      <w:bCs/>
      <w:color w:val="0063A6" w:themeColor="accent1"/>
      <w:spacing w:val="2"/>
      <w:szCs w:val="22"/>
    </w:rPr>
  </w:style>
  <w:style w:type="paragraph" w:customStyle="1" w:styleId="Heading4numbered">
    <w:name w:val="Heading 4 numbered"/>
    <w:basedOn w:val="Heading4"/>
    <w:next w:val="NormalIndent"/>
    <w:uiPriority w:val="7"/>
    <w:qFormat/>
    <w:rsid w:val="00EC171D"/>
    <w:pPr>
      <w:numPr>
        <w:ilvl w:val="5"/>
        <w:numId w:val="22"/>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21214A"/>
    <w:pPr>
      <w:spacing w:after="0" w:line="360" w:lineRule="exact"/>
    </w:pPr>
    <w:rPr>
      <w:rFonts w:asciiTheme="majorHAnsi" w:eastAsia="Times New Roman" w:hAnsiTheme="majorHAnsi" w:cstheme="majorHAnsi"/>
      <w:color w:val="0063A6" w:themeColor="accent1"/>
      <w:spacing w:val="-2"/>
      <w:sz w:val="32"/>
      <w:szCs w:val="32"/>
    </w:rPr>
  </w:style>
  <w:style w:type="character" w:customStyle="1" w:styleId="SubtitleChar">
    <w:name w:val="Subtitle Char"/>
    <w:basedOn w:val="DefaultParagraphFont"/>
    <w:link w:val="Subtitle"/>
    <w:uiPriority w:val="99"/>
    <w:rsid w:val="0021214A"/>
    <w:rPr>
      <w:rFonts w:asciiTheme="majorHAnsi" w:eastAsia="Times New Roman" w:hAnsiTheme="majorHAnsi" w:cstheme="majorHAnsi"/>
      <w:color w:val="0063A6" w:themeColor="accent1"/>
      <w:spacing w:val="-2"/>
      <w:sz w:val="32"/>
      <w:szCs w:val="32"/>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21214A"/>
    <w:pPr>
      <w:spacing w:before="240" w:after="40" w:line="252" w:lineRule="auto"/>
    </w:pPr>
    <w:rPr>
      <w:rFonts w:asciiTheme="majorHAnsi" w:eastAsia="Times New Roman" w:hAnsiTheme="majorHAnsi" w:cstheme="majorHAnsi"/>
      <w:b/>
      <w:color w:val="0063A6" w:themeColor="accent1"/>
      <w:spacing w:val="-2"/>
      <w:sz w:val="36"/>
      <w:szCs w:val="36"/>
    </w:rPr>
  </w:style>
  <w:style w:type="character" w:customStyle="1" w:styleId="TitleChar">
    <w:name w:val="Title Char"/>
    <w:basedOn w:val="DefaultParagraphFont"/>
    <w:link w:val="Title"/>
    <w:uiPriority w:val="99"/>
    <w:rsid w:val="0021214A"/>
    <w:rPr>
      <w:rFonts w:asciiTheme="majorHAnsi" w:eastAsia="Times New Roman" w:hAnsiTheme="majorHAnsi" w:cstheme="majorHAnsi"/>
      <w:b/>
      <w:color w:val="0063A6" w:themeColor="accent1"/>
      <w:spacing w:val="-2"/>
      <w:sz w:val="36"/>
      <w:szCs w:val="3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8"/>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6E0266"/>
    <w:pPr>
      <w:tabs>
        <w:tab w:val="right" w:pos="13950"/>
      </w:tabs>
      <w:spacing w:before="0" w:after="0" w:line="240" w:lineRule="auto"/>
    </w:pPr>
    <w:rPr>
      <w:noProof/>
      <w:sz w:val="18"/>
      <w:szCs w:val="18"/>
    </w:rPr>
  </w:style>
  <w:style w:type="character" w:customStyle="1" w:styleId="FooterChar">
    <w:name w:val="Footer Char"/>
    <w:basedOn w:val="DefaultParagraphFont"/>
    <w:link w:val="Footer"/>
    <w:uiPriority w:val="24"/>
    <w:rsid w:val="006E0266"/>
    <w:rPr>
      <w:noProof/>
      <w:spacing w:val="2"/>
      <w:sz w:val="18"/>
      <w:szCs w:val="18"/>
    </w:rPr>
  </w:style>
  <w:style w:type="character" w:styleId="PageNumber">
    <w:name w:val="page number"/>
    <w:uiPriority w:val="49"/>
    <w:semiHidden/>
    <w:rsid w:val="00764162"/>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991FA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91FA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E2090"/>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8"/>
    <w:qFormat/>
    <w:rsid w:val="00A414D4"/>
    <w:pPr>
      <w:numPr>
        <w:ilvl w:val="7"/>
        <w:numId w:val="22"/>
      </w:numPr>
      <w:spacing w:before="100"/>
      <w:contextualSpacing/>
    </w:pPr>
  </w:style>
  <w:style w:type="paragraph" w:customStyle="1" w:styleId="Listnumindent">
    <w:name w:val="List num indent"/>
    <w:basedOn w:val="Normal"/>
    <w:uiPriority w:val="8"/>
    <w:qFormat/>
    <w:rsid w:val="00A414D4"/>
    <w:pPr>
      <w:numPr>
        <w:ilvl w:val="6"/>
        <w:numId w:val="22"/>
      </w:numPr>
      <w:spacing w:before="100"/>
    </w:pPr>
  </w:style>
  <w:style w:type="paragraph" w:customStyle="1" w:styleId="Listnum">
    <w:name w:val="List num"/>
    <w:basedOn w:val="Normal"/>
    <w:uiPriority w:val="1"/>
    <w:qFormat/>
    <w:rsid w:val="00EC171D"/>
    <w:pPr>
      <w:numPr>
        <w:numId w:val="22"/>
      </w:numPr>
    </w:pPr>
  </w:style>
  <w:style w:type="paragraph" w:customStyle="1" w:styleId="Listnum2">
    <w:name w:val="List num 2"/>
    <w:basedOn w:val="Normal"/>
    <w:uiPriority w:val="1"/>
    <w:qFormat/>
    <w:rsid w:val="00EC171D"/>
    <w:pPr>
      <w:numPr>
        <w:ilvl w:val="1"/>
        <w:numId w:val="22"/>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C1FC6"/>
    <w:pPr>
      <w:numPr>
        <w:numId w:val="24"/>
      </w:numPr>
    </w:pPr>
  </w:style>
  <w:style w:type="paragraph" w:customStyle="1" w:styleId="Tabledash">
    <w:name w:val="Table dash"/>
    <w:basedOn w:val="Tablebullet"/>
    <w:uiPriority w:val="6"/>
    <w:rsid w:val="00DC1FC6"/>
    <w:pPr>
      <w:numPr>
        <w:ilvl w:val="1"/>
      </w:numPr>
    </w:pPr>
  </w:style>
  <w:style w:type="paragraph" w:customStyle="1" w:styleId="Tabletextindent">
    <w:name w:val="Table text indent"/>
    <w:basedOn w:val="Tabletext"/>
    <w:uiPriority w:val="6"/>
    <w:qFormat/>
    <w:rsid w:val="00DC1FC6"/>
    <w:pPr>
      <w:ind w:left="288"/>
    </w:pPr>
  </w:style>
  <w:style w:type="paragraph" w:customStyle="1" w:styleId="Numpara">
    <w:name w:val="Num para"/>
    <w:basedOn w:val="ListParagraph"/>
    <w:uiPriority w:val="3"/>
    <w:qFormat/>
    <w:rsid w:val="00E478EB"/>
    <w:pPr>
      <w:numPr>
        <w:numId w:val="19"/>
      </w:numPr>
    </w:pPr>
  </w:style>
  <w:style w:type="paragraph" w:styleId="ListParagraph">
    <w:name w:val="List Paragraph"/>
    <w:basedOn w:val="Normal"/>
    <w:uiPriority w:val="34"/>
    <w:qFormat/>
    <w:rsid w:val="00D40B38"/>
    <w:pPr>
      <w:ind w:left="720"/>
      <w:contextualSpacing/>
    </w:pPr>
  </w:style>
  <w:style w:type="paragraph" w:styleId="FootnoteText">
    <w:name w:val="footnote text"/>
    <w:basedOn w:val="Normal"/>
    <w:link w:val="FootnoteTextChar"/>
    <w:uiPriority w:val="99"/>
    <w:semiHidden/>
    <w:rsid w:val="003320CA"/>
    <w:pPr>
      <w:spacing w:before="0" w:after="0" w:line="240" w:lineRule="auto"/>
    </w:pPr>
    <w:rPr>
      <w:sz w:val="17"/>
    </w:rPr>
  </w:style>
  <w:style w:type="character" w:customStyle="1" w:styleId="FootnoteTextChar">
    <w:name w:val="Footnote Text Char"/>
    <w:basedOn w:val="DefaultParagraphFont"/>
    <w:link w:val="FootnoteText"/>
    <w:uiPriority w:val="99"/>
    <w:semiHidden/>
    <w:rsid w:val="003320CA"/>
    <w:rPr>
      <w:spacing w:val="2"/>
      <w:sz w:val="17"/>
    </w:rPr>
  </w:style>
  <w:style w:type="character" w:styleId="FootnoteReference">
    <w:name w:val="footnote reference"/>
    <w:basedOn w:val="DefaultParagraphFont"/>
    <w:uiPriority w:val="99"/>
    <w:semiHidden/>
    <w:rsid w:val="003320CA"/>
    <w:rPr>
      <w:vertAlign w:val="superscript"/>
    </w:rPr>
  </w:style>
  <w:style w:type="table" w:customStyle="1" w:styleId="DTFfinancialtableindent">
    <w:name w:val="DTF financial table indent"/>
    <w:basedOn w:val="DTFfinancialtable"/>
    <w:uiPriority w:val="99"/>
    <w:rsid w:val="00A414D4"/>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A414D4"/>
    <w:pPr>
      <w:spacing w:after="0" w:line="240" w:lineRule="auto"/>
    </w:pPr>
    <w:tblPr>
      <w:tblInd w:w="821" w:type="dxa"/>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teNormalindent">
    <w:name w:val="Note Normal indent"/>
    <w:basedOn w:val="NoteNormal"/>
    <w:uiPriority w:val="9"/>
    <w:qFormat/>
    <w:rsid w:val="00A414D4"/>
    <w:pPr>
      <w:ind w:left="792"/>
    </w:pPr>
  </w:style>
  <w:style w:type="paragraph" w:customStyle="1" w:styleId="Numparaindent">
    <w:name w:val="Num para indent"/>
    <w:basedOn w:val="Numpara"/>
    <w:uiPriority w:val="8"/>
    <w:qFormat/>
    <w:rsid w:val="00A414D4"/>
    <w:pPr>
      <w:numPr>
        <w:ilvl w:val="8"/>
        <w:numId w:val="22"/>
      </w:numPr>
    </w:pPr>
  </w:style>
  <w:style w:type="paragraph" w:customStyle="1" w:styleId="Tablenum1">
    <w:name w:val="Table num 1"/>
    <w:basedOn w:val="Normal"/>
    <w:uiPriority w:val="6"/>
    <w:rsid w:val="00A414D4"/>
    <w:pPr>
      <w:numPr>
        <w:ilvl w:val="2"/>
        <w:numId w:val="24"/>
      </w:numPr>
    </w:pPr>
    <w:rPr>
      <w:sz w:val="17"/>
    </w:rPr>
  </w:style>
  <w:style w:type="paragraph" w:customStyle="1" w:styleId="Tablenum2">
    <w:name w:val="Table num 2"/>
    <w:basedOn w:val="Normal"/>
    <w:uiPriority w:val="6"/>
    <w:rsid w:val="007039B7"/>
    <w:pPr>
      <w:numPr>
        <w:ilvl w:val="3"/>
        <w:numId w:val="24"/>
      </w:numPr>
      <w:spacing w:before="60"/>
      <w:contextualSpacing/>
    </w:pPr>
    <w:rPr>
      <w:sz w:val="17"/>
    </w:rPr>
  </w:style>
  <w:style w:type="paragraph" w:styleId="Caption">
    <w:name w:val="caption"/>
    <w:basedOn w:val="Normal"/>
    <w:next w:val="Normal"/>
    <w:uiPriority w:val="35"/>
    <w:rsid w:val="00FD75EB"/>
    <w:pPr>
      <w:spacing w:before="200" w:after="120" w:line="240" w:lineRule="auto"/>
    </w:pPr>
    <w:rPr>
      <w:rFonts w:eastAsiaTheme="majorEastAsia"/>
      <w:b/>
      <w:bCs/>
      <w:color w:val="383834" w:themeColor="background2" w:themeShade="40"/>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Landscap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FC1F-FEE6-4D26-965A-688B21EA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Landscape.dotx</Template>
  <TotalTime>71</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Shareen Singh</dc:creator>
  <cp:lastModifiedBy>Julie Marsal</cp:lastModifiedBy>
  <cp:revision>10</cp:revision>
  <cp:lastPrinted>2017-04-12T05:28:00Z</cp:lastPrinted>
  <dcterms:created xsi:type="dcterms:W3CDTF">2017-05-25T23:55:00Z</dcterms:created>
  <dcterms:modified xsi:type="dcterms:W3CDTF">2017-05-26T01:07:00Z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4317720a-29c1-4c6c-91aa-2bb80aeb6d56</vt:lpwstr>
  </property>
  <property fmtid="{D5CDD505-2E9C-101B-9397-08002B2CF9AE}" pid="3" name="PSPFClassification">
    <vt:lpwstr>Do Not Mark</vt:lpwstr>
  </property>
</Properties>
</file>