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E2" w:rsidRPr="00851105" w:rsidRDefault="00BC08E2" w:rsidP="00BC08E2">
      <w:pPr>
        <w:pStyle w:val="Title"/>
      </w:pPr>
      <w:bookmarkStart w:id="0" w:name="_Toc442780672"/>
      <w:r w:rsidRPr="00851105">
        <w:t>Accounting policy update</w:t>
      </w:r>
    </w:p>
    <w:p w:rsidR="00BC08E2" w:rsidRPr="00851105" w:rsidRDefault="00BC08E2" w:rsidP="00BC08E2">
      <w:pPr>
        <w:pStyle w:val="Subtitle"/>
      </w:pPr>
      <w:r w:rsidRPr="00851105">
        <w:t>Newsletter – Edition No. 3</w:t>
      </w:r>
      <w:r w:rsidR="00450799" w:rsidRPr="00851105">
        <w:t>4</w:t>
      </w:r>
      <w:r w:rsidRPr="00851105">
        <w:t xml:space="preserve">, </w:t>
      </w:r>
      <w:r w:rsidR="00450799" w:rsidRPr="00851105">
        <w:t xml:space="preserve">July </w:t>
      </w:r>
      <w:r w:rsidRPr="00851105">
        <w:t>201</w:t>
      </w:r>
      <w:r w:rsidR="00450799" w:rsidRPr="00851105">
        <w:t>8</w:t>
      </w:r>
    </w:p>
    <w:p w:rsidR="00BC08E2" w:rsidRPr="00851105" w:rsidRDefault="00BC08E2" w:rsidP="00BC08E2">
      <w:pPr>
        <w:pStyle w:val="Spacer"/>
      </w:pPr>
    </w:p>
    <w:p w:rsidR="00BC08E2" w:rsidRPr="00851105" w:rsidRDefault="00BC08E2" w:rsidP="00BC08E2">
      <w:pPr>
        <w:pStyle w:val="Spacer"/>
      </w:pPr>
    </w:p>
    <w:p w:rsidR="00BC08E2" w:rsidRPr="00851105" w:rsidRDefault="00BC08E2" w:rsidP="00BC08E2">
      <w:pPr>
        <w:pStyle w:val="Heading1"/>
        <w:sectPr w:rsidR="00BC08E2" w:rsidRPr="00851105" w:rsidSect="008B69EC">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docGrid w:linePitch="360"/>
        </w:sectPr>
      </w:pPr>
    </w:p>
    <w:p w:rsidR="00BC08E2" w:rsidRPr="00851105" w:rsidRDefault="00BC08E2" w:rsidP="00BC08E2">
      <w:pPr>
        <w:pStyle w:val="Spacer"/>
      </w:pPr>
      <w:bookmarkStart w:id="3" w:name="_Toc442780674"/>
    </w:p>
    <w:p w:rsidR="00BC08E2" w:rsidRPr="00851105" w:rsidRDefault="00BC08E2" w:rsidP="00BC08E2">
      <w:pPr>
        <w:pStyle w:val="Heading4"/>
        <w:spacing w:before="60"/>
      </w:pPr>
      <w:r w:rsidRPr="00851105">
        <w:t>Scope: This bi</w:t>
      </w:r>
      <w:r w:rsidR="00314CE6" w:rsidRPr="00851105">
        <w:noBreakHyphen/>
      </w:r>
      <w:r w:rsidRPr="00851105">
        <w:t>annual newsletter outlines areas of particular importance in public sector financial reporting. Please distribute to both budget and financial reporting areas of Victorian public sector entities.</w:t>
      </w:r>
    </w:p>
    <w:p w:rsidR="00BC08E2" w:rsidRPr="00851105" w:rsidRDefault="00BC08E2" w:rsidP="00BC08E2"/>
    <w:p w:rsidR="00BC08E2" w:rsidRPr="00851105" w:rsidRDefault="00BC08E2" w:rsidP="00BC08E2">
      <w:pPr>
        <w:spacing w:before="0" w:after="0"/>
      </w:pPr>
    </w:p>
    <w:tbl>
      <w:tblPr>
        <w:tblStyle w:val="TableGrid"/>
        <w:tblW w:w="0" w:type="auto"/>
        <w:tblBorders>
          <w:bottom w:val="none" w:sz="0" w:space="0" w:color="auto"/>
        </w:tblBorders>
        <w:tblLook w:val="0480" w:firstRow="0" w:lastRow="0" w:firstColumn="1" w:lastColumn="0" w:noHBand="0" w:noVBand="1"/>
      </w:tblPr>
      <w:tblGrid>
        <w:gridCol w:w="2833"/>
      </w:tblGrid>
      <w:tr w:rsidR="00BC08E2" w:rsidRPr="00851105" w:rsidTr="00314CE6">
        <w:tc>
          <w:tcPr>
            <w:cnfStyle w:val="001000000000" w:firstRow="0" w:lastRow="0" w:firstColumn="1" w:lastColumn="0" w:oddVBand="0" w:evenVBand="0" w:oddHBand="0" w:evenHBand="0" w:firstRowFirstColumn="0" w:firstRowLastColumn="0" w:lastRowFirstColumn="0" w:lastRowLastColumn="0"/>
            <w:tcW w:w="2833" w:type="dxa"/>
          </w:tcPr>
          <w:p w:rsidR="00BC08E2" w:rsidRPr="00851105" w:rsidRDefault="00BC08E2" w:rsidP="00314CE6">
            <w:pPr>
              <w:pStyle w:val="TOCHeading"/>
              <w:spacing w:before="200" w:after="100"/>
            </w:pPr>
            <w:r w:rsidRPr="00851105">
              <w:t>Inside this edition</w:t>
            </w:r>
          </w:p>
          <w:p w:rsidR="00C209B8" w:rsidRDefault="00BC08E2">
            <w:pPr>
              <w:pStyle w:val="TOC1"/>
              <w:rPr>
                <w:noProof/>
                <w:spacing w:val="0"/>
                <w:sz w:val="22"/>
                <w:szCs w:val="22"/>
              </w:rPr>
            </w:pPr>
            <w:r w:rsidRPr="00851105">
              <w:rPr>
                <w:rFonts w:eastAsiaTheme="minorEastAsia"/>
                <w:szCs w:val="16"/>
                <w:lang w:eastAsia="en-AU"/>
              </w:rPr>
              <w:fldChar w:fldCharType="begin"/>
            </w:r>
            <w:r w:rsidRPr="00851105">
              <w:rPr>
                <w:szCs w:val="16"/>
              </w:rPr>
              <w:instrText xml:space="preserve"> TOC \h \z \t "Heading 1,1" </w:instrText>
            </w:r>
            <w:r w:rsidRPr="00851105">
              <w:rPr>
                <w:rFonts w:eastAsiaTheme="minorEastAsia"/>
                <w:szCs w:val="16"/>
                <w:lang w:eastAsia="en-AU"/>
              </w:rPr>
              <w:fldChar w:fldCharType="separate"/>
            </w:r>
            <w:hyperlink w:anchor="_Toc519255626" w:history="1">
              <w:r w:rsidR="00C209B8" w:rsidRPr="00A15D3F">
                <w:rPr>
                  <w:rStyle w:val="Hyperlink"/>
                  <w:noProof/>
                </w:rPr>
                <w:t>Overview</w:t>
              </w:r>
              <w:r w:rsidR="00C209B8">
                <w:rPr>
                  <w:noProof/>
                  <w:webHidden/>
                </w:rPr>
                <w:tab/>
              </w:r>
              <w:r w:rsidR="00C209B8">
                <w:rPr>
                  <w:noProof/>
                  <w:webHidden/>
                </w:rPr>
                <w:fldChar w:fldCharType="begin"/>
              </w:r>
              <w:r w:rsidR="00C209B8">
                <w:rPr>
                  <w:noProof/>
                  <w:webHidden/>
                </w:rPr>
                <w:instrText xml:space="preserve"> PAGEREF _Toc519255626 \h </w:instrText>
              </w:r>
              <w:r w:rsidR="00C209B8">
                <w:rPr>
                  <w:noProof/>
                  <w:webHidden/>
                </w:rPr>
              </w:r>
              <w:r w:rsidR="00C209B8">
                <w:rPr>
                  <w:noProof/>
                  <w:webHidden/>
                </w:rPr>
                <w:fldChar w:fldCharType="separate"/>
              </w:r>
              <w:r w:rsidR="00A96617">
                <w:rPr>
                  <w:noProof/>
                  <w:webHidden/>
                </w:rPr>
                <w:t>1</w:t>
              </w:r>
              <w:r w:rsidR="00C209B8">
                <w:rPr>
                  <w:noProof/>
                  <w:webHidden/>
                </w:rPr>
                <w:fldChar w:fldCharType="end"/>
              </w:r>
            </w:hyperlink>
          </w:p>
          <w:p w:rsidR="00C209B8" w:rsidRDefault="00BC4F36">
            <w:pPr>
              <w:pStyle w:val="TOC1"/>
              <w:rPr>
                <w:noProof/>
                <w:spacing w:val="0"/>
                <w:sz w:val="22"/>
                <w:szCs w:val="22"/>
              </w:rPr>
            </w:pPr>
            <w:hyperlink w:anchor="_Toc519255627" w:history="1">
              <w:r w:rsidR="00C209B8" w:rsidRPr="00A15D3F">
                <w:rPr>
                  <w:rStyle w:val="Hyperlink"/>
                  <w:noProof/>
                </w:rPr>
                <w:t>2017</w:t>
              </w:r>
              <w:r w:rsidR="00C209B8" w:rsidRPr="00A15D3F">
                <w:rPr>
                  <w:rStyle w:val="Hyperlink"/>
                  <w:noProof/>
                </w:rPr>
                <w:noBreakHyphen/>
                <w:t>18 reporting year</w:t>
              </w:r>
              <w:r w:rsidR="00C209B8">
                <w:rPr>
                  <w:noProof/>
                  <w:webHidden/>
                </w:rPr>
                <w:tab/>
              </w:r>
              <w:r w:rsidR="00C209B8">
                <w:rPr>
                  <w:noProof/>
                  <w:webHidden/>
                </w:rPr>
                <w:fldChar w:fldCharType="begin"/>
              </w:r>
              <w:r w:rsidR="00C209B8">
                <w:rPr>
                  <w:noProof/>
                  <w:webHidden/>
                </w:rPr>
                <w:instrText xml:space="preserve"> PAGEREF _Toc519255627 \h </w:instrText>
              </w:r>
              <w:r w:rsidR="00C209B8">
                <w:rPr>
                  <w:noProof/>
                  <w:webHidden/>
                </w:rPr>
              </w:r>
              <w:r w:rsidR="00C209B8">
                <w:rPr>
                  <w:noProof/>
                  <w:webHidden/>
                </w:rPr>
                <w:fldChar w:fldCharType="separate"/>
              </w:r>
              <w:r w:rsidR="00A96617">
                <w:rPr>
                  <w:noProof/>
                  <w:webHidden/>
                </w:rPr>
                <w:t>2</w:t>
              </w:r>
              <w:r w:rsidR="00C209B8">
                <w:rPr>
                  <w:noProof/>
                  <w:webHidden/>
                </w:rPr>
                <w:fldChar w:fldCharType="end"/>
              </w:r>
            </w:hyperlink>
          </w:p>
          <w:p w:rsidR="00C209B8" w:rsidRDefault="00BC4F36">
            <w:pPr>
              <w:pStyle w:val="TOC1"/>
              <w:rPr>
                <w:noProof/>
                <w:spacing w:val="0"/>
                <w:sz w:val="22"/>
                <w:szCs w:val="22"/>
              </w:rPr>
            </w:pPr>
            <w:hyperlink w:anchor="_Toc519255628" w:history="1">
              <w:r w:rsidR="00C209B8" w:rsidRPr="00A15D3F">
                <w:rPr>
                  <w:rStyle w:val="Hyperlink"/>
                  <w:noProof/>
                </w:rPr>
                <w:t>2017</w:t>
              </w:r>
              <w:r w:rsidR="00C209B8" w:rsidRPr="00A15D3F">
                <w:rPr>
                  <w:rStyle w:val="Hyperlink"/>
                  <w:noProof/>
                </w:rPr>
                <w:noBreakHyphen/>
                <w:t>18 financial reporting legislation</w:t>
              </w:r>
              <w:r w:rsidR="00C209B8">
                <w:rPr>
                  <w:noProof/>
                  <w:webHidden/>
                </w:rPr>
                <w:tab/>
              </w:r>
              <w:r w:rsidR="00C209B8">
                <w:rPr>
                  <w:noProof/>
                  <w:webHidden/>
                </w:rPr>
                <w:fldChar w:fldCharType="begin"/>
              </w:r>
              <w:r w:rsidR="00C209B8">
                <w:rPr>
                  <w:noProof/>
                  <w:webHidden/>
                </w:rPr>
                <w:instrText xml:space="preserve"> PAGEREF _Toc519255628 \h </w:instrText>
              </w:r>
              <w:r w:rsidR="00C209B8">
                <w:rPr>
                  <w:noProof/>
                  <w:webHidden/>
                </w:rPr>
              </w:r>
              <w:r w:rsidR="00C209B8">
                <w:rPr>
                  <w:noProof/>
                  <w:webHidden/>
                </w:rPr>
                <w:fldChar w:fldCharType="separate"/>
              </w:r>
              <w:r w:rsidR="00A96617">
                <w:rPr>
                  <w:noProof/>
                  <w:webHidden/>
                </w:rPr>
                <w:t>4</w:t>
              </w:r>
              <w:r w:rsidR="00C209B8">
                <w:rPr>
                  <w:noProof/>
                  <w:webHidden/>
                </w:rPr>
                <w:fldChar w:fldCharType="end"/>
              </w:r>
            </w:hyperlink>
          </w:p>
          <w:p w:rsidR="00C209B8" w:rsidRDefault="00BC4F36">
            <w:pPr>
              <w:pStyle w:val="TOC1"/>
              <w:rPr>
                <w:noProof/>
                <w:spacing w:val="0"/>
                <w:sz w:val="22"/>
                <w:szCs w:val="22"/>
              </w:rPr>
            </w:pPr>
            <w:hyperlink w:anchor="_Toc519255629" w:history="1">
              <w:r w:rsidR="00C209B8" w:rsidRPr="00A15D3F">
                <w:rPr>
                  <w:rStyle w:val="Hyperlink"/>
                  <w:noProof/>
                </w:rPr>
                <w:t>AASB update</w:t>
              </w:r>
              <w:r w:rsidR="00C209B8">
                <w:rPr>
                  <w:noProof/>
                  <w:webHidden/>
                </w:rPr>
                <w:tab/>
              </w:r>
              <w:r w:rsidR="00C209B8">
                <w:rPr>
                  <w:noProof/>
                  <w:webHidden/>
                </w:rPr>
                <w:fldChar w:fldCharType="begin"/>
              </w:r>
              <w:r w:rsidR="00C209B8">
                <w:rPr>
                  <w:noProof/>
                  <w:webHidden/>
                </w:rPr>
                <w:instrText xml:space="preserve"> PAGEREF _Toc519255629 \h </w:instrText>
              </w:r>
              <w:r w:rsidR="00C209B8">
                <w:rPr>
                  <w:noProof/>
                  <w:webHidden/>
                </w:rPr>
              </w:r>
              <w:r w:rsidR="00C209B8">
                <w:rPr>
                  <w:noProof/>
                  <w:webHidden/>
                </w:rPr>
                <w:fldChar w:fldCharType="separate"/>
              </w:r>
              <w:r w:rsidR="00A96617">
                <w:rPr>
                  <w:noProof/>
                  <w:webHidden/>
                </w:rPr>
                <w:t>7</w:t>
              </w:r>
              <w:r w:rsidR="00C209B8">
                <w:rPr>
                  <w:noProof/>
                  <w:webHidden/>
                </w:rPr>
                <w:fldChar w:fldCharType="end"/>
              </w:r>
            </w:hyperlink>
          </w:p>
          <w:p w:rsidR="00C209B8" w:rsidRDefault="00BC4F36">
            <w:pPr>
              <w:pStyle w:val="TOC1"/>
              <w:rPr>
                <w:noProof/>
                <w:spacing w:val="0"/>
                <w:sz w:val="22"/>
                <w:szCs w:val="22"/>
              </w:rPr>
            </w:pPr>
            <w:hyperlink w:anchor="_Toc519255630" w:history="1">
              <w:r w:rsidR="00C209B8" w:rsidRPr="00A15D3F">
                <w:rPr>
                  <w:rStyle w:val="Hyperlink"/>
                  <w:noProof/>
                </w:rPr>
                <w:t>VAGO communication</w:t>
              </w:r>
              <w:r w:rsidR="00C209B8">
                <w:rPr>
                  <w:noProof/>
                  <w:webHidden/>
                </w:rPr>
                <w:tab/>
              </w:r>
              <w:r w:rsidR="00C209B8">
                <w:rPr>
                  <w:noProof/>
                  <w:webHidden/>
                </w:rPr>
                <w:fldChar w:fldCharType="begin"/>
              </w:r>
              <w:r w:rsidR="00C209B8">
                <w:rPr>
                  <w:noProof/>
                  <w:webHidden/>
                </w:rPr>
                <w:instrText xml:space="preserve"> PAGEREF _Toc519255630 \h </w:instrText>
              </w:r>
              <w:r w:rsidR="00C209B8">
                <w:rPr>
                  <w:noProof/>
                  <w:webHidden/>
                </w:rPr>
              </w:r>
              <w:r w:rsidR="00C209B8">
                <w:rPr>
                  <w:noProof/>
                  <w:webHidden/>
                </w:rPr>
                <w:fldChar w:fldCharType="separate"/>
              </w:r>
              <w:r w:rsidR="00A96617">
                <w:rPr>
                  <w:noProof/>
                  <w:webHidden/>
                </w:rPr>
                <w:t>11</w:t>
              </w:r>
              <w:r w:rsidR="00C209B8">
                <w:rPr>
                  <w:noProof/>
                  <w:webHidden/>
                </w:rPr>
                <w:fldChar w:fldCharType="end"/>
              </w:r>
            </w:hyperlink>
          </w:p>
          <w:p w:rsidR="00C209B8" w:rsidRDefault="00BC4F36">
            <w:pPr>
              <w:pStyle w:val="TOC1"/>
              <w:rPr>
                <w:noProof/>
                <w:spacing w:val="0"/>
                <w:sz w:val="22"/>
                <w:szCs w:val="22"/>
              </w:rPr>
            </w:pPr>
            <w:hyperlink w:anchor="_Toc519255631" w:history="1">
              <w:r w:rsidR="00C209B8" w:rsidRPr="00A15D3F">
                <w:rPr>
                  <w:rStyle w:val="Hyperlink"/>
                  <w:noProof/>
                </w:rPr>
                <w:t>How to contact us</w:t>
              </w:r>
              <w:r w:rsidR="00C209B8">
                <w:rPr>
                  <w:noProof/>
                  <w:webHidden/>
                </w:rPr>
                <w:tab/>
              </w:r>
              <w:r w:rsidR="00C209B8">
                <w:rPr>
                  <w:noProof/>
                  <w:webHidden/>
                </w:rPr>
                <w:fldChar w:fldCharType="begin"/>
              </w:r>
              <w:r w:rsidR="00C209B8">
                <w:rPr>
                  <w:noProof/>
                  <w:webHidden/>
                </w:rPr>
                <w:instrText xml:space="preserve"> PAGEREF _Toc519255631 \h </w:instrText>
              </w:r>
              <w:r w:rsidR="00C209B8">
                <w:rPr>
                  <w:noProof/>
                  <w:webHidden/>
                </w:rPr>
              </w:r>
              <w:r w:rsidR="00C209B8">
                <w:rPr>
                  <w:noProof/>
                  <w:webHidden/>
                </w:rPr>
                <w:fldChar w:fldCharType="separate"/>
              </w:r>
              <w:r w:rsidR="00A96617">
                <w:rPr>
                  <w:noProof/>
                  <w:webHidden/>
                </w:rPr>
                <w:t>12</w:t>
              </w:r>
              <w:r w:rsidR="00C209B8">
                <w:rPr>
                  <w:noProof/>
                  <w:webHidden/>
                </w:rPr>
                <w:fldChar w:fldCharType="end"/>
              </w:r>
            </w:hyperlink>
          </w:p>
          <w:p w:rsidR="00BC08E2" w:rsidRPr="00851105" w:rsidRDefault="00BC08E2" w:rsidP="00314CE6">
            <w:pPr>
              <w:pStyle w:val="NewsletterNote"/>
            </w:pPr>
            <w:r w:rsidRPr="00851105">
              <w:fldChar w:fldCharType="end"/>
            </w:r>
          </w:p>
        </w:tc>
      </w:tr>
    </w:tbl>
    <w:p w:rsidR="00BC08E2" w:rsidRPr="00851105" w:rsidRDefault="00BC08E2" w:rsidP="00BC08E2"/>
    <w:p w:rsidR="00BC08E2" w:rsidRPr="00851105" w:rsidRDefault="00BC08E2" w:rsidP="00BC08E2"/>
    <w:p w:rsidR="00BC08E2" w:rsidRPr="00683AA3" w:rsidRDefault="00BC08E2" w:rsidP="00BC08E2">
      <w:pPr>
        <w:pStyle w:val="Heading1"/>
        <w:rPr>
          <w:color w:val="auto"/>
        </w:rPr>
      </w:pPr>
      <w:r w:rsidRPr="00851105">
        <w:br w:type="column"/>
      </w:r>
      <w:bookmarkStart w:id="4" w:name="_Toc519255626"/>
      <w:r w:rsidRPr="00851105">
        <w:lastRenderedPageBreak/>
        <w:t>Overview</w:t>
      </w:r>
      <w:bookmarkStart w:id="5" w:name="_GoBack"/>
      <w:bookmarkEnd w:id="4"/>
      <w:bookmarkEnd w:id="5"/>
    </w:p>
    <w:p w:rsidR="00E15EAB" w:rsidRDefault="00E15EAB" w:rsidP="00C4594E">
      <w:r>
        <w:t>As the majority of our controlled public sector entities and department</w:t>
      </w:r>
      <w:r w:rsidR="000C0A83">
        <w:t>s</w:t>
      </w:r>
      <w:r>
        <w:t xml:space="preserve"> prepare for the end of the</w:t>
      </w:r>
      <w:r w:rsidR="000C0A83">
        <w:t>ir</w:t>
      </w:r>
      <w:r>
        <w:t xml:space="preserve"> </w:t>
      </w:r>
      <w:r w:rsidR="000C0A83">
        <w:t>30</w:t>
      </w:r>
      <w:r w:rsidR="00F549E4">
        <w:t> </w:t>
      </w:r>
      <w:r w:rsidR="000C0A83">
        <w:t>June 2018</w:t>
      </w:r>
      <w:r w:rsidR="00DB2F5C" w:rsidRPr="00DB2F5C">
        <w:t xml:space="preserve"> </w:t>
      </w:r>
      <w:r w:rsidR="00DB2F5C">
        <w:t>financial year</w:t>
      </w:r>
      <w:r>
        <w:t>, we provide an update of key changes that are relevant for the reporting period.</w:t>
      </w:r>
    </w:p>
    <w:p w:rsidR="00E15EAB" w:rsidRDefault="00E15EAB" w:rsidP="00C4594E">
      <w:r>
        <w:t>The</w:t>
      </w:r>
      <w:r w:rsidR="00921A11">
        <w:t xml:space="preserve"> new streamlined</w:t>
      </w:r>
      <w:r>
        <w:t xml:space="preserve"> Model Report was released at the end of May 2018</w:t>
      </w:r>
      <w:r w:rsidR="00921A11">
        <w:t xml:space="preserve"> and </w:t>
      </w:r>
      <w:r w:rsidR="00E23EC4">
        <w:t xml:space="preserve">is </w:t>
      </w:r>
      <w:r w:rsidR="00717608">
        <w:t>available from the DTF website</w:t>
      </w:r>
      <w:r>
        <w:t>.</w:t>
      </w:r>
    </w:p>
    <w:p w:rsidR="00C4594E" w:rsidRPr="00851105" w:rsidRDefault="00E15EAB" w:rsidP="00C4594E">
      <w:r>
        <w:t>There ha</w:t>
      </w:r>
      <w:r w:rsidR="00991C6F">
        <w:t>ve</w:t>
      </w:r>
      <w:r>
        <w:t xml:space="preserve"> also been a </w:t>
      </w:r>
      <w:r w:rsidR="00897424">
        <w:t>number of</w:t>
      </w:r>
      <w:r w:rsidR="00897424" w:rsidRPr="00851105">
        <w:t xml:space="preserve"> </w:t>
      </w:r>
      <w:r w:rsidR="00C4594E" w:rsidRPr="00851105">
        <w:t>updates made to</w:t>
      </w:r>
      <w:r>
        <w:t xml:space="preserve"> the</w:t>
      </w:r>
      <w:r w:rsidR="00C4594E" w:rsidRPr="00851105">
        <w:t xml:space="preserve"> financial reporting directions (FRDs) since the last newsletter. </w:t>
      </w:r>
      <w:r w:rsidR="00204BFA" w:rsidRPr="00204BFA">
        <w:t>An outline of changes</w:t>
      </w:r>
      <w:r w:rsidR="00204BFA" w:rsidRPr="00851105">
        <w:t xml:space="preserve"> </w:t>
      </w:r>
      <w:r w:rsidR="00AB331A">
        <w:t xml:space="preserve">to the following FRDs, </w:t>
      </w:r>
      <w:r w:rsidR="00AB331A" w:rsidRPr="00851105">
        <w:t>applicable for 2017</w:t>
      </w:r>
      <w:r w:rsidR="00AB331A" w:rsidRPr="00851105">
        <w:noBreakHyphen/>
        <w:t>18</w:t>
      </w:r>
      <w:r w:rsidR="00AB331A">
        <w:t xml:space="preserve">, are included </w:t>
      </w:r>
      <w:r w:rsidR="00204BFA" w:rsidRPr="00204BFA">
        <w:t>in this newsletter</w:t>
      </w:r>
      <w:r w:rsidR="00204BFA">
        <w:t>:</w:t>
      </w:r>
      <w:r w:rsidR="00204BFA" w:rsidRPr="00204BFA" w:rsidDel="00897424">
        <w:t xml:space="preserve"> </w:t>
      </w:r>
      <w:r w:rsidR="00C4594E" w:rsidRPr="00851105">
        <w:t>FRD 15</w:t>
      </w:r>
      <w:r w:rsidR="00897424">
        <w:t>E</w:t>
      </w:r>
      <w:r w:rsidR="00C4594E" w:rsidRPr="00851105">
        <w:t xml:space="preserve"> </w:t>
      </w:r>
      <w:r w:rsidR="00C4594E" w:rsidRPr="00851105">
        <w:rPr>
          <w:i/>
        </w:rPr>
        <w:t>Executive officer disclosures in the Report of Operations</w:t>
      </w:r>
      <w:r w:rsidR="00C4594E" w:rsidRPr="00851105">
        <w:t>, FRD 29</w:t>
      </w:r>
      <w:r w:rsidR="00897424">
        <w:t>C</w:t>
      </w:r>
      <w:r w:rsidR="00C4594E" w:rsidRPr="00851105">
        <w:t xml:space="preserve"> </w:t>
      </w:r>
      <w:r w:rsidR="00C4594E" w:rsidRPr="00851105">
        <w:rPr>
          <w:i/>
        </w:rPr>
        <w:t>Workforce data disclosures in the Report of Operations</w:t>
      </w:r>
      <w:r w:rsidR="00C4594E" w:rsidRPr="00851105">
        <w:t>, FRD 24</w:t>
      </w:r>
      <w:r w:rsidR="00204BFA">
        <w:t>D</w:t>
      </w:r>
      <w:r w:rsidR="00C4594E" w:rsidRPr="00851105">
        <w:t xml:space="preserve"> </w:t>
      </w:r>
      <w:r w:rsidR="00C4594E" w:rsidRPr="00851105">
        <w:rPr>
          <w:i/>
        </w:rPr>
        <w:t>Reporting of office</w:t>
      </w:r>
      <w:r w:rsidR="00C4594E" w:rsidRPr="00851105">
        <w:rPr>
          <w:i/>
        </w:rPr>
        <w:noBreakHyphen/>
        <w:t xml:space="preserve">based environmental data by government entities, </w:t>
      </w:r>
      <w:r w:rsidR="00F549E4" w:rsidRPr="00851105">
        <w:t>FRD</w:t>
      </w:r>
      <w:r w:rsidR="00F549E4">
        <w:t> </w:t>
      </w:r>
      <w:r w:rsidR="00C4594E" w:rsidRPr="00851105">
        <w:t xml:space="preserve">103F </w:t>
      </w:r>
      <w:r w:rsidR="00C4594E" w:rsidRPr="00851105">
        <w:rPr>
          <w:i/>
        </w:rPr>
        <w:t>Non</w:t>
      </w:r>
      <w:r w:rsidR="00454F40">
        <w:rPr>
          <w:i/>
        </w:rPr>
        <w:noBreakHyphen/>
      </w:r>
      <w:r w:rsidR="00C4594E" w:rsidRPr="00851105">
        <w:rPr>
          <w:i/>
        </w:rPr>
        <w:t xml:space="preserve">financial physical </w:t>
      </w:r>
      <w:r w:rsidR="00C4594E" w:rsidRPr="00204BFA">
        <w:t>assets</w:t>
      </w:r>
      <w:r w:rsidR="00991C6F">
        <w:t>,</w:t>
      </w:r>
      <w:r w:rsidR="00991C6F" w:rsidRPr="00204BFA">
        <w:t xml:space="preserve"> </w:t>
      </w:r>
      <w:r w:rsidR="00991C6F">
        <w:t>FRD</w:t>
      </w:r>
      <w:r w:rsidR="00204BFA">
        <w:t> </w:t>
      </w:r>
      <w:r w:rsidR="00204BFA" w:rsidRPr="00204BFA">
        <w:t>106B</w:t>
      </w:r>
      <w:r w:rsidR="00204BFA" w:rsidRPr="00204BFA">
        <w:rPr>
          <w:i/>
        </w:rPr>
        <w:t xml:space="preserve"> Impairment of assets</w:t>
      </w:r>
      <w:r w:rsidR="000B1E3E">
        <w:rPr>
          <w:i/>
        </w:rPr>
        <w:t xml:space="preserve"> </w:t>
      </w:r>
      <w:r w:rsidR="000B1E3E" w:rsidRPr="000B1E3E">
        <w:t xml:space="preserve">and </w:t>
      </w:r>
      <w:r w:rsidR="00F549E4" w:rsidRPr="000B1E3E">
        <w:t>FRD</w:t>
      </w:r>
      <w:r w:rsidR="00F549E4">
        <w:t> </w:t>
      </w:r>
      <w:r w:rsidR="000B1E3E" w:rsidRPr="000B1E3E">
        <w:t>120L</w:t>
      </w:r>
      <w:r w:rsidR="000B1E3E">
        <w:rPr>
          <w:i/>
        </w:rPr>
        <w:t xml:space="preserve"> </w:t>
      </w:r>
      <w:r w:rsidR="000B1E3E" w:rsidRPr="000B1E3E">
        <w:rPr>
          <w:i/>
        </w:rPr>
        <w:t xml:space="preserve">Accounting and reporting pronouncements applicable to the </w:t>
      </w:r>
      <w:r w:rsidR="00F549E4" w:rsidRPr="000B1E3E">
        <w:rPr>
          <w:i/>
        </w:rPr>
        <w:t>2017</w:t>
      </w:r>
      <w:r w:rsidR="00F549E4">
        <w:rPr>
          <w:i/>
        </w:rPr>
        <w:noBreakHyphen/>
      </w:r>
      <w:r w:rsidR="00991C6F" w:rsidRPr="000B1E3E">
        <w:rPr>
          <w:i/>
        </w:rPr>
        <w:t>18 reporting</w:t>
      </w:r>
      <w:r w:rsidR="000B1E3E" w:rsidRPr="000B1E3E">
        <w:rPr>
          <w:i/>
        </w:rPr>
        <w:t xml:space="preserve"> period</w:t>
      </w:r>
      <w:r w:rsidR="00C4594E" w:rsidRPr="00851105">
        <w:t xml:space="preserve">. </w:t>
      </w:r>
    </w:p>
    <w:p w:rsidR="00717608" w:rsidRDefault="00430B35" w:rsidP="00717608">
      <w:r>
        <w:t xml:space="preserve">As a reminder, </w:t>
      </w:r>
      <w:r w:rsidR="00EF0A2B">
        <w:t>v</w:t>
      </w:r>
      <w:r w:rsidR="00717608">
        <w:t xml:space="preserve">aluation assessments for </w:t>
      </w:r>
      <w:r w:rsidR="00C8354B">
        <w:t>2017</w:t>
      </w:r>
      <w:r w:rsidR="00C8354B">
        <w:noBreakHyphen/>
      </w:r>
      <w:r>
        <w:t xml:space="preserve">18 </w:t>
      </w:r>
      <w:r w:rsidR="00C8354B">
        <w:t>need to be finalised</w:t>
      </w:r>
      <w:r w:rsidR="00717608">
        <w:t xml:space="preserve"> using the April indices</w:t>
      </w:r>
      <w:r w:rsidR="00C8354B" w:rsidRPr="00C8354B">
        <w:t xml:space="preserve"> </w:t>
      </w:r>
      <w:r w:rsidR="00C8354B">
        <w:t>provided by the Valuer</w:t>
      </w:r>
      <w:r w:rsidR="00C8354B">
        <w:noBreakHyphen/>
        <w:t>General Victoria</w:t>
      </w:r>
      <w:r w:rsidR="00717608">
        <w:t>.</w:t>
      </w:r>
      <w:r w:rsidR="00C8354B" w:rsidRPr="00C8354B">
        <w:t xml:space="preserve"> </w:t>
      </w:r>
      <w:r w:rsidR="00EF0A2B">
        <w:t>F</w:t>
      </w:r>
      <w:r w:rsidR="00C8354B">
        <w:t>or some departments</w:t>
      </w:r>
      <w:r w:rsidR="00DB2F5C">
        <w:t xml:space="preserve"> we expect that</w:t>
      </w:r>
      <w:r w:rsidR="00C8354B" w:rsidRPr="00C8354B">
        <w:t xml:space="preserve"> </w:t>
      </w:r>
      <w:r w:rsidR="00C8354B">
        <w:t>a formal valuation will be required.</w:t>
      </w:r>
    </w:p>
    <w:p w:rsidR="00EF0A2B" w:rsidRDefault="00EF0A2B" w:rsidP="00EF0A2B">
      <w:r>
        <w:t>All agencies are reminded that</w:t>
      </w:r>
      <w:r w:rsidR="000F1813">
        <w:t>,</w:t>
      </w:r>
      <w:r>
        <w:t xml:space="preserve"> </w:t>
      </w:r>
      <w:r w:rsidR="000F1813">
        <w:t xml:space="preserve">in relation to all applicable 2016 Standing Directions and Instructions, </w:t>
      </w:r>
      <w:r>
        <w:t xml:space="preserve">a formal attestation statement </w:t>
      </w:r>
      <w:r w:rsidR="000F1813">
        <w:t xml:space="preserve">is to be included in </w:t>
      </w:r>
      <w:r>
        <w:t>your annual reports</w:t>
      </w:r>
      <w:r w:rsidR="000F1813">
        <w:t>. Note also that n</w:t>
      </w:r>
      <w:r>
        <w:t xml:space="preserve">ew Ministerial directions </w:t>
      </w:r>
      <w:r w:rsidR="000F1813">
        <w:t xml:space="preserve">have been developed in </w:t>
      </w:r>
      <w:r>
        <w:t>relati</w:t>
      </w:r>
      <w:r w:rsidR="000F1813">
        <w:t>on</w:t>
      </w:r>
      <w:r>
        <w:t xml:space="preserve"> to public construction procurement</w:t>
      </w:r>
      <w:r w:rsidR="000F1813">
        <w:t>.</w:t>
      </w:r>
    </w:p>
    <w:p w:rsidR="00C4594E" w:rsidRPr="00851105" w:rsidRDefault="00100661" w:rsidP="00C4594E">
      <w:r>
        <w:t>A table of k</w:t>
      </w:r>
      <w:r w:rsidRPr="00851105">
        <w:t xml:space="preserve">ey </w:t>
      </w:r>
      <w:r w:rsidR="00C4594E" w:rsidRPr="00851105">
        <w:t xml:space="preserve">financial publications due in the coming </w:t>
      </w:r>
      <w:r>
        <w:t>year</w:t>
      </w:r>
      <w:r w:rsidR="00B01F33">
        <w:t>, along with their</w:t>
      </w:r>
      <w:r w:rsidR="00C4594E" w:rsidRPr="00851105">
        <w:t xml:space="preserve"> anticipated publication dates</w:t>
      </w:r>
      <w:r w:rsidR="006F68AA">
        <w:t>,</w:t>
      </w:r>
      <w:r w:rsidR="00C4594E" w:rsidRPr="00851105">
        <w:t xml:space="preserve"> is included</w:t>
      </w:r>
      <w:r w:rsidR="00DB1007">
        <w:t xml:space="preserve"> </w:t>
      </w:r>
      <w:r w:rsidR="00E23EC4">
        <w:t>in this newsletter</w:t>
      </w:r>
      <w:r w:rsidR="00C4594E" w:rsidRPr="00851105">
        <w:t>.</w:t>
      </w:r>
    </w:p>
    <w:p w:rsidR="00C4594E" w:rsidRPr="00851105" w:rsidRDefault="006F68AA" w:rsidP="00C4594E">
      <w:r>
        <w:t>A</w:t>
      </w:r>
      <w:r w:rsidR="00C4594E" w:rsidRPr="00851105">
        <w:t>mendments to the FMA</w:t>
      </w:r>
      <w:r w:rsidR="00E55EE8">
        <w:t xml:space="preserve"> and </w:t>
      </w:r>
      <w:r w:rsidR="008D57E3">
        <w:t xml:space="preserve">the </w:t>
      </w:r>
      <w:r w:rsidR="00E55EE8">
        <w:t>Constitution Act</w:t>
      </w:r>
      <w:r w:rsidR="00C4594E" w:rsidRPr="00851105">
        <w:t xml:space="preserve"> are currently being debated in the Parliament. </w:t>
      </w:r>
      <w:r w:rsidR="00E55EE8">
        <w:t>T</w:t>
      </w:r>
      <w:r w:rsidR="00C4594E" w:rsidRPr="00851105">
        <w:t xml:space="preserve">he proposed amendments </w:t>
      </w:r>
      <w:r w:rsidR="00E55EE8">
        <w:t>are now anticipated to</w:t>
      </w:r>
      <w:r w:rsidR="00E55EE8" w:rsidRPr="00E55EE8">
        <w:t xml:space="preserve"> take effect from 1</w:t>
      </w:r>
      <w:r w:rsidR="001A4006">
        <w:t> </w:t>
      </w:r>
      <w:r w:rsidR="00E55EE8" w:rsidRPr="00E55EE8">
        <w:t>July 2020</w:t>
      </w:r>
      <w:r w:rsidR="00E55EE8">
        <w:t xml:space="preserve"> with</w:t>
      </w:r>
      <w:r w:rsidR="00C4594E" w:rsidRPr="00851105">
        <w:t xml:space="preserve"> significant impacts on existing accounting, financial and budget policies.</w:t>
      </w:r>
    </w:p>
    <w:p w:rsidR="001A4006" w:rsidRDefault="00430B35" w:rsidP="009423B8">
      <w:r>
        <w:t xml:space="preserve">Also included is an update that </w:t>
      </w:r>
      <w:r w:rsidR="00C4594E" w:rsidRPr="00851105">
        <w:t>VAGO</w:t>
      </w:r>
      <w:r>
        <w:t xml:space="preserve"> provided </w:t>
      </w:r>
      <w:r w:rsidR="00A5570A">
        <w:t>on</w:t>
      </w:r>
      <w:r w:rsidR="00C4594E" w:rsidRPr="00851105">
        <w:t xml:space="preserve"> </w:t>
      </w:r>
      <w:r w:rsidR="00991C6F" w:rsidRPr="00851105">
        <w:t>the implementation</w:t>
      </w:r>
      <w:r w:rsidR="00C4594E" w:rsidRPr="00851105">
        <w:t xml:space="preserve"> of the new Key Audit Matters section of its independent audit report</w:t>
      </w:r>
      <w:r w:rsidR="00A5570A">
        <w:t xml:space="preserve"> and on the work of its newly</w:t>
      </w:r>
      <w:r w:rsidR="00A5570A">
        <w:noBreakHyphen/>
        <w:t>established</w:t>
      </w:r>
      <w:r w:rsidR="00A5570A" w:rsidRPr="00A5570A">
        <w:t xml:space="preserve"> Data Analytics business unit</w:t>
      </w:r>
      <w:r w:rsidR="00C4594E" w:rsidRPr="00851105">
        <w:t>.</w:t>
      </w:r>
    </w:p>
    <w:p w:rsidR="000F5A54" w:rsidRDefault="000F5A54" w:rsidP="009423B8"/>
    <w:p w:rsidR="001A4006" w:rsidRPr="00851105" w:rsidRDefault="001A4006" w:rsidP="009423B8">
      <w:pPr>
        <w:sectPr w:rsidR="001A4006" w:rsidRPr="00851105" w:rsidSect="000C21C3">
          <w:type w:val="continuous"/>
          <w:pgSz w:w="11906" w:h="16838" w:code="9"/>
          <w:pgMar w:top="2160" w:right="1440" w:bottom="1350" w:left="1440" w:header="706" w:footer="461" w:gutter="0"/>
          <w:pgNumType w:start="1"/>
          <w:cols w:num="2" w:space="706" w:equalWidth="0">
            <w:col w:w="2973" w:space="533"/>
            <w:col w:w="5520"/>
          </w:cols>
          <w:docGrid w:linePitch="360"/>
        </w:sectPr>
      </w:pPr>
    </w:p>
    <w:p w:rsidR="00BC08E2" w:rsidRPr="00851105" w:rsidRDefault="00BC08E2" w:rsidP="00BC08E2">
      <w:pPr>
        <w:pStyle w:val="Heading1"/>
      </w:pPr>
      <w:bookmarkStart w:id="6" w:name="_Toc408567317"/>
      <w:bookmarkStart w:id="7" w:name="_Toc424822613"/>
      <w:bookmarkStart w:id="8" w:name="_Toc452724749"/>
      <w:bookmarkStart w:id="9" w:name="_Toc519255627"/>
      <w:r w:rsidRPr="00851105">
        <w:lastRenderedPageBreak/>
        <w:t>2017</w:t>
      </w:r>
      <w:r w:rsidR="00314CE6" w:rsidRPr="00851105">
        <w:noBreakHyphen/>
      </w:r>
      <w:r w:rsidRPr="00851105">
        <w:t>18 reporting year</w:t>
      </w:r>
      <w:bookmarkEnd w:id="6"/>
      <w:bookmarkEnd w:id="7"/>
      <w:bookmarkEnd w:id="8"/>
      <w:bookmarkEnd w:id="9"/>
    </w:p>
    <w:p w:rsidR="00BC08E2" w:rsidRPr="00851105" w:rsidRDefault="00BC08E2" w:rsidP="00BC08E2">
      <w:pPr>
        <w:pStyle w:val="Heading2"/>
      </w:pPr>
      <w:r w:rsidRPr="00851105">
        <w:t>Major updates/reminders</w:t>
      </w:r>
    </w:p>
    <w:p w:rsidR="00BC08E2" w:rsidRPr="00683AA3" w:rsidRDefault="00BC08E2" w:rsidP="00BC08E2">
      <w:pPr>
        <w:pStyle w:val="Heading3"/>
      </w:pPr>
      <w:r w:rsidRPr="00851105">
        <w:t>2017</w:t>
      </w:r>
      <w:r w:rsidR="00314CE6" w:rsidRPr="00851105">
        <w:noBreakHyphen/>
      </w:r>
      <w:r w:rsidRPr="00851105">
        <w:t xml:space="preserve">18 Model Report for Victorian Government Departments </w:t>
      </w:r>
    </w:p>
    <w:p w:rsidR="00E15EAB" w:rsidRDefault="0082710C" w:rsidP="00153251">
      <w:r w:rsidRPr="00851105">
        <w:t xml:space="preserve">The Department of Treasury and Finance (DTF) </w:t>
      </w:r>
      <w:r w:rsidR="00EA7819">
        <w:t xml:space="preserve">has </w:t>
      </w:r>
      <w:r w:rsidRPr="00851105">
        <w:t>release</w:t>
      </w:r>
      <w:r w:rsidR="00563CF7">
        <w:t>d</w:t>
      </w:r>
      <w:r w:rsidRPr="00851105">
        <w:t xml:space="preserve"> the </w:t>
      </w:r>
      <w:r w:rsidR="00563CF7" w:rsidRPr="00563CF7">
        <w:t>201</w:t>
      </w:r>
      <w:r w:rsidR="00563CF7">
        <w:t>7</w:t>
      </w:r>
      <w:r w:rsidR="00563CF7">
        <w:noBreakHyphen/>
        <w:t>18</w:t>
      </w:r>
      <w:r w:rsidR="00563CF7" w:rsidRPr="00563CF7">
        <w:t xml:space="preserve"> </w:t>
      </w:r>
      <w:r w:rsidR="00563CF7" w:rsidRPr="00563CF7">
        <w:rPr>
          <w:i/>
        </w:rPr>
        <w:t xml:space="preserve">Model Report for Victorian </w:t>
      </w:r>
      <w:r w:rsidR="00563CF7" w:rsidRPr="00430B35">
        <w:rPr>
          <w:i/>
        </w:rPr>
        <w:t>Government Departments</w:t>
      </w:r>
      <w:r w:rsidR="00563CF7" w:rsidRPr="00563CF7">
        <w:t xml:space="preserve"> (Model Report</w:t>
      </w:r>
      <w:r w:rsidR="00991C6F" w:rsidRPr="00563CF7">
        <w:t>)</w:t>
      </w:r>
      <w:r w:rsidR="00991C6F">
        <w:t xml:space="preserve"> </w:t>
      </w:r>
      <w:r w:rsidR="00991C6F" w:rsidRPr="00851105">
        <w:t>with</w:t>
      </w:r>
      <w:r w:rsidR="00563CF7">
        <w:t xml:space="preserve"> its new streamlined format</w:t>
      </w:r>
      <w:r w:rsidR="00EA7819">
        <w:t>. Copies are available for download from the DTF website,</w:t>
      </w:r>
      <w:r w:rsidRPr="00851105">
        <w:t xml:space="preserve"> </w:t>
      </w:r>
      <w:r w:rsidR="00EA7819">
        <w:t xml:space="preserve">including </w:t>
      </w:r>
      <w:r w:rsidR="00326BC9">
        <w:t>a</w:t>
      </w:r>
      <w:r w:rsidR="00326BC9" w:rsidRPr="00326BC9">
        <w:t xml:space="preserve"> comprehensive list of the significant changes </w:t>
      </w:r>
      <w:r w:rsidR="00326BC9">
        <w:t>from the previous year’s publication</w:t>
      </w:r>
      <w:r w:rsidR="00C306A6">
        <w:t xml:space="preserve">. </w:t>
      </w:r>
      <w:r w:rsidR="00CF466B">
        <w:t xml:space="preserve">It should be noted that there has been no change to the financial statements section with the exception of continued streamlining and editorial updates. </w:t>
      </w:r>
    </w:p>
    <w:p w:rsidR="00153251" w:rsidRPr="00851105" w:rsidRDefault="0047030D" w:rsidP="00153251">
      <w:r>
        <w:t>T</w:t>
      </w:r>
      <w:r w:rsidR="00C306A6">
        <w:t xml:space="preserve">he </w:t>
      </w:r>
      <w:r>
        <w:t xml:space="preserve">most significant </w:t>
      </w:r>
      <w:r w:rsidR="000E3EBE">
        <w:t xml:space="preserve">changes </w:t>
      </w:r>
      <w:r>
        <w:t>and additions</w:t>
      </w:r>
      <w:r w:rsidR="00C306A6">
        <w:t xml:space="preserve"> </w:t>
      </w:r>
      <w:r w:rsidR="0082710C" w:rsidRPr="00851105">
        <w:t>include:</w:t>
      </w:r>
    </w:p>
    <w:p w:rsidR="00153251" w:rsidRPr="00851105" w:rsidRDefault="00D55A11" w:rsidP="00B70B23">
      <w:pPr>
        <w:pStyle w:val="Bullet1"/>
      </w:pPr>
      <w:r w:rsidRPr="00851105">
        <w:t>u</w:t>
      </w:r>
      <w:r w:rsidR="00153251" w:rsidRPr="00851105">
        <w:t xml:space="preserve">pdated disclosures of and additional guidance on sections </w:t>
      </w:r>
      <w:r w:rsidR="00B64EB6" w:rsidRPr="00851105">
        <w:t>of</w:t>
      </w:r>
      <w:r w:rsidR="00153251" w:rsidRPr="00851105">
        <w:t xml:space="preserve"> the Report of Operations </w:t>
      </w:r>
      <w:r w:rsidR="00B70B23">
        <w:t>following the release of</w:t>
      </w:r>
      <w:r w:rsidR="0090189D" w:rsidRPr="00851105">
        <w:t xml:space="preserve"> </w:t>
      </w:r>
      <w:r w:rsidR="00314CE6" w:rsidRPr="00851105">
        <w:t>FRD </w:t>
      </w:r>
      <w:r w:rsidR="0090189D" w:rsidRPr="00851105">
        <w:t>24C</w:t>
      </w:r>
      <w:r w:rsidR="00153251" w:rsidRPr="00851105">
        <w:t xml:space="preserve"> </w:t>
      </w:r>
      <w:r w:rsidR="00153251" w:rsidRPr="009B1A25">
        <w:rPr>
          <w:i/>
        </w:rPr>
        <w:t>Reporting of office</w:t>
      </w:r>
      <w:r w:rsidR="00314CE6" w:rsidRPr="009B1A25">
        <w:rPr>
          <w:i/>
        </w:rPr>
        <w:noBreakHyphen/>
      </w:r>
      <w:r w:rsidR="00153251" w:rsidRPr="009B1A25">
        <w:rPr>
          <w:i/>
        </w:rPr>
        <w:t>based environmental data by government entities</w:t>
      </w:r>
      <w:r w:rsidR="009B1A25" w:rsidRPr="009B1A25">
        <w:rPr>
          <w:i/>
        </w:rPr>
        <w:t>,</w:t>
      </w:r>
      <w:r w:rsidR="00153251" w:rsidRPr="00851105">
        <w:t xml:space="preserve"> </w:t>
      </w:r>
      <w:r w:rsidR="00314CE6" w:rsidRPr="00851105">
        <w:t>FRD </w:t>
      </w:r>
      <w:r w:rsidR="00153251" w:rsidRPr="00851105">
        <w:t xml:space="preserve">15E </w:t>
      </w:r>
      <w:r w:rsidR="00153251" w:rsidRPr="009B1A25">
        <w:rPr>
          <w:i/>
        </w:rPr>
        <w:t>Executive officer disclosu</w:t>
      </w:r>
      <w:r w:rsidR="00F15469" w:rsidRPr="009B1A25">
        <w:rPr>
          <w:i/>
        </w:rPr>
        <w:t xml:space="preserve">res in the Report of Operations </w:t>
      </w:r>
      <w:r w:rsidR="00F15469" w:rsidRPr="00851105">
        <w:t xml:space="preserve">and </w:t>
      </w:r>
      <w:r w:rsidR="00314CE6" w:rsidRPr="00851105">
        <w:t>FRD </w:t>
      </w:r>
      <w:r w:rsidR="00153251" w:rsidRPr="00851105">
        <w:t xml:space="preserve">29C </w:t>
      </w:r>
      <w:r w:rsidR="00153251" w:rsidRPr="00851105">
        <w:rPr>
          <w:i/>
        </w:rPr>
        <w:t>Workforce data disclosures in the Report of Operations – Public Service Employees</w:t>
      </w:r>
      <w:r w:rsidRPr="00851105">
        <w:t>;</w:t>
      </w:r>
    </w:p>
    <w:p w:rsidR="00153251" w:rsidRDefault="00D55A11" w:rsidP="002B63AD">
      <w:pPr>
        <w:pStyle w:val="Bullet1"/>
      </w:pPr>
      <w:r w:rsidRPr="00851105">
        <w:t>e</w:t>
      </w:r>
      <w:r w:rsidR="00153251" w:rsidRPr="00851105">
        <w:t>nhanced guidance on general criteria in det</w:t>
      </w:r>
      <w:r w:rsidR="002A602A" w:rsidRPr="00851105">
        <w:t xml:space="preserve">ermining a significant variance in </w:t>
      </w:r>
      <w:r w:rsidR="00153251" w:rsidRPr="00851105">
        <w:t xml:space="preserve">output performance in </w:t>
      </w:r>
      <w:r w:rsidR="00F016C6" w:rsidRPr="00851105">
        <w:t xml:space="preserve">the </w:t>
      </w:r>
      <w:r w:rsidR="00153251" w:rsidRPr="00851105">
        <w:t xml:space="preserve">portfolio reporting section </w:t>
      </w:r>
      <w:r w:rsidR="00F016C6" w:rsidRPr="00851105">
        <w:t>of</w:t>
      </w:r>
      <w:r w:rsidR="00153251" w:rsidRPr="00851105">
        <w:t xml:space="preserve"> the Report of Operations following </w:t>
      </w:r>
      <w:r w:rsidRPr="00851105">
        <w:t xml:space="preserve">the Public Accounts and Estimate Committee’s </w:t>
      </w:r>
      <w:r w:rsidR="00D02962" w:rsidRPr="00851105">
        <w:t>r</w:t>
      </w:r>
      <w:r w:rsidR="00153251" w:rsidRPr="00851105">
        <w:t>ecommendation</w:t>
      </w:r>
      <w:r w:rsidRPr="00851105">
        <w:t>; and</w:t>
      </w:r>
    </w:p>
    <w:p w:rsidR="00153251" w:rsidRPr="00851105" w:rsidRDefault="00D55A11" w:rsidP="00552BF5">
      <w:pPr>
        <w:pStyle w:val="Bullet1"/>
      </w:pPr>
      <w:r w:rsidRPr="00851105">
        <w:t>a</w:t>
      </w:r>
      <w:r w:rsidR="00153251" w:rsidRPr="00851105">
        <w:t xml:space="preserve">dditional </w:t>
      </w:r>
      <w:r w:rsidR="00314CE6" w:rsidRPr="00851105">
        <w:t xml:space="preserve">appendices </w:t>
      </w:r>
      <w:r w:rsidR="004C2355" w:rsidRPr="00851105">
        <w:t>containing implementation checklists for</w:t>
      </w:r>
      <w:r w:rsidR="00153251" w:rsidRPr="00851105">
        <w:t xml:space="preserve"> upcoming new accounting standards, including:</w:t>
      </w:r>
    </w:p>
    <w:p w:rsidR="00153251" w:rsidRPr="00851105" w:rsidRDefault="007D08B0" w:rsidP="0024195A">
      <w:pPr>
        <w:pStyle w:val="Bullet2"/>
      </w:pPr>
      <w:r w:rsidRPr="00851105">
        <w:t>AASB </w:t>
      </w:r>
      <w:r w:rsidR="00153251" w:rsidRPr="00851105">
        <w:t xml:space="preserve">16 </w:t>
      </w:r>
      <w:r w:rsidR="00153251" w:rsidRPr="00851105">
        <w:rPr>
          <w:i/>
        </w:rPr>
        <w:t>Leases</w:t>
      </w:r>
      <w:r w:rsidR="00153251" w:rsidRPr="00851105">
        <w:t>;</w:t>
      </w:r>
    </w:p>
    <w:p w:rsidR="00153251" w:rsidRPr="00851105" w:rsidRDefault="007D08B0" w:rsidP="0024195A">
      <w:pPr>
        <w:pStyle w:val="Bullet2"/>
      </w:pPr>
      <w:r w:rsidRPr="00851105">
        <w:t>AASB </w:t>
      </w:r>
      <w:r w:rsidR="00153251" w:rsidRPr="00851105">
        <w:t xml:space="preserve">15 </w:t>
      </w:r>
      <w:r w:rsidR="00153251" w:rsidRPr="00851105">
        <w:rPr>
          <w:i/>
        </w:rPr>
        <w:t>Revenue from Contracts with Customers</w:t>
      </w:r>
      <w:r w:rsidR="00153251" w:rsidRPr="00851105">
        <w:t>; and</w:t>
      </w:r>
    </w:p>
    <w:p w:rsidR="00153251" w:rsidRPr="00851105" w:rsidRDefault="007D08B0" w:rsidP="0024195A">
      <w:pPr>
        <w:pStyle w:val="Bullet2"/>
      </w:pPr>
      <w:r w:rsidRPr="00851105">
        <w:t>AASB </w:t>
      </w:r>
      <w:r w:rsidR="00153251" w:rsidRPr="00851105">
        <w:t xml:space="preserve">1058 </w:t>
      </w:r>
      <w:r w:rsidR="00153251" w:rsidRPr="00851105">
        <w:rPr>
          <w:i/>
        </w:rPr>
        <w:t>Income of Not</w:t>
      </w:r>
      <w:r w:rsidR="00314CE6" w:rsidRPr="00851105">
        <w:rPr>
          <w:i/>
        </w:rPr>
        <w:noBreakHyphen/>
      </w:r>
      <w:r w:rsidR="00153251" w:rsidRPr="00851105">
        <w:rPr>
          <w:i/>
        </w:rPr>
        <w:t>for</w:t>
      </w:r>
      <w:r w:rsidR="00314CE6" w:rsidRPr="00851105">
        <w:rPr>
          <w:i/>
        </w:rPr>
        <w:noBreakHyphen/>
      </w:r>
      <w:r w:rsidR="00153251" w:rsidRPr="00851105">
        <w:rPr>
          <w:i/>
        </w:rPr>
        <w:t>Profit Entities</w:t>
      </w:r>
      <w:r w:rsidR="00153251" w:rsidRPr="00851105">
        <w:t>.</w:t>
      </w:r>
    </w:p>
    <w:p w:rsidR="00BC08E2" w:rsidRPr="00683AA3" w:rsidRDefault="007D08B0" w:rsidP="00BC08E2">
      <w:pPr>
        <w:pStyle w:val="Heading3"/>
      </w:pPr>
      <w:r w:rsidRPr="00851105">
        <w:t>AASB </w:t>
      </w:r>
      <w:r w:rsidR="00BC08E2" w:rsidRPr="00851105">
        <w:t xml:space="preserve">124 Related Party Disclosure project </w:t>
      </w:r>
    </w:p>
    <w:p w:rsidR="00D01A14" w:rsidRPr="00851105" w:rsidRDefault="00D01A14" w:rsidP="00D01A14">
      <w:pPr>
        <w:pStyle w:val="Heading4"/>
      </w:pPr>
      <w:r w:rsidRPr="00851105">
        <w:t xml:space="preserve">Ministerial declarations for the </w:t>
      </w:r>
      <w:r w:rsidR="009B3F54" w:rsidRPr="00851105">
        <w:t>201</w:t>
      </w:r>
      <w:r w:rsidR="009B3F54">
        <w:t>7</w:t>
      </w:r>
      <w:r w:rsidR="00314CE6" w:rsidRPr="00851105">
        <w:noBreakHyphen/>
      </w:r>
      <w:r w:rsidR="009B3F54" w:rsidRPr="00851105">
        <w:t>1</w:t>
      </w:r>
      <w:r w:rsidR="009B3F54">
        <w:t>8</w:t>
      </w:r>
      <w:r w:rsidR="009B3F54" w:rsidRPr="00851105">
        <w:t xml:space="preserve"> </w:t>
      </w:r>
      <w:r w:rsidRPr="00851105">
        <w:t>reporting peri</w:t>
      </w:r>
      <w:r w:rsidR="00552BF5" w:rsidRPr="00851105">
        <w:t>od</w:t>
      </w:r>
    </w:p>
    <w:p w:rsidR="00DF4830" w:rsidRDefault="00CC77FF" w:rsidP="00D01A14">
      <w:r>
        <w:t>T</w:t>
      </w:r>
      <w:r w:rsidRPr="00DF4830">
        <w:t xml:space="preserve">o support the compliance and preparation of financial reports </w:t>
      </w:r>
      <w:r>
        <w:t>by</w:t>
      </w:r>
      <w:r w:rsidRPr="00CC77FF">
        <w:t xml:space="preserve"> </w:t>
      </w:r>
      <w:r>
        <w:t>not</w:t>
      </w:r>
      <w:r>
        <w:noBreakHyphen/>
        <w:t>for</w:t>
      </w:r>
      <w:r>
        <w:noBreakHyphen/>
      </w:r>
      <w:r w:rsidRPr="00CC77FF">
        <w:t>profit public sector entities</w:t>
      </w:r>
      <w:r>
        <w:t xml:space="preserve">, </w:t>
      </w:r>
      <w:r w:rsidR="00DF4830" w:rsidRPr="00DF4830">
        <w:t xml:space="preserve">information </w:t>
      </w:r>
      <w:r w:rsidR="00692A21">
        <w:t xml:space="preserve">consistent with the requirements of </w:t>
      </w:r>
      <w:r w:rsidRPr="00CC77FF">
        <w:t xml:space="preserve">AASB 124 </w:t>
      </w:r>
      <w:r w:rsidRPr="00692A21">
        <w:rPr>
          <w:i/>
        </w:rPr>
        <w:t>Related Party Disclosures</w:t>
      </w:r>
      <w:r w:rsidRPr="00DF4830">
        <w:t xml:space="preserve"> </w:t>
      </w:r>
      <w:r>
        <w:t>is</w:t>
      </w:r>
      <w:r w:rsidR="00DF4830" w:rsidRPr="00DF4830">
        <w:t xml:space="preserve"> collected twice in each financial year </w:t>
      </w:r>
      <w:r w:rsidR="00692A21" w:rsidRPr="00DF4830">
        <w:t>from cabinet ministers</w:t>
      </w:r>
      <w:r w:rsidR="00692A21">
        <w:t>.</w:t>
      </w:r>
      <w:r w:rsidRPr="00CC77FF">
        <w:t xml:space="preserve"> </w:t>
      </w:r>
    </w:p>
    <w:p w:rsidR="001B7BC3" w:rsidRDefault="009B3F54" w:rsidP="001B7BC3">
      <w:r w:rsidRPr="009B3F54">
        <w:t xml:space="preserve">The second submission </w:t>
      </w:r>
      <w:r>
        <w:t xml:space="preserve">of declarations </w:t>
      </w:r>
      <w:r w:rsidR="00DF4830">
        <w:t xml:space="preserve">in relation to related party transactions </w:t>
      </w:r>
      <w:r>
        <w:t>by Ministers for 2017</w:t>
      </w:r>
      <w:r>
        <w:noBreakHyphen/>
        <w:t>18 cover</w:t>
      </w:r>
      <w:r w:rsidR="00DF4830">
        <w:t>s</w:t>
      </w:r>
      <w:r>
        <w:t xml:space="preserve"> the period 1 January 2018 to 30 </w:t>
      </w:r>
      <w:r w:rsidRPr="009B3F54">
        <w:t>June 2018. All ministers</w:t>
      </w:r>
      <w:r w:rsidR="00AB687A">
        <w:t xml:space="preserve"> are</w:t>
      </w:r>
      <w:r w:rsidRPr="009B3F54">
        <w:t xml:space="preserve">  required to complete and submit their declaration certificates </w:t>
      </w:r>
      <w:r w:rsidRPr="00692A21">
        <w:rPr>
          <w:b/>
        </w:rPr>
        <w:t>by 13 July 2018</w:t>
      </w:r>
      <w:r w:rsidRPr="009B3F54">
        <w:t>.</w:t>
      </w:r>
    </w:p>
    <w:p w:rsidR="007B669E" w:rsidRDefault="00F9594A" w:rsidP="00E3123B">
      <w:pPr>
        <w:spacing w:before="200" w:after="0"/>
      </w:pPr>
      <w:r w:rsidRPr="00474E6F">
        <w:t xml:space="preserve">As </w:t>
      </w:r>
      <w:r w:rsidR="00B07D2D" w:rsidRPr="00474E6F">
        <w:t>for</w:t>
      </w:r>
      <w:r w:rsidR="008F68D0" w:rsidRPr="00474E6F">
        <w:t xml:space="preserve"> </w:t>
      </w:r>
      <w:r w:rsidR="00B07D2D" w:rsidRPr="00474E6F">
        <w:t xml:space="preserve">the </w:t>
      </w:r>
      <w:r w:rsidRPr="00474E6F">
        <w:t xml:space="preserve">previous </w:t>
      </w:r>
      <w:r w:rsidR="008F68D0" w:rsidRPr="00474E6F">
        <w:t>reporting period</w:t>
      </w:r>
      <w:r w:rsidR="00D01A14" w:rsidRPr="00474E6F">
        <w:t xml:space="preserve">, </w:t>
      </w:r>
      <w:r w:rsidR="003232E7" w:rsidRPr="00474E6F">
        <w:t>DTF</w:t>
      </w:r>
      <w:r w:rsidR="00D01A14" w:rsidRPr="00474E6F">
        <w:t xml:space="preserve"> </w:t>
      </w:r>
      <w:r w:rsidRPr="00474E6F">
        <w:t>will</w:t>
      </w:r>
      <w:r w:rsidR="00D01A14" w:rsidRPr="00474E6F">
        <w:t xml:space="preserve"> provide </w:t>
      </w:r>
      <w:r w:rsidRPr="00474E6F">
        <w:t>information</w:t>
      </w:r>
      <w:r w:rsidR="00F507AC" w:rsidRPr="00474E6F">
        <w:t xml:space="preserve"> extracted</w:t>
      </w:r>
      <w:r w:rsidR="001B7BC3" w:rsidRPr="00474E6F">
        <w:t xml:space="preserve"> </w:t>
      </w:r>
      <w:r w:rsidR="00F507AC" w:rsidRPr="00474E6F">
        <w:t>from</w:t>
      </w:r>
      <w:r w:rsidR="001B7BC3" w:rsidRPr="00474E6F">
        <w:t xml:space="preserve"> </w:t>
      </w:r>
      <w:r w:rsidR="008D57E3" w:rsidRPr="00474E6F">
        <w:t xml:space="preserve">ministerial declarations </w:t>
      </w:r>
      <w:r w:rsidR="00D01A14" w:rsidRPr="00474E6F">
        <w:t>to the relevant portfolio entities to perform a</w:t>
      </w:r>
      <w:r w:rsidR="008F68D0" w:rsidRPr="00474E6F">
        <w:t xml:space="preserve"> </w:t>
      </w:r>
      <w:r w:rsidR="00454F40">
        <w:t>‘</w:t>
      </w:r>
      <w:r w:rsidR="008F68D0" w:rsidRPr="00474E6F">
        <w:t>significance</w:t>
      </w:r>
      <w:r w:rsidR="00454F40">
        <w:t>’</w:t>
      </w:r>
      <w:r w:rsidR="008F68D0" w:rsidRPr="00474E6F">
        <w:t xml:space="preserve"> and</w:t>
      </w:r>
      <w:r w:rsidR="00430B35">
        <w:t xml:space="preserve"> a</w:t>
      </w:r>
      <w:r w:rsidR="008F68D0" w:rsidRPr="00474E6F">
        <w:t xml:space="preserve"> </w:t>
      </w:r>
      <w:r w:rsidR="00454F40">
        <w:t>‘</w:t>
      </w:r>
      <w:r w:rsidR="008F68D0" w:rsidRPr="00474E6F">
        <w:t>materiality</w:t>
      </w:r>
      <w:r w:rsidR="00454F40">
        <w:t>’</w:t>
      </w:r>
      <w:r w:rsidR="008F68D0" w:rsidRPr="00474E6F">
        <w:t xml:space="preserve"> assessment </w:t>
      </w:r>
      <w:r w:rsidR="00991C6F" w:rsidRPr="00474E6F">
        <w:t>of the</w:t>
      </w:r>
      <w:r w:rsidR="00D01A14" w:rsidRPr="00474E6F">
        <w:t xml:space="preserve"> nature and amount of the related party transactions for disclosure</w:t>
      </w:r>
      <w:r w:rsidR="00F031DC" w:rsidRPr="00474E6F">
        <w:t>, where relevant,</w:t>
      </w:r>
      <w:r w:rsidR="00D01A14" w:rsidRPr="00474E6F">
        <w:t xml:space="preserve"> in the entities</w:t>
      </w:r>
      <w:r w:rsidR="007F7D41" w:rsidRPr="00474E6F">
        <w:t>’</w:t>
      </w:r>
      <w:r w:rsidR="00D01A14" w:rsidRPr="00474E6F">
        <w:t xml:space="preserve"> annual financial reports.</w:t>
      </w:r>
      <w:r w:rsidR="000F5A54" w:rsidRPr="001B7BC3">
        <w:t xml:space="preserve"> </w:t>
      </w:r>
    </w:p>
    <w:p w:rsidR="00CF466B" w:rsidRPr="00E3123B" w:rsidRDefault="00CF466B" w:rsidP="001C44E8">
      <w:pPr>
        <w:spacing w:before="200" w:after="0"/>
        <w:jc w:val="both"/>
      </w:pPr>
      <w:r>
        <w:t>With the upcoming election, an additional data collection is planned for Ministers prior to the caretaker period</w:t>
      </w:r>
      <w:r w:rsidR="001C44E8">
        <w:t xml:space="preserve"> to cover the period they were in office</w:t>
      </w:r>
      <w:r>
        <w:t>.</w:t>
      </w:r>
    </w:p>
    <w:p w:rsidR="00E3123B" w:rsidRDefault="00E3123B" w:rsidP="00E3123B">
      <w:pPr>
        <w:pStyle w:val="Heading4"/>
      </w:pPr>
      <w:r w:rsidRPr="00E3123B">
        <w:t xml:space="preserve">Movements in key management </w:t>
      </w:r>
      <w:r w:rsidR="00991C6F" w:rsidRPr="00E3123B">
        <w:t>personnel (</w:t>
      </w:r>
      <w:r w:rsidRPr="00E3123B">
        <w:t>KMP)</w:t>
      </w:r>
    </w:p>
    <w:p w:rsidR="00600436" w:rsidRDefault="008318C6" w:rsidP="00E3123B">
      <w:r w:rsidRPr="008D57E3">
        <w:t>Disclosure for the 2017</w:t>
      </w:r>
      <w:r w:rsidRPr="008D57E3">
        <w:noBreakHyphen/>
        <w:t xml:space="preserve">18 reporting period will need to include information relevant to all KMP appointed during the period, including any recent executive appointments and departures. </w:t>
      </w:r>
    </w:p>
    <w:p w:rsidR="00C7031C" w:rsidRPr="008318C6" w:rsidRDefault="00C7031C" w:rsidP="008318C6">
      <w:pPr>
        <w:pStyle w:val="Heading4"/>
      </w:pPr>
      <w:r w:rsidRPr="008318C6">
        <w:lastRenderedPageBreak/>
        <w:t>Guidance information</w:t>
      </w:r>
    </w:p>
    <w:p w:rsidR="00E439DC" w:rsidRPr="00851105" w:rsidRDefault="00595B3D" w:rsidP="00C7031C">
      <w:pPr>
        <w:keepNext/>
        <w:spacing w:before="120"/>
      </w:pPr>
      <w:r>
        <w:t xml:space="preserve">A </w:t>
      </w:r>
      <w:r w:rsidR="001B17E5">
        <w:t xml:space="preserve">declaration certificate, </w:t>
      </w:r>
      <w:r>
        <w:t>checklist and summary guidance is included in Appendi</w:t>
      </w:r>
      <w:r w:rsidR="001B17E5">
        <w:t xml:space="preserve">ces 8 </w:t>
      </w:r>
      <w:r w:rsidR="00991C6F">
        <w:t>and 9</w:t>
      </w:r>
      <w:r>
        <w:t xml:space="preserve"> of the 2017</w:t>
      </w:r>
      <w:r>
        <w:noBreakHyphen/>
        <w:t xml:space="preserve">18 Model Report </w:t>
      </w:r>
      <w:r w:rsidR="00C7031C" w:rsidRPr="00851105">
        <w:t xml:space="preserve">to assist entities with the implementation of </w:t>
      </w:r>
      <w:r w:rsidR="006A5AF9">
        <w:t>AASB </w:t>
      </w:r>
      <w:r w:rsidR="00B365DD" w:rsidRPr="00B365DD">
        <w:t>124</w:t>
      </w:r>
      <w:r>
        <w:t xml:space="preserve">. </w:t>
      </w:r>
      <w:r w:rsidR="001B17E5">
        <w:t>Further c</w:t>
      </w:r>
      <w:r>
        <w:t>omprehensive guidance information</w:t>
      </w:r>
      <w:r w:rsidR="00B365DD" w:rsidRPr="00B365DD">
        <w:t xml:space="preserve"> </w:t>
      </w:r>
      <w:r w:rsidR="00C7031C" w:rsidRPr="00851105">
        <w:t xml:space="preserve">is </w:t>
      </w:r>
      <w:r>
        <w:t xml:space="preserve">also </w:t>
      </w:r>
      <w:r w:rsidR="00C7031C" w:rsidRPr="00851105">
        <w:t>available in the ‘Financial Reporting Policy’ section of DTF’s website at</w:t>
      </w:r>
      <w:r w:rsidR="00E439DC" w:rsidRPr="00851105">
        <w:t>:</w:t>
      </w:r>
    </w:p>
    <w:p w:rsidR="00C7031C" w:rsidRPr="00851105" w:rsidRDefault="00BC4F36" w:rsidP="00C7031C">
      <w:pPr>
        <w:keepNext/>
        <w:spacing w:before="120"/>
      </w:pPr>
      <w:hyperlink r:id="rId15" w:history="1">
        <w:r w:rsidR="008318C6" w:rsidRPr="00944205">
          <w:rPr>
            <w:rStyle w:val="Hyperlink"/>
          </w:rPr>
          <w:t>https://www.dtf.vic.gov.au/financial-reporting-policy/aasb-124-related-party-disclosures</w:t>
        </w:r>
      </w:hyperlink>
      <w:r w:rsidR="008318C6">
        <w:t xml:space="preserve"> </w:t>
      </w:r>
    </w:p>
    <w:p w:rsidR="00D80D54" w:rsidRPr="00851105" w:rsidRDefault="00D80D54" w:rsidP="00D80D54">
      <w:pPr>
        <w:pStyle w:val="Heading3"/>
      </w:pPr>
      <w:r w:rsidRPr="00851105">
        <w:t>Interim valuation assessments</w:t>
      </w:r>
    </w:p>
    <w:p w:rsidR="00F10711" w:rsidRDefault="00F10711" w:rsidP="00D80D54">
      <w:pPr>
        <w:keepNext/>
        <w:spacing w:before="120"/>
      </w:pPr>
      <w:r>
        <w:t>Entities are reminded to ensure they have conducted their interim valuation assessments in preparation for year-end. With t</w:t>
      </w:r>
      <w:r w:rsidR="00D80D54" w:rsidRPr="00851105">
        <w:t>he increased granularity in the land indices for selected metropolitan areas provided by the Valuer</w:t>
      </w:r>
      <w:r w:rsidR="00D80D54" w:rsidRPr="00851105">
        <w:noBreakHyphen/>
        <w:t>General Victoria (VGV</w:t>
      </w:r>
      <w:r>
        <w:t>)</w:t>
      </w:r>
      <w:r w:rsidR="00D80D54" w:rsidRPr="00851105">
        <w:t xml:space="preserve"> for each postcode, </w:t>
      </w:r>
      <w:r>
        <w:t xml:space="preserve">we have observed that this </w:t>
      </w:r>
      <w:r w:rsidR="00D80D54" w:rsidRPr="00851105">
        <w:t>has resulted in the cumulative fair value movements for land exceeding the 40 per cent threshold for some departments, triggering the need to undertake a formal valuation for that class of assets</w:t>
      </w:r>
      <w:r w:rsidR="00B14279" w:rsidRPr="00851105">
        <w:t xml:space="preserve"> immediately (which may be earlier than the formal fifth valuation year)</w:t>
      </w:r>
      <w:r w:rsidR="00D80D54" w:rsidRPr="00851105">
        <w:t xml:space="preserve">. In most instances, this seems to occur most frequently in the fourth year of the five year formal valuation cycle. </w:t>
      </w:r>
    </w:p>
    <w:p w:rsidR="00D80D54" w:rsidRPr="00851105" w:rsidRDefault="00991C6F" w:rsidP="00D80D54">
      <w:pPr>
        <w:keepNext/>
        <w:spacing w:before="120"/>
      </w:pPr>
      <w:r w:rsidRPr="00851105">
        <w:t>You should</w:t>
      </w:r>
      <w:r w:rsidR="00D80D54" w:rsidRPr="00851105">
        <w:t xml:space="preserve"> have already conducted your 2017</w:t>
      </w:r>
      <w:r w:rsidR="00D80D54" w:rsidRPr="00851105">
        <w:noBreakHyphen/>
        <w:t>18 interim valuation assessments using the October 2017 indices as a preliminary indicator to assess how the fair values for land have moved for the period, prior to finalising your valuation assessment using the April indices.</w:t>
      </w:r>
      <w:r w:rsidR="00F10711">
        <w:t xml:space="preserve"> In instances where the cumulative fair value movements have risen substantially and </w:t>
      </w:r>
      <w:r w:rsidR="00F76934">
        <w:t>are</w:t>
      </w:r>
      <w:r w:rsidR="00F10711">
        <w:t xml:space="preserve"> greater than 30</w:t>
      </w:r>
      <w:r w:rsidR="00AB687A">
        <w:t xml:space="preserve"> per cent</w:t>
      </w:r>
      <w:r w:rsidR="00F10711">
        <w:t xml:space="preserve"> but less than 40</w:t>
      </w:r>
      <w:r w:rsidR="00AB687A">
        <w:t xml:space="preserve"> per cent</w:t>
      </w:r>
      <w:r w:rsidR="00F10711">
        <w:t>, we strongly recommend that you alert VGV in anticipation that</w:t>
      </w:r>
      <w:r w:rsidR="00430B35">
        <w:t xml:space="preserve"> the</w:t>
      </w:r>
      <w:r w:rsidR="00F10711">
        <w:t xml:space="preserve"> 40</w:t>
      </w:r>
      <w:r w:rsidR="00AB687A">
        <w:t xml:space="preserve"> per cent</w:t>
      </w:r>
      <w:r w:rsidR="00F10711">
        <w:t xml:space="preserve"> threshold may be trigger</w:t>
      </w:r>
      <w:r w:rsidR="00F76934">
        <w:t>ed</w:t>
      </w:r>
      <w:r w:rsidR="00F10711">
        <w:t xml:space="preserve"> before the formal fifth valuation year, requiring a formal valuation for that class of assets immediately. </w:t>
      </w:r>
    </w:p>
    <w:p w:rsidR="00D80D54" w:rsidRPr="00851105" w:rsidRDefault="008318C6" w:rsidP="00D80D54">
      <w:r>
        <w:t>O</w:t>
      </w:r>
      <w:r w:rsidRPr="00851105">
        <w:t>ur December 2016 Newsletter, Edition No. 31</w:t>
      </w:r>
      <w:r>
        <w:t xml:space="preserve"> </w:t>
      </w:r>
      <w:r w:rsidR="00991C6F">
        <w:t xml:space="preserve">contains </w:t>
      </w:r>
      <w:r w:rsidR="00991C6F" w:rsidRPr="00851105">
        <w:t>information</w:t>
      </w:r>
      <w:r w:rsidR="00D80D54" w:rsidRPr="00851105">
        <w:t xml:space="preserve"> on interim valuation assessments </w:t>
      </w:r>
      <w:r>
        <w:t>including</w:t>
      </w:r>
      <w:r w:rsidR="00D80D54" w:rsidRPr="00851105">
        <w:t xml:space="preserve"> an example of how to assess fair value movements on a cumulative basis</w:t>
      </w:r>
      <w:r>
        <w:t xml:space="preserve">. The publication can be found </w:t>
      </w:r>
      <w:r w:rsidR="00D80D54" w:rsidRPr="00851105">
        <w:t xml:space="preserve">at </w:t>
      </w:r>
      <w:hyperlink r:id="rId16" w:history="1">
        <w:r w:rsidR="00D80D54" w:rsidRPr="00851105">
          <w:rPr>
            <w:rStyle w:val="Hyperlink"/>
          </w:rPr>
          <w:t>www.dtf.vic.gov.au/Accounting-policy-newsletters</w:t>
        </w:r>
      </w:hyperlink>
      <w:r w:rsidR="00D80D54" w:rsidRPr="00851105">
        <w:t>.</w:t>
      </w:r>
    </w:p>
    <w:p w:rsidR="00BC08E2" w:rsidRPr="00851105" w:rsidRDefault="00BC08E2" w:rsidP="00BC08E2">
      <w:pPr>
        <w:pStyle w:val="Heading2"/>
        <w:rPr>
          <w:color w:val="auto"/>
        </w:rPr>
      </w:pPr>
      <w:r w:rsidRPr="00851105">
        <w:t xml:space="preserve">Financial reporting directions and guidance notes </w:t>
      </w:r>
    </w:p>
    <w:p w:rsidR="00D01A14" w:rsidRPr="00851105" w:rsidRDefault="00D01A14" w:rsidP="00D01A14">
      <w:bookmarkStart w:id="10" w:name="_Toc424822614"/>
      <w:bookmarkStart w:id="11" w:name="_Toc452724750"/>
      <w:r w:rsidRPr="00851105">
        <w:t>Since the last newsletter, updates have been made to</w:t>
      </w:r>
      <w:r w:rsidR="004C6139">
        <w:t xml:space="preserve"> the following</w:t>
      </w:r>
      <w:r w:rsidRPr="00851105">
        <w:t xml:space="preserve"> Financial Reporting Directions (FRDs), applicable for the 2017</w:t>
      </w:r>
      <w:r w:rsidR="00314CE6" w:rsidRPr="00851105">
        <w:noBreakHyphen/>
      </w:r>
      <w:r w:rsidRPr="00851105">
        <w:t>18</w:t>
      </w:r>
      <w:r w:rsidR="00AE4AA1" w:rsidRPr="00851105">
        <w:t xml:space="preserve"> reporting period</w:t>
      </w:r>
      <w:r w:rsidRPr="00851105">
        <w:t xml:space="preserve">: </w:t>
      </w:r>
    </w:p>
    <w:p w:rsidR="00D01A14" w:rsidRPr="00851105" w:rsidRDefault="00314CE6" w:rsidP="00552BF5">
      <w:pPr>
        <w:pStyle w:val="Bullet1"/>
      </w:pPr>
      <w:r w:rsidRPr="00851105">
        <w:t>FRD </w:t>
      </w:r>
      <w:r w:rsidR="00D01A14" w:rsidRPr="00851105">
        <w:t>15</w:t>
      </w:r>
      <w:r w:rsidR="00F703FC">
        <w:t>E</w:t>
      </w:r>
      <w:r w:rsidR="00D01A14" w:rsidRPr="00851105">
        <w:t xml:space="preserve"> </w:t>
      </w:r>
      <w:r w:rsidR="00D01A14" w:rsidRPr="00851105">
        <w:rPr>
          <w:i/>
        </w:rPr>
        <w:t>Executive officer disclosures in the Report of Operations</w:t>
      </w:r>
      <w:r w:rsidR="00D01A14" w:rsidRPr="00851105">
        <w:t xml:space="preserve">; </w:t>
      </w:r>
    </w:p>
    <w:p w:rsidR="00654356" w:rsidRPr="00851105" w:rsidRDefault="00314CE6" w:rsidP="00552BF5">
      <w:pPr>
        <w:pStyle w:val="Bullet1"/>
      </w:pPr>
      <w:r w:rsidRPr="00851105">
        <w:t>FRD </w:t>
      </w:r>
      <w:r w:rsidR="007429D1" w:rsidRPr="00851105">
        <w:t>29</w:t>
      </w:r>
      <w:r w:rsidR="007429D1">
        <w:t>C</w:t>
      </w:r>
      <w:r w:rsidR="007429D1" w:rsidRPr="00851105">
        <w:t xml:space="preserve"> </w:t>
      </w:r>
      <w:r w:rsidR="00D01A14" w:rsidRPr="00851105">
        <w:rPr>
          <w:i/>
        </w:rPr>
        <w:t>Workforce data disclosures in the Report of Operations</w:t>
      </w:r>
      <w:r w:rsidR="00D01A14" w:rsidRPr="00851105">
        <w:t xml:space="preserve">; </w:t>
      </w:r>
    </w:p>
    <w:p w:rsidR="00D01A14" w:rsidRPr="00851105" w:rsidRDefault="00314CE6" w:rsidP="00552BF5">
      <w:pPr>
        <w:pStyle w:val="Bullet1"/>
      </w:pPr>
      <w:r w:rsidRPr="00851105">
        <w:t>FRD </w:t>
      </w:r>
      <w:r w:rsidR="00D01A14" w:rsidRPr="00851105">
        <w:t>24</w:t>
      </w:r>
      <w:r w:rsidR="00897424">
        <w:t>D</w:t>
      </w:r>
      <w:r w:rsidR="000F5A54" w:rsidRPr="00851105">
        <w:t xml:space="preserve"> </w:t>
      </w:r>
      <w:r w:rsidR="00D01A14" w:rsidRPr="00851105">
        <w:rPr>
          <w:i/>
        </w:rPr>
        <w:t>Reporting of office</w:t>
      </w:r>
      <w:r w:rsidRPr="00851105">
        <w:rPr>
          <w:i/>
        </w:rPr>
        <w:noBreakHyphen/>
      </w:r>
      <w:r w:rsidR="00D01A14" w:rsidRPr="00851105">
        <w:rPr>
          <w:i/>
        </w:rPr>
        <w:t>based environment</w:t>
      </w:r>
      <w:r w:rsidR="00654356" w:rsidRPr="00851105">
        <w:rPr>
          <w:i/>
        </w:rPr>
        <w:t>al data by government entities</w:t>
      </w:r>
      <w:r w:rsidR="00654356" w:rsidRPr="00851105">
        <w:t xml:space="preserve">; and </w:t>
      </w:r>
    </w:p>
    <w:p w:rsidR="0077479B" w:rsidRDefault="00314CE6" w:rsidP="00552BF5">
      <w:pPr>
        <w:pStyle w:val="Bullet1"/>
      </w:pPr>
      <w:r w:rsidRPr="00851105">
        <w:t>FRD </w:t>
      </w:r>
      <w:r w:rsidR="0077479B" w:rsidRPr="00851105">
        <w:t>103</w:t>
      </w:r>
      <w:r w:rsidR="00264333" w:rsidRPr="00851105">
        <w:t xml:space="preserve">F </w:t>
      </w:r>
      <w:r w:rsidR="00654356" w:rsidRPr="00851105">
        <w:rPr>
          <w:i/>
        </w:rPr>
        <w:t>Non</w:t>
      </w:r>
      <w:r w:rsidRPr="00851105">
        <w:rPr>
          <w:i/>
        </w:rPr>
        <w:noBreakHyphen/>
      </w:r>
      <w:r w:rsidR="00654356" w:rsidRPr="00851105">
        <w:rPr>
          <w:i/>
        </w:rPr>
        <w:t>financial physical assets</w:t>
      </w:r>
      <w:r w:rsidR="00654356" w:rsidRPr="00851105">
        <w:t xml:space="preserve">. </w:t>
      </w:r>
    </w:p>
    <w:p w:rsidR="003C39D8" w:rsidRDefault="00ED254A" w:rsidP="00EE6FF4">
      <w:pPr>
        <w:pStyle w:val="Bullet1"/>
        <w:rPr>
          <w:i/>
        </w:rPr>
      </w:pPr>
      <w:r w:rsidRPr="00674151">
        <w:t xml:space="preserve">FRD 106B </w:t>
      </w:r>
      <w:r w:rsidRPr="00674151">
        <w:rPr>
          <w:i/>
        </w:rPr>
        <w:t>Impairment of assets</w:t>
      </w:r>
    </w:p>
    <w:p w:rsidR="00F23B73" w:rsidRPr="00EE6FF4" w:rsidRDefault="00F23B73" w:rsidP="00F23B73">
      <w:pPr>
        <w:pStyle w:val="Bullet1"/>
        <w:rPr>
          <w:i/>
        </w:rPr>
      </w:pPr>
      <w:r>
        <w:t xml:space="preserve">FRD 120L </w:t>
      </w:r>
      <w:r w:rsidRPr="00F23B73">
        <w:rPr>
          <w:i/>
        </w:rPr>
        <w:t>Accounting and reporting pronouncements applicable to the 201</w:t>
      </w:r>
      <w:r>
        <w:rPr>
          <w:i/>
        </w:rPr>
        <w:t>7</w:t>
      </w:r>
      <w:r>
        <w:rPr>
          <w:i/>
        </w:rPr>
        <w:noBreakHyphen/>
        <w:t>18</w:t>
      </w:r>
      <w:r w:rsidR="00454F40">
        <w:rPr>
          <w:i/>
        </w:rPr>
        <w:t xml:space="preserve"> </w:t>
      </w:r>
      <w:r w:rsidRPr="00F23B73">
        <w:rPr>
          <w:i/>
        </w:rPr>
        <w:t>reporting period</w:t>
      </w:r>
    </w:p>
    <w:p w:rsidR="00D01A14" w:rsidRPr="00851105" w:rsidRDefault="00314CE6" w:rsidP="0024195A">
      <w:pPr>
        <w:pStyle w:val="Heading3"/>
      </w:pPr>
      <w:r w:rsidRPr="00851105">
        <w:t>FRD </w:t>
      </w:r>
      <w:r w:rsidR="00D01A14" w:rsidRPr="00851105">
        <w:t>15</w:t>
      </w:r>
      <w:r w:rsidR="00F703FC">
        <w:t>E</w:t>
      </w:r>
      <w:r w:rsidR="00D01A14" w:rsidRPr="00851105">
        <w:t xml:space="preserve"> and </w:t>
      </w:r>
      <w:r w:rsidRPr="00851105">
        <w:t>FRD </w:t>
      </w:r>
      <w:r w:rsidR="007429D1" w:rsidRPr="00851105">
        <w:t>29</w:t>
      </w:r>
      <w:r w:rsidR="007429D1">
        <w:t xml:space="preserve">C </w:t>
      </w:r>
    </w:p>
    <w:p w:rsidR="00D01A14" w:rsidRPr="00851105" w:rsidRDefault="00600436" w:rsidP="0024195A">
      <w:pPr>
        <w:keepNext/>
      </w:pPr>
      <w:r>
        <w:t xml:space="preserve">As mentioned in the last </w:t>
      </w:r>
      <w:r w:rsidR="00A300DC">
        <w:t>n</w:t>
      </w:r>
      <w:r>
        <w:t>ewsletter, t</w:t>
      </w:r>
      <w:r w:rsidR="00D01A14" w:rsidRPr="00851105">
        <w:t xml:space="preserve">he Integrity and Corporate Reform Subcommittee of the Victorian Secretaries Board endorsed a new policy and standard model for collecting and reporting on staff gender information in the VPS. The policy and standard model provides a framework for VPS organisations to collect and report on staff </w:t>
      </w:r>
      <w:r w:rsidR="005A023E" w:rsidRPr="00851105">
        <w:t xml:space="preserve">who identify as </w:t>
      </w:r>
      <w:r w:rsidR="00D01A14" w:rsidRPr="00851105">
        <w:t>gender</w:t>
      </w:r>
      <w:r w:rsidR="005A023E" w:rsidRPr="00851105">
        <w:t xml:space="preserve"> diverse</w:t>
      </w:r>
      <w:r w:rsidR="00D01A14" w:rsidRPr="00851105">
        <w:t xml:space="preserve">. </w:t>
      </w:r>
    </w:p>
    <w:p w:rsidR="00D01A14" w:rsidRPr="00851105" w:rsidRDefault="00D01A14" w:rsidP="00D01A14">
      <w:r w:rsidRPr="00851105">
        <w:t xml:space="preserve">In line with </w:t>
      </w:r>
      <w:r w:rsidR="00886C24" w:rsidRPr="00851105">
        <w:t>th</w:t>
      </w:r>
      <w:r w:rsidR="00886C24">
        <w:t>is</w:t>
      </w:r>
      <w:r w:rsidR="00886C24" w:rsidRPr="00851105">
        <w:t xml:space="preserve"> </w:t>
      </w:r>
      <w:r w:rsidRPr="00851105">
        <w:t xml:space="preserve">policy, </w:t>
      </w:r>
      <w:r w:rsidR="00886C24">
        <w:t xml:space="preserve">recognition of </w:t>
      </w:r>
      <w:r w:rsidRPr="00851105">
        <w:t>three gender categories: women, men and self</w:t>
      </w:r>
      <w:r w:rsidR="00314CE6" w:rsidRPr="00851105">
        <w:noBreakHyphen/>
      </w:r>
      <w:r w:rsidRPr="00851105">
        <w:t xml:space="preserve">described </w:t>
      </w:r>
      <w:r w:rsidR="007429D1">
        <w:t xml:space="preserve">are recommended </w:t>
      </w:r>
      <w:r w:rsidR="007429D1" w:rsidRPr="00851105">
        <w:t>for the 2017</w:t>
      </w:r>
      <w:r w:rsidR="007429D1" w:rsidRPr="00851105">
        <w:noBreakHyphen/>
        <w:t>18 and 2018</w:t>
      </w:r>
      <w:r w:rsidR="007429D1" w:rsidRPr="00851105">
        <w:noBreakHyphen/>
        <w:t xml:space="preserve">19 reporting periods </w:t>
      </w:r>
      <w:r w:rsidRPr="00851105">
        <w:t xml:space="preserve">when reporting on gender for executive officers under </w:t>
      </w:r>
      <w:r w:rsidR="00314CE6" w:rsidRPr="00851105">
        <w:t>FRD </w:t>
      </w:r>
      <w:r w:rsidRPr="00851105">
        <w:t>15</w:t>
      </w:r>
      <w:r w:rsidR="00F10711">
        <w:t>E</w:t>
      </w:r>
      <w:r w:rsidRPr="00851105">
        <w:t xml:space="preserve">, and the workforce under </w:t>
      </w:r>
      <w:r w:rsidR="00314CE6" w:rsidRPr="00851105">
        <w:t>FRD </w:t>
      </w:r>
      <w:r w:rsidRPr="00851105">
        <w:t>29</w:t>
      </w:r>
      <w:r w:rsidR="00F10711">
        <w:t>C</w:t>
      </w:r>
      <w:r w:rsidRPr="00851105">
        <w:t xml:space="preserve">. </w:t>
      </w:r>
      <w:r w:rsidR="00886C24">
        <w:t>This change will</w:t>
      </w:r>
      <w:r w:rsidR="00886C24" w:rsidRPr="00886C24">
        <w:t xml:space="preserve"> provide transitional relief for entities in order for them to plan how data will be collected to comply with the new policy and standard model.</w:t>
      </w:r>
    </w:p>
    <w:p w:rsidR="00D01A14" w:rsidRPr="00851105" w:rsidRDefault="00F10711" w:rsidP="00D01A14">
      <w:r>
        <w:t>Entities should note</w:t>
      </w:r>
      <w:r w:rsidR="00610E90" w:rsidRPr="00610E90">
        <w:t xml:space="preserve"> </w:t>
      </w:r>
      <w:r w:rsidR="00610E90">
        <w:t xml:space="preserve">that </w:t>
      </w:r>
      <w:r w:rsidR="00610E90" w:rsidRPr="00610E90">
        <w:t xml:space="preserve">these categories </w:t>
      </w:r>
      <w:r>
        <w:t xml:space="preserve">will </w:t>
      </w:r>
      <w:r w:rsidR="00610E90" w:rsidRPr="00610E90">
        <w:t>become a mandatory reporting requirement for all applicable entities from the 2019-20 reporting period onwards</w:t>
      </w:r>
      <w:r w:rsidR="00D117A2">
        <w:t xml:space="preserve"> and </w:t>
      </w:r>
      <w:r w:rsidR="00AB687A">
        <w:t xml:space="preserve">they </w:t>
      </w:r>
      <w:r w:rsidR="00D117A2">
        <w:t xml:space="preserve">are strongly encouraged to comply with these requirements if it is practically achievable in the current </w:t>
      </w:r>
      <w:r w:rsidR="007953DB">
        <w:t xml:space="preserve">and following </w:t>
      </w:r>
      <w:r w:rsidR="00D117A2">
        <w:t>reporting period</w:t>
      </w:r>
      <w:r w:rsidR="007953DB">
        <w:t>s</w:t>
      </w:r>
      <w:r w:rsidR="00610E90">
        <w:t>.</w:t>
      </w:r>
      <w:r w:rsidR="00610E90" w:rsidRPr="00610E90">
        <w:t xml:space="preserve"> </w:t>
      </w:r>
    </w:p>
    <w:p w:rsidR="00C209B8" w:rsidRDefault="00C209B8">
      <w:pPr>
        <w:spacing w:before="0" w:after="200"/>
        <w:rPr>
          <w:rFonts w:asciiTheme="majorHAnsi" w:eastAsiaTheme="majorEastAsia" w:hAnsiTheme="majorHAnsi" w:cstheme="majorBidi"/>
          <w:b/>
          <w:bCs/>
          <w:color w:val="009CDE" w:themeColor="accent5"/>
          <w:sz w:val="21"/>
          <w:szCs w:val="21"/>
        </w:rPr>
      </w:pPr>
      <w:r>
        <w:br w:type="page"/>
      </w:r>
    </w:p>
    <w:p w:rsidR="00D01A14" w:rsidRPr="00851105" w:rsidRDefault="00314CE6" w:rsidP="0024195A">
      <w:pPr>
        <w:pStyle w:val="Heading3"/>
      </w:pPr>
      <w:r w:rsidRPr="00851105">
        <w:lastRenderedPageBreak/>
        <w:t>FRD </w:t>
      </w:r>
      <w:r w:rsidR="00D01A14" w:rsidRPr="00851105">
        <w:t>24</w:t>
      </w:r>
      <w:r w:rsidR="00886C24">
        <w:t>D</w:t>
      </w:r>
      <w:r w:rsidR="00DC42C4">
        <w:t xml:space="preserve"> </w:t>
      </w:r>
    </w:p>
    <w:p w:rsidR="00E330D0" w:rsidRDefault="00314CE6" w:rsidP="00D01A14">
      <w:r w:rsidRPr="00851105">
        <w:t>FRD </w:t>
      </w:r>
      <w:r w:rsidR="001B4456" w:rsidRPr="00851105">
        <w:t>24</w:t>
      </w:r>
      <w:r w:rsidR="001B4456">
        <w:t>D</w:t>
      </w:r>
      <w:r w:rsidR="001B4456" w:rsidRPr="00851105">
        <w:t xml:space="preserve"> </w:t>
      </w:r>
      <w:r w:rsidR="00D01A14" w:rsidRPr="00851105">
        <w:t xml:space="preserve">requires entities to report on the consumption of resources and greenhouse gas emissions. </w:t>
      </w:r>
      <w:r w:rsidR="001B4456">
        <w:t>R</w:t>
      </w:r>
      <w:r w:rsidR="00D01A14" w:rsidRPr="00851105">
        <w:t xml:space="preserve">eferences in the </w:t>
      </w:r>
      <w:r w:rsidRPr="00851105">
        <w:t>FRD </w:t>
      </w:r>
      <w:r w:rsidR="001B4456">
        <w:t xml:space="preserve">have been updated </w:t>
      </w:r>
      <w:r w:rsidR="00D01A14" w:rsidRPr="00851105">
        <w:t xml:space="preserve">to align with the </w:t>
      </w:r>
      <w:r w:rsidR="005A023E" w:rsidRPr="00851105">
        <w:t xml:space="preserve">Commonwealth’s </w:t>
      </w:r>
      <w:r w:rsidR="00D01A14" w:rsidRPr="00851105">
        <w:t>revised environmental benchmarks.</w:t>
      </w:r>
      <w:r w:rsidR="003E33DE">
        <w:t xml:space="preserve"> In revising the FRD, t</w:t>
      </w:r>
      <w:r w:rsidR="003E33DE" w:rsidRPr="003E33DE">
        <w:t xml:space="preserve">he Climate Change Division in DELWP </w:t>
      </w:r>
      <w:r w:rsidR="003E33DE">
        <w:t>considered all comments and suggestions submitted by</w:t>
      </w:r>
      <w:r w:rsidR="003E33DE" w:rsidRPr="003E33DE">
        <w:t xml:space="preserve"> departmental Chief Financial Officers and financial reporti</w:t>
      </w:r>
      <w:r w:rsidR="003E33DE">
        <w:t>ng teams</w:t>
      </w:r>
      <w:r w:rsidR="003E33DE" w:rsidRPr="003E33DE">
        <w:t xml:space="preserve">. </w:t>
      </w:r>
      <w:r w:rsidR="00885113">
        <w:t>Key changes to FRD </w:t>
      </w:r>
      <w:r w:rsidR="00E330D0" w:rsidRPr="002C6C65">
        <w:t xml:space="preserve">24D </w:t>
      </w:r>
      <w:r w:rsidR="001B4456">
        <w:t>include</w:t>
      </w:r>
      <w:r w:rsidR="00E330D0">
        <w:t>:</w:t>
      </w:r>
    </w:p>
    <w:p w:rsidR="00E330D0" w:rsidRDefault="00AB687A" w:rsidP="00885113">
      <w:pPr>
        <w:pStyle w:val="Bullet1"/>
      </w:pPr>
      <w:r>
        <w:t>p</w:t>
      </w:r>
      <w:r w:rsidR="00E330D0" w:rsidRPr="00E330D0">
        <w:t>reparers are no longer required to report future targets for all aspects of environmental reporting</w:t>
      </w:r>
      <w:r w:rsidR="00922C54">
        <w:t>.</w:t>
      </w:r>
      <w:r w:rsidR="00E330D0" w:rsidRPr="00E330D0">
        <w:t xml:space="preserve"> </w:t>
      </w:r>
      <w:r w:rsidR="00922C54">
        <w:t>T</w:t>
      </w:r>
      <w:r w:rsidR="00E330D0" w:rsidRPr="00E330D0">
        <w:t>argets should be reported only where applicable</w:t>
      </w:r>
      <w:r w:rsidR="00E330D0">
        <w:t xml:space="preserve"> and relevant;</w:t>
      </w:r>
    </w:p>
    <w:p w:rsidR="00E330D0" w:rsidRDefault="00AB687A" w:rsidP="00885113">
      <w:pPr>
        <w:pStyle w:val="Bullet1"/>
      </w:pPr>
      <w:r>
        <w:t>o</w:t>
      </w:r>
      <w:r w:rsidR="00E330D0" w:rsidRPr="00E330D0">
        <w:t>ptional disclosures have been included to prepare entities for when these disclosures become mandatory</w:t>
      </w:r>
      <w:r w:rsidR="00DF5AEC">
        <w:t>.</w:t>
      </w:r>
      <w:r w:rsidR="00E330D0" w:rsidRPr="00E330D0">
        <w:t xml:space="preserve"> </w:t>
      </w:r>
      <w:r w:rsidR="00E330D0">
        <w:t>Preparers are encouraged to report on a range of indicators including</w:t>
      </w:r>
      <w:r w:rsidR="001B4456">
        <w:t xml:space="preserve"> t</w:t>
      </w:r>
      <w:r w:rsidR="00E330D0">
        <w:t>otal renewable energy gen</w:t>
      </w:r>
      <w:r w:rsidR="001B4456">
        <w:t>eration installed and generated, d</w:t>
      </w:r>
      <w:r w:rsidR="00E330D0">
        <w:t>etails of star energy and water rating/s achieved</w:t>
      </w:r>
      <w:r w:rsidR="001B4456">
        <w:t>, c</w:t>
      </w:r>
      <w:r w:rsidR="00E330D0">
        <w:t>offee cups, soft paper and towel recycled</w:t>
      </w:r>
      <w:r w:rsidR="001B4456">
        <w:t>, certified paper used, p</w:t>
      </w:r>
      <w:r w:rsidR="00E330D0">
        <w:t>etrol hybrid, electric and plug-in hybrid electric vehicles in fleet</w:t>
      </w:r>
      <w:r w:rsidR="001B4456">
        <w:t>, e</w:t>
      </w:r>
      <w:r w:rsidR="00E330D0">
        <w:t>xposure to climate-related risks and planned responses</w:t>
      </w:r>
      <w:r w:rsidR="001B4456">
        <w:t>, c</w:t>
      </w:r>
      <w:r w:rsidR="00E330D0">
        <w:t>omponents of the ISO 1</w:t>
      </w:r>
      <w:r w:rsidR="001B4456">
        <w:t xml:space="preserve">4001:2015 </w:t>
      </w:r>
      <w:r w:rsidR="001B4456" w:rsidRPr="00430B35">
        <w:rPr>
          <w:i/>
        </w:rPr>
        <w:t>Framework</w:t>
      </w:r>
      <w:r w:rsidR="001B4456">
        <w:t xml:space="preserve"> implemented </w:t>
      </w:r>
      <w:r w:rsidR="00E330D0">
        <w:t xml:space="preserve">and </w:t>
      </w:r>
      <w:r w:rsidR="001B4456">
        <w:t>b</w:t>
      </w:r>
      <w:r w:rsidR="00E330D0">
        <w:t>uildings with a Green Star rating of 5 or higher</w:t>
      </w:r>
      <w:r w:rsidR="001B4456">
        <w:t>;</w:t>
      </w:r>
    </w:p>
    <w:p w:rsidR="001B4456" w:rsidRDefault="00AB687A" w:rsidP="00885113">
      <w:pPr>
        <w:pStyle w:val="Bullet1"/>
      </w:pPr>
      <w:r>
        <w:t>p</w:t>
      </w:r>
      <w:r w:rsidR="001B4456" w:rsidRPr="00E330D0">
        <w:t>reparers are now required to report the units of metered water consumed in offices per unit of office area</w:t>
      </w:r>
      <w:r w:rsidR="001B4456">
        <w:t xml:space="preserve"> (previously optional);</w:t>
      </w:r>
    </w:p>
    <w:p w:rsidR="001B4456" w:rsidRDefault="00AB687A" w:rsidP="00885113">
      <w:pPr>
        <w:pStyle w:val="Bullet1"/>
      </w:pPr>
      <w:r>
        <w:t>r</w:t>
      </w:r>
      <w:r w:rsidR="001B4456">
        <w:t>eferences to previous government policy and programs have been revised and new legislation and policies referenced;</w:t>
      </w:r>
      <w:r w:rsidR="00430B35">
        <w:t xml:space="preserve"> and</w:t>
      </w:r>
    </w:p>
    <w:p w:rsidR="002C6C65" w:rsidRDefault="00AB687A" w:rsidP="00885113">
      <w:pPr>
        <w:pStyle w:val="Bullet1"/>
      </w:pPr>
      <w:r>
        <w:t>t</w:t>
      </w:r>
      <w:r w:rsidR="001B4456" w:rsidRPr="00E330D0">
        <w:t>he requirement to conduct an annual audit of the entity’s EMS has been replaced by an audit every two years and the audit report is required to be submitted to the Commissioner for Environmental Sustainability.</w:t>
      </w:r>
    </w:p>
    <w:p w:rsidR="007618A0" w:rsidRPr="00851105" w:rsidRDefault="00314CE6" w:rsidP="008C1F3C">
      <w:pPr>
        <w:pStyle w:val="Heading3"/>
      </w:pPr>
      <w:r w:rsidRPr="00851105">
        <w:t>FRD </w:t>
      </w:r>
      <w:r w:rsidR="007618A0" w:rsidRPr="00851105">
        <w:t>103</w:t>
      </w:r>
      <w:r w:rsidR="00547B6D">
        <w:t>G</w:t>
      </w:r>
      <w:r w:rsidR="00241DC1" w:rsidRPr="00851105">
        <w:t xml:space="preserve"> </w:t>
      </w:r>
    </w:p>
    <w:p w:rsidR="00547B6D" w:rsidRDefault="00547B6D" w:rsidP="00291C69">
      <w:pPr>
        <w:rPr>
          <w:lang w:val="en-US"/>
        </w:rPr>
      </w:pPr>
      <w:r>
        <w:rPr>
          <w:lang w:val="en-US"/>
        </w:rPr>
        <w:t xml:space="preserve">FRD103G </w:t>
      </w:r>
      <w:r w:rsidRPr="00DF5AEC">
        <w:rPr>
          <w:i/>
          <w:lang w:val="en-US"/>
        </w:rPr>
        <w:t>Non-financial physical assets</w:t>
      </w:r>
      <w:r>
        <w:rPr>
          <w:lang w:val="en-US"/>
        </w:rPr>
        <w:t xml:space="preserve"> has been</w:t>
      </w:r>
      <w:r w:rsidR="00DF5AEC">
        <w:rPr>
          <w:lang w:val="en-US"/>
        </w:rPr>
        <w:t xml:space="preserve"> updated and </w:t>
      </w:r>
      <w:r>
        <w:rPr>
          <w:lang w:val="en-US"/>
        </w:rPr>
        <w:t xml:space="preserve">streamlined to make </w:t>
      </w:r>
      <w:r w:rsidR="00DF5AEC">
        <w:rPr>
          <w:lang w:val="en-US"/>
        </w:rPr>
        <w:t xml:space="preserve">it easier for preparers to focus on the requirements of </w:t>
      </w:r>
      <w:r>
        <w:rPr>
          <w:lang w:val="en-US"/>
        </w:rPr>
        <w:t>the direction.</w:t>
      </w:r>
      <w:r w:rsidR="00DF5AEC">
        <w:rPr>
          <w:lang w:val="en-US"/>
        </w:rPr>
        <w:t xml:space="preserve"> </w:t>
      </w:r>
      <w:r w:rsidR="006F6CF0">
        <w:rPr>
          <w:lang w:val="en-US"/>
        </w:rPr>
        <w:t>There has been no change to the requirements of the direction.</w:t>
      </w:r>
      <w:r w:rsidR="006F6CF0" w:rsidRPr="006F6CF0">
        <w:rPr>
          <w:lang w:val="en-US"/>
        </w:rPr>
        <w:t xml:space="preserve"> </w:t>
      </w:r>
      <w:r w:rsidR="006F6CF0">
        <w:rPr>
          <w:lang w:val="en-US"/>
        </w:rPr>
        <w:t xml:space="preserve">All guidance material has been removed from the FRD and are </w:t>
      </w:r>
      <w:r w:rsidR="00991C6F">
        <w:rPr>
          <w:lang w:val="en-US"/>
        </w:rPr>
        <w:t>now included</w:t>
      </w:r>
      <w:r w:rsidR="006F6CF0">
        <w:rPr>
          <w:lang w:val="en-US"/>
        </w:rPr>
        <w:t xml:space="preserve"> as separate guidance notes to the FRD.</w:t>
      </w:r>
    </w:p>
    <w:p w:rsidR="00547B6D" w:rsidRDefault="00547B6D" w:rsidP="00291C69">
      <w:pPr>
        <w:rPr>
          <w:lang w:val="en-US"/>
        </w:rPr>
      </w:pPr>
      <w:r>
        <w:rPr>
          <w:lang w:val="en-US"/>
        </w:rPr>
        <w:t xml:space="preserve">The </w:t>
      </w:r>
      <w:r w:rsidR="00B21F15">
        <w:rPr>
          <w:lang w:val="en-US"/>
        </w:rPr>
        <w:t>FRD</w:t>
      </w:r>
      <w:r w:rsidR="00B901BE">
        <w:rPr>
          <w:lang w:val="en-US"/>
        </w:rPr>
        <w:t>,</w:t>
      </w:r>
      <w:r w:rsidR="00B21F15">
        <w:rPr>
          <w:lang w:val="en-US"/>
        </w:rPr>
        <w:t xml:space="preserve"> </w:t>
      </w:r>
      <w:r w:rsidR="00B901BE">
        <w:rPr>
          <w:lang w:val="en-US"/>
        </w:rPr>
        <w:t>including</w:t>
      </w:r>
      <w:r>
        <w:rPr>
          <w:lang w:val="en-US"/>
        </w:rPr>
        <w:t xml:space="preserve"> supporting guidance documents</w:t>
      </w:r>
      <w:r w:rsidR="00B901BE">
        <w:rPr>
          <w:lang w:val="en-US"/>
        </w:rPr>
        <w:t>,</w:t>
      </w:r>
      <w:r>
        <w:rPr>
          <w:lang w:val="en-US"/>
        </w:rPr>
        <w:t xml:space="preserve"> </w:t>
      </w:r>
      <w:r w:rsidR="00DF5AEC">
        <w:rPr>
          <w:lang w:val="en-US"/>
        </w:rPr>
        <w:t xml:space="preserve">is expected to be approved and </w:t>
      </w:r>
      <w:r>
        <w:rPr>
          <w:lang w:val="en-US"/>
        </w:rPr>
        <w:t xml:space="preserve">available on DTF’s website </w:t>
      </w:r>
      <w:r w:rsidR="00DF5AEC">
        <w:rPr>
          <w:lang w:val="en-US"/>
        </w:rPr>
        <w:t xml:space="preserve">in </w:t>
      </w:r>
      <w:r>
        <w:rPr>
          <w:lang w:val="en-US"/>
        </w:rPr>
        <w:t>July 2018.</w:t>
      </w:r>
    </w:p>
    <w:p w:rsidR="00ED254A" w:rsidRDefault="00ED254A" w:rsidP="00ED254A">
      <w:pPr>
        <w:pStyle w:val="Heading3"/>
      </w:pPr>
      <w:r w:rsidRPr="00674151">
        <w:t xml:space="preserve">FRD </w:t>
      </w:r>
      <w:r>
        <w:t>106B</w:t>
      </w:r>
    </w:p>
    <w:p w:rsidR="00ED254A" w:rsidRDefault="00ED254A" w:rsidP="00ED254A">
      <w:r w:rsidRPr="00ED254A">
        <w:t xml:space="preserve">The FRD has been updated to reflect changes introduced by AASB 2014-6 </w:t>
      </w:r>
      <w:r w:rsidRPr="00ED254A">
        <w:rPr>
          <w:i/>
        </w:rPr>
        <w:t>Amendments to Australian Accounting Standards – Recoverable Amount of Non-Cash-Generating Specialised Assets of Not-for-Profit Entities</w:t>
      </w:r>
      <w:r w:rsidRPr="00ED254A">
        <w:t xml:space="preserve">. The amendment removes the requirement for not-for-profit entities to carry out impairment tests on specialised assets that are carried at fair value, because the valuation process already implicitly incorporates the impairment assessment. The definitions of </w:t>
      </w:r>
      <w:r w:rsidR="00454F40">
        <w:t>‘</w:t>
      </w:r>
      <w:r w:rsidRPr="00ED254A">
        <w:t>Cost Model</w:t>
      </w:r>
      <w:r w:rsidR="00454F40">
        <w:t>’</w:t>
      </w:r>
      <w:r w:rsidRPr="00ED254A">
        <w:t xml:space="preserve"> and </w:t>
      </w:r>
      <w:r w:rsidR="00454F40">
        <w:t>‘</w:t>
      </w:r>
      <w:r w:rsidRPr="00ED254A">
        <w:t>Revaluation Model</w:t>
      </w:r>
      <w:r w:rsidR="00454F40">
        <w:t>’</w:t>
      </w:r>
      <w:r w:rsidRPr="00ED254A">
        <w:t xml:space="preserve"> have been added to align the definitions in FRD 106B with the terminologies used in AASB 136.</w:t>
      </w:r>
    </w:p>
    <w:p w:rsidR="00F23B73" w:rsidRDefault="00F23B73" w:rsidP="00F23B73">
      <w:pPr>
        <w:pStyle w:val="Heading3"/>
      </w:pPr>
      <w:r w:rsidRPr="00674151">
        <w:t xml:space="preserve">FRD </w:t>
      </w:r>
      <w:r>
        <w:t>120L</w:t>
      </w:r>
    </w:p>
    <w:p w:rsidR="00547B6D" w:rsidRDefault="00547B6D" w:rsidP="00F23B73">
      <w:r>
        <w:t>F</w:t>
      </w:r>
      <w:r w:rsidR="00922C54">
        <w:t xml:space="preserve">RD </w:t>
      </w:r>
      <w:r>
        <w:t xml:space="preserve">120L Accounting and reporting </w:t>
      </w:r>
      <w:r w:rsidR="00B21F15">
        <w:t>pronouncements</w:t>
      </w:r>
      <w:r>
        <w:t xml:space="preserve"> applicable to 2017-18 reporting period provides a summary of accounting standards that apply to the current reporting period and future reporting periods. The FRD will be available on DTF’s website </w:t>
      </w:r>
      <w:r w:rsidR="00DF5AEC">
        <w:t xml:space="preserve">in </w:t>
      </w:r>
      <w:r>
        <w:t>July 2018.</w:t>
      </w:r>
    </w:p>
    <w:p w:rsidR="00BC08E2" w:rsidRPr="00594631" w:rsidRDefault="00BC08E2" w:rsidP="00BC08E2">
      <w:pPr>
        <w:pStyle w:val="Heading1"/>
      </w:pPr>
      <w:bookmarkStart w:id="12" w:name="_Toc519255628"/>
      <w:r w:rsidRPr="00851105">
        <w:t>2017</w:t>
      </w:r>
      <w:r w:rsidR="00314CE6" w:rsidRPr="00851105">
        <w:noBreakHyphen/>
      </w:r>
      <w:r w:rsidRPr="00851105">
        <w:t>18 financial reporting legislation</w:t>
      </w:r>
      <w:bookmarkEnd w:id="10"/>
      <w:bookmarkEnd w:id="11"/>
      <w:bookmarkEnd w:id="12"/>
      <w:r w:rsidRPr="00851105">
        <w:t xml:space="preserve"> </w:t>
      </w:r>
    </w:p>
    <w:p w:rsidR="00D36D94" w:rsidRPr="00851105" w:rsidRDefault="00BC08E2" w:rsidP="0024195A">
      <w:pPr>
        <w:pStyle w:val="Heading2"/>
      </w:pPr>
      <w:r w:rsidRPr="00851105">
        <w:t>Standing Directions</w:t>
      </w:r>
      <w:r w:rsidR="00314CE6" w:rsidRPr="00851105">
        <w:t xml:space="preserve"> – annual report attestation</w:t>
      </w:r>
    </w:p>
    <w:p w:rsidR="002C338A" w:rsidRPr="00851105" w:rsidRDefault="00D36D94" w:rsidP="00AF22FE">
      <w:pPr>
        <w:autoSpaceDE w:val="0"/>
        <w:autoSpaceDN w:val="0"/>
        <w:adjustRightInd w:val="0"/>
        <w:spacing w:before="120" w:after="120"/>
      </w:pPr>
      <w:r w:rsidRPr="00851105">
        <w:rPr>
          <w:rFonts w:cstheme="minorHAnsi"/>
          <w:spacing w:val="0"/>
          <w:szCs w:val="18"/>
        </w:rPr>
        <w:t xml:space="preserve">The </w:t>
      </w:r>
      <w:r w:rsidRPr="00851105">
        <w:rPr>
          <w:rFonts w:cstheme="minorHAnsi"/>
          <w:i/>
          <w:iCs/>
          <w:spacing w:val="0"/>
          <w:szCs w:val="18"/>
        </w:rPr>
        <w:t>Standing Directions of the Minister for Finance 2016</w:t>
      </w:r>
      <w:r w:rsidRPr="00851105">
        <w:rPr>
          <w:rFonts w:cstheme="minorHAnsi"/>
          <w:spacing w:val="0"/>
          <w:szCs w:val="18"/>
        </w:rPr>
        <w:t xml:space="preserve"> (2016 Standing Directions) require </w:t>
      </w:r>
      <w:r w:rsidR="009969B6">
        <w:rPr>
          <w:rFonts w:cstheme="minorHAnsi"/>
          <w:spacing w:val="0"/>
          <w:szCs w:val="18"/>
        </w:rPr>
        <w:t xml:space="preserve">a </w:t>
      </w:r>
      <w:r w:rsidRPr="00851105">
        <w:rPr>
          <w:rFonts w:cstheme="minorHAnsi"/>
          <w:spacing w:val="0"/>
          <w:szCs w:val="18"/>
        </w:rPr>
        <w:t>formal attestation statement in</w:t>
      </w:r>
      <w:r w:rsidR="00AF22FE">
        <w:rPr>
          <w:rFonts w:cstheme="minorHAnsi"/>
          <w:spacing w:val="0"/>
          <w:szCs w:val="18"/>
        </w:rPr>
        <w:t xml:space="preserve"> your</w:t>
      </w:r>
      <w:r w:rsidRPr="00851105">
        <w:rPr>
          <w:rFonts w:cstheme="minorHAnsi"/>
          <w:spacing w:val="0"/>
          <w:szCs w:val="18"/>
        </w:rPr>
        <w:t xml:space="preserve"> annual reports.</w:t>
      </w:r>
      <w:r w:rsidR="00AF22FE">
        <w:rPr>
          <w:rFonts w:cstheme="minorHAnsi"/>
          <w:spacing w:val="0"/>
          <w:szCs w:val="18"/>
        </w:rPr>
        <w:t xml:space="preserve"> </w:t>
      </w:r>
      <w:r w:rsidR="00AF22FE">
        <w:t>A</w:t>
      </w:r>
      <w:r w:rsidR="002C338A" w:rsidRPr="00851105">
        <w:t>gencies must complete a</w:t>
      </w:r>
      <w:r w:rsidR="00AF22FE">
        <w:t>n</w:t>
      </w:r>
      <w:r w:rsidR="002C338A" w:rsidRPr="00851105">
        <w:t xml:space="preserve"> attestation statement </w:t>
      </w:r>
      <w:r w:rsidR="00AF22FE">
        <w:t>f</w:t>
      </w:r>
      <w:r w:rsidR="00AF22FE" w:rsidRPr="00851105">
        <w:t>or the period</w:t>
      </w:r>
      <w:r w:rsidR="00AF22FE" w:rsidRPr="00851105">
        <w:rPr>
          <w:b/>
          <w:bCs/>
        </w:rPr>
        <w:t xml:space="preserve"> 1 July 2017 </w:t>
      </w:r>
      <w:r w:rsidR="00AF22FE" w:rsidRPr="00851105">
        <w:rPr>
          <w:bCs/>
        </w:rPr>
        <w:t>to</w:t>
      </w:r>
      <w:r w:rsidR="00AF22FE" w:rsidRPr="00851105">
        <w:rPr>
          <w:b/>
          <w:bCs/>
        </w:rPr>
        <w:t xml:space="preserve"> 30</w:t>
      </w:r>
      <w:r w:rsidR="006A5AF9">
        <w:rPr>
          <w:b/>
          <w:bCs/>
        </w:rPr>
        <w:t> </w:t>
      </w:r>
      <w:r w:rsidR="00AF22FE" w:rsidRPr="00851105">
        <w:rPr>
          <w:b/>
          <w:bCs/>
        </w:rPr>
        <w:t>June 2018,</w:t>
      </w:r>
      <w:r w:rsidR="00AF22FE">
        <w:rPr>
          <w:b/>
          <w:bCs/>
        </w:rPr>
        <w:t xml:space="preserve"> </w:t>
      </w:r>
      <w:r w:rsidR="002C338A" w:rsidRPr="00851105">
        <w:t>in relation to</w:t>
      </w:r>
      <w:r w:rsidR="002C338A" w:rsidRPr="00851105">
        <w:rPr>
          <w:b/>
          <w:bCs/>
        </w:rPr>
        <w:t xml:space="preserve"> all </w:t>
      </w:r>
      <w:r w:rsidR="002C338A" w:rsidRPr="00851105">
        <w:t xml:space="preserve">applicable 2016 Standing Directions and Instructions as required and in the form prescribed by </w:t>
      </w:r>
      <w:hyperlink r:id="rId17" w:history="1">
        <w:r w:rsidR="002C338A" w:rsidRPr="00851105">
          <w:t>Instruction 5.1, clause 2</w:t>
        </w:r>
      </w:hyperlink>
      <w:r w:rsidR="002C338A" w:rsidRPr="00851105">
        <w:t>.2.</w:t>
      </w:r>
    </w:p>
    <w:p w:rsidR="00F07F41" w:rsidRDefault="00D92740" w:rsidP="002C338A">
      <w:r>
        <w:t>Note that</w:t>
      </w:r>
      <w:r w:rsidR="002C338A" w:rsidRPr="00851105">
        <w:t xml:space="preserve"> the previous risk management and insurance attestation (under Standing Direction 3.7.1)</w:t>
      </w:r>
      <w:r w:rsidR="00C426B0">
        <w:t xml:space="preserve"> has ceased and</w:t>
      </w:r>
      <w:r w:rsidR="002C338A" w:rsidRPr="00851105">
        <w:t xml:space="preserve"> </w:t>
      </w:r>
      <w:r>
        <w:t>has been incorporated</w:t>
      </w:r>
      <w:r w:rsidR="002C338A" w:rsidRPr="00851105">
        <w:t xml:space="preserve"> </w:t>
      </w:r>
      <w:r>
        <w:t>in</w:t>
      </w:r>
      <w:r w:rsidR="00C426B0">
        <w:t>to</w:t>
      </w:r>
      <w:r w:rsidR="002C338A" w:rsidRPr="00851105">
        <w:t xml:space="preserve"> </w:t>
      </w:r>
      <w:r w:rsidRPr="00851105">
        <w:t>th</w:t>
      </w:r>
      <w:r>
        <w:t>is</w:t>
      </w:r>
      <w:r w:rsidRPr="00851105">
        <w:t xml:space="preserve"> </w:t>
      </w:r>
      <w:r w:rsidR="002C338A" w:rsidRPr="00851105">
        <w:t>overarching attestation statement.</w:t>
      </w:r>
    </w:p>
    <w:p w:rsidR="004C5AE9" w:rsidRPr="004C5AE9" w:rsidRDefault="00ED72AC" w:rsidP="004C5AE9">
      <w:pPr>
        <w:rPr>
          <w:rFonts w:eastAsia="Times New Roman"/>
          <w:color w:val="000000" w:themeColor="text1"/>
        </w:rPr>
      </w:pPr>
      <w:r w:rsidRPr="0032031B">
        <w:rPr>
          <w:rFonts w:eastAsia="Times New Roman"/>
        </w:rPr>
        <w:lastRenderedPageBreak/>
        <w:t xml:space="preserve">New Ministerial directions </w:t>
      </w:r>
      <w:r>
        <w:rPr>
          <w:rFonts w:eastAsia="Times New Roman"/>
        </w:rPr>
        <w:t>relating to public construction procurement have been developed</w:t>
      </w:r>
      <w:r w:rsidRPr="0032031B">
        <w:rPr>
          <w:rFonts w:eastAsia="Times New Roman"/>
        </w:rPr>
        <w:t xml:space="preserve"> under Part 4 of the </w:t>
      </w:r>
      <w:r>
        <w:rPr>
          <w:rFonts w:eastAsia="Times New Roman"/>
          <w:i/>
        </w:rPr>
        <w:t xml:space="preserve">Project Development and Construction Management Act 1994 </w:t>
      </w:r>
      <w:r>
        <w:rPr>
          <w:rFonts w:eastAsia="Times New Roman"/>
        </w:rPr>
        <w:t>(PDCM Act). The 2016 Standing Directions will be revised to draw attention specifically to the need for relevant departments and agencies to apply these directions and to attest to compliance with that requirement.</w:t>
      </w:r>
    </w:p>
    <w:p w:rsidR="00D36D94" w:rsidRPr="00851105" w:rsidRDefault="00D36D94" w:rsidP="000F5A54">
      <w:r w:rsidRPr="00851105">
        <w:t xml:space="preserve">If you have any further queries on the Standing Directions, please direct your queries to the DTF Financial Frameworks team mailbox: </w:t>
      </w:r>
      <w:hyperlink r:id="rId18" w:history="1">
        <w:r w:rsidRPr="00851105">
          <w:rPr>
            <w:rStyle w:val="Hyperlink"/>
            <w:rFonts w:cstheme="minorHAnsi"/>
            <w:color w:val="auto"/>
            <w:spacing w:val="0"/>
            <w:szCs w:val="18"/>
          </w:rPr>
          <w:t>standing.directions@dtf.vic.gov.au</w:t>
        </w:r>
      </w:hyperlink>
      <w:r w:rsidRPr="00851105">
        <w:t>.</w:t>
      </w:r>
    </w:p>
    <w:p w:rsidR="00BC08E2" w:rsidRPr="00594631" w:rsidRDefault="00BC08E2" w:rsidP="0024195A">
      <w:pPr>
        <w:pStyle w:val="Heading2"/>
      </w:pPr>
      <w:r w:rsidRPr="00851105">
        <w:t xml:space="preserve">Superannuation Guarantee Levy </w:t>
      </w:r>
    </w:p>
    <w:p w:rsidR="00516080" w:rsidRPr="00851105" w:rsidRDefault="00516080" w:rsidP="000F5A54">
      <w:r w:rsidRPr="00851105">
        <w:t>There has been no change to the Superannuation Guarantee Levy (SGL) schedule since the last update on the SGL in the December 201</w:t>
      </w:r>
      <w:r w:rsidR="009D1077">
        <w:t>7</w:t>
      </w:r>
      <w:r w:rsidRPr="00851105">
        <w:t xml:space="preserve"> newsletter edition. Consistent with the </w:t>
      </w:r>
      <w:r w:rsidRPr="00851105">
        <w:rPr>
          <w:i/>
        </w:rPr>
        <w:t>Minerals Resource Rent Tax Repeal and Other Measures Act 2014</w:t>
      </w:r>
      <w:r w:rsidRPr="00851105">
        <w:t xml:space="preserve"> passed in September 2014, the future SGL rates will remain at 9.5 </w:t>
      </w:r>
      <w:r w:rsidR="00FA6104" w:rsidRPr="00851105">
        <w:t>per cent</w:t>
      </w:r>
      <w:r w:rsidRPr="00851105">
        <w:t xml:space="preserve"> until 2021, before increasing by 0.5 per</w:t>
      </w:r>
      <w:r w:rsidR="00FA6104" w:rsidRPr="00851105">
        <w:t xml:space="preserve"> </w:t>
      </w:r>
      <w:r w:rsidRPr="00851105">
        <w:t>cent annually between 2021</w:t>
      </w:r>
      <w:r w:rsidR="00314CE6" w:rsidRPr="00851105">
        <w:noBreakHyphen/>
      </w:r>
      <w:r w:rsidRPr="00851105">
        <w:t>2025.</w:t>
      </w:r>
      <w:r w:rsidR="000F5A54" w:rsidRPr="00851105">
        <w:t xml:space="preserve"> </w:t>
      </w:r>
    </w:p>
    <w:p w:rsidR="00516080" w:rsidRPr="00851105" w:rsidRDefault="00516080" w:rsidP="00D00093">
      <w:pPr>
        <w:rPr>
          <w:rFonts w:ascii="Arial" w:hAnsi="Arial" w:cs="Arial"/>
          <w:szCs w:val="24"/>
        </w:rPr>
      </w:pPr>
      <w:r w:rsidRPr="00851105">
        <w:rPr>
          <w:rFonts w:ascii="Arial" w:hAnsi="Arial" w:cs="Arial"/>
          <w:szCs w:val="24"/>
        </w:rPr>
        <w:t xml:space="preserve">The next SGL rate change for departments and agencies will be effective from 1 July 2021 when the rate will increase to 10 </w:t>
      </w:r>
      <w:r w:rsidR="00FA6104" w:rsidRPr="00851105">
        <w:rPr>
          <w:rFonts w:ascii="Arial" w:hAnsi="Arial" w:cs="Arial"/>
          <w:szCs w:val="24"/>
        </w:rPr>
        <w:t>per cent</w:t>
      </w:r>
      <w:r w:rsidRPr="00851105">
        <w:rPr>
          <w:rFonts w:ascii="Arial" w:hAnsi="Arial" w:cs="Arial"/>
          <w:szCs w:val="24"/>
        </w:rPr>
        <w:t>.</w:t>
      </w:r>
      <w:r w:rsidR="000F5A54" w:rsidRPr="00851105">
        <w:rPr>
          <w:rFonts w:ascii="Arial" w:hAnsi="Arial" w:cs="Arial"/>
          <w:szCs w:val="24"/>
        </w:rPr>
        <w:t xml:space="preserve"> </w:t>
      </w:r>
    </w:p>
    <w:p w:rsidR="00BC08E2" w:rsidRPr="00594631" w:rsidRDefault="00BC08E2" w:rsidP="0024195A">
      <w:pPr>
        <w:pStyle w:val="Heading2"/>
      </w:pPr>
      <w:r w:rsidRPr="00851105">
        <w:t>Wage inflation and discount rates</w:t>
      </w:r>
    </w:p>
    <w:p w:rsidR="00BC08E2" w:rsidRPr="00851105" w:rsidRDefault="00AC4D88" w:rsidP="00D00093">
      <w:r w:rsidRPr="00851105">
        <w:rPr>
          <w:rFonts w:ascii="Arial" w:hAnsi="Arial" w:cs="Arial"/>
          <w:szCs w:val="24"/>
        </w:rPr>
        <w:t xml:space="preserve">DTF publishes the wage inflation and discount rates quarterly for </w:t>
      </w:r>
      <w:r w:rsidR="00502AC6" w:rsidRPr="00851105">
        <w:rPr>
          <w:rFonts w:ascii="Arial" w:hAnsi="Arial" w:cs="Arial"/>
          <w:szCs w:val="24"/>
        </w:rPr>
        <w:t xml:space="preserve">the </w:t>
      </w:r>
      <w:r w:rsidRPr="00851105">
        <w:rPr>
          <w:rFonts w:ascii="Arial" w:hAnsi="Arial" w:cs="Arial"/>
          <w:szCs w:val="24"/>
        </w:rPr>
        <w:t xml:space="preserve">September, December and March quarters. Rates are released monthly for the June quarter of each financial year. </w:t>
      </w:r>
      <w:r w:rsidR="004A5D99" w:rsidRPr="00851105">
        <w:rPr>
          <w:rFonts w:ascii="Arial" w:hAnsi="Arial" w:cs="Arial"/>
          <w:szCs w:val="24"/>
        </w:rPr>
        <w:t xml:space="preserve">The current rates should be used by entities to remeasure their employee benefit provisions in the </w:t>
      </w:r>
      <w:r w:rsidR="00F05D03">
        <w:rPr>
          <w:rFonts w:ascii="Arial" w:hAnsi="Arial" w:cs="Arial"/>
          <w:szCs w:val="24"/>
        </w:rPr>
        <w:t>2017</w:t>
      </w:r>
      <w:r w:rsidR="00F05D03">
        <w:rPr>
          <w:rFonts w:ascii="Arial" w:hAnsi="Arial" w:cs="Arial"/>
          <w:szCs w:val="24"/>
        </w:rPr>
        <w:noBreakHyphen/>
        <w:t>18</w:t>
      </w:r>
      <w:r w:rsidR="004A5D99" w:rsidRPr="00851105">
        <w:rPr>
          <w:rFonts w:ascii="Arial" w:hAnsi="Arial" w:cs="Arial"/>
          <w:szCs w:val="24"/>
        </w:rPr>
        <w:t xml:space="preserve"> reporting period.</w:t>
      </w:r>
    </w:p>
    <w:p w:rsidR="004A5D99" w:rsidRPr="00851105" w:rsidRDefault="00120542" w:rsidP="00D00093">
      <w:pPr>
        <w:rPr>
          <w:rFonts w:ascii="Arial" w:hAnsi="Arial" w:cs="Arial"/>
          <w:szCs w:val="24"/>
        </w:rPr>
      </w:pPr>
      <w:r w:rsidRPr="00851105">
        <w:rPr>
          <w:rFonts w:ascii="Arial" w:hAnsi="Arial" w:cs="Arial"/>
          <w:szCs w:val="24"/>
        </w:rPr>
        <w:t xml:space="preserve">The wage inflation and discount rates are published for both 2004 and 2008 Long Service Leave Models. Wage inflation rates reflect </w:t>
      </w:r>
      <w:r w:rsidR="007B6D42" w:rsidRPr="00851105">
        <w:rPr>
          <w:rFonts w:ascii="Arial" w:hAnsi="Arial" w:cs="Arial"/>
          <w:szCs w:val="24"/>
        </w:rPr>
        <w:t xml:space="preserve">current </w:t>
      </w:r>
      <w:r w:rsidRPr="00851105">
        <w:rPr>
          <w:rFonts w:ascii="Arial" w:hAnsi="Arial" w:cs="Arial"/>
          <w:szCs w:val="24"/>
        </w:rPr>
        <w:t xml:space="preserve">economic assumptions made in </w:t>
      </w:r>
      <w:r w:rsidR="003324EF" w:rsidRPr="00851105">
        <w:rPr>
          <w:rFonts w:ascii="Arial" w:hAnsi="Arial" w:cs="Arial"/>
          <w:szCs w:val="24"/>
        </w:rPr>
        <w:t xml:space="preserve">the preparation of the </w:t>
      </w:r>
      <w:r w:rsidRPr="00851105">
        <w:rPr>
          <w:rFonts w:ascii="Arial" w:hAnsi="Arial" w:cs="Arial"/>
          <w:szCs w:val="24"/>
        </w:rPr>
        <w:t>State Budget.</w:t>
      </w:r>
      <w:r w:rsidR="00080343" w:rsidRPr="00851105">
        <w:rPr>
          <w:rFonts w:ascii="Arial" w:hAnsi="Arial" w:cs="Arial"/>
          <w:szCs w:val="24"/>
        </w:rPr>
        <w:t xml:space="preserve"> The discount rates are representative of the yield of Commonwealth Treasury bond</w:t>
      </w:r>
      <w:r w:rsidR="00AF1AB3" w:rsidRPr="00851105">
        <w:rPr>
          <w:rFonts w:ascii="Arial" w:hAnsi="Arial" w:cs="Arial"/>
          <w:szCs w:val="24"/>
        </w:rPr>
        <w:t>s</w:t>
      </w:r>
      <w:r w:rsidR="00D717E3" w:rsidRPr="00851105">
        <w:rPr>
          <w:rFonts w:ascii="Arial" w:hAnsi="Arial" w:cs="Arial"/>
          <w:szCs w:val="24"/>
        </w:rPr>
        <w:t>,</w:t>
      </w:r>
      <w:r w:rsidR="00080343" w:rsidRPr="00851105">
        <w:rPr>
          <w:rFonts w:ascii="Arial" w:hAnsi="Arial" w:cs="Arial"/>
          <w:szCs w:val="24"/>
        </w:rPr>
        <w:t xml:space="preserve"> published by </w:t>
      </w:r>
      <w:r w:rsidR="00D717E3" w:rsidRPr="00851105">
        <w:rPr>
          <w:rFonts w:ascii="Arial" w:hAnsi="Arial" w:cs="Arial"/>
          <w:szCs w:val="24"/>
        </w:rPr>
        <w:t xml:space="preserve">the </w:t>
      </w:r>
      <w:r w:rsidR="00080343" w:rsidRPr="00851105">
        <w:rPr>
          <w:rFonts w:ascii="Arial" w:hAnsi="Arial" w:cs="Arial"/>
          <w:szCs w:val="24"/>
        </w:rPr>
        <w:t>Reserve Bank of Australia.</w:t>
      </w:r>
    </w:p>
    <w:p w:rsidR="000861A0" w:rsidRPr="00851105" w:rsidRDefault="00C31D1F" w:rsidP="00F50A56">
      <w:pPr>
        <w:rPr>
          <w:rFonts w:ascii="Arial" w:hAnsi="Arial" w:cs="Arial"/>
          <w:szCs w:val="24"/>
        </w:rPr>
      </w:pPr>
      <w:r>
        <w:rPr>
          <w:noProof/>
        </w:rPr>
        <w:drawing>
          <wp:inline distT="0" distB="0" distL="0" distR="0" wp14:anchorId="1172FE02" wp14:editId="038752DF">
            <wp:extent cx="5693434" cy="3631721"/>
            <wp:effectExtent l="0" t="0" r="254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68F9" w:rsidRPr="00851105" w:rsidRDefault="003968F9" w:rsidP="0024195A">
      <w:pPr>
        <w:pStyle w:val="Heading2"/>
      </w:pPr>
      <w:r w:rsidRPr="00851105">
        <w:lastRenderedPageBreak/>
        <w:t xml:space="preserve">Proposed amendments to the </w:t>
      </w:r>
      <w:r w:rsidRPr="00851105">
        <w:rPr>
          <w:i/>
        </w:rPr>
        <w:t>Financial Management Act 1994</w:t>
      </w:r>
      <w:r w:rsidRPr="00851105">
        <w:t xml:space="preserve"> and </w:t>
      </w:r>
      <w:r w:rsidRPr="00851105">
        <w:rPr>
          <w:i/>
        </w:rPr>
        <w:t>Constitution Act 1975</w:t>
      </w:r>
      <w:r w:rsidR="00D43969">
        <w:rPr>
          <w:i/>
        </w:rPr>
        <w:t xml:space="preserve"> </w:t>
      </w:r>
    </w:p>
    <w:p w:rsidR="006A14F6" w:rsidRPr="00851105" w:rsidRDefault="002B5AC9" w:rsidP="006A14F6">
      <w:pPr>
        <w:keepNext/>
        <w:keepLines/>
        <w:rPr>
          <w:rFonts w:ascii="Arial" w:hAnsi="Arial" w:cs="Arial"/>
          <w:szCs w:val="24"/>
        </w:rPr>
      </w:pPr>
      <w:r w:rsidRPr="00851105">
        <w:rPr>
          <w:rFonts w:ascii="Arial" w:hAnsi="Arial" w:cs="Arial"/>
          <w:szCs w:val="24"/>
        </w:rPr>
        <w:t xml:space="preserve">The </w:t>
      </w:r>
      <w:r w:rsidR="006A14F6" w:rsidRPr="00851105">
        <w:rPr>
          <w:rFonts w:ascii="Arial" w:hAnsi="Arial" w:cs="Arial"/>
          <w:szCs w:val="24"/>
        </w:rPr>
        <w:t xml:space="preserve">Financial Management and Constitution Acts Amendment Bill 2017 is currently before the Legislative Assembly. For information, a copy of the Bill can be accessed under </w:t>
      </w:r>
      <w:r w:rsidR="00454F40">
        <w:rPr>
          <w:rFonts w:ascii="Arial" w:hAnsi="Arial" w:cs="Arial"/>
          <w:szCs w:val="24"/>
        </w:rPr>
        <w:t>‘</w:t>
      </w:r>
      <w:r w:rsidR="006A14F6" w:rsidRPr="00851105">
        <w:rPr>
          <w:rFonts w:ascii="Arial" w:hAnsi="Arial" w:cs="Arial"/>
          <w:szCs w:val="24"/>
        </w:rPr>
        <w:t>Parliamentary Documents</w:t>
      </w:r>
      <w:r w:rsidR="00454F40">
        <w:rPr>
          <w:rFonts w:ascii="Arial" w:hAnsi="Arial" w:cs="Arial"/>
          <w:szCs w:val="24"/>
        </w:rPr>
        <w:t>’</w:t>
      </w:r>
      <w:r w:rsidR="006A14F6" w:rsidRPr="00851105">
        <w:rPr>
          <w:rFonts w:ascii="Arial" w:hAnsi="Arial" w:cs="Arial"/>
          <w:szCs w:val="24"/>
        </w:rPr>
        <w:t xml:space="preserve"> at </w:t>
      </w:r>
      <w:hyperlink r:id="rId20" w:history="1">
        <w:r w:rsidR="006A14F6" w:rsidRPr="00851105">
          <w:rPr>
            <w:rStyle w:val="Hyperlink"/>
            <w:rFonts w:ascii="Arial" w:hAnsi="Arial" w:cs="Arial"/>
            <w:szCs w:val="24"/>
          </w:rPr>
          <w:t>http://www.legislation.vic.gov.au</w:t>
        </w:r>
      </w:hyperlink>
      <w:r w:rsidR="006A14F6" w:rsidRPr="00851105">
        <w:rPr>
          <w:rFonts w:ascii="Arial" w:hAnsi="Arial" w:cs="Arial"/>
          <w:szCs w:val="24"/>
        </w:rPr>
        <w:t xml:space="preserve">. </w:t>
      </w:r>
    </w:p>
    <w:p w:rsidR="006A14F6" w:rsidRPr="00851105" w:rsidRDefault="006A14F6" w:rsidP="006A14F6">
      <w:pPr>
        <w:keepNext/>
        <w:keepLines/>
        <w:rPr>
          <w:rFonts w:ascii="Arial" w:hAnsi="Arial" w:cs="Arial"/>
          <w:szCs w:val="24"/>
        </w:rPr>
      </w:pPr>
      <w:r w:rsidRPr="00851105">
        <w:rPr>
          <w:rFonts w:ascii="Arial" w:hAnsi="Arial" w:cs="Arial"/>
          <w:szCs w:val="24"/>
        </w:rPr>
        <w:t xml:space="preserve">The Bill </w:t>
      </w:r>
      <w:r w:rsidR="00E7437F">
        <w:rPr>
          <w:rFonts w:ascii="Arial" w:hAnsi="Arial" w:cs="Arial"/>
          <w:szCs w:val="24"/>
        </w:rPr>
        <w:t xml:space="preserve">seeks to </w:t>
      </w:r>
      <w:r w:rsidRPr="00851105">
        <w:rPr>
          <w:rFonts w:ascii="Arial" w:hAnsi="Arial" w:cs="Arial"/>
          <w:szCs w:val="24"/>
        </w:rPr>
        <w:t>amend the Financial Management Act 1994 (FMA) to clarify the legislative basis for applying appropriations, to consolidate, clarify and simplify other provisions, and to strengthen accountability. Other changes include new and revised provisions relating to money received from other governments, establishing a working account for each department and providing appropriation authority for previously incurred, but unfunded, departmental liabilities.</w:t>
      </w:r>
    </w:p>
    <w:p w:rsidR="006A14F6" w:rsidRPr="00851105" w:rsidRDefault="006A14F6" w:rsidP="006A14F6">
      <w:pPr>
        <w:keepNext/>
        <w:keepLines/>
        <w:rPr>
          <w:rFonts w:ascii="Arial" w:hAnsi="Arial" w:cs="Arial"/>
          <w:szCs w:val="24"/>
        </w:rPr>
      </w:pPr>
      <w:r w:rsidRPr="00851105">
        <w:rPr>
          <w:rFonts w:ascii="Arial" w:hAnsi="Arial" w:cs="Arial"/>
          <w:szCs w:val="24"/>
        </w:rPr>
        <w:t>The Bill also</w:t>
      </w:r>
      <w:r w:rsidR="00E7437F">
        <w:rPr>
          <w:rFonts w:ascii="Arial" w:hAnsi="Arial" w:cs="Arial"/>
          <w:szCs w:val="24"/>
        </w:rPr>
        <w:t xml:space="preserve"> seeks to</w:t>
      </w:r>
      <w:r w:rsidRPr="00851105">
        <w:rPr>
          <w:rFonts w:ascii="Arial" w:hAnsi="Arial" w:cs="Arial"/>
          <w:szCs w:val="24"/>
        </w:rPr>
        <w:t xml:space="preserve"> amend Part V of the Constitution Act 1975 to modernise it as the basis for the structure of Victorian public finances.</w:t>
      </w:r>
    </w:p>
    <w:p w:rsidR="006A14F6" w:rsidRPr="00851105" w:rsidRDefault="00E7437F" w:rsidP="006A14F6">
      <w:pPr>
        <w:keepNext/>
        <w:keepLines/>
        <w:rPr>
          <w:rFonts w:ascii="Arial" w:hAnsi="Arial" w:cs="Arial"/>
          <w:szCs w:val="24"/>
        </w:rPr>
      </w:pPr>
      <w:r>
        <w:rPr>
          <w:rFonts w:ascii="Arial" w:hAnsi="Arial" w:cs="Arial"/>
          <w:szCs w:val="24"/>
        </w:rPr>
        <w:t xml:space="preserve">Subject to approval of proposed House </w:t>
      </w:r>
      <w:r w:rsidR="00F07F41">
        <w:rPr>
          <w:rFonts w:ascii="Arial" w:hAnsi="Arial" w:cs="Arial"/>
          <w:szCs w:val="24"/>
        </w:rPr>
        <w:t>amendments</w:t>
      </w:r>
      <w:r>
        <w:rPr>
          <w:rFonts w:ascii="Arial" w:hAnsi="Arial" w:cs="Arial"/>
          <w:szCs w:val="24"/>
        </w:rPr>
        <w:t xml:space="preserve">, the Bill will take effect from 1 July 2020 </w:t>
      </w:r>
      <w:r w:rsidR="00ED72AC">
        <w:rPr>
          <w:rFonts w:ascii="Arial" w:hAnsi="Arial" w:cs="Arial"/>
          <w:szCs w:val="24"/>
        </w:rPr>
        <w:t xml:space="preserve">although some </w:t>
      </w:r>
      <w:r w:rsidR="00991C6F" w:rsidRPr="00851105">
        <w:rPr>
          <w:rFonts w:ascii="Arial" w:hAnsi="Arial" w:cs="Arial"/>
          <w:szCs w:val="24"/>
        </w:rPr>
        <w:t>amendments will</w:t>
      </w:r>
      <w:r w:rsidR="00ED72AC">
        <w:rPr>
          <w:rFonts w:ascii="Arial" w:hAnsi="Arial" w:cs="Arial"/>
          <w:szCs w:val="24"/>
        </w:rPr>
        <w:t xml:space="preserve"> </w:t>
      </w:r>
      <w:r w:rsidR="006A14F6" w:rsidRPr="00851105">
        <w:rPr>
          <w:rFonts w:ascii="Arial" w:hAnsi="Arial" w:cs="Arial"/>
          <w:szCs w:val="24"/>
        </w:rPr>
        <w:t>come into effect beginning 1 July 201</w:t>
      </w:r>
      <w:r w:rsidR="000E7565">
        <w:rPr>
          <w:rFonts w:ascii="Arial" w:hAnsi="Arial" w:cs="Arial"/>
          <w:szCs w:val="24"/>
        </w:rPr>
        <w:t>9</w:t>
      </w:r>
      <w:r w:rsidR="006A14F6" w:rsidRPr="00851105">
        <w:rPr>
          <w:rFonts w:ascii="Arial" w:hAnsi="Arial" w:cs="Arial"/>
          <w:szCs w:val="24"/>
        </w:rPr>
        <w:t xml:space="preserve">. </w:t>
      </w:r>
    </w:p>
    <w:p w:rsidR="00F07F41" w:rsidRPr="00851105" w:rsidRDefault="006A14F6" w:rsidP="002B5AC9">
      <w:pPr>
        <w:keepNext/>
        <w:keepLines/>
        <w:rPr>
          <w:rFonts w:ascii="Arial" w:hAnsi="Arial" w:cs="Arial"/>
          <w:szCs w:val="24"/>
        </w:rPr>
      </w:pPr>
      <w:r w:rsidRPr="00851105">
        <w:rPr>
          <w:rFonts w:ascii="Arial" w:hAnsi="Arial" w:cs="Arial"/>
          <w:szCs w:val="24"/>
        </w:rPr>
        <w:t xml:space="preserve">Changes to subordinate legislation, policies and guidance issued by DTF will be required. Development work has commenced and will continue during the Bill’s passage through Parliament. Departments will be </w:t>
      </w:r>
      <w:r w:rsidR="00991C6F" w:rsidRPr="00851105">
        <w:rPr>
          <w:rFonts w:ascii="Arial" w:hAnsi="Arial" w:cs="Arial"/>
          <w:szCs w:val="24"/>
        </w:rPr>
        <w:t xml:space="preserve">contacted </w:t>
      </w:r>
      <w:r w:rsidR="00991C6F">
        <w:rPr>
          <w:rFonts w:ascii="Arial" w:hAnsi="Arial" w:cs="Arial"/>
          <w:szCs w:val="24"/>
        </w:rPr>
        <w:t>when</w:t>
      </w:r>
      <w:r w:rsidR="00430B35">
        <w:rPr>
          <w:rFonts w:ascii="Arial" w:hAnsi="Arial" w:cs="Arial"/>
          <w:szCs w:val="24"/>
        </w:rPr>
        <w:t xml:space="preserve"> the </w:t>
      </w:r>
      <w:r w:rsidR="00ED72AC">
        <w:rPr>
          <w:rFonts w:ascii="Arial" w:hAnsi="Arial" w:cs="Arial"/>
          <w:szCs w:val="24"/>
        </w:rPr>
        <w:t>debate resumes on the Bill</w:t>
      </w:r>
      <w:r w:rsidRPr="00851105">
        <w:rPr>
          <w:rFonts w:ascii="Arial" w:hAnsi="Arial" w:cs="Arial"/>
          <w:szCs w:val="24"/>
        </w:rPr>
        <w:t xml:space="preserve"> regarding their participation in this program</w:t>
      </w:r>
      <w:r w:rsidR="002B5AC9" w:rsidRPr="00851105">
        <w:rPr>
          <w:rFonts w:ascii="Arial" w:hAnsi="Arial" w:cs="Arial"/>
          <w:szCs w:val="24"/>
        </w:rPr>
        <w:t>.</w:t>
      </w:r>
    </w:p>
    <w:p w:rsidR="002921DB" w:rsidRPr="009927E3" w:rsidRDefault="00BC08E2" w:rsidP="002921DB">
      <w:pPr>
        <w:pStyle w:val="Heading2"/>
        <w:rPr>
          <w:color w:val="000000" w:themeColor="text1"/>
          <w:sz w:val="22"/>
        </w:rPr>
      </w:pPr>
      <w:r w:rsidRPr="00851105">
        <w:t>Key financial publication dates for the State of Victoria in 2017</w:t>
      </w:r>
      <w:r w:rsidR="00314CE6" w:rsidRPr="00851105">
        <w:noBreakHyphen/>
      </w:r>
      <w:r w:rsidRPr="00851105">
        <w:t xml:space="preserve">18 </w:t>
      </w:r>
    </w:p>
    <w:p w:rsidR="00BC08E2" w:rsidRPr="00851105" w:rsidRDefault="00BC08E2" w:rsidP="00BC08E2">
      <w:pPr>
        <w:spacing w:before="120"/>
      </w:pPr>
      <w:r w:rsidRPr="00851105">
        <w:t>The following table shows the indicative key publication tabling dates for some of the State’s upcoming financial publications.</w:t>
      </w:r>
    </w:p>
    <w:tbl>
      <w:tblPr>
        <w:tblStyle w:val="DTFtexttable"/>
        <w:tblW w:w="9118" w:type="dxa"/>
        <w:tblLook w:val="04A0" w:firstRow="1" w:lastRow="0" w:firstColumn="1" w:lastColumn="0" w:noHBand="0" w:noVBand="1"/>
      </w:tblPr>
      <w:tblGrid>
        <w:gridCol w:w="1227"/>
        <w:gridCol w:w="2790"/>
        <w:gridCol w:w="5101"/>
      </w:tblGrid>
      <w:tr w:rsidR="00BC08E2" w:rsidRPr="00851105" w:rsidTr="00C209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7" w:type="dxa"/>
          </w:tcPr>
          <w:p w:rsidR="00BC08E2" w:rsidRPr="00851105" w:rsidRDefault="00BC08E2" w:rsidP="00314CE6">
            <w:pPr>
              <w:pStyle w:val="Tableheader"/>
            </w:pPr>
            <w:r w:rsidRPr="00851105">
              <w:t>Reporting year</w:t>
            </w:r>
          </w:p>
        </w:tc>
        <w:tc>
          <w:tcPr>
            <w:tcW w:w="2790" w:type="dxa"/>
          </w:tcPr>
          <w:p w:rsidR="00BC08E2" w:rsidRPr="00851105" w:rsidRDefault="00BC08E2" w:rsidP="00314CE6">
            <w:pPr>
              <w:pStyle w:val="Tableheader"/>
              <w:cnfStyle w:val="100000000000" w:firstRow="1" w:lastRow="0" w:firstColumn="0" w:lastColumn="0" w:oddVBand="0" w:evenVBand="0" w:oddHBand="0" w:evenHBand="0" w:firstRowFirstColumn="0" w:firstRowLastColumn="0" w:lastRowFirstColumn="0" w:lastRowLastColumn="0"/>
            </w:pPr>
            <w:r w:rsidRPr="00851105">
              <w:t>Publication</w:t>
            </w:r>
          </w:p>
        </w:tc>
        <w:tc>
          <w:tcPr>
            <w:tcW w:w="5101" w:type="dxa"/>
          </w:tcPr>
          <w:p w:rsidR="00BC08E2" w:rsidRPr="00851105" w:rsidRDefault="00BC08E2" w:rsidP="00314CE6">
            <w:pPr>
              <w:pStyle w:val="Tableheader"/>
              <w:cnfStyle w:val="100000000000" w:firstRow="1" w:lastRow="0" w:firstColumn="0" w:lastColumn="0" w:oddVBand="0" w:evenVBand="0" w:oddHBand="0" w:evenHBand="0" w:firstRowFirstColumn="0" w:firstRowLastColumn="0" w:lastRowFirstColumn="0" w:lastRowLastColumn="0"/>
            </w:pPr>
            <w:r w:rsidRPr="00851105">
              <w:t xml:space="preserve">Anticipated release dates – </w:t>
            </w:r>
            <w:r w:rsidRPr="00851105">
              <w:br/>
              <w:t>actual dates to be confirmed</w:t>
            </w:r>
          </w:p>
        </w:tc>
      </w:tr>
      <w:tr w:rsidR="00BC08E2" w:rsidRPr="00851105" w:rsidTr="00C209B8">
        <w:tc>
          <w:tcPr>
            <w:cnfStyle w:val="001000000000" w:firstRow="0" w:lastRow="0" w:firstColumn="1" w:lastColumn="0" w:oddVBand="0" w:evenVBand="0" w:oddHBand="0" w:evenHBand="0" w:firstRowFirstColumn="0" w:firstRowLastColumn="0" w:lastRowFirstColumn="0" w:lastRowLastColumn="0"/>
            <w:tcW w:w="1227" w:type="dxa"/>
          </w:tcPr>
          <w:p w:rsidR="00BC08E2" w:rsidRPr="00851105" w:rsidRDefault="00BC08E2" w:rsidP="00314CE6">
            <w:pPr>
              <w:pStyle w:val="Tabletext"/>
              <w:spacing w:before="40" w:after="40"/>
            </w:pPr>
            <w:r w:rsidRPr="00851105">
              <w:t>2017</w:t>
            </w:r>
            <w:r w:rsidR="00314CE6" w:rsidRPr="00851105">
              <w:noBreakHyphen/>
            </w:r>
            <w:r w:rsidRPr="00851105">
              <w:t>18</w:t>
            </w:r>
          </w:p>
        </w:tc>
        <w:tc>
          <w:tcPr>
            <w:tcW w:w="2790" w:type="dxa"/>
          </w:tcPr>
          <w:p w:rsidR="00BC08E2" w:rsidRPr="00851105" w:rsidRDefault="00BC08E2" w:rsidP="00314CE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851105">
              <w:t>The State’s Financial Report</w:t>
            </w:r>
          </w:p>
        </w:tc>
        <w:tc>
          <w:tcPr>
            <w:tcW w:w="5101" w:type="dxa"/>
            <w:shd w:val="clear" w:color="auto" w:fill="auto"/>
          </w:tcPr>
          <w:p w:rsidR="00BC08E2" w:rsidRPr="00851105" w:rsidRDefault="00B829C6" w:rsidP="00DB12A3">
            <w:pPr>
              <w:pStyle w:val="Tabletext"/>
              <w:spacing w:before="40" w:after="40"/>
              <w:cnfStyle w:val="000000000000" w:firstRow="0" w:lastRow="0" w:firstColumn="0" w:lastColumn="0" w:oddVBand="0" w:evenVBand="0" w:oddHBand="0" w:evenHBand="0" w:firstRowFirstColumn="0" w:firstRowLastColumn="0" w:lastRowFirstColumn="0" w:lastRowLastColumn="0"/>
            </w:pPr>
            <w:r w:rsidRPr="00851105">
              <w:t xml:space="preserve">Legislated due date: </w:t>
            </w:r>
            <w:r w:rsidR="00BC08E2" w:rsidRPr="00851105">
              <w:t>15 October 2018.</w:t>
            </w:r>
            <w:r w:rsidR="007C2F36" w:rsidRPr="00851105">
              <w:t xml:space="preserve"> </w:t>
            </w:r>
          </w:p>
        </w:tc>
      </w:tr>
      <w:tr w:rsidR="00BC08E2" w:rsidRPr="00851105" w:rsidTr="00C20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rsidR="00BC08E2" w:rsidRPr="00851105" w:rsidRDefault="00BC08E2" w:rsidP="00314CE6">
            <w:pPr>
              <w:pStyle w:val="Tabletext"/>
              <w:spacing w:before="40" w:after="40"/>
            </w:pPr>
            <w:r w:rsidRPr="00851105">
              <w:t>2017</w:t>
            </w:r>
            <w:r w:rsidR="00314CE6" w:rsidRPr="00851105">
              <w:noBreakHyphen/>
            </w:r>
            <w:r w:rsidRPr="00851105">
              <w:t>18</w:t>
            </w:r>
          </w:p>
        </w:tc>
        <w:tc>
          <w:tcPr>
            <w:tcW w:w="2790" w:type="dxa"/>
            <w:shd w:val="clear" w:color="auto" w:fill="auto"/>
          </w:tcPr>
          <w:p w:rsidR="00BC08E2" w:rsidRPr="00851105" w:rsidRDefault="00BC08E2" w:rsidP="00314CE6">
            <w:pPr>
              <w:pStyle w:val="Tabletext"/>
              <w:spacing w:before="40" w:after="40"/>
              <w:cnfStyle w:val="000000010000" w:firstRow="0" w:lastRow="0" w:firstColumn="0" w:lastColumn="0" w:oddVBand="0" w:evenVBand="0" w:oddHBand="0" w:evenHBand="1" w:firstRowFirstColumn="0" w:firstRowLastColumn="0" w:lastRowFirstColumn="0" w:lastRowLastColumn="0"/>
            </w:pPr>
            <w:r w:rsidRPr="00851105">
              <w:t>Department and entity reporting</w:t>
            </w:r>
            <w:r w:rsidR="00946F81" w:rsidRPr="00851105">
              <w:t>*</w:t>
            </w:r>
          </w:p>
        </w:tc>
        <w:tc>
          <w:tcPr>
            <w:tcW w:w="5101" w:type="dxa"/>
            <w:shd w:val="clear" w:color="auto" w:fill="auto"/>
          </w:tcPr>
          <w:p w:rsidR="00BC08E2" w:rsidRPr="00851105" w:rsidRDefault="00B829C6" w:rsidP="004E0820">
            <w:pPr>
              <w:pStyle w:val="Tabletext"/>
              <w:spacing w:before="40" w:after="40"/>
              <w:cnfStyle w:val="000000010000" w:firstRow="0" w:lastRow="0" w:firstColumn="0" w:lastColumn="0" w:oddVBand="0" w:evenVBand="0" w:oddHBand="0" w:evenHBand="1" w:firstRowFirstColumn="0" w:firstRowLastColumn="0" w:lastRowFirstColumn="0" w:lastRowLastColumn="0"/>
            </w:pPr>
            <w:r w:rsidRPr="00851105">
              <w:t xml:space="preserve">Legislated due date: </w:t>
            </w:r>
            <w:r w:rsidR="00BC08E2" w:rsidRPr="00851105">
              <w:t xml:space="preserve">15 October 2018. </w:t>
            </w:r>
            <w:r w:rsidR="004E0820">
              <w:t xml:space="preserve">Premier’s expectation is that departments and material portfolio </w:t>
            </w:r>
            <w:r w:rsidR="00B33794">
              <w:t xml:space="preserve">entities table </w:t>
            </w:r>
            <w:r w:rsidR="00740420">
              <w:t xml:space="preserve">their </w:t>
            </w:r>
            <w:r w:rsidR="00B33794">
              <w:t>annual reports by 20 September</w:t>
            </w:r>
            <w:r w:rsidR="003E7AFA" w:rsidRPr="003E7AFA">
              <w:rPr>
                <w:sz w:val="22"/>
                <w:szCs w:val="22"/>
                <w:vertAlign w:val="superscript"/>
              </w:rPr>
              <w:sym w:font="Wingdings 2" w:char="F085"/>
            </w:r>
            <w:r w:rsidR="00B33794">
              <w:t>. All other e</w:t>
            </w:r>
            <w:r w:rsidR="00BC08E2" w:rsidRPr="00851105">
              <w:t>ntities are encouraged to table their annual reports prior to the legislated due date.</w:t>
            </w:r>
          </w:p>
        </w:tc>
      </w:tr>
      <w:tr w:rsidR="00F703FC" w:rsidRPr="00851105" w:rsidTr="00C209B8">
        <w:tc>
          <w:tcPr>
            <w:cnfStyle w:val="001000000000" w:firstRow="0" w:lastRow="0" w:firstColumn="1" w:lastColumn="0" w:oddVBand="0" w:evenVBand="0" w:oddHBand="0" w:evenHBand="0" w:firstRowFirstColumn="0" w:firstRowLastColumn="0" w:lastRowFirstColumn="0" w:lastRowLastColumn="0"/>
            <w:tcW w:w="1227" w:type="dxa"/>
          </w:tcPr>
          <w:p w:rsidR="00F703FC" w:rsidRDefault="009927E3" w:rsidP="009927E3">
            <w:pPr>
              <w:pStyle w:val="Tabletext"/>
              <w:spacing w:before="40" w:after="40"/>
            </w:pPr>
            <w:r>
              <w:t>2018</w:t>
            </w:r>
            <w:r w:rsidR="00F703FC">
              <w:t>-</w:t>
            </w:r>
            <w:r>
              <w:t>19</w:t>
            </w:r>
          </w:p>
        </w:tc>
        <w:tc>
          <w:tcPr>
            <w:tcW w:w="2790" w:type="dxa"/>
          </w:tcPr>
          <w:p w:rsidR="00F703FC" w:rsidRDefault="00F703FC" w:rsidP="00914DA4">
            <w:pPr>
              <w:pStyle w:val="Tabletext"/>
              <w:spacing w:before="40" w:after="40"/>
              <w:cnfStyle w:val="000000000000" w:firstRow="0" w:lastRow="0" w:firstColumn="0" w:lastColumn="0" w:oddVBand="0" w:evenVBand="0" w:oddHBand="0" w:evenHBand="0" w:firstRowFirstColumn="0" w:firstRowLastColumn="0" w:lastRowFirstColumn="0" w:lastRowLastColumn="0"/>
            </w:pPr>
            <w:r>
              <w:t>V</w:t>
            </w:r>
            <w:r w:rsidR="00B33794">
              <w:t xml:space="preserve">ictorian </w:t>
            </w:r>
            <w:r w:rsidR="00914DA4">
              <w:t xml:space="preserve">Economic </w:t>
            </w:r>
            <w:r w:rsidR="00B33794">
              <w:t xml:space="preserve">and </w:t>
            </w:r>
            <w:r>
              <w:t>F</w:t>
            </w:r>
            <w:r w:rsidR="00B33794">
              <w:t xml:space="preserve">iscal </w:t>
            </w:r>
            <w:r>
              <w:t>U</w:t>
            </w:r>
            <w:r w:rsidR="00B33794">
              <w:t>pdate</w:t>
            </w:r>
          </w:p>
        </w:tc>
        <w:tc>
          <w:tcPr>
            <w:tcW w:w="5101" w:type="dxa"/>
          </w:tcPr>
          <w:p w:rsidR="00F703FC" w:rsidRDefault="009927E3" w:rsidP="00C426B0">
            <w:pPr>
              <w:pStyle w:val="Tabletext"/>
              <w:spacing w:before="40" w:after="40"/>
              <w:cnfStyle w:val="000000000000" w:firstRow="0" w:lastRow="0" w:firstColumn="0" w:lastColumn="0" w:oddVBand="0" w:evenVBand="0" w:oddHBand="0" w:evenHBand="0" w:firstRowFirstColumn="0" w:firstRowLastColumn="0" w:lastRowFirstColumn="0" w:lastRowLastColumn="0"/>
            </w:pPr>
            <w:r>
              <w:t>E</w:t>
            </w:r>
            <w:r w:rsidR="00E3381F">
              <w:t>xpected to be released prior to P</w:t>
            </w:r>
            <w:r w:rsidR="00C426B0">
              <w:t>re</w:t>
            </w:r>
            <w:r w:rsidR="00C426B0">
              <w:noBreakHyphen/>
              <w:t>election update</w:t>
            </w:r>
          </w:p>
        </w:tc>
      </w:tr>
      <w:tr w:rsidR="000C74BB" w:rsidRPr="00851105" w:rsidTr="00C20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rsidR="000C74BB" w:rsidRPr="00851105" w:rsidRDefault="009927E3" w:rsidP="009927E3">
            <w:pPr>
              <w:pStyle w:val="Tabletext"/>
              <w:spacing w:before="40" w:after="40"/>
            </w:pPr>
            <w:r w:rsidRPr="00851105">
              <w:t>201</w:t>
            </w:r>
            <w:r>
              <w:t>8</w:t>
            </w:r>
            <w:r w:rsidR="000C74BB" w:rsidRPr="00851105">
              <w:noBreakHyphen/>
            </w:r>
            <w:r w:rsidRPr="00851105">
              <w:t>1</w:t>
            </w:r>
            <w:r>
              <w:t>9</w:t>
            </w:r>
            <w:r w:rsidRPr="00851105">
              <w:t xml:space="preserve"> </w:t>
            </w:r>
          </w:p>
        </w:tc>
        <w:tc>
          <w:tcPr>
            <w:tcW w:w="2790" w:type="dxa"/>
          </w:tcPr>
          <w:p w:rsidR="000C74BB" w:rsidRPr="00851105" w:rsidRDefault="000C74BB" w:rsidP="000C74BB">
            <w:pPr>
              <w:pStyle w:val="Tabletext"/>
              <w:spacing w:before="40" w:after="40"/>
              <w:cnfStyle w:val="000000010000" w:firstRow="0" w:lastRow="0" w:firstColumn="0" w:lastColumn="0" w:oddVBand="0" w:evenVBand="0" w:oddHBand="0" w:evenHBand="1" w:firstRowFirstColumn="0" w:firstRowLastColumn="0" w:lastRowFirstColumn="0" w:lastRowLastColumn="0"/>
            </w:pPr>
            <w:r w:rsidRPr="00851105">
              <w:t>Pre</w:t>
            </w:r>
            <w:r w:rsidRPr="00851105">
              <w:noBreakHyphen/>
              <w:t>election budget update</w:t>
            </w:r>
          </w:p>
        </w:tc>
        <w:tc>
          <w:tcPr>
            <w:tcW w:w="5101" w:type="dxa"/>
          </w:tcPr>
          <w:p w:rsidR="000C74BB" w:rsidRPr="00851105" w:rsidRDefault="000C74BB" w:rsidP="000C74BB">
            <w:pPr>
              <w:pStyle w:val="Tabletext"/>
              <w:spacing w:before="40" w:after="40"/>
              <w:cnfStyle w:val="000000010000" w:firstRow="0" w:lastRow="0" w:firstColumn="0" w:lastColumn="0" w:oddVBand="0" w:evenVBand="0" w:oddHBand="0" w:evenHBand="1" w:firstRowFirstColumn="0" w:firstRowLastColumn="0" w:lastRowFirstColumn="0" w:lastRowLastColumn="0"/>
            </w:pPr>
            <w:r w:rsidRPr="00851105">
              <w:t xml:space="preserve">Anticipated due date: 9 November 2018. </w:t>
            </w:r>
          </w:p>
        </w:tc>
      </w:tr>
      <w:tr w:rsidR="009D25E3" w:rsidRPr="00851105" w:rsidTr="00C209B8">
        <w:tc>
          <w:tcPr>
            <w:cnfStyle w:val="001000000000" w:firstRow="0" w:lastRow="0" w:firstColumn="1" w:lastColumn="0" w:oddVBand="0" w:evenVBand="0" w:oddHBand="0" w:evenHBand="0" w:firstRowFirstColumn="0" w:firstRowLastColumn="0" w:lastRowFirstColumn="0" w:lastRowLastColumn="0"/>
            <w:tcW w:w="1227" w:type="dxa"/>
          </w:tcPr>
          <w:p w:rsidR="009D25E3" w:rsidRPr="00851105" w:rsidRDefault="009D25E3" w:rsidP="00314CE6">
            <w:pPr>
              <w:pStyle w:val="Tabletext"/>
              <w:spacing w:before="40" w:after="40"/>
            </w:pPr>
            <w:r>
              <w:t>2018-19</w:t>
            </w:r>
          </w:p>
        </w:tc>
        <w:tc>
          <w:tcPr>
            <w:tcW w:w="2790" w:type="dxa"/>
          </w:tcPr>
          <w:p w:rsidR="009D25E3" w:rsidRPr="00851105" w:rsidRDefault="009D25E3" w:rsidP="00314CE6">
            <w:pPr>
              <w:pStyle w:val="Tabletext"/>
              <w:spacing w:before="40" w:after="40"/>
              <w:cnfStyle w:val="000000000000" w:firstRow="0" w:lastRow="0" w:firstColumn="0" w:lastColumn="0" w:oddVBand="0" w:evenVBand="0" w:oddHBand="0" w:evenHBand="0" w:firstRowFirstColumn="0" w:firstRowLastColumn="0" w:lastRowFirstColumn="0" w:lastRowLastColumn="0"/>
            </w:pPr>
            <w:r>
              <w:t xml:space="preserve">September Quarterly Financial Report </w:t>
            </w:r>
          </w:p>
        </w:tc>
        <w:tc>
          <w:tcPr>
            <w:tcW w:w="5101" w:type="dxa"/>
          </w:tcPr>
          <w:p w:rsidR="009D25E3" w:rsidRPr="00851105" w:rsidRDefault="009D25E3" w:rsidP="003774C5">
            <w:pPr>
              <w:pStyle w:val="Tabletext"/>
              <w:spacing w:before="40" w:after="40"/>
              <w:cnfStyle w:val="000000000000" w:firstRow="0" w:lastRow="0" w:firstColumn="0" w:lastColumn="0" w:oddVBand="0" w:evenVBand="0" w:oddHBand="0" w:evenHBand="0" w:firstRowFirstColumn="0" w:firstRowLastColumn="0" w:lastRowFirstColumn="0" w:lastRowLastColumn="0"/>
            </w:pPr>
            <w:r>
              <w:t xml:space="preserve">Legislative due date: </w:t>
            </w:r>
            <w:r w:rsidR="00D92740">
              <w:t>15 November 2018</w:t>
            </w:r>
          </w:p>
        </w:tc>
      </w:tr>
      <w:tr w:rsidR="009D25E3" w:rsidRPr="00851105" w:rsidTr="00C20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rsidR="009D25E3" w:rsidRDefault="009D25E3" w:rsidP="00314CE6">
            <w:pPr>
              <w:pStyle w:val="Tabletext"/>
              <w:spacing w:before="40" w:after="40"/>
            </w:pPr>
            <w:r>
              <w:t>2018-19</w:t>
            </w:r>
          </w:p>
        </w:tc>
        <w:tc>
          <w:tcPr>
            <w:tcW w:w="2790" w:type="dxa"/>
          </w:tcPr>
          <w:p w:rsidR="009D25E3" w:rsidRDefault="009D25E3" w:rsidP="00314CE6">
            <w:pPr>
              <w:pStyle w:val="Tabletext"/>
              <w:spacing w:before="40" w:after="40"/>
              <w:cnfStyle w:val="000000010000" w:firstRow="0" w:lastRow="0" w:firstColumn="0" w:lastColumn="0" w:oddVBand="0" w:evenVBand="0" w:oddHBand="0" w:evenHBand="1" w:firstRowFirstColumn="0" w:firstRowLastColumn="0" w:lastRowFirstColumn="0" w:lastRowLastColumn="0"/>
            </w:pPr>
            <w:r>
              <w:t>Budget Update</w:t>
            </w:r>
          </w:p>
        </w:tc>
        <w:tc>
          <w:tcPr>
            <w:tcW w:w="5101" w:type="dxa"/>
          </w:tcPr>
          <w:p w:rsidR="009D25E3" w:rsidRDefault="009D25E3" w:rsidP="00D92740">
            <w:pPr>
              <w:pStyle w:val="Tabletext"/>
              <w:spacing w:before="40" w:after="40"/>
              <w:cnfStyle w:val="000000010000" w:firstRow="0" w:lastRow="0" w:firstColumn="0" w:lastColumn="0" w:oddVBand="0" w:evenVBand="0" w:oddHBand="0" w:evenHBand="1" w:firstRowFirstColumn="0" w:firstRowLastColumn="0" w:lastRowFirstColumn="0" w:lastRowLastColumn="0"/>
            </w:pPr>
            <w:r>
              <w:t>Legislative due date:</w:t>
            </w:r>
            <w:r w:rsidR="00D92740">
              <w:t xml:space="preserve"> </w:t>
            </w:r>
            <w:r w:rsidR="00D92740" w:rsidRPr="00D92740">
              <w:t xml:space="preserve">15 </w:t>
            </w:r>
            <w:r w:rsidR="00D92740">
              <w:t>Dec</w:t>
            </w:r>
            <w:r w:rsidR="00D92740" w:rsidRPr="00D92740">
              <w:t>ember 2018</w:t>
            </w:r>
          </w:p>
        </w:tc>
      </w:tr>
      <w:tr w:rsidR="009D25E3" w:rsidRPr="00851105" w:rsidTr="00C209B8">
        <w:tc>
          <w:tcPr>
            <w:cnfStyle w:val="001000000000" w:firstRow="0" w:lastRow="0" w:firstColumn="1" w:lastColumn="0" w:oddVBand="0" w:evenVBand="0" w:oddHBand="0" w:evenHBand="0" w:firstRowFirstColumn="0" w:firstRowLastColumn="0" w:lastRowFirstColumn="0" w:lastRowLastColumn="0"/>
            <w:tcW w:w="1227" w:type="dxa"/>
          </w:tcPr>
          <w:p w:rsidR="009D25E3" w:rsidRDefault="009D25E3" w:rsidP="00314CE6">
            <w:pPr>
              <w:pStyle w:val="Tabletext"/>
              <w:spacing w:before="40" w:after="40"/>
            </w:pPr>
            <w:r>
              <w:t>2018-19</w:t>
            </w:r>
          </w:p>
        </w:tc>
        <w:tc>
          <w:tcPr>
            <w:tcW w:w="2790" w:type="dxa"/>
          </w:tcPr>
          <w:p w:rsidR="009D25E3" w:rsidRDefault="009D25E3" w:rsidP="00314CE6">
            <w:pPr>
              <w:pStyle w:val="Tabletext"/>
              <w:spacing w:before="40" w:after="40"/>
              <w:cnfStyle w:val="000000000000" w:firstRow="0" w:lastRow="0" w:firstColumn="0" w:lastColumn="0" w:oddVBand="0" w:evenVBand="0" w:oddHBand="0" w:evenHBand="0" w:firstRowFirstColumn="0" w:firstRowLastColumn="0" w:lastRowFirstColumn="0" w:lastRowLastColumn="0"/>
            </w:pPr>
            <w:r>
              <w:t xml:space="preserve">Mid-Year Financial Report </w:t>
            </w:r>
          </w:p>
        </w:tc>
        <w:tc>
          <w:tcPr>
            <w:tcW w:w="5101" w:type="dxa"/>
          </w:tcPr>
          <w:p w:rsidR="009D25E3" w:rsidRDefault="009D25E3" w:rsidP="00D92740">
            <w:pPr>
              <w:pStyle w:val="Tabletext"/>
              <w:spacing w:before="40" w:after="40"/>
              <w:cnfStyle w:val="000000000000" w:firstRow="0" w:lastRow="0" w:firstColumn="0" w:lastColumn="0" w:oddVBand="0" w:evenVBand="0" w:oddHBand="0" w:evenHBand="0" w:firstRowFirstColumn="0" w:firstRowLastColumn="0" w:lastRowFirstColumn="0" w:lastRowLastColumn="0"/>
            </w:pPr>
            <w:r>
              <w:t>Legislative due date:</w:t>
            </w:r>
            <w:r w:rsidR="00D92740">
              <w:t xml:space="preserve"> 15 March 2019</w:t>
            </w:r>
          </w:p>
        </w:tc>
      </w:tr>
      <w:tr w:rsidR="009D25E3" w:rsidRPr="00851105" w:rsidTr="00C20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rsidR="009D25E3" w:rsidRDefault="009D25E3" w:rsidP="00314CE6">
            <w:pPr>
              <w:pStyle w:val="Tabletext"/>
              <w:spacing w:before="40" w:after="40"/>
            </w:pPr>
            <w:r>
              <w:t xml:space="preserve">2019-20 </w:t>
            </w:r>
          </w:p>
        </w:tc>
        <w:tc>
          <w:tcPr>
            <w:tcW w:w="2790" w:type="dxa"/>
          </w:tcPr>
          <w:p w:rsidR="009D25E3" w:rsidRDefault="009D25E3" w:rsidP="00314CE6">
            <w:pPr>
              <w:pStyle w:val="Tabletext"/>
              <w:spacing w:before="40" w:after="40"/>
              <w:cnfStyle w:val="000000010000" w:firstRow="0" w:lastRow="0" w:firstColumn="0" w:lastColumn="0" w:oddVBand="0" w:evenVBand="0" w:oddHBand="0" w:evenHBand="1" w:firstRowFirstColumn="0" w:firstRowLastColumn="0" w:lastRowFirstColumn="0" w:lastRowLastColumn="0"/>
            </w:pPr>
            <w:r>
              <w:t xml:space="preserve">Budget Papers </w:t>
            </w:r>
          </w:p>
        </w:tc>
        <w:tc>
          <w:tcPr>
            <w:tcW w:w="5101" w:type="dxa"/>
          </w:tcPr>
          <w:p w:rsidR="009D25E3" w:rsidRDefault="009D25E3" w:rsidP="003774C5">
            <w:pPr>
              <w:pStyle w:val="Tabletext"/>
              <w:spacing w:before="40" w:after="40"/>
              <w:cnfStyle w:val="000000010000" w:firstRow="0" w:lastRow="0" w:firstColumn="0" w:lastColumn="0" w:oddVBand="0" w:evenVBand="0" w:oddHBand="0" w:evenHBand="1" w:firstRowFirstColumn="0" w:firstRowLastColumn="0" w:lastRowFirstColumn="0" w:lastRowLastColumn="0"/>
            </w:pPr>
            <w:r>
              <w:t>Anticipated date:</w:t>
            </w:r>
            <w:r w:rsidR="00D92740">
              <w:t>7 May 2019</w:t>
            </w:r>
          </w:p>
        </w:tc>
      </w:tr>
      <w:tr w:rsidR="009D25E3" w:rsidRPr="00851105" w:rsidTr="00C209B8">
        <w:tc>
          <w:tcPr>
            <w:cnfStyle w:val="001000000000" w:firstRow="0" w:lastRow="0" w:firstColumn="1" w:lastColumn="0" w:oddVBand="0" w:evenVBand="0" w:oddHBand="0" w:evenHBand="0" w:firstRowFirstColumn="0" w:firstRowLastColumn="0" w:lastRowFirstColumn="0" w:lastRowLastColumn="0"/>
            <w:tcW w:w="1227" w:type="dxa"/>
          </w:tcPr>
          <w:p w:rsidR="009D25E3" w:rsidRDefault="009D25E3" w:rsidP="00314CE6">
            <w:pPr>
              <w:pStyle w:val="Tabletext"/>
              <w:spacing w:before="40" w:after="40"/>
            </w:pPr>
            <w:r>
              <w:t>2018-19</w:t>
            </w:r>
          </w:p>
        </w:tc>
        <w:tc>
          <w:tcPr>
            <w:tcW w:w="2790" w:type="dxa"/>
          </w:tcPr>
          <w:p w:rsidR="009D25E3" w:rsidRDefault="009D25E3" w:rsidP="00314CE6">
            <w:pPr>
              <w:pStyle w:val="Tabletext"/>
              <w:spacing w:before="40" w:after="40"/>
              <w:cnfStyle w:val="000000000000" w:firstRow="0" w:lastRow="0" w:firstColumn="0" w:lastColumn="0" w:oddVBand="0" w:evenVBand="0" w:oddHBand="0" w:evenHBand="0" w:firstRowFirstColumn="0" w:firstRowLastColumn="0" w:lastRowFirstColumn="0" w:lastRowLastColumn="0"/>
            </w:pPr>
            <w:r>
              <w:t xml:space="preserve">Annual Financial Report </w:t>
            </w:r>
          </w:p>
        </w:tc>
        <w:tc>
          <w:tcPr>
            <w:tcW w:w="5101" w:type="dxa"/>
          </w:tcPr>
          <w:p w:rsidR="009D25E3" w:rsidRDefault="009D25E3" w:rsidP="003774C5">
            <w:pPr>
              <w:pStyle w:val="Tabletext"/>
              <w:spacing w:before="40" w:after="40"/>
              <w:cnfStyle w:val="000000000000" w:firstRow="0" w:lastRow="0" w:firstColumn="0" w:lastColumn="0" w:oddVBand="0" w:evenVBand="0" w:oddHBand="0" w:evenHBand="0" w:firstRowFirstColumn="0" w:firstRowLastColumn="0" w:lastRowFirstColumn="0" w:lastRowLastColumn="0"/>
            </w:pPr>
            <w:r>
              <w:t>Legislative due date:</w:t>
            </w:r>
            <w:r w:rsidR="00D92740">
              <w:t>15 October 2019</w:t>
            </w:r>
          </w:p>
        </w:tc>
      </w:tr>
      <w:tr w:rsidR="009D25E3" w:rsidRPr="00851105" w:rsidTr="00C20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dxa"/>
          </w:tcPr>
          <w:p w:rsidR="009D25E3" w:rsidRDefault="009D25E3" w:rsidP="00314CE6">
            <w:pPr>
              <w:pStyle w:val="Tabletext"/>
              <w:spacing w:before="40" w:after="40"/>
            </w:pPr>
            <w:r>
              <w:t xml:space="preserve">2018-19 </w:t>
            </w:r>
          </w:p>
        </w:tc>
        <w:tc>
          <w:tcPr>
            <w:tcW w:w="2790" w:type="dxa"/>
          </w:tcPr>
          <w:p w:rsidR="009D25E3" w:rsidRDefault="009D25E3" w:rsidP="00314CE6">
            <w:pPr>
              <w:pStyle w:val="Tabletext"/>
              <w:spacing w:before="40" w:after="40"/>
              <w:cnfStyle w:val="000000010000" w:firstRow="0" w:lastRow="0" w:firstColumn="0" w:lastColumn="0" w:oddVBand="0" w:evenVBand="0" w:oddHBand="0" w:evenHBand="1" w:firstRowFirstColumn="0" w:firstRowLastColumn="0" w:lastRowFirstColumn="0" w:lastRowLastColumn="0"/>
            </w:pPr>
            <w:r>
              <w:t>Department and entity reporting</w:t>
            </w:r>
          </w:p>
        </w:tc>
        <w:tc>
          <w:tcPr>
            <w:tcW w:w="5101" w:type="dxa"/>
          </w:tcPr>
          <w:p w:rsidR="009D25E3" w:rsidRDefault="009D25E3" w:rsidP="00D92740">
            <w:pPr>
              <w:pStyle w:val="Tabletext"/>
              <w:spacing w:before="40" w:after="40"/>
              <w:cnfStyle w:val="000000010000" w:firstRow="0" w:lastRow="0" w:firstColumn="0" w:lastColumn="0" w:oddVBand="0" w:evenVBand="0" w:oddHBand="0" w:evenHBand="1" w:firstRowFirstColumn="0" w:firstRowLastColumn="0" w:lastRowFirstColumn="0" w:lastRowLastColumn="0"/>
            </w:pPr>
            <w:r w:rsidRPr="00851105">
              <w:t xml:space="preserve">Legislated due date: </w:t>
            </w:r>
            <w:r w:rsidR="00D92740">
              <w:t xml:space="preserve">31 October </w:t>
            </w:r>
            <w:r>
              <w:t>2019</w:t>
            </w:r>
            <w:r w:rsidRPr="00851105">
              <w:t>. Entities are encouraged to table their annual reports prior to the legislated due date.</w:t>
            </w:r>
          </w:p>
        </w:tc>
      </w:tr>
    </w:tbl>
    <w:p w:rsidR="000E13EE" w:rsidRPr="00851105" w:rsidRDefault="000E13EE" w:rsidP="000E13EE">
      <w:pPr>
        <w:pStyle w:val="Spacer"/>
      </w:pPr>
      <w:bookmarkStart w:id="13" w:name="_Toc424822616"/>
      <w:bookmarkStart w:id="14" w:name="_Toc452724752"/>
    </w:p>
    <w:p w:rsidR="00946F81" w:rsidRDefault="00946F81" w:rsidP="00946F81">
      <w:r w:rsidRPr="00851105">
        <w:t xml:space="preserve">*At this </w:t>
      </w:r>
      <w:r w:rsidR="000659B5">
        <w:t>point</w:t>
      </w:r>
      <w:r w:rsidRPr="00851105">
        <w:t>, the last schedu</w:t>
      </w:r>
      <w:r w:rsidR="00393799" w:rsidRPr="00851105">
        <w:t>led parliamentary sitting date</w:t>
      </w:r>
      <w:r w:rsidRPr="00851105">
        <w:t xml:space="preserve"> is 20 September 2018. </w:t>
      </w:r>
    </w:p>
    <w:p w:rsidR="003E7AFA" w:rsidRPr="003E7AFA" w:rsidRDefault="003E7AFA" w:rsidP="00740420">
      <w:pPr>
        <w:spacing w:before="0"/>
        <w:rPr>
          <w:szCs w:val="18"/>
        </w:rPr>
      </w:pPr>
      <w:r w:rsidRPr="004B5C8C">
        <w:rPr>
          <w:szCs w:val="18"/>
        </w:rPr>
        <w:sym w:font="Wingdings 2" w:char="F085"/>
      </w:r>
      <w:r w:rsidRPr="004B5C8C">
        <w:rPr>
          <w:szCs w:val="18"/>
        </w:rPr>
        <w:t xml:space="preserve"> </w:t>
      </w:r>
      <w:r w:rsidR="004E0820" w:rsidRPr="004B5C8C">
        <w:rPr>
          <w:szCs w:val="18"/>
        </w:rPr>
        <w:t>L</w:t>
      </w:r>
      <w:r w:rsidRPr="004B5C8C">
        <w:rPr>
          <w:szCs w:val="18"/>
        </w:rPr>
        <w:t xml:space="preserve">etter </w:t>
      </w:r>
      <w:r w:rsidR="000056C4">
        <w:rPr>
          <w:szCs w:val="18"/>
        </w:rPr>
        <w:t xml:space="preserve">outlining expectations and requirements sent </w:t>
      </w:r>
      <w:r w:rsidR="004E0820" w:rsidRPr="004B5C8C">
        <w:rPr>
          <w:szCs w:val="18"/>
        </w:rPr>
        <w:t xml:space="preserve">from DPC </w:t>
      </w:r>
      <w:r w:rsidR="00740420" w:rsidRPr="004B5C8C">
        <w:rPr>
          <w:szCs w:val="18"/>
        </w:rPr>
        <w:t xml:space="preserve">to </w:t>
      </w:r>
      <w:r w:rsidR="004E0820" w:rsidRPr="004B5C8C">
        <w:rPr>
          <w:szCs w:val="18"/>
        </w:rPr>
        <w:t>departments</w:t>
      </w:r>
      <w:r w:rsidR="00740420" w:rsidRPr="004B5C8C">
        <w:rPr>
          <w:szCs w:val="18"/>
        </w:rPr>
        <w:t xml:space="preserve"> </w:t>
      </w:r>
      <w:r w:rsidRPr="004B5C8C">
        <w:rPr>
          <w:szCs w:val="18"/>
        </w:rPr>
        <w:t xml:space="preserve">dated </w:t>
      </w:r>
      <w:r w:rsidR="004E0820" w:rsidRPr="004B5C8C">
        <w:rPr>
          <w:szCs w:val="18"/>
        </w:rPr>
        <w:t>28 May 2018</w:t>
      </w:r>
      <w:r w:rsidR="004B5C8C" w:rsidRPr="004B5C8C">
        <w:rPr>
          <w:szCs w:val="18"/>
        </w:rPr>
        <w:t>.</w:t>
      </w:r>
    </w:p>
    <w:p w:rsidR="006F6CF0" w:rsidRDefault="006F6CF0" w:rsidP="00BC08E2">
      <w:pPr>
        <w:pStyle w:val="Heading1"/>
      </w:pPr>
      <w:r>
        <w:br w:type="page"/>
      </w:r>
    </w:p>
    <w:p w:rsidR="00BC08E2" w:rsidRPr="00851105" w:rsidRDefault="007D08B0" w:rsidP="00BC08E2">
      <w:pPr>
        <w:pStyle w:val="Heading1"/>
      </w:pPr>
      <w:bookmarkStart w:id="15" w:name="_Toc519255629"/>
      <w:r w:rsidRPr="00851105">
        <w:lastRenderedPageBreak/>
        <w:t>AASB </w:t>
      </w:r>
      <w:r w:rsidR="00BC08E2" w:rsidRPr="00851105">
        <w:t>update</w:t>
      </w:r>
      <w:bookmarkEnd w:id="13"/>
      <w:bookmarkEnd w:id="14"/>
      <w:bookmarkEnd w:id="15"/>
    </w:p>
    <w:p w:rsidR="00BF63B2" w:rsidRDefault="00BF63B2" w:rsidP="00BF63B2">
      <w:pPr>
        <w:pStyle w:val="Heading2"/>
        <w:spacing w:before="180"/>
      </w:pPr>
      <w:r w:rsidRPr="00851105">
        <w:t>Key AASB Standards issued but not effective for 2017</w:t>
      </w:r>
      <w:r w:rsidRPr="00851105">
        <w:noBreakHyphen/>
        <w:t>18</w:t>
      </w:r>
    </w:p>
    <w:p w:rsidR="00BF63B2" w:rsidRPr="00851105" w:rsidRDefault="00BF63B2" w:rsidP="00BF63B2">
      <w:pPr>
        <w:pStyle w:val="Heading3"/>
      </w:pPr>
      <w:r w:rsidRPr="00851105">
        <w:t xml:space="preserve">AASB 9 </w:t>
      </w:r>
      <w:r w:rsidR="006C1592">
        <w:rPr>
          <w:i/>
        </w:rPr>
        <w:t>Financial Instruments</w:t>
      </w:r>
    </w:p>
    <w:p w:rsidR="00BF63B2" w:rsidRPr="00FE62DA" w:rsidRDefault="00BF63B2" w:rsidP="00BF63B2">
      <w:r w:rsidRPr="00851105">
        <w:t xml:space="preserve">AASB 9 </w:t>
      </w:r>
      <w:r w:rsidRPr="00851105">
        <w:rPr>
          <w:i/>
        </w:rPr>
        <w:t>Financial Instruments</w:t>
      </w:r>
      <w:r w:rsidRPr="00851105">
        <w:t xml:space="preserve"> will supersede previous versions of the standard (AASB 9 (2014)) and AASB 139 </w:t>
      </w:r>
      <w:r w:rsidRPr="00851105">
        <w:rPr>
          <w:i/>
        </w:rPr>
        <w:t>Financial Instruments: Recognition and Measurement</w:t>
      </w:r>
      <w:r w:rsidRPr="00851105">
        <w:t>. It will apply to annual reporting periods beginning on or after 1 January 2018, with retrospective application.</w:t>
      </w:r>
      <w:r>
        <w:t xml:space="preserve"> AASB 7 </w:t>
      </w:r>
      <w:r w:rsidRPr="00FE62DA">
        <w:rPr>
          <w:i/>
        </w:rPr>
        <w:t xml:space="preserve">Financial Instruments: Disclosures </w:t>
      </w:r>
      <w:r w:rsidRPr="00FE62DA">
        <w:t xml:space="preserve">complement </w:t>
      </w:r>
      <w:r>
        <w:t xml:space="preserve">the principles for recognising, measuring and presenting financial assets and financial liabilities in AASB 132 </w:t>
      </w:r>
      <w:r w:rsidRPr="00FE62DA">
        <w:rPr>
          <w:i/>
        </w:rPr>
        <w:t>Financial Instruments: Presentation</w:t>
      </w:r>
      <w:r>
        <w:t xml:space="preserve"> and AASB 9 </w:t>
      </w:r>
      <w:r w:rsidRPr="00FE62DA">
        <w:rPr>
          <w:i/>
        </w:rPr>
        <w:t>Financial Instruments</w:t>
      </w:r>
      <w:r>
        <w:t>.</w:t>
      </w:r>
    </w:p>
    <w:p w:rsidR="00BF63B2" w:rsidRDefault="00BF63B2" w:rsidP="00BF63B2">
      <w:pPr>
        <w:spacing w:before="0" w:after="200"/>
      </w:pPr>
      <w:r>
        <w:t>Transitional disclosure requirements and new ongoing disclosure requirements at both the Whole of State, Departmental and entity/agency level are being determined. New FINSI packs will be created with disclosure requirements in line with the new standards, with consideration to the expected materiality of the Whole of State and GG Sectors based on the recent impact assessment data collection. These reporting requirements will be applicable from 1 July 2017 for the reporting periods including the 2018-19 financial year actuals and comparative data for the 2017-18 financial year</w:t>
      </w:r>
      <w:r w:rsidR="00454F40">
        <w:t xml:space="preserve">. </w:t>
      </w:r>
    </w:p>
    <w:p w:rsidR="00BF63B2" w:rsidRDefault="00BF63B2" w:rsidP="00BF63B2">
      <w:pPr>
        <w:spacing w:before="0" w:after="200"/>
      </w:pPr>
      <w:r>
        <w:t xml:space="preserve">Guidance has been provided in the Appendices of the 2017-18 Model Report. The next Model will contain the updated disclosure requirements and further guidance material. </w:t>
      </w:r>
    </w:p>
    <w:p w:rsidR="00BF63B2" w:rsidRPr="00AC3226" w:rsidRDefault="00BF63B2" w:rsidP="00BF63B2">
      <w:pPr>
        <w:pStyle w:val="Heading3"/>
      </w:pPr>
      <w:r w:rsidRPr="00851105">
        <w:t xml:space="preserve">AASB 15 </w:t>
      </w:r>
      <w:r w:rsidRPr="00851105">
        <w:rPr>
          <w:i/>
        </w:rPr>
        <w:t xml:space="preserve">Revenue from Contracts with Customers </w:t>
      </w:r>
      <w:r w:rsidRPr="00851105">
        <w:t xml:space="preserve">and AASB 1058 </w:t>
      </w:r>
      <w:r w:rsidRPr="00851105">
        <w:rPr>
          <w:i/>
        </w:rPr>
        <w:t>Income of Not</w:t>
      </w:r>
      <w:r w:rsidRPr="00851105">
        <w:rPr>
          <w:i/>
        </w:rPr>
        <w:noBreakHyphen/>
        <w:t>for</w:t>
      </w:r>
      <w:r w:rsidRPr="00851105">
        <w:rPr>
          <w:i/>
        </w:rPr>
        <w:noBreakHyphen/>
        <w:t>Profit Entities</w:t>
      </w:r>
      <w:r w:rsidRPr="00AC3226">
        <w:t>)</w:t>
      </w:r>
    </w:p>
    <w:p w:rsidR="00BF63B2" w:rsidRDefault="00BF63B2" w:rsidP="00BF63B2">
      <w:pPr>
        <w:keepNext/>
        <w:keepLines/>
      </w:pPr>
      <w:r w:rsidRPr="00851105">
        <w:t xml:space="preserve">AASB 15 </w:t>
      </w:r>
      <w:r w:rsidRPr="00851105">
        <w:rPr>
          <w:i/>
        </w:rPr>
        <w:t>Revenue from Contracts with Customers</w:t>
      </w:r>
      <w:r w:rsidRPr="00851105">
        <w:t xml:space="preserve"> and AASB 1058 </w:t>
      </w:r>
      <w:r w:rsidRPr="00851105">
        <w:rPr>
          <w:i/>
        </w:rPr>
        <w:t>Income of Not</w:t>
      </w:r>
      <w:r w:rsidRPr="00851105">
        <w:rPr>
          <w:i/>
        </w:rPr>
        <w:noBreakHyphen/>
        <w:t>for</w:t>
      </w:r>
      <w:r w:rsidRPr="00851105">
        <w:rPr>
          <w:i/>
        </w:rPr>
        <w:noBreakHyphen/>
        <w:t>Profit Entities</w:t>
      </w:r>
      <w:r>
        <w:t xml:space="preserve"> are</w:t>
      </w:r>
      <w:r w:rsidRPr="00851105">
        <w:t xml:space="preserve"> applicable for all </w:t>
      </w:r>
      <w:r w:rsidRPr="00851105">
        <w:rPr>
          <w:b/>
        </w:rPr>
        <w:t>not</w:t>
      </w:r>
      <w:r w:rsidRPr="00851105">
        <w:rPr>
          <w:b/>
        </w:rPr>
        <w:noBreakHyphen/>
        <w:t>for</w:t>
      </w:r>
      <w:r w:rsidRPr="00851105">
        <w:rPr>
          <w:b/>
        </w:rPr>
        <w:noBreakHyphen/>
        <w:t>profit entities</w:t>
      </w:r>
      <w:r w:rsidRPr="00851105">
        <w:t xml:space="preserve"> for annual reporting periods commencing on or after 1 January 2019 (i.e. the 2019</w:t>
      </w:r>
      <w:r w:rsidRPr="00851105">
        <w:noBreakHyphen/>
        <w:t>20 reporting period)</w:t>
      </w:r>
      <w:r>
        <w:t>. DTF has provided a high level summary of the requirements of AASB 15 and AASB 1058 and a series of progressive updates of the project in the last four editions of the newsletter</w:t>
      </w:r>
      <w:r w:rsidRPr="00851105">
        <w:t xml:space="preserve">. Refer to previous newsletters for information on the new revenue standards. </w:t>
      </w:r>
    </w:p>
    <w:p w:rsidR="00133F4B" w:rsidRPr="00851105" w:rsidRDefault="00133F4B" w:rsidP="00133F4B">
      <w:r>
        <w:t xml:space="preserve">A </w:t>
      </w:r>
      <w:r w:rsidRPr="00612997">
        <w:t xml:space="preserve">preliminary checklist to assist entities with determining whether particular transactions are caught within the scope of AASB 15 or AASB 1058, </w:t>
      </w:r>
      <w:r>
        <w:t xml:space="preserve">which also </w:t>
      </w:r>
      <w:r w:rsidRPr="00612997">
        <w:t>includes information on the proposed transitional approaches for implementation,</w:t>
      </w:r>
      <w:r>
        <w:t xml:space="preserve"> has been included in the 2017-18 Model Report Appendix 11</w:t>
      </w:r>
      <w:r w:rsidR="00B846E3">
        <w:t>.</w:t>
      </w:r>
    </w:p>
    <w:p w:rsidR="003E4AEE" w:rsidRPr="00851105" w:rsidRDefault="003E4AEE" w:rsidP="003E4AEE">
      <w:pPr>
        <w:pStyle w:val="Heading3"/>
      </w:pPr>
      <w:r w:rsidRPr="00851105">
        <w:t>Accoun</w:t>
      </w:r>
      <w:r w:rsidR="006C1592">
        <w:t>ting for public sector licences</w:t>
      </w:r>
    </w:p>
    <w:p w:rsidR="003E4AEE" w:rsidRPr="00851105" w:rsidRDefault="003E4AEE" w:rsidP="003E4AEE">
      <w:r w:rsidRPr="00851105">
        <w:t xml:space="preserve">During the AASB’s agenda consultation, it was flagged that AASB 15 </w:t>
      </w:r>
      <w:r w:rsidRPr="00851105">
        <w:rPr>
          <w:i/>
        </w:rPr>
        <w:t>Revenue from Contracts with Customers</w:t>
      </w:r>
      <w:r w:rsidRPr="00851105">
        <w:t xml:space="preserve"> </w:t>
      </w:r>
      <w:r>
        <w:t xml:space="preserve">did </w:t>
      </w:r>
      <w:r w:rsidRPr="00851105">
        <w:t>not have sufficient guidance for not</w:t>
      </w:r>
      <w:r w:rsidRPr="00851105">
        <w:noBreakHyphen/>
        <w:t>for</w:t>
      </w:r>
      <w:r w:rsidRPr="00851105">
        <w:noBreakHyphen/>
        <w:t>profit public sector licensors. AASB 15 provides guidance for licences of intellectual property (IP) however, unlike for</w:t>
      </w:r>
      <w:r w:rsidRPr="00851105">
        <w:noBreakHyphen/>
        <w:t>profit entities, licences issued by not</w:t>
      </w:r>
      <w:r w:rsidRPr="00851105">
        <w:noBreakHyphen/>
        <w:t>for</w:t>
      </w:r>
      <w:r w:rsidRPr="00851105">
        <w:noBreakHyphen/>
        <w:t xml:space="preserve">profit </w:t>
      </w:r>
      <w:r>
        <w:t xml:space="preserve">(NFP) </w:t>
      </w:r>
      <w:r w:rsidRPr="00851105">
        <w:t xml:space="preserve">public sector entities extend beyond IP licences. </w:t>
      </w:r>
    </w:p>
    <w:p w:rsidR="003E4AEE" w:rsidRDefault="003E4AEE" w:rsidP="003E4AEE">
      <w:r w:rsidRPr="00851105">
        <w:t xml:space="preserve">ED 283 </w:t>
      </w:r>
      <w:r w:rsidRPr="00851105">
        <w:rPr>
          <w:i/>
        </w:rPr>
        <w:t>Amendments to Australian Accounting Standards – Australian Implementation Guidance for Not</w:t>
      </w:r>
      <w:r w:rsidRPr="00851105">
        <w:rPr>
          <w:i/>
        </w:rPr>
        <w:noBreakHyphen/>
        <w:t>for</w:t>
      </w:r>
      <w:r w:rsidRPr="00851105">
        <w:rPr>
          <w:i/>
        </w:rPr>
        <w:noBreakHyphen/>
        <w:t>Profit Public Sector Licensors</w:t>
      </w:r>
      <w:r w:rsidRPr="00851105">
        <w:t xml:space="preserve"> has been issued to provide guidance</w:t>
      </w:r>
      <w:r w:rsidRPr="006A5AF9">
        <w:t xml:space="preserve"> </w:t>
      </w:r>
      <w:r w:rsidRPr="00851105">
        <w:t>in the accounting for revenue from licences issued by not</w:t>
      </w:r>
      <w:r w:rsidRPr="00851105">
        <w:noBreakHyphen/>
        <w:t>for</w:t>
      </w:r>
      <w:r w:rsidRPr="00851105">
        <w:noBreakHyphen/>
        <w:t>profit licensors</w:t>
      </w:r>
      <w:r>
        <w:t xml:space="preserve">. Feedback submissions closed on 31 March 2018. The Board met in June 2018 to consider the submissions from stakeholders. The board determined that the principles of AASB 15 </w:t>
      </w:r>
      <w:r w:rsidRPr="006A5B8B">
        <w:rPr>
          <w:i/>
        </w:rPr>
        <w:t>Revenue from Contracts with Customers</w:t>
      </w:r>
      <w:r>
        <w:t xml:space="preserve"> will apply to guide the assessment of revenue recognition for license. AASB 15 will include a flowchart and expand the examples to illustrate different licensor activities, such as:</w:t>
      </w:r>
    </w:p>
    <w:p w:rsidR="003E4AEE" w:rsidRDefault="003E4AEE" w:rsidP="003E4AEE">
      <w:pPr>
        <w:pStyle w:val="ListParagraph"/>
        <w:numPr>
          <w:ilvl w:val="0"/>
          <w:numId w:val="25"/>
        </w:numPr>
      </w:pPr>
      <w:r>
        <w:t>administration and activities to maintain exclusivity of the contract, which would not be performance obligations;</w:t>
      </w:r>
    </w:p>
    <w:p w:rsidR="003E4AEE" w:rsidRDefault="003E4AEE" w:rsidP="003E4AEE">
      <w:pPr>
        <w:pStyle w:val="ListParagraph"/>
        <w:numPr>
          <w:ilvl w:val="0"/>
          <w:numId w:val="25"/>
        </w:numPr>
      </w:pPr>
      <w:r>
        <w:t xml:space="preserve">ongoing activities that support or maintain the value of the licence; and </w:t>
      </w:r>
    </w:p>
    <w:p w:rsidR="003E4AEE" w:rsidRDefault="003E4AEE" w:rsidP="003E4AEE">
      <w:pPr>
        <w:pStyle w:val="ListParagraph"/>
        <w:numPr>
          <w:ilvl w:val="0"/>
          <w:numId w:val="25"/>
        </w:numPr>
      </w:pPr>
      <w:r>
        <w:t>activities that are distinct services to the licensee, separate from the granting of the licence (for example, maintenance activities performed by the licensor that the licensee would ot</w:t>
      </w:r>
      <w:r w:rsidR="006C1592">
        <w:t>herwise engage a third party to </w:t>
      </w:r>
      <w:r>
        <w:t>do).</w:t>
      </w:r>
    </w:p>
    <w:p w:rsidR="003E4AEE" w:rsidRDefault="003E4AEE" w:rsidP="003E4AEE">
      <w:pPr>
        <w:rPr>
          <w:i/>
        </w:rPr>
      </w:pPr>
      <w:r>
        <w:t xml:space="preserve">Accounting for public sector licences will be implemented as part of the suite of AASB 15 </w:t>
      </w:r>
      <w:r w:rsidRPr="006A5B8B">
        <w:rPr>
          <w:i/>
        </w:rPr>
        <w:t>Revenue from Contracts with Customers</w:t>
      </w:r>
      <w:r>
        <w:rPr>
          <w:i/>
        </w:rPr>
        <w:t>.</w:t>
      </w:r>
    </w:p>
    <w:p w:rsidR="00BC08E2" w:rsidRPr="00AC3226" w:rsidRDefault="007D08B0" w:rsidP="00BC08E2">
      <w:pPr>
        <w:pStyle w:val="Heading3"/>
      </w:pPr>
      <w:r w:rsidRPr="00851105">
        <w:lastRenderedPageBreak/>
        <w:t>AASB </w:t>
      </w:r>
      <w:r w:rsidR="00BC08E2" w:rsidRPr="00851105">
        <w:t xml:space="preserve">16 </w:t>
      </w:r>
      <w:r w:rsidR="00454F40">
        <w:rPr>
          <w:i/>
        </w:rPr>
        <w:t>Leases</w:t>
      </w:r>
    </w:p>
    <w:p w:rsidR="00BC08E2" w:rsidRPr="00851105" w:rsidRDefault="007D08B0" w:rsidP="00BC08E2">
      <w:pPr>
        <w:rPr>
          <w:lang w:val="en-US"/>
        </w:rPr>
      </w:pPr>
      <w:r w:rsidRPr="00851105">
        <w:t>AASB </w:t>
      </w:r>
      <w:r w:rsidR="00BC08E2" w:rsidRPr="00851105">
        <w:t xml:space="preserve">16 </w:t>
      </w:r>
      <w:r w:rsidR="00BC08E2" w:rsidRPr="00851105">
        <w:rPr>
          <w:i/>
        </w:rPr>
        <w:t>Leases</w:t>
      </w:r>
      <w:r w:rsidR="00BC08E2" w:rsidRPr="00851105">
        <w:t xml:space="preserve"> </w:t>
      </w:r>
      <w:r w:rsidR="00123DFE" w:rsidRPr="00851105">
        <w:t>will</w:t>
      </w:r>
      <w:r w:rsidR="00BC08E2" w:rsidRPr="00851105">
        <w:t xml:space="preserve"> supersede the existing </w:t>
      </w:r>
      <w:r w:rsidRPr="00851105">
        <w:t>AASB </w:t>
      </w:r>
      <w:r w:rsidR="00BC08E2" w:rsidRPr="00851105">
        <w:t xml:space="preserve">117 </w:t>
      </w:r>
      <w:r w:rsidR="00BC08E2" w:rsidRPr="00851105">
        <w:rPr>
          <w:i/>
        </w:rPr>
        <w:t>Leases</w:t>
      </w:r>
      <w:r w:rsidR="00123DFE" w:rsidRPr="00851105">
        <w:rPr>
          <w:i/>
        </w:rPr>
        <w:t xml:space="preserve">. </w:t>
      </w:r>
      <w:r w:rsidR="00123DFE" w:rsidRPr="00851105">
        <w:t>The effective date is</w:t>
      </w:r>
      <w:r w:rsidR="00BC08E2" w:rsidRPr="00851105">
        <w:rPr>
          <w:lang w:val="en-US"/>
        </w:rPr>
        <w:t xml:space="preserve"> for annual reporting periods begin</w:t>
      </w:r>
      <w:r w:rsidR="00123DFE" w:rsidRPr="00851105">
        <w:rPr>
          <w:lang w:val="en-US"/>
        </w:rPr>
        <w:t>ning on or after 1 January 2019 (the 2019-20 reporting period).</w:t>
      </w:r>
      <w:r w:rsidR="00F10E6F">
        <w:rPr>
          <w:lang w:val="en-US"/>
        </w:rPr>
        <w:t xml:space="preserve"> Ongoing workshops are occurring at the Department and por</w:t>
      </w:r>
      <w:r w:rsidR="004E4BB5">
        <w:rPr>
          <w:lang w:val="en-US"/>
        </w:rPr>
        <w:t>tfolio entity and agency levels.</w:t>
      </w:r>
      <w:r w:rsidR="00F10E6F">
        <w:rPr>
          <w:lang w:val="en-US"/>
        </w:rPr>
        <w:t xml:space="preserve"> </w:t>
      </w:r>
      <w:r w:rsidR="004E4BB5">
        <w:rPr>
          <w:lang w:val="en-US"/>
        </w:rPr>
        <w:t>P</w:t>
      </w:r>
      <w:r w:rsidR="00FE62DA">
        <w:rPr>
          <w:lang w:val="en-US"/>
        </w:rPr>
        <w:t xml:space="preserve">lease contact your </w:t>
      </w:r>
      <w:r w:rsidR="00EE0CD4">
        <w:rPr>
          <w:lang w:val="en-US"/>
        </w:rPr>
        <w:t>d</w:t>
      </w:r>
      <w:r w:rsidR="00FE62DA">
        <w:rPr>
          <w:lang w:val="en-US"/>
        </w:rPr>
        <w:t xml:space="preserve">epartmental </w:t>
      </w:r>
      <w:r w:rsidR="00EE0CD4">
        <w:rPr>
          <w:lang w:val="en-US"/>
        </w:rPr>
        <w:t>f</w:t>
      </w:r>
      <w:r w:rsidR="00FE62DA">
        <w:rPr>
          <w:lang w:val="en-US"/>
        </w:rPr>
        <w:t xml:space="preserve">inance </w:t>
      </w:r>
      <w:r w:rsidR="00EE0CD4">
        <w:rPr>
          <w:lang w:val="en-US"/>
        </w:rPr>
        <w:t>t</w:t>
      </w:r>
      <w:r w:rsidR="00FE62DA">
        <w:rPr>
          <w:lang w:val="en-US"/>
        </w:rPr>
        <w:t xml:space="preserve">eams for </w:t>
      </w:r>
      <w:r w:rsidR="004E4BB5">
        <w:rPr>
          <w:lang w:val="en-US"/>
        </w:rPr>
        <w:t xml:space="preserve">further </w:t>
      </w:r>
      <w:r w:rsidR="00FE62DA">
        <w:rPr>
          <w:lang w:val="en-US"/>
        </w:rPr>
        <w:t xml:space="preserve">information. </w:t>
      </w:r>
    </w:p>
    <w:p w:rsidR="00FE62DA" w:rsidRDefault="00F9790E" w:rsidP="00CD72E5">
      <w:r w:rsidRPr="00851105">
        <w:t xml:space="preserve">DTF has developed a preliminary checklist to assist entities with determining whether particular transactions are caught within the scope of AASB 16, and includes information on the proposed transitional approach for implementation. Contact your departmental representative for copies of the preliminary guidance information shared at the working groups. </w:t>
      </w:r>
    </w:p>
    <w:p w:rsidR="00BC08E2" w:rsidRPr="00CD72E5" w:rsidRDefault="007D08B0" w:rsidP="00BC08E2">
      <w:pPr>
        <w:pStyle w:val="Heading3"/>
      </w:pPr>
      <w:r w:rsidRPr="00851105">
        <w:t>AASB </w:t>
      </w:r>
      <w:r w:rsidR="00BC08E2" w:rsidRPr="00851105">
        <w:t xml:space="preserve">1059 </w:t>
      </w:r>
      <w:r w:rsidR="00454F40">
        <w:rPr>
          <w:i/>
        </w:rPr>
        <w:t>Service Concession Arrangements</w:t>
      </w:r>
    </w:p>
    <w:p w:rsidR="00CF4AFE" w:rsidRDefault="00CF4AFE" w:rsidP="00BC08E2">
      <w:r w:rsidRPr="00851105">
        <w:t xml:space="preserve">This new </w:t>
      </w:r>
      <w:r w:rsidR="00CF461D">
        <w:t xml:space="preserve">accounting </w:t>
      </w:r>
      <w:r w:rsidRPr="00851105">
        <w:t>standard</w:t>
      </w:r>
      <w:r w:rsidR="00CD72E5">
        <w:t>,</w:t>
      </w:r>
      <w:r w:rsidRPr="00851105">
        <w:t xml:space="preserve"> </w:t>
      </w:r>
      <w:r w:rsidR="00CD72E5" w:rsidRPr="00851105">
        <w:t>effective for annual reporting periods beginning or after 1 January 2019</w:t>
      </w:r>
      <w:r w:rsidR="00EB6D34">
        <w:t>,</w:t>
      </w:r>
      <w:r w:rsidR="00CD72E5" w:rsidRPr="00851105">
        <w:t xml:space="preserve"> i.e. </w:t>
      </w:r>
      <w:r w:rsidR="00EB6D34">
        <w:t xml:space="preserve">the </w:t>
      </w:r>
      <w:r w:rsidR="00CD72E5" w:rsidRPr="00851105">
        <w:t>2019-20 financial year</w:t>
      </w:r>
      <w:r w:rsidR="00CD72E5">
        <w:t>,</w:t>
      </w:r>
      <w:r w:rsidR="00CD72E5" w:rsidRPr="00851105">
        <w:t xml:space="preserve"> </w:t>
      </w:r>
      <w:r w:rsidRPr="00851105">
        <w:t>will address the lack of a specific Australian Accounting Standard for service concession arrangements f</w:t>
      </w:r>
      <w:r w:rsidR="006E1A5E" w:rsidRPr="00851105">
        <w:t>ro</w:t>
      </w:r>
      <w:r w:rsidRPr="00851105">
        <w:t xml:space="preserve">m the grantor’s perspective. </w:t>
      </w:r>
      <w:r w:rsidR="00CF461D">
        <w:t xml:space="preserve">It provides accounting guidance for public sector entities (grantors) who have entered into service concession arrangements with private sector operators. </w:t>
      </w:r>
    </w:p>
    <w:p w:rsidR="001C40FB" w:rsidRPr="001C40FB" w:rsidRDefault="004C09A3" w:rsidP="001C40FB">
      <w:pPr>
        <w:shd w:val="clear" w:color="auto" w:fill="FFFFFF"/>
        <w:spacing w:before="105" w:after="105" w:line="240" w:lineRule="auto"/>
        <w:textAlignment w:val="baseline"/>
        <w:rPr>
          <w:rFonts w:ascii="Arial" w:eastAsia="Times New Roman" w:hAnsi="Arial" w:cs="Arial"/>
          <w:color w:val="333333"/>
          <w:spacing w:val="0"/>
          <w:szCs w:val="18"/>
        </w:rPr>
      </w:pPr>
      <w:r>
        <w:rPr>
          <w:rFonts w:ascii="Arial" w:eastAsia="Times New Roman" w:hAnsi="Arial" w:cs="Arial"/>
          <w:color w:val="333333"/>
          <w:spacing w:val="0"/>
          <w:szCs w:val="18"/>
        </w:rPr>
        <w:t>AASB </w:t>
      </w:r>
      <w:r w:rsidR="001C40FB" w:rsidRPr="001C40FB">
        <w:rPr>
          <w:rFonts w:ascii="Arial" w:eastAsia="Times New Roman" w:hAnsi="Arial" w:cs="Arial"/>
          <w:color w:val="333333"/>
          <w:spacing w:val="0"/>
          <w:szCs w:val="18"/>
        </w:rPr>
        <w:t>1059 applies to arrangements that meet the following criteria:</w:t>
      </w:r>
    </w:p>
    <w:p w:rsidR="001C40FB" w:rsidRPr="001C40FB" w:rsidRDefault="004E4BB5" w:rsidP="00885113">
      <w:pPr>
        <w:pStyle w:val="Bullet1"/>
      </w:pPr>
      <w:r>
        <w:t>an operator is providing public services using a concession asset</w:t>
      </w:r>
      <w:r w:rsidR="001C40FB">
        <w:t>;</w:t>
      </w:r>
    </w:p>
    <w:p w:rsidR="001C40FB" w:rsidRPr="001C40FB" w:rsidRDefault="004E4BB5" w:rsidP="00885113">
      <w:pPr>
        <w:pStyle w:val="Bullet1"/>
      </w:pPr>
      <w:r>
        <w:t>operator manages at ‘least some’ of public services under its own discretion</w:t>
      </w:r>
      <w:r w:rsidR="001C40FB">
        <w:t>;</w:t>
      </w:r>
    </w:p>
    <w:p w:rsidR="004E4BB5" w:rsidRDefault="001C40FB" w:rsidP="00885113">
      <w:pPr>
        <w:pStyle w:val="Bullet1"/>
      </w:pPr>
      <w:r w:rsidRPr="001C40FB">
        <w:t xml:space="preserve">the </w:t>
      </w:r>
      <w:r w:rsidR="004E4BB5">
        <w:t>State controls/regulates</w:t>
      </w:r>
      <w:r w:rsidR="00EE0CD4">
        <w:t>:</w:t>
      </w:r>
    </w:p>
    <w:p w:rsidR="004E4BB5" w:rsidRDefault="004E4BB5" w:rsidP="004E4BB5">
      <w:pPr>
        <w:pStyle w:val="Bullet2"/>
      </w:pPr>
      <w:r>
        <w:t>what services are to be provided</w:t>
      </w:r>
    </w:p>
    <w:p w:rsidR="001C40FB" w:rsidRDefault="004E4BB5" w:rsidP="004E4BB5">
      <w:pPr>
        <w:pStyle w:val="Bullet2"/>
      </w:pPr>
      <w:r>
        <w:t>to whom</w:t>
      </w:r>
      <w:r w:rsidR="001C40FB">
        <w:t>;</w:t>
      </w:r>
      <w:r w:rsidR="001C40FB" w:rsidRPr="001C40FB">
        <w:t xml:space="preserve"> and</w:t>
      </w:r>
    </w:p>
    <w:p w:rsidR="004E4BB5" w:rsidRPr="001C40FB" w:rsidRDefault="004E4BB5" w:rsidP="004E4BB5">
      <w:pPr>
        <w:pStyle w:val="Bullet2"/>
      </w:pPr>
      <w:r>
        <w:t>at what price</w:t>
      </w:r>
      <w:r w:rsidR="00EE0CD4">
        <w:t>; and</w:t>
      </w:r>
    </w:p>
    <w:p w:rsidR="001C40FB" w:rsidRPr="001C40FB" w:rsidRDefault="004E4BB5" w:rsidP="00885113">
      <w:pPr>
        <w:pStyle w:val="Bullet1"/>
      </w:pPr>
      <w:r>
        <w:t>State controls any significant residual interest in the asset</w:t>
      </w:r>
      <w:r w:rsidR="001C40FB" w:rsidRPr="001C40FB">
        <w:t>.</w:t>
      </w:r>
    </w:p>
    <w:p w:rsidR="009B78CE" w:rsidRPr="004C09A3" w:rsidRDefault="009B78CE" w:rsidP="006C1592">
      <w:pPr>
        <w:pStyle w:val="Heading4"/>
      </w:pPr>
      <w:r w:rsidRPr="004C09A3">
        <w:t>Grantor accounting requirements</w:t>
      </w:r>
    </w:p>
    <w:p w:rsidR="009B78CE" w:rsidRPr="006C1592" w:rsidRDefault="009B78CE" w:rsidP="006C1592">
      <w:pPr>
        <w:pStyle w:val="Heading5"/>
        <w:rPr>
          <w:bCs/>
        </w:rPr>
      </w:pPr>
      <w:r w:rsidRPr="006C1592">
        <w:t>Service concession assets</w:t>
      </w:r>
    </w:p>
    <w:p w:rsidR="009B78CE" w:rsidRPr="009B78CE" w:rsidRDefault="00977D2E" w:rsidP="00C22C11">
      <w:pPr>
        <w:pStyle w:val="Bullet1"/>
      </w:pPr>
      <w:r>
        <w:t>Under AASB </w:t>
      </w:r>
      <w:r w:rsidR="009B78CE" w:rsidRPr="009B78CE">
        <w:t>1059, the grantor recognises a service concession asset in a service concession arrangement where it controls the asset</w:t>
      </w:r>
      <w:r w:rsidR="004C09A3">
        <w:t>.</w:t>
      </w:r>
    </w:p>
    <w:p w:rsidR="009B78CE" w:rsidRPr="009B78CE" w:rsidRDefault="009B78CE" w:rsidP="009B78CE">
      <w:pPr>
        <w:pStyle w:val="NormalWeb"/>
        <w:shd w:val="clear" w:color="auto" w:fill="FFFFFF"/>
        <w:spacing w:before="0" w:beforeAutospacing="0" w:after="0" w:afterAutospacing="0"/>
        <w:textAlignment w:val="baseline"/>
        <w:rPr>
          <w:rFonts w:ascii="Arial" w:hAnsi="Arial" w:cs="Arial"/>
          <w:color w:val="333333"/>
          <w:sz w:val="18"/>
          <w:szCs w:val="18"/>
        </w:rPr>
      </w:pPr>
      <w:r w:rsidRPr="009B78CE">
        <w:rPr>
          <w:rFonts w:ascii="Arial" w:hAnsi="Arial" w:cs="Arial"/>
          <w:color w:val="333333"/>
          <w:sz w:val="18"/>
          <w:szCs w:val="18"/>
        </w:rPr>
        <w:t>Where the asset is provided by the operator, or is an upgrade to or a major component replacement of an existing asset of the grantor, the asset is recognised at current replacement cost based on AASB 13</w:t>
      </w:r>
      <w:r w:rsidRPr="009B78CE">
        <w:rPr>
          <w:rStyle w:val="apple-converted-space"/>
          <w:rFonts w:ascii="Arial" w:hAnsi="Arial" w:cs="Arial"/>
          <w:color w:val="333333"/>
          <w:sz w:val="18"/>
          <w:szCs w:val="18"/>
        </w:rPr>
        <w:t> </w:t>
      </w:r>
      <w:r w:rsidRPr="009B78CE">
        <w:rPr>
          <w:rStyle w:val="Emphasis"/>
          <w:rFonts w:ascii="Arial" w:hAnsi="Arial" w:cs="Arial"/>
          <w:color w:val="333333"/>
          <w:sz w:val="18"/>
          <w:szCs w:val="18"/>
          <w:bdr w:val="none" w:sz="0" w:space="0" w:color="auto" w:frame="1"/>
        </w:rPr>
        <w:t>Fair Value Measurement</w:t>
      </w:r>
      <w:r w:rsidRPr="009B78CE">
        <w:rPr>
          <w:rStyle w:val="apple-converted-space"/>
          <w:rFonts w:ascii="Arial" w:hAnsi="Arial" w:cs="Arial"/>
          <w:color w:val="333333"/>
          <w:sz w:val="18"/>
          <w:szCs w:val="18"/>
        </w:rPr>
        <w:t> </w:t>
      </w:r>
      <w:r w:rsidRPr="009B78CE">
        <w:rPr>
          <w:rFonts w:ascii="Arial" w:hAnsi="Arial" w:cs="Arial"/>
          <w:color w:val="333333"/>
          <w:sz w:val="18"/>
          <w:szCs w:val="18"/>
        </w:rPr>
        <w:t>principles.</w:t>
      </w:r>
    </w:p>
    <w:p w:rsidR="009B78CE" w:rsidRPr="009B78CE" w:rsidRDefault="009B78CE" w:rsidP="009B78CE">
      <w:pPr>
        <w:pStyle w:val="NormalWeb"/>
        <w:shd w:val="clear" w:color="auto" w:fill="FFFFFF"/>
        <w:spacing w:before="105" w:beforeAutospacing="0" w:after="105" w:afterAutospacing="0"/>
        <w:textAlignment w:val="baseline"/>
        <w:rPr>
          <w:rFonts w:ascii="Arial" w:hAnsi="Arial" w:cs="Arial"/>
          <w:color w:val="333333"/>
          <w:sz w:val="18"/>
          <w:szCs w:val="18"/>
        </w:rPr>
      </w:pPr>
      <w:r w:rsidRPr="009B78CE">
        <w:rPr>
          <w:rFonts w:ascii="Arial" w:hAnsi="Arial" w:cs="Arial"/>
          <w:color w:val="333333"/>
          <w:sz w:val="18"/>
          <w:szCs w:val="18"/>
        </w:rPr>
        <w:t>Where the asset is an existing asset of the grantor, the asset is reclassified as a service concession asset and remeasured at current replacement cost at the date of reclassification. This requirement applies to, for example, previously unrecognised intangible assets, excluding goodwill, and land under roads. Any difference between the previous carrying amount and current replacement cost is recognised as if it is a</w:t>
      </w:r>
      <w:r w:rsidR="00CE0533">
        <w:rPr>
          <w:rFonts w:ascii="Arial" w:hAnsi="Arial" w:cs="Arial"/>
          <w:color w:val="333333"/>
          <w:sz w:val="18"/>
          <w:szCs w:val="18"/>
        </w:rPr>
        <w:t xml:space="preserve"> revaluation of the asset. AASB </w:t>
      </w:r>
      <w:r w:rsidRPr="009B78CE">
        <w:rPr>
          <w:rFonts w:ascii="Arial" w:hAnsi="Arial" w:cs="Arial"/>
          <w:color w:val="333333"/>
          <w:sz w:val="18"/>
          <w:szCs w:val="18"/>
        </w:rPr>
        <w:t>1059 clarifies that this does not mean that the grantor has adopted the revaluation model and is the prescribed accounting for the difference on reclassification only.</w:t>
      </w:r>
    </w:p>
    <w:p w:rsidR="009B78CE" w:rsidRDefault="009B78CE" w:rsidP="009B78CE">
      <w:pPr>
        <w:pStyle w:val="NormalWeb"/>
        <w:shd w:val="clear" w:color="auto" w:fill="FFFFFF"/>
        <w:spacing w:before="0" w:beforeAutospacing="0" w:after="0" w:afterAutospacing="0"/>
        <w:textAlignment w:val="baseline"/>
        <w:rPr>
          <w:rFonts w:ascii="Arial" w:hAnsi="Arial" w:cs="Arial"/>
          <w:color w:val="333333"/>
          <w:sz w:val="18"/>
          <w:szCs w:val="18"/>
        </w:rPr>
      </w:pPr>
      <w:r w:rsidRPr="009B78CE">
        <w:rPr>
          <w:rFonts w:ascii="Arial" w:hAnsi="Arial" w:cs="Arial"/>
          <w:color w:val="333333"/>
          <w:sz w:val="18"/>
          <w:szCs w:val="18"/>
        </w:rPr>
        <w:t xml:space="preserve">Subsequent to initial recognition or reclassification, the grantor accounts </w:t>
      </w:r>
      <w:r w:rsidR="00CE0533">
        <w:rPr>
          <w:rFonts w:ascii="Arial" w:hAnsi="Arial" w:cs="Arial"/>
          <w:color w:val="333333"/>
          <w:sz w:val="18"/>
          <w:szCs w:val="18"/>
        </w:rPr>
        <w:t>for the asset under either AASB </w:t>
      </w:r>
      <w:r w:rsidRPr="009B78CE">
        <w:rPr>
          <w:rFonts w:ascii="Arial" w:hAnsi="Arial" w:cs="Arial"/>
          <w:color w:val="333333"/>
          <w:sz w:val="18"/>
          <w:szCs w:val="18"/>
        </w:rPr>
        <w:t>116</w:t>
      </w:r>
      <w:r w:rsidRPr="009B78CE">
        <w:rPr>
          <w:rStyle w:val="apple-converted-space"/>
          <w:rFonts w:ascii="Arial" w:hAnsi="Arial" w:cs="Arial"/>
          <w:color w:val="333333"/>
          <w:sz w:val="18"/>
          <w:szCs w:val="18"/>
        </w:rPr>
        <w:t> </w:t>
      </w:r>
      <w:r w:rsidRPr="009B78CE">
        <w:rPr>
          <w:rStyle w:val="Emphasis"/>
          <w:rFonts w:ascii="Arial" w:hAnsi="Arial" w:cs="Arial"/>
          <w:color w:val="333333"/>
          <w:sz w:val="18"/>
          <w:szCs w:val="18"/>
          <w:bdr w:val="none" w:sz="0" w:space="0" w:color="auto" w:frame="1"/>
        </w:rPr>
        <w:t>Property, Plant and Equipment</w:t>
      </w:r>
      <w:r w:rsidR="00CE0533">
        <w:rPr>
          <w:rStyle w:val="apple-converted-space"/>
          <w:rFonts w:ascii="Arial" w:hAnsi="Arial" w:cs="Arial"/>
          <w:color w:val="333333"/>
          <w:sz w:val="18"/>
          <w:szCs w:val="18"/>
        </w:rPr>
        <w:t xml:space="preserve"> </w:t>
      </w:r>
      <w:r w:rsidRPr="009B78CE">
        <w:rPr>
          <w:rFonts w:ascii="Arial" w:hAnsi="Arial" w:cs="Arial"/>
          <w:color w:val="333333"/>
          <w:sz w:val="18"/>
          <w:szCs w:val="18"/>
        </w:rPr>
        <w:t>or AASB 138</w:t>
      </w:r>
      <w:r w:rsidRPr="009B78CE">
        <w:rPr>
          <w:rStyle w:val="apple-converted-space"/>
          <w:rFonts w:ascii="Arial" w:hAnsi="Arial" w:cs="Arial"/>
          <w:color w:val="333333"/>
          <w:sz w:val="18"/>
          <w:szCs w:val="18"/>
        </w:rPr>
        <w:t> </w:t>
      </w:r>
      <w:r w:rsidRPr="009B78CE">
        <w:rPr>
          <w:rStyle w:val="Emphasis"/>
          <w:rFonts w:ascii="Arial" w:hAnsi="Arial" w:cs="Arial"/>
          <w:color w:val="333333"/>
          <w:sz w:val="18"/>
          <w:szCs w:val="18"/>
          <w:bdr w:val="none" w:sz="0" w:space="0" w:color="auto" w:frame="1"/>
        </w:rPr>
        <w:t>Intangible Assets</w:t>
      </w:r>
      <w:r w:rsidRPr="009B78CE">
        <w:rPr>
          <w:rFonts w:ascii="Arial" w:hAnsi="Arial" w:cs="Arial"/>
          <w:color w:val="333333"/>
          <w:sz w:val="18"/>
          <w:szCs w:val="18"/>
        </w:rPr>
        <w:t>, with any impairment recognised in accordance with AASB</w:t>
      </w:r>
      <w:r w:rsidR="00CE0533">
        <w:rPr>
          <w:rFonts w:ascii="Arial" w:hAnsi="Arial" w:cs="Arial"/>
          <w:color w:val="333333"/>
          <w:sz w:val="18"/>
          <w:szCs w:val="18"/>
        </w:rPr>
        <w:t> </w:t>
      </w:r>
      <w:r w:rsidRPr="009B78CE">
        <w:rPr>
          <w:rFonts w:ascii="Arial" w:hAnsi="Arial" w:cs="Arial"/>
          <w:color w:val="333333"/>
          <w:sz w:val="18"/>
          <w:szCs w:val="18"/>
        </w:rPr>
        <w:t>136</w:t>
      </w:r>
      <w:r w:rsidRPr="009B78CE">
        <w:rPr>
          <w:rStyle w:val="apple-converted-space"/>
          <w:rFonts w:ascii="Arial" w:hAnsi="Arial" w:cs="Arial"/>
          <w:color w:val="333333"/>
          <w:sz w:val="18"/>
          <w:szCs w:val="18"/>
        </w:rPr>
        <w:t> </w:t>
      </w:r>
      <w:r w:rsidRPr="009B78CE">
        <w:rPr>
          <w:rStyle w:val="Emphasis"/>
          <w:rFonts w:ascii="Arial" w:hAnsi="Arial" w:cs="Arial"/>
          <w:color w:val="333333"/>
          <w:sz w:val="18"/>
          <w:szCs w:val="18"/>
          <w:bdr w:val="none" w:sz="0" w:space="0" w:color="auto" w:frame="1"/>
        </w:rPr>
        <w:t>Impairment of Assets</w:t>
      </w:r>
      <w:r w:rsidRPr="009B78CE">
        <w:rPr>
          <w:rFonts w:ascii="Arial" w:hAnsi="Arial" w:cs="Arial"/>
          <w:color w:val="333333"/>
          <w:sz w:val="18"/>
          <w:szCs w:val="18"/>
        </w:rPr>
        <w:t>. The depreciation or amortisation expense is recognised over the asset’s useful life</w:t>
      </w:r>
      <w:r w:rsidR="00CE0533">
        <w:rPr>
          <w:rFonts w:ascii="Arial" w:hAnsi="Arial" w:cs="Arial"/>
          <w:color w:val="333333"/>
          <w:sz w:val="18"/>
          <w:szCs w:val="18"/>
        </w:rPr>
        <w:t xml:space="preserve"> rather than</w:t>
      </w:r>
      <w:r w:rsidRPr="009B78CE">
        <w:rPr>
          <w:rFonts w:ascii="Arial" w:hAnsi="Arial" w:cs="Arial"/>
          <w:color w:val="333333"/>
          <w:sz w:val="18"/>
          <w:szCs w:val="18"/>
        </w:rPr>
        <w:t xml:space="preserve"> the concession term. Where the grantor follows the revaluation model, fair value is determined using current replacement cost as the measure of fair value. Furthermore, for the duration of the arrangement, the act</w:t>
      </w:r>
      <w:r w:rsidR="00CE0533">
        <w:rPr>
          <w:rFonts w:ascii="Arial" w:hAnsi="Arial" w:cs="Arial"/>
          <w:color w:val="333333"/>
          <w:sz w:val="18"/>
          <w:szCs w:val="18"/>
        </w:rPr>
        <w:t>ive market requirements of AASB </w:t>
      </w:r>
      <w:r w:rsidRPr="009B78CE">
        <w:rPr>
          <w:rFonts w:ascii="Arial" w:hAnsi="Arial" w:cs="Arial"/>
          <w:color w:val="333333"/>
          <w:sz w:val="18"/>
          <w:szCs w:val="18"/>
        </w:rPr>
        <w:t>138 for revaluation of intangible assets do not apply.</w:t>
      </w:r>
    </w:p>
    <w:p w:rsidR="009B78CE" w:rsidRPr="009B78CE" w:rsidRDefault="009B78CE" w:rsidP="00292B4A">
      <w:r w:rsidRPr="009B78CE">
        <w:t>At the end of the service concession arrangement:</w:t>
      </w:r>
    </w:p>
    <w:p w:rsidR="009B78CE" w:rsidRPr="009B78CE" w:rsidRDefault="009B78CE" w:rsidP="00C22C11">
      <w:pPr>
        <w:pStyle w:val="Bullet1"/>
      </w:pPr>
      <w:r w:rsidRPr="009B78CE">
        <w:t xml:space="preserve">the grantor accounts for the asset in accordance with other </w:t>
      </w:r>
      <w:r w:rsidR="00CE0533">
        <w:t>a</w:t>
      </w:r>
      <w:r w:rsidRPr="009B78CE">
        <w:t xml:space="preserve">ccounting </w:t>
      </w:r>
      <w:r w:rsidR="00CE0533">
        <w:t>s</w:t>
      </w:r>
      <w:r w:rsidRPr="009B78CE">
        <w:t>tandards, with the grantor reclassifying the asset based on its nature or function</w:t>
      </w:r>
      <w:r w:rsidR="00CE0533">
        <w:t>;</w:t>
      </w:r>
    </w:p>
    <w:p w:rsidR="009B78CE" w:rsidRPr="009B78CE" w:rsidRDefault="009B78CE" w:rsidP="00292B4A">
      <w:pPr>
        <w:pStyle w:val="Bullet1"/>
      </w:pPr>
      <w:r w:rsidRPr="009B78CE">
        <w:t>reference to fair value reverts from the mandated curr</w:t>
      </w:r>
      <w:r w:rsidR="00CE0533">
        <w:t>ent replacement cost under AASB </w:t>
      </w:r>
      <w:r w:rsidRPr="009B78CE">
        <w:t>1059 to any of the approaches in AASB</w:t>
      </w:r>
      <w:r w:rsidR="00CE0533">
        <w:t> </w:t>
      </w:r>
      <w:r w:rsidRPr="009B78CE">
        <w:t>13</w:t>
      </w:r>
      <w:r w:rsidR="00CE0533">
        <w:t>;</w:t>
      </w:r>
      <w:r w:rsidRPr="009B78CE">
        <w:t xml:space="preserve"> and</w:t>
      </w:r>
    </w:p>
    <w:p w:rsidR="009B78CE" w:rsidRPr="009B78CE" w:rsidRDefault="009B78CE" w:rsidP="00C22C11">
      <w:pPr>
        <w:pStyle w:val="Bullet1"/>
      </w:pPr>
      <w:r w:rsidRPr="009B78CE">
        <w:t>the asset is only derecognised when the grantor loses control of the asset in accordance with AASB</w:t>
      </w:r>
      <w:r w:rsidR="00CE0533">
        <w:t> </w:t>
      </w:r>
      <w:r w:rsidRPr="009B78CE">
        <w:t>116 or AASB</w:t>
      </w:r>
      <w:r w:rsidR="00CE0533">
        <w:t> </w:t>
      </w:r>
      <w:r w:rsidRPr="009B78CE">
        <w:t>138 (and not necessarily at the end of the term of the service concession arrangement).</w:t>
      </w:r>
    </w:p>
    <w:p w:rsidR="009B78CE" w:rsidRPr="00292B4A" w:rsidRDefault="009B78CE" w:rsidP="00292B4A">
      <w:pPr>
        <w:pStyle w:val="Heading5"/>
        <w:rPr>
          <w:b/>
          <w:bCs/>
        </w:rPr>
      </w:pPr>
      <w:r w:rsidRPr="00292B4A">
        <w:lastRenderedPageBreak/>
        <w:t>Service concession liabilities</w:t>
      </w:r>
    </w:p>
    <w:p w:rsidR="009B78CE" w:rsidRPr="009B78CE" w:rsidRDefault="009B78CE" w:rsidP="009B78CE">
      <w:pPr>
        <w:pStyle w:val="NormalWeb"/>
        <w:shd w:val="clear" w:color="auto" w:fill="FFFFFF"/>
        <w:spacing w:before="105" w:beforeAutospacing="0" w:after="105" w:afterAutospacing="0"/>
        <w:textAlignment w:val="baseline"/>
        <w:rPr>
          <w:rFonts w:ascii="Arial" w:hAnsi="Arial" w:cs="Arial"/>
          <w:color w:val="333333"/>
          <w:sz w:val="18"/>
          <w:szCs w:val="18"/>
        </w:rPr>
      </w:pPr>
      <w:r w:rsidRPr="009B78CE">
        <w:rPr>
          <w:rFonts w:ascii="Arial" w:hAnsi="Arial" w:cs="Arial"/>
          <w:color w:val="333333"/>
          <w:sz w:val="18"/>
          <w:szCs w:val="18"/>
        </w:rPr>
        <w:t>The grantor recognises a liability relating to the service concession asset, except when the asset is an existing asset of the grantor, and no additional consideration is provided by the operator.</w:t>
      </w:r>
    </w:p>
    <w:p w:rsidR="009B78CE" w:rsidRDefault="009B78CE" w:rsidP="00A373FC">
      <w:pPr>
        <w:pStyle w:val="NormalWeb"/>
        <w:shd w:val="clear" w:color="auto" w:fill="FFFFFF"/>
        <w:spacing w:before="105" w:beforeAutospacing="0" w:after="240" w:afterAutospacing="0"/>
        <w:textAlignment w:val="baseline"/>
        <w:rPr>
          <w:rFonts w:ascii="Arial" w:hAnsi="Arial" w:cs="Arial"/>
          <w:color w:val="333333"/>
          <w:sz w:val="18"/>
          <w:szCs w:val="18"/>
        </w:rPr>
      </w:pPr>
      <w:r w:rsidRPr="009B78CE">
        <w:rPr>
          <w:rFonts w:ascii="Arial" w:hAnsi="Arial" w:cs="Arial"/>
          <w:color w:val="333333"/>
          <w:sz w:val="18"/>
          <w:szCs w:val="18"/>
        </w:rPr>
        <w:t xml:space="preserve">Depending on the nature of the consideration given to the operator, the grantor applies either the </w:t>
      </w:r>
      <w:r w:rsidR="00454F40">
        <w:rPr>
          <w:rFonts w:ascii="Arial" w:hAnsi="Arial" w:cs="Arial"/>
          <w:color w:val="333333"/>
          <w:sz w:val="18"/>
          <w:szCs w:val="18"/>
        </w:rPr>
        <w:t>‘</w:t>
      </w:r>
      <w:r w:rsidRPr="009B78CE">
        <w:rPr>
          <w:rFonts w:ascii="Arial" w:hAnsi="Arial" w:cs="Arial"/>
          <w:color w:val="333333"/>
          <w:sz w:val="18"/>
          <w:szCs w:val="18"/>
        </w:rPr>
        <w:t>financial liability</w:t>
      </w:r>
      <w:r w:rsidR="00454F40">
        <w:rPr>
          <w:rFonts w:ascii="Arial" w:hAnsi="Arial" w:cs="Arial"/>
          <w:color w:val="333333"/>
          <w:sz w:val="18"/>
          <w:szCs w:val="18"/>
        </w:rPr>
        <w:t>’</w:t>
      </w:r>
      <w:r w:rsidRPr="009B78CE">
        <w:rPr>
          <w:rFonts w:ascii="Arial" w:hAnsi="Arial" w:cs="Arial"/>
          <w:color w:val="333333"/>
          <w:sz w:val="18"/>
          <w:szCs w:val="18"/>
        </w:rPr>
        <w:t xml:space="preserve"> model or the </w:t>
      </w:r>
      <w:r w:rsidR="00454F40">
        <w:rPr>
          <w:rFonts w:ascii="Arial" w:hAnsi="Arial" w:cs="Arial"/>
          <w:color w:val="333333"/>
          <w:sz w:val="18"/>
          <w:szCs w:val="18"/>
        </w:rPr>
        <w:t>‘</w:t>
      </w:r>
      <w:r w:rsidRPr="009B78CE">
        <w:rPr>
          <w:rFonts w:ascii="Arial" w:hAnsi="Arial" w:cs="Arial"/>
          <w:color w:val="333333"/>
          <w:sz w:val="18"/>
          <w:szCs w:val="18"/>
        </w:rPr>
        <w:t>grant of right</w:t>
      </w:r>
      <w:r w:rsidR="00454F40">
        <w:rPr>
          <w:rFonts w:ascii="Arial" w:hAnsi="Arial" w:cs="Arial"/>
          <w:color w:val="333333"/>
          <w:sz w:val="18"/>
          <w:szCs w:val="18"/>
        </w:rPr>
        <w:t>’</w:t>
      </w:r>
      <w:r w:rsidRPr="009B78CE">
        <w:rPr>
          <w:rFonts w:ascii="Arial" w:hAnsi="Arial" w:cs="Arial"/>
          <w:color w:val="333333"/>
          <w:sz w:val="18"/>
          <w:szCs w:val="18"/>
        </w:rPr>
        <w:t xml:space="preserve"> model.</w:t>
      </w:r>
    </w:p>
    <w:p w:rsidR="009F54B4" w:rsidRDefault="00C54184" w:rsidP="00C54184">
      <w:pPr>
        <w:pStyle w:val="NormalWeb"/>
        <w:shd w:val="clear" w:color="auto" w:fill="FFFFFF"/>
        <w:spacing w:before="105" w:beforeAutospacing="0" w:after="105" w:afterAutospacing="0"/>
        <w:jc w:val="center"/>
        <w:textAlignment w:val="baseline"/>
        <w:rPr>
          <w:rFonts w:ascii="Arial" w:hAnsi="Arial" w:cs="Arial"/>
          <w:color w:val="333333"/>
          <w:sz w:val="18"/>
          <w:szCs w:val="18"/>
        </w:rPr>
      </w:pPr>
      <w:r w:rsidRPr="00C54184">
        <w:rPr>
          <w:rFonts w:ascii="Arial" w:hAnsi="Arial" w:cs="Arial"/>
          <w:noProof/>
          <w:color w:val="333333"/>
          <w:sz w:val="18"/>
          <w:szCs w:val="18"/>
        </w:rPr>
        <mc:AlternateContent>
          <mc:Choice Requires="wpg">
            <w:drawing>
              <wp:inline distT="0" distB="0" distL="0" distR="0">
                <wp:extent cx="4255720" cy="1777712"/>
                <wp:effectExtent l="0" t="0" r="0" b="0"/>
                <wp:docPr id="5" name="Group 21"/>
                <wp:cNvGraphicFramePr/>
                <a:graphic xmlns:a="http://schemas.openxmlformats.org/drawingml/2006/main">
                  <a:graphicData uri="http://schemas.microsoft.com/office/word/2010/wordprocessingGroup">
                    <wpg:wgp>
                      <wpg:cNvGrpSpPr/>
                      <wpg:grpSpPr>
                        <a:xfrm>
                          <a:off x="0" y="0"/>
                          <a:ext cx="4255720" cy="1777712"/>
                          <a:chOff x="0" y="0"/>
                          <a:chExt cx="4255720" cy="1777712"/>
                        </a:xfrm>
                      </wpg:grpSpPr>
                      <wps:wsp>
                        <wps:cNvPr id="9" name="Rounded Rectangle 9"/>
                        <wps:cNvSpPr/>
                        <wps:spPr>
                          <a:xfrm>
                            <a:off x="7248" y="0"/>
                            <a:ext cx="2088232" cy="432048"/>
                          </a:xfrm>
                          <a:prstGeom prst="round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4184" w:rsidRDefault="00C54184" w:rsidP="00C54184">
                              <w:pPr>
                                <w:pStyle w:val="NormalWeb"/>
                                <w:spacing w:before="0" w:beforeAutospacing="0" w:after="0" w:afterAutospacing="0"/>
                                <w:jc w:val="center"/>
                              </w:pPr>
                              <w:r>
                                <w:rPr>
                                  <w:rFonts w:asciiTheme="minorHAnsi" w:hAnsi="Arial" w:cstheme="minorBidi"/>
                                  <w:color w:val="000000" w:themeColor="text1"/>
                                  <w:kern w:val="24"/>
                                  <w:sz w:val="16"/>
                                  <w:szCs w:val="16"/>
                                </w:rPr>
                                <w:t xml:space="preserve">Operator receives specified or </w:t>
                              </w:r>
                              <w:r>
                                <w:rPr>
                                  <w:rFonts w:asciiTheme="minorHAnsi" w:hAnsi="Arial" w:cstheme="minorBidi"/>
                                  <w:color w:val="000000" w:themeColor="text1"/>
                                  <w:kern w:val="24"/>
                                  <w:sz w:val="16"/>
                                  <w:szCs w:val="16"/>
                                </w:rPr>
                                <w:br/>
                                <w:t>determinable amounts from the grantor*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ounded Rectangle 12"/>
                        <wps:cNvSpPr/>
                        <wps:spPr>
                          <a:xfrm>
                            <a:off x="2167488" y="0"/>
                            <a:ext cx="2088232" cy="432048"/>
                          </a:xfrm>
                          <a:prstGeom prst="round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4184" w:rsidRDefault="00C54184" w:rsidP="00C54184">
                              <w:pPr>
                                <w:pStyle w:val="NormalWeb"/>
                                <w:spacing w:before="0" w:beforeAutospacing="0" w:after="0" w:afterAutospacing="0"/>
                                <w:jc w:val="center"/>
                              </w:pPr>
                              <w:r>
                                <w:rPr>
                                  <w:rFonts w:asciiTheme="minorHAnsi" w:hAnsi="Arial" w:cstheme="minorBidi"/>
                                  <w:color w:val="000000" w:themeColor="text1"/>
                                  <w:kern w:val="24"/>
                                  <w:sz w:val="16"/>
                                  <w:szCs w:val="16"/>
                                </w:rPr>
                                <w:t>Grantor provides the operator with a right to charge users if the asset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 name="Rounded Rectangle 15"/>
                        <wps:cNvSpPr/>
                        <wps:spPr>
                          <a:xfrm>
                            <a:off x="7248" y="648072"/>
                            <a:ext cx="2088232" cy="432048"/>
                          </a:xfrm>
                          <a:prstGeom prst="round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4184" w:rsidRPr="00A373FC" w:rsidRDefault="00C54184" w:rsidP="00C54184">
                              <w:pPr>
                                <w:pStyle w:val="NormalWeb"/>
                                <w:spacing w:before="0" w:beforeAutospacing="0" w:after="0" w:afterAutospacing="0"/>
                                <w:jc w:val="center"/>
                                <w:rPr>
                                  <w:b/>
                                </w:rPr>
                              </w:pPr>
                              <w:r w:rsidRPr="00A373FC">
                                <w:rPr>
                                  <w:rFonts w:asciiTheme="minorHAnsi" w:hAnsi="Arial" w:cstheme="minorBidi"/>
                                  <w:b/>
                                  <w:color w:val="000000" w:themeColor="text1"/>
                                  <w:kern w:val="24"/>
                                  <w:sz w:val="16"/>
                                  <w:szCs w:val="16"/>
                                </w:rPr>
                                <w:t>Financial liability</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ounded Rectangle 17"/>
                        <wps:cNvSpPr/>
                        <wps:spPr>
                          <a:xfrm>
                            <a:off x="2167488" y="648072"/>
                            <a:ext cx="2088232" cy="432048"/>
                          </a:xfrm>
                          <a:prstGeom prst="round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4184" w:rsidRDefault="00C54184" w:rsidP="00C54184">
                              <w:pPr>
                                <w:pStyle w:val="NormalWeb"/>
                                <w:spacing w:before="0" w:beforeAutospacing="0" w:after="0" w:afterAutospacing="0"/>
                                <w:jc w:val="center"/>
                              </w:pPr>
                              <w:r w:rsidRPr="00A373FC">
                                <w:rPr>
                                  <w:rFonts w:asciiTheme="minorHAnsi" w:hAnsi="Arial" w:cstheme="minorBidi"/>
                                  <w:b/>
                                  <w:color w:val="000000" w:themeColor="text1"/>
                                  <w:kern w:val="24"/>
                                  <w:sz w:val="16"/>
                                  <w:szCs w:val="16"/>
                                </w:rPr>
                                <w:t>Grant of right liability</w:t>
                              </w:r>
                              <w:r>
                                <w:rPr>
                                  <w:rFonts w:asciiTheme="minorHAnsi" w:hAnsi="Arial" w:cstheme="minorBidi"/>
                                  <w:color w:val="000000" w:themeColor="text1"/>
                                  <w:kern w:val="24"/>
                                  <w:sz w:val="16"/>
                                  <w:szCs w:val="16"/>
                                </w:rPr>
                                <w:t xml:space="preserve"> – recognised </w:t>
                              </w:r>
                              <w:r>
                                <w:rPr>
                                  <w:rFonts w:asciiTheme="minorHAnsi" w:hAnsi="Arial" w:cstheme="minorBidi"/>
                                  <w:color w:val="000000" w:themeColor="text1"/>
                                  <w:kern w:val="24"/>
                                  <w:sz w:val="16"/>
                                  <w:szCs w:val="16"/>
                                </w:rPr>
                                <w:br/>
                                <w:t>as unearned portion of revenue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Rounded Rectangle 18"/>
                        <wps:cNvSpPr/>
                        <wps:spPr>
                          <a:xfrm>
                            <a:off x="0" y="1296144"/>
                            <a:ext cx="2088232" cy="481568"/>
                          </a:xfrm>
                          <a:prstGeom prst="round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4184" w:rsidRDefault="00C54184" w:rsidP="00C54184">
                              <w:pPr>
                                <w:pStyle w:val="NormalWeb"/>
                                <w:spacing w:before="0" w:beforeAutospacing="0" w:after="0" w:afterAutospacing="0"/>
                                <w:jc w:val="center"/>
                              </w:pPr>
                              <w:r>
                                <w:rPr>
                                  <w:rFonts w:asciiTheme="minorHAnsi" w:hAnsi="Arial" w:cstheme="minorBidi"/>
                                  <w:color w:val="000000" w:themeColor="text1"/>
                                  <w:kern w:val="24"/>
                                  <w:sz w:val="16"/>
                                  <w:szCs w:val="16"/>
                                </w:rPr>
                                <w:t xml:space="preserve">Recognise interest expense over </w:t>
                              </w:r>
                              <w:r>
                                <w:rPr>
                                  <w:rFonts w:asciiTheme="minorHAnsi" w:hAnsi="Arial" w:cstheme="minorBidi"/>
                                  <w:color w:val="000000" w:themeColor="text1"/>
                                  <w:kern w:val="24"/>
                                  <w:sz w:val="16"/>
                                  <w:szCs w:val="16"/>
                                </w:rPr>
                                <w:br/>
                                <w:t xml:space="preserve">the term of the concession period </w:t>
                              </w:r>
                              <w:r>
                                <w:rPr>
                                  <w:rFonts w:asciiTheme="minorHAnsi" w:hAnsi="Arial" w:cstheme="minorBidi"/>
                                  <w:color w:val="000000" w:themeColor="text1"/>
                                  <w:kern w:val="24"/>
                                  <w:sz w:val="16"/>
                                  <w:szCs w:val="16"/>
                                </w:rPr>
                                <w:br/>
                                <w:t>as payments are made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ounded Rectangle 19"/>
                        <wps:cNvSpPr/>
                        <wps:spPr>
                          <a:xfrm>
                            <a:off x="2160240" y="1296144"/>
                            <a:ext cx="2088232" cy="481568"/>
                          </a:xfrm>
                          <a:prstGeom prst="round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4184" w:rsidRDefault="00C54184" w:rsidP="00C54184">
                              <w:pPr>
                                <w:pStyle w:val="NormalWeb"/>
                                <w:spacing w:before="0" w:beforeAutospacing="0" w:after="0" w:afterAutospacing="0"/>
                                <w:jc w:val="center"/>
                              </w:pPr>
                              <w:r>
                                <w:rPr>
                                  <w:rFonts w:asciiTheme="minorHAnsi" w:hAnsi="Arial" w:cstheme="minorBidi"/>
                                  <w:color w:val="000000" w:themeColor="text1"/>
                                  <w:kern w:val="24"/>
                                  <w:sz w:val="16"/>
                                  <w:szCs w:val="16"/>
                                </w:rPr>
                                <w:t xml:space="preserve">Recognise revenue and reduce the </w:t>
                              </w:r>
                              <w:r>
                                <w:rPr>
                                  <w:rFonts w:asciiTheme="minorHAnsi" w:hAnsi="Arial" w:cstheme="minorBidi"/>
                                  <w:color w:val="000000" w:themeColor="text1"/>
                                  <w:kern w:val="24"/>
                                  <w:sz w:val="16"/>
                                  <w:szCs w:val="16"/>
                                </w:rPr>
                                <w:br/>
                                <w:t xml:space="preserve">liability according to economic substance </w:t>
                              </w:r>
                              <w:r>
                                <w:rPr>
                                  <w:rFonts w:asciiTheme="minorHAnsi" w:hAnsi="Arial" w:cstheme="minorBidi"/>
                                  <w:color w:val="000000" w:themeColor="text1"/>
                                  <w:kern w:val="24"/>
                                  <w:sz w:val="16"/>
                                  <w:szCs w:val="16"/>
                                </w:rPr>
                                <w:br/>
                                <w:t>of service concession arrangement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Down Arrow 20"/>
                        <wps:cNvSpPr/>
                        <wps:spPr>
                          <a:xfrm>
                            <a:off x="997358" y="432048"/>
                            <a:ext cx="108012" cy="216024"/>
                          </a:xfrm>
                          <a:prstGeom prst="downArrow">
                            <a:avLst/>
                          </a:prstGeom>
                          <a:solidFill>
                            <a:srgbClr val="5356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3157598" y="432048"/>
                            <a:ext cx="108012" cy="216024"/>
                          </a:xfrm>
                          <a:prstGeom prst="downArrow">
                            <a:avLst/>
                          </a:prstGeom>
                          <a:solidFill>
                            <a:srgbClr val="5356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Down Arrow 25"/>
                        <wps:cNvSpPr/>
                        <wps:spPr>
                          <a:xfrm>
                            <a:off x="990110" y="1076476"/>
                            <a:ext cx="108012" cy="216024"/>
                          </a:xfrm>
                          <a:prstGeom prst="downArrow">
                            <a:avLst/>
                          </a:prstGeom>
                          <a:solidFill>
                            <a:srgbClr val="5356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3150350" y="1080120"/>
                            <a:ext cx="108012" cy="216024"/>
                          </a:xfrm>
                          <a:prstGeom prst="downArrow">
                            <a:avLst/>
                          </a:prstGeom>
                          <a:solidFill>
                            <a:srgbClr val="5356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1" o:spid="_x0000_s1026" style="width:335.1pt;height:140pt;mso-position-horizontal-relative:char;mso-position-vertical-relative:line" coordsize="42557,1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">
                <v:roundrect id="Rounded Rectangle 9" o:spid="_x0000_s1027" style="position:absolute;left:72;width:2088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6JL8A&#10;AADaAAAADwAAAGRycy9kb3ducmV2LnhtbESPzarCMBSE9xd8h3AENxebqnDRahQRBZf+7g/Nsa02&#10;J6VJbX17Iwh3OczMN8xi1ZlSPKl2hWUFoygGQZxaXXCm4HLeDacgnEfWWFomBS9ysFr2fhaYaNvy&#10;kZ4nn4kAYZeggtz7KpHSpTkZdJGtiIN3s7VBH2SdSV1jG+CmlOM4/pMGCw4LOVa0ySl9nBqjYL2d&#10;PPC3bZpR1R6uh43zdC+0UoN+t56D8NT5//C3vdcKZvC5Em6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cXokvwAAANoAAAAPAAAAAAAAAAAAAAAAAJgCAABkcnMvZG93bnJl&#10;di54bWxQSwUGAAAAAAQABAD1AAAAhAMAAAAA&#10;" fillcolor="#c7d7e9 [1302]" stroked="f" strokeweight="2pt">
                  <v:textbox inset="0,0,0,0">
                    <w:txbxContent>
                      <w:p w:rsidR="00C54184" w:rsidRDefault="00C54184" w:rsidP="00C54184">
                        <w:pPr>
                          <w:pStyle w:val="NormalWeb"/>
                          <w:spacing w:before="0" w:beforeAutospacing="0" w:after="0" w:afterAutospacing="0"/>
                          <w:jc w:val="center"/>
                        </w:pPr>
                        <w:r>
                          <w:rPr>
                            <w:rFonts w:asciiTheme="minorHAnsi" w:hAnsi="Arial" w:cstheme="minorBidi"/>
                            <w:color w:val="000000" w:themeColor="text1"/>
                            <w:kern w:val="24"/>
                            <w:sz w:val="16"/>
                            <w:szCs w:val="16"/>
                          </w:rPr>
                          <w:t xml:space="preserve">Operator receives specified or </w:t>
                        </w:r>
                        <w:r>
                          <w:rPr>
                            <w:rFonts w:asciiTheme="minorHAnsi" w:hAnsi="Arial" w:cstheme="minorBidi"/>
                            <w:color w:val="000000" w:themeColor="text1"/>
                            <w:kern w:val="24"/>
                            <w:sz w:val="16"/>
                            <w:szCs w:val="16"/>
                          </w:rPr>
                          <w:br/>
                          <w:t>determinable amounts from the grantor*</w:t>
                        </w:r>
                      </w:p>
                    </w:txbxContent>
                  </v:textbox>
                </v:roundrect>
                <v:roundrect id="Rounded Rectangle 12" o:spid="_x0000_s1028" style="position:absolute;left:21674;width:20883;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nPrsA&#10;AADbAAAADwAAAGRycy9kb3ducmV2LnhtbERPSwrCMBDdC94hjOBGNFVBpBpFRMGl3/3QjG21mZQm&#10;tfX2RhDczeN9Z7luTSFeVLncsoLxKAJBnFidc6rgetkP5yCcR9ZYWCYFb3KwXnU7S4y1bfhEr7NP&#10;RQhhF6OCzPsyltIlGRl0I1sSB+5uK4M+wCqVusImhJtCTqJoJg3mHBoyLGmbUfI810bBZjd94qCp&#10;63HZHG/HrfP0yLVS/V67WYDw1Pq/+Oc+6DB/At9fwgFy9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cBJz67AAAA2wAAAA8AAAAAAAAAAAAAAAAAmAIAAGRycy9kb3ducmV2Lnht&#10;bFBLBQYAAAAABAAEAPUAAACAAwAAAAA=&#10;" fillcolor="#c7d7e9 [1302]" stroked="f" strokeweight="2pt">
                  <v:textbox inset="0,0,0,0">
                    <w:txbxContent>
                      <w:p w:rsidR="00C54184" w:rsidRDefault="00C54184" w:rsidP="00C54184">
                        <w:pPr>
                          <w:pStyle w:val="NormalWeb"/>
                          <w:spacing w:before="0" w:beforeAutospacing="0" w:after="0" w:afterAutospacing="0"/>
                          <w:jc w:val="center"/>
                        </w:pPr>
                        <w:r>
                          <w:rPr>
                            <w:rFonts w:asciiTheme="minorHAnsi" w:hAnsi="Arial" w:cstheme="minorBidi"/>
                            <w:color w:val="000000" w:themeColor="text1"/>
                            <w:kern w:val="24"/>
                            <w:sz w:val="16"/>
                            <w:szCs w:val="16"/>
                          </w:rPr>
                          <w:t>Grantor provides the operator with a right to charge users if the asset</w:t>
                        </w:r>
                      </w:p>
                    </w:txbxContent>
                  </v:textbox>
                </v:roundrect>
                <v:roundrect id="Rounded Rectangle 15" o:spid="_x0000_s1029" style="position:absolute;left:72;top:6480;width:20882;height:43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SsAA&#10;AADbAAAADwAAAGRycy9kb3ducmV2LnhtbERPTWuDQBC9B/oflinkEpo1CSnFZhWRBno0tr0P7lRt&#10;3Flx12j+fTcQyG0e73MO6Ww6caHBtZYVbNYRCOLK6pZrBd9fx5c3EM4ja+wsk4IrOUiTp8UBY20n&#10;PtGl9LUIIexiVNB438dSuqohg25te+LA/drBoA9wqKUecArhppPbKHqVBlsODQ32lDdUncvRKMg+&#10;dmdcTeO46afip8idp79WK7V8nrN3EJ5m/xDf3Z86zN/D7Zdw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i/SsAAAADbAAAADwAAAAAAAAAAAAAAAACYAgAAZHJzL2Rvd25y&#10;ZXYueG1sUEsFBgAAAAAEAAQA9QAAAIUDAAAAAA==&#10;" fillcolor="#c7d7e9 [1302]" stroked="f" strokeweight="2pt">
                  <v:textbox inset="0,0,0,0">
                    <w:txbxContent>
                      <w:p w:rsidR="00C54184" w:rsidRPr="00A373FC" w:rsidRDefault="00C54184" w:rsidP="00C54184">
                        <w:pPr>
                          <w:pStyle w:val="NormalWeb"/>
                          <w:spacing w:before="0" w:beforeAutospacing="0" w:after="0" w:afterAutospacing="0"/>
                          <w:jc w:val="center"/>
                          <w:rPr>
                            <w:b/>
                          </w:rPr>
                        </w:pPr>
                        <w:r w:rsidRPr="00A373FC">
                          <w:rPr>
                            <w:rFonts w:asciiTheme="minorHAnsi" w:hAnsi="Arial" w:cstheme="minorBidi"/>
                            <w:b/>
                            <w:color w:val="000000" w:themeColor="text1"/>
                            <w:kern w:val="24"/>
                            <w:sz w:val="16"/>
                            <w:szCs w:val="16"/>
                          </w:rPr>
                          <w:t>Financial liability</w:t>
                        </w:r>
                      </w:p>
                    </w:txbxContent>
                  </v:textbox>
                </v:roundrect>
                <v:roundrect id="Rounded Rectangle 17" o:spid="_x0000_s1030" style="position:absolute;left:21674;top:6480;width:20883;height:43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aEpsAA&#10;AADbAAAADwAAAGRycy9kb3ducmV2LnhtbERPTWuDQBC9B/oflinkEpo1CaTFZhWRBno0tr0P7lRt&#10;3Flx12j+fTcQyG0e73MO6Ww6caHBtZYVbNYRCOLK6pZrBd9fx5c3EM4ja+wsk4IrOUiTp8UBY20n&#10;PtGl9LUIIexiVNB438dSuqohg25te+LA/drBoA9wqKUecArhppPbKNpLgy2HhgZ7yhuqzuVoFGQf&#10;uzOupnHc9FPxU+TO01+rlVo+z9k7CE+zf4jv7k8d5r/C7Zdw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aEpsAAAADbAAAADwAAAAAAAAAAAAAAAACYAgAAZHJzL2Rvd25y&#10;ZXYueG1sUEsFBgAAAAAEAAQA9QAAAIUDAAAAAA==&#10;" fillcolor="#c7d7e9 [1302]" stroked="f" strokeweight="2pt">
                  <v:textbox inset="0,0,0,0">
                    <w:txbxContent>
                      <w:p w:rsidR="00C54184" w:rsidRDefault="00C54184" w:rsidP="00C54184">
                        <w:pPr>
                          <w:pStyle w:val="NormalWeb"/>
                          <w:spacing w:before="0" w:beforeAutospacing="0" w:after="0" w:afterAutospacing="0"/>
                          <w:jc w:val="center"/>
                        </w:pPr>
                        <w:r w:rsidRPr="00A373FC">
                          <w:rPr>
                            <w:rFonts w:asciiTheme="minorHAnsi" w:hAnsi="Arial" w:cstheme="minorBidi"/>
                            <w:b/>
                            <w:color w:val="000000" w:themeColor="text1"/>
                            <w:kern w:val="24"/>
                            <w:sz w:val="16"/>
                            <w:szCs w:val="16"/>
                          </w:rPr>
                          <w:t>Grant of right liability</w:t>
                        </w:r>
                        <w:r>
                          <w:rPr>
                            <w:rFonts w:asciiTheme="minorHAnsi" w:hAnsi="Arial" w:cstheme="minorBidi"/>
                            <w:color w:val="000000" w:themeColor="text1"/>
                            <w:kern w:val="24"/>
                            <w:sz w:val="16"/>
                            <w:szCs w:val="16"/>
                          </w:rPr>
                          <w:t xml:space="preserve"> – recognised </w:t>
                        </w:r>
                        <w:r>
                          <w:rPr>
                            <w:rFonts w:asciiTheme="minorHAnsi" w:hAnsi="Arial" w:cstheme="minorBidi"/>
                            <w:color w:val="000000" w:themeColor="text1"/>
                            <w:kern w:val="24"/>
                            <w:sz w:val="16"/>
                            <w:szCs w:val="16"/>
                          </w:rPr>
                          <w:br/>
                          <w:t>as unearned portion of revenue</w:t>
                        </w:r>
                      </w:p>
                    </w:txbxContent>
                  </v:textbox>
                </v:roundrect>
                <v:roundrect id="Rounded Rectangle 18" o:spid="_x0000_s1031" style="position:absolute;top:12961;width:20882;height:48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Q1MIA&#10;AADbAAAADwAAAGRycy9kb3ducmV2LnhtbESPQWvDMAyF74X9B6PCLmV1usIYWdwSwgY7pll7F7GW&#10;pI3lEDtN9u+nw2A3iff03qfsuLhe3WkMnWcDu20Cirj2tuPGwPnr4+kVVIjIFnvPZOCHAhwPD6sM&#10;U+tnPtG9io2SEA4pGmhjHFKtQ92Sw7D1A7Fo3350GGUdG21HnCXc9fo5SV60w46locWBipbqWzU5&#10;A/n7/oabeZp2w1xeyiJEunbWmMf1kr+BirTEf/Pf9acVfIGVX2QAf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6RDUwgAAANsAAAAPAAAAAAAAAAAAAAAAAJgCAABkcnMvZG93&#10;bnJldi54bWxQSwUGAAAAAAQABAD1AAAAhwMAAAAA&#10;" fillcolor="#c7d7e9 [1302]" stroked="f" strokeweight="2pt">
                  <v:textbox inset="0,0,0,0">
                    <w:txbxContent>
                      <w:p w:rsidR="00C54184" w:rsidRDefault="00C54184" w:rsidP="00C54184">
                        <w:pPr>
                          <w:pStyle w:val="NormalWeb"/>
                          <w:spacing w:before="0" w:beforeAutospacing="0" w:after="0" w:afterAutospacing="0"/>
                          <w:jc w:val="center"/>
                        </w:pPr>
                        <w:r>
                          <w:rPr>
                            <w:rFonts w:asciiTheme="minorHAnsi" w:hAnsi="Arial" w:cstheme="minorBidi"/>
                            <w:color w:val="000000" w:themeColor="text1"/>
                            <w:kern w:val="24"/>
                            <w:sz w:val="16"/>
                            <w:szCs w:val="16"/>
                          </w:rPr>
                          <w:t xml:space="preserve">Recognise interest expense over </w:t>
                        </w:r>
                        <w:r>
                          <w:rPr>
                            <w:rFonts w:asciiTheme="minorHAnsi" w:hAnsi="Arial" w:cstheme="minorBidi"/>
                            <w:color w:val="000000" w:themeColor="text1"/>
                            <w:kern w:val="24"/>
                            <w:sz w:val="16"/>
                            <w:szCs w:val="16"/>
                          </w:rPr>
                          <w:br/>
                          <w:t xml:space="preserve">the term of the concession period </w:t>
                        </w:r>
                        <w:r>
                          <w:rPr>
                            <w:rFonts w:asciiTheme="minorHAnsi" w:hAnsi="Arial" w:cstheme="minorBidi"/>
                            <w:color w:val="000000" w:themeColor="text1"/>
                            <w:kern w:val="24"/>
                            <w:sz w:val="16"/>
                            <w:szCs w:val="16"/>
                          </w:rPr>
                          <w:br/>
                          <w:t>as payments are made</w:t>
                        </w:r>
                      </w:p>
                    </w:txbxContent>
                  </v:textbox>
                </v:roundrect>
                <v:roundrect id="Rounded Rectangle 19" o:spid="_x0000_s1032" style="position:absolute;left:21602;top:12961;width:20882;height:48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1T8AA&#10;AADbAAAADwAAAGRycy9kb3ducmV2LnhtbERPTWuDQBC9B/oflinkEpo1CYTWZhWRBno0tr0P7lRt&#10;3Flx12j+fTcQyG0e73MO6Ww6caHBtZYVbNYRCOLK6pZrBd9fx5dXEM4ja+wsk4IrOUiTp8UBY20n&#10;PtGl9LUIIexiVNB438dSuqohg25te+LA/drBoA9wqKUecArhppPbKNpLgy2HhgZ7yhuqzuVoFGQf&#10;uzOupnHc9FPxU+TO01+rlVo+z9k7CE+zf4jv7k8d5r/B7Zdw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W1T8AAAADbAAAADwAAAAAAAAAAAAAAAACYAgAAZHJzL2Rvd25y&#10;ZXYueG1sUEsFBgAAAAAEAAQA9QAAAIUDAAAAAA==&#10;" fillcolor="#c7d7e9 [1302]" stroked="f" strokeweight="2pt">
                  <v:textbox inset="0,0,0,0">
                    <w:txbxContent>
                      <w:p w:rsidR="00C54184" w:rsidRDefault="00C54184" w:rsidP="00C54184">
                        <w:pPr>
                          <w:pStyle w:val="NormalWeb"/>
                          <w:spacing w:before="0" w:beforeAutospacing="0" w:after="0" w:afterAutospacing="0"/>
                          <w:jc w:val="center"/>
                        </w:pPr>
                        <w:r>
                          <w:rPr>
                            <w:rFonts w:asciiTheme="minorHAnsi" w:hAnsi="Arial" w:cstheme="minorBidi"/>
                            <w:color w:val="000000" w:themeColor="text1"/>
                            <w:kern w:val="24"/>
                            <w:sz w:val="16"/>
                            <w:szCs w:val="16"/>
                          </w:rPr>
                          <w:t xml:space="preserve">Recognise revenue and reduce the </w:t>
                        </w:r>
                        <w:r>
                          <w:rPr>
                            <w:rFonts w:asciiTheme="minorHAnsi" w:hAnsi="Arial" w:cstheme="minorBidi"/>
                            <w:color w:val="000000" w:themeColor="text1"/>
                            <w:kern w:val="24"/>
                            <w:sz w:val="16"/>
                            <w:szCs w:val="16"/>
                          </w:rPr>
                          <w:br/>
                          <w:t xml:space="preserve">liability according to economic substance </w:t>
                        </w:r>
                        <w:r>
                          <w:rPr>
                            <w:rFonts w:asciiTheme="minorHAnsi" w:hAnsi="Arial" w:cstheme="minorBidi"/>
                            <w:color w:val="000000" w:themeColor="text1"/>
                            <w:kern w:val="24"/>
                            <w:sz w:val="16"/>
                            <w:szCs w:val="16"/>
                          </w:rPr>
                          <w:br/>
                          <w:t>of service concession arrangement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33" type="#_x0000_t67" style="position:absolute;left:9973;top:4320;width:108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kBsAA&#10;AADbAAAADwAAAGRycy9kb3ducmV2LnhtbERPTWsCMRC9F/ofwhS8lJoorchqlFIQvNmq1OuwGXeD&#10;m8myievaX985FHp8vO/legiN6qlLPrKFydiAIi6j81xZOB42L3NQKSM7bCKThTslWK8eH5ZYuHjj&#10;L+r3uVISwqlAC3XObaF1KmsKmMaxJRbuHLuAWWBXadfhTcJDo6fGzHRAz9JQY0sfNZWX/TVIyclP&#10;5rNTSq+X593P99un0b031o6ehvcFqExD/hf/ubfOwlTWyxf5AXr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fkBsAAAADbAAAADwAAAAAAAAAAAAAAAACYAgAAZHJzL2Rvd25y&#10;ZXYueG1sUEsFBgAAAAAEAAQA9QAAAIUDAAAAAA==&#10;" fillcolor="#53565a" stroked="f" strokeweight="2pt"/>
                <v:shape id="Down Arrow 21" o:spid="_x0000_s1034" type="#_x0000_t67" style="position:absolute;left:31575;top:4320;width:108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BncMA&#10;AADbAAAADwAAAGRycy9kb3ducmV2LnhtbESPX2vCMBTF3wf7DuEKvoyZVDaRrlHGQPDNTUVfL821&#10;DW1uSpPV6qdfBoM9Hs6fH6dYj64VA/XBetaQzRQI4tIby5WG42HzvAQRIrLB1jNpuFGA9erxocDc&#10;+Ct/0bCPlUgjHHLUUMfY5VKGsiaHYeY74uRdfO8wJtlX0vR4TeOulXOlFtKh5USosaOPmspm/+0S&#10;5Gyz5eIcwkvztLufXj+VHKzSejoZ399ARBrjf/ivvTUa5h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tBncMAAADbAAAADwAAAAAAAAAAAAAAAACYAgAAZHJzL2Rv&#10;d25yZXYueG1sUEsFBgAAAAAEAAQA9QAAAIgDAAAAAA==&#10;" fillcolor="#53565a" stroked="f" strokeweight="2pt"/>
                <v:shape id="Down Arrow 25" o:spid="_x0000_s1035" type="#_x0000_t67" style="position:absolute;left:9901;top:10764;width:1080;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nsIA&#10;AADbAAAADwAAAGRycy9kb3ducmV2LnhtbESPS2sCMRSF9wX/Q7hCN6Umig4yGqUUhO7qi7q9TK4z&#10;wcnNMInjtL++EQSXh/P4OMt172rRURusZw3jkQJBXHhjudRwPGze5yBCRDZYeyYNvxRgvRq8LDE3&#10;/sY76vaxFGmEQ44aqhibXMpQVOQwjHxDnLyzbx3GJNtSmhZvadzVcqJUJh1aToQKG/qsqLjsry5B&#10;TnY8z04hTC9v338/s62SnVVavw77jwWISH18hh/tL6NhMoP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EeewgAAANsAAAAPAAAAAAAAAAAAAAAAAJgCAABkcnMvZG93&#10;bnJldi54bWxQSwUGAAAAAAQABAD1AAAAhwMAAAAA&#10;" fillcolor="#53565a" stroked="f" strokeweight="2pt"/>
                <v:shape id="Down Arrow 26" o:spid="_x0000_s1036" type="#_x0000_t67" style="position:absolute;left:31503;top:10801;width:108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Z6cMA&#10;AADbAAAADwAAAGRycy9kb3ducmV2LnhtbESPS2sCMRSF9wX/Q7hCN0UTxQ4yGkUKgrvWB7q9TK4z&#10;wcnNMEnHaX99IwhdHs7j4yzXvatFR22wnjVMxgoEceGN5VLD6bgdzUGEiGyw9kwafijAejV4WWJu&#10;/J331B1iKdIIhxw1VDE2uZShqMhhGPuGOHlX3zqMSbalNC3e07ir5VSpTDq0nAgVNvRRUXE7fLsE&#10;udjJPLuEMLu9ff6e37+U7KzS+nXYbxYgIvXxP/xs74yGaQaP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LZ6cMAAADbAAAADwAAAAAAAAAAAAAAAACYAgAAZHJzL2Rv&#10;d25yZXYueG1sUEsFBgAAAAAEAAQA9QAAAIgDAAAAAA==&#10;" fillcolor="#53565a" stroked="f" strokeweight="2pt"/>
                <w10:anchorlock/>
              </v:group>
            </w:pict>
          </mc:Fallback>
        </mc:AlternateContent>
      </w:r>
    </w:p>
    <w:p w:rsidR="009B78CE" w:rsidRPr="009B78CE" w:rsidRDefault="009B78CE" w:rsidP="00A373FC">
      <w:pPr>
        <w:pStyle w:val="Heading5"/>
        <w:spacing w:before="320"/>
        <w:rPr>
          <w:b/>
          <w:bCs/>
        </w:rPr>
      </w:pPr>
      <w:r w:rsidRPr="009B78CE">
        <w:t>Transition requirements</w:t>
      </w:r>
    </w:p>
    <w:p w:rsidR="009B78CE" w:rsidRPr="009B78CE" w:rsidRDefault="009B78CE" w:rsidP="009B78CE">
      <w:pPr>
        <w:pStyle w:val="NormalWeb"/>
        <w:shd w:val="clear" w:color="auto" w:fill="FFFFFF"/>
        <w:spacing w:before="105" w:beforeAutospacing="0" w:after="105" w:afterAutospacing="0"/>
        <w:textAlignment w:val="baseline"/>
        <w:rPr>
          <w:rFonts w:ascii="Arial" w:hAnsi="Arial" w:cs="Arial"/>
          <w:color w:val="333333"/>
          <w:sz w:val="18"/>
          <w:szCs w:val="18"/>
        </w:rPr>
      </w:pPr>
      <w:r w:rsidRPr="009B78CE">
        <w:rPr>
          <w:rFonts w:ascii="Arial" w:hAnsi="Arial" w:cs="Arial"/>
          <w:color w:val="333333"/>
          <w:sz w:val="18"/>
          <w:szCs w:val="18"/>
        </w:rPr>
        <w:t>An entity may choose to adopt the new standard either:</w:t>
      </w:r>
    </w:p>
    <w:p w:rsidR="00CE0533" w:rsidRDefault="009B78CE" w:rsidP="00C22C11">
      <w:pPr>
        <w:pStyle w:val="Bullet1"/>
        <w:rPr>
          <w:rStyle w:val="apple-converted-space"/>
          <w:rFonts w:ascii="Arial" w:hAnsi="Arial" w:cs="Arial"/>
          <w:color w:val="333333"/>
          <w:szCs w:val="18"/>
        </w:rPr>
      </w:pPr>
      <w:r w:rsidRPr="009B78CE">
        <w:t>fully retrospectively to each prior period</w:t>
      </w:r>
      <w:r w:rsidR="00CE0533">
        <w:t>;</w:t>
      </w:r>
      <w:r w:rsidRPr="009B78CE">
        <w:t xml:space="preserve"> or</w:t>
      </w:r>
      <w:r w:rsidRPr="009B78CE">
        <w:rPr>
          <w:rStyle w:val="apple-converted-space"/>
          <w:rFonts w:ascii="Arial" w:hAnsi="Arial" w:cs="Arial"/>
          <w:color w:val="333333"/>
          <w:szCs w:val="18"/>
        </w:rPr>
        <w:t> </w:t>
      </w:r>
    </w:p>
    <w:p w:rsidR="009B78CE" w:rsidRPr="009B78CE" w:rsidRDefault="009B78CE" w:rsidP="00C22C11">
      <w:pPr>
        <w:pStyle w:val="Bullet1"/>
      </w:pPr>
      <w:r w:rsidRPr="009B78CE">
        <w:t>by recognising and measuring the service concession assets and related liabilities at the date of initial application (DIA). The DIA is the beginning of the earliest period for which comparative information is presented in the financial statements.</w:t>
      </w:r>
    </w:p>
    <w:p w:rsidR="00CF461D" w:rsidRPr="009B78CE" w:rsidRDefault="003827FA" w:rsidP="00BC08E2">
      <w:pPr>
        <w:rPr>
          <w:szCs w:val="18"/>
        </w:rPr>
      </w:pPr>
      <w:r>
        <w:rPr>
          <w:szCs w:val="18"/>
        </w:rPr>
        <w:t xml:space="preserve">A series for working group meetings </w:t>
      </w:r>
      <w:r w:rsidR="005E582D">
        <w:rPr>
          <w:szCs w:val="18"/>
        </w:rPr>
        <w:t>were</w:t>
      </w:r>
      <w:r>
        <w:rPr>
          <w:szCs w:val="18"/>
        </w:rPr>
        <w:t xml:space="preserve"> held in June </w:t>
      </w:r>
      <w:r w:rsidR="00420A7F">
        <w:rPr>
          <w:szCs w:val="18"/>
        </w:rPr>
        <w:t xml:space="preserve">2018 with relevant stakeholders </w:t>
      </w:r>
      <w:r>
        <w:rPr>
          <w:szCs w:val="18"/>
        </w:rPr>
        <w:t xml:space="preserve">as part of the Accounting Standards implementation project. </w:t>
      </w:r>
    </w:p>
    <w:p w:rsidR="00BC08E2" w:rsidRPr="00851105" w:rsidRDefault="007D08B0" w:rsidP="0024195A">
      <w:pPr>
        <w:pStyle w:val="Heading3"/>
      </w:pPr>
      <w:r w:rsidRPr="00851105">
        <w:t>AASB </w:t>
      </w:r>
      <w:r w:rsidR="003E5201" w:rsidRPr="00851105">
        <w:t xml:space="preserve">17 </w:t>
      </w:r>
      <w:r w:rsidR="00BC08E2" w:rsidRPr="00851105">
        <w:rPr>
          <w:i/>
        </w:rPr>
        <w:t>Insurance contracts</w:t>
      </w:r>
      <w:r w:rsidR="00641E8A" w:rsidRPr="00851105">
        <w:rPr>
          <w:i/>
        </w:rPr>
        <w:t xml:space="preserve"> </w:t>
      </w:r>
    </w:p>
    <w:p w:rsidR="003E5201" w:rsidRPr="00851105" w:rsidRDefault="007D08B0" w:rsidP="00292B4A">
      <w:r w:rsidRPr="00851105">
        <w:t>AASB </w:t>
      </w:r>
      <w:r w:rsidR="003E5201" w:rsidRPr="00851105">
        <w:t xml:space="preserve">17 </w:t>
      </w:r>
      <w:r w:rsidR="003E5201" w:rsidRPr="00851105">
        <w:rPr>
          <w:i/>
        </w:rPr>
        <w:t>Insurance Contracts</w:t>
      </w:r>
      <w:r w:rsidR="003E5201" w:rsidRPr="00851105">
        <w:t xml:space="preserve"> </w:t>
      </w:r>
      <w:r w:rsidR="00D71052">
        <w:t xml:space="preserve">was issued </w:t>
      </w:r>
      <w:r w:rsidR="003E5201" w:rsidRPr="00851105">
        <w:t>in July 2017, fully incorporating the international standard IFRS</w:t>
      </w:r>
      <w:r w:rsidR="004C09A3">
        <w:t> </w:t>
      </w:r>
      <w:r w:rsidR="003E5201" w:rsidRPr="00851105">
        <w:t>4</w:t>
      </w:r>
      <w:r w:rsidR="00F74EC8" w:rsidRPr="00851105">
        <w:t>,</w:t>
      </w:r>
      <w:r w:rsidR="003E5201" w:rsidRPr="00851105">
        <w:t xml:space="preserve"> which was issued as an interim standard pending completion of a comprehensive standard.</w:t>
      </w:r>
      <w:r w:rsidR="00D71052">
        <w:t xml:space="preserve"> </w:t>
      </w:r>
      <w:r w:rsidR="003E5201" w:rsidRPr="00851105">
        <w:t xml:space="preserve">The new </w:t>
      </w:r>
      <w:r w:rsidR="00743CA1" w:rsidRPr="00851105">
        <w:t xml:space="preserve">Australian </w:t>
      </w:r>
      <w:r w:rsidR="003E5201" w:rsidRPr="00851105">
        <w:t xml:space="preserve">standard is effective for annual reporting </w:t>
      </w:r>
      <w:r w:rsidR="004C09A3">
        <w:t>periods beginning on or after 1 </w:t>
      </w:r>
      <w:r w:rsidR="003E5201" w:rsidRPr="00851105">
        <w:t>January 2021.</w:t>
      </w:r>
    </w:p>
    <w:p w:rsidR="005A4CE3" w:rsidRDefault="003E5201" w:rsidP="003E5201">
      <w:r w:rsidRPr="00851105">
        <w:t xml:space="preserve">The issue in applying </w:t>
      </w:r>
      <w:r w:rsidR="007D08B0" w:rsidRPr="00851105">
        <w:t>AASB </w:t>
      </w:r>
      <w:r w:rsidRPr="00851105">
        <w:t xml:space="preserve">17 in the public sector is whether </w:t>
      </w:r>
      <w:r w:rsidR="007D08B0" w:rsidRPr="00851105">
        <w:t>AASB </w:t>
      </w:r>
      <w:r w:rsidRPr="00851105">
        <w:t>17 would appropriately capture all schemes with economically similar insurance risk, once it is applicable to not</w:t>
      </w:r>
      <w:r w:rsidR="00314CE6" w:rsidRPr="00851105">
        <w:noBreakHyphen/>
      </w:r>
      <w:r w:rsidRPr="00851105">
        <w:t>for</w:t>
      </w:r>
      <w:r w:rsidR="00314CE6" w:rsidRPr="00851105">
        <w:noBreakHyphen/>
      </w:r>
      <w:r w:rsidRPr="00851105">
        <w:t>profit public sector entities, ensuring there is no understatement of insurance liabilities.</w:t>
      </w:r>
    </w:p>
    <w:p w:rsidR="005A4CE3" w:rsidRDefault="005A4CE3" w:rsidP="005A4CE3">
      <w:r>
        <w:t>At its August 2016 meeting, the Board decided that it will clarify the scope of the forthcoming new AASB insurance standard for public sector entities, to ensure similar activities are treated similarly. The Board asked staff to:</w:t>
      </w:r>
    </w:p>
    <w:p w:rsidR="005A4CE3" w:rsidRDefault="005A4CE3" w:rsidP="00DB2F5C">
      <w:pPr>
        <w:pStyle w:val="Bullet1"/>
      </w:pPr>
      <w:r>
        <w:t>conduct more thorough outreach through HoTARAC members and with the affected entities directly; and</w:t>
      </w:r>
    </w:p>
    <w:p w:rsidR="005A4CE3" w:rsidRDefault="005A4CE3" w:rsidP="00292B4A">
      <w:pPr>
        <w:pStyle w:val="Bullet1"/>
      </w:pPr>
      <w:r>
        <w:t xml:space="preserve">prepare a possible exposure draft that would make proposals about the types of arrangements to be accounted for using insurance standards, which would be intended to take effect under the forthcoming AASB standard. </w:t>
      </w:r>
    </w:p>
    <w:p w:rsidR="005A4CE3" w:rsidRDefault="005A4CE3" w:rsidP="005A4CE3">
      <w:r>
        <w:t xml:space="preserve">The Board noted </w:t>
      </w:r>
      <w:r w:rsidR="004C09A3">
        <w:t xml:space="preserve">that </w:t>
      </w:r>
      <w:r>
        <w:t xml:space="preserve">there may be a need to address the interaction of the likely contract boundary and onerous contract requirements. If the impact of the forthcoming new AASB insurance standard would be to require public sector insurers to account for some subgroups of annual contracts as if they were long-term (possibly perpetual) contracts using the ‘general model’ for liability measurement, there should be a public sector-specific paragraph to avoid this consequence. The Board asked staff to draft a relevant paragraph in case it is needed. </w:t>
      </w:r>
    </w:p>
    <w:p w:rsidR="005A4CE3" w:rsidRDefault="005A4CE3" w:rsidP="005A4CE3">
      <w:r>
        <w:t>The Board also noted that similar issues around the interaction of the likely contract boundary and onerous contract requirements may arise for health insurers because of the Australian regulatory regime of ‘community rating’.</w:t>
      </w:r>
    </w:p>
    <w:p w:rsidR="00A14C3E" w:rsidRPr="00BF63B2" w:rsidRDefault="00A14C3E" w:rsidP="00A14C3E">
      <w:pPr>
        <w:pStyle w:val="Heading2"/>
        <w:spacing w:before="180"/>
      </w:pPr>
      <w:r>
        <w:lastRenderedPageBreak/>
        <w:t xml:space="preserve">Accounting Standards </w:t>
      </w:r>
      <w:r w:rsidR="00EE0CD4">
        <w:t>p</w:t>
      </w:r>
      <w:r>
        <w:t xml:space="preserve">roject </w:t>
      </w:r>
      <w:r w:rsidR="00EE0CD4">
        <w:t>i</w:t>
      </w:r>
      <w:r>
        <w:t xml:space="preserve">mplementation </w:t>
      </w:r>
      <w:r w:rsidR="00EE0CD4">
        <w:t>s</w:t>
      </w:r>
      <w:r>
        <w:t>tatus</w:t>
      </w:r>
    </w:p>
    <w:p w:rsidR="00A14C3E" w:rsidRDefault="00A14C3E" w:rsidP="00292B4A">
      <w:pPr>
        <w:rPr>
          <w:b/>
          <w:bCs/>
        </w:rPr>
      </w:pPr>
      <w:r w:rsidRPr="001671BA">
        <w:t>As previously advised</w:t>
      </w:r>
      <w:r>
        <w:t>, a</w:t>
      </w:r>
      <w:r w:rsidRPr="006A5B8B">
        <w:t>ll departments and the</w:t>
      </w:r>
      <w:r w:rsidR="00B846E3">
        <w:t>ir</w:t>
      </w:r>
      <w:r w:rsidRPr="006A5B8B">
        <w:t xml:space="preserve"> portfolio agencies will be required to submit </w:t>
      </w:r>
      <w:r w:rsidR="003E4AEE">
        <w:t>updated</w:t>
      </w:r>
      <w:r w:rsidRPr="006A5B8B">
        <w:t xml:space="preserve"> data templates</w:t>
      </w:r>
      <w:r>
        <w:t xml:space="preserve"> reflecting the above suite of new accounting standards applicable from 2019-20 </w:t>
      </w:r>
      <w:r w:rsidRPr="006A5B8B">
        <w:t>by December 2018 in preparation for the</w:t>
      </w:r>
      <w:r>
        <w:t xml:space="preserve"> coming</w:t>
      </w:r>
      <w:r w:rsidRPr="006A5B8B">
        <w:t xml:space="preserve"> 2019-20 budget.</w:t>
      </w:r>
    </w:p>
    <w:p w:rsidR="003E4AEE" w:rsidRDefault="003E4AEE" w:rsidP="00292B4A">
      <w:r>
        <w:t xml:space="preserve">Initial data submissions for Departments and material entities were submitted in November and revised in early March. The next data submission which will include all portfolio entities and agencies consolidated to the Whole of State, is </w:t>
      </w:r>
      <w:r w:rsidRPr="0000324C">
        <w:rPr>
          <w:b/>
        </w:rPr>
        <w:t xml:space="preserve">due </w:t>
      </w:r>
      <w:r w:rsidR="00B846E3">
        <w:rPr>
          <w:b/>
        </w:rPr>
        <w:t xml:space="preserve">18 </w:t>
      </w:r>
      <w:r w:rsidRPr="0000324C">
        <w:rPr>
          <w:b/>
        </w:rPr>
        <w:t>August</w:t>
      </w:r>
      <w:r>
        <w:t xml:space="preserve"> to DTF. The </w:t>
      </w:r>
      <w:r w:rsidR="00EE0CD4">
        <w:t>d</w:t>
      </w:r>
      <w:r>
        <w:t>epartments may require an earlier submission of data in order to present a fully consolidated and reviewed position to DTF.</w:t>
      </w:r>
      <w:r w:rsidR="008530A9" w:rsidRPr="008530A9">
        <w:t xml:space="preserve"> </w:t>
      </w:r>
      <w:r w:rsidR="008530A9">
        <w:t xml:space="preserve">We encourage you to check with your </w:t>
      </w:r>
      <w:r w:rsidR="00EE0CD4">
        <w:t>d</w:t>
      </w:r>
      <w:r w:rsidR="008530A9">
        <w:t>epartmental finance teams for timing for providing the information</w:t>
      </w:r>
      <w:r w:rsidR="00454F40">
        <w:t xml:space="preserve">. </w:t>
      </w:r>
    </w:p>
    <w:p w:rsidR="008530A9" w:rsidRDefault="008530A9" w:rsidP="003E4AEE">
      <w:r>
        <w:t>DTF is in the process of developing series of policy papers and guidance materials to assist in the implementation of the new accounting standards</w:t>
      </w:r>
      <w:r w:rsidR="00B846E3">
        <w:t xml:space="preserve"> in line with the indicative time lines below</w:t>
      </w:r>
      <w:r>
        <w:t>.</w:t>
      </w:r>
    </w:p>
    <w:p w:rsidR="00A14C3E" w:rsidRPr="009D0264" w:rsidRDefault="00A14C3E" w:rsidP="00A14C3E">
      <w:pPr>
        <w:pStyle w:val="TableHeading"/>
        <w:rPr>
          <w:sz w:val="18"/>
          <w:szCs w:val="18"/>
        </w:rPr>
      </w:pPr>
      <w:r>
        <w:rPr>
          <w:sz w:val="18"/>
          <w:szCs w:val="18"/>
        </w:rPr>
        <w:t>P</w:t>
      </w:r>
      <w:r w:rsidRPr="009D0264">
        <w:rPr>
          <w:sz w:val="18"/>
          <w:szCs w:val="18"/>
        </w:rPr>
        <w:t xml:space="preserve">roject timelines </w:t>
      </w:r>
      <w:r>
        <w:rPr>
          <w:sz w:val="18"/>
          <w:szCs w:val="18"/>
        </w:rPr>
        <w:t>for n</w:t>
      </w:r>
      <w:r w:rsidRPr="009D0264">
        <w:rPr>
          <w:sz w:val="18"/>
          <w:szCs w:val="18"/>
        </w:rPr>
        <w:t xml:space="preserve">ew </w:t>
      </w:r>
      <w:r>
        <w:rPr>
          <w:sz w:val="18"/>
          <w:szCs w:val="18"/>
        </w:rPr>
        <w:t>S</w:t>
      </w:r>
      <w:r w:rsidRPr="009D0264">
        <w:rPr>
          <w:sz w:val="18"/>
          <w:szCs w:val="18"/>
        </w:rPr>
        <w:t>tandards i</w:t>
      </w:r>
      <w:r>
        <w:rPr>
          <w:sz w:val="18"/>
          <w:szCs w:val="18"/>
        </w:rPr>
        <w:t>mplementation</w:t>
      </w:r>
    </w:p>
    <w:p w:rsidR="00A14C3E" w:rsidRPr="001C40FB" w:rsidRDefault="00A14C3E" w:rsidP="00A14C3E">
      <w:r w:rsidRPr="00292B4A">
        <w:rPr>
          <w:noProof/>
          <w:color w:val="53565A"/>
        </w:rPr>
        <w:drawing>
          <wp:inline distT="0" distB="0" distL="0" distR="0" wp14:anchorId="59F3453C" wp14:editId="64B3F572">
            <wp:extent cx="5734050" cy="19431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14C3E" w:rsidRPr="00AC3226" w:rsidRDefault="00A14C3E" w:rsidP="00A14C3E">
      <w:pPr>
        <w:pStyle w:val="Heading3"/>
      </w:pPr>
      <w:r w:rsidRPr="00851105">
        <w:t xml:space="preserve">AASB 15 </w:t>
      </w:r>
      <w:r w:rsidRPr="00851105">
        <w:rPr>
          <w:i/>
        </w:rPr>
        <w:t xml:space="preserve">Revenue from Contracts with Customers </w:t>
      </w:r>
      <w:r w:rsidRPr="00851105">
        <w:t xml:space="preserve">and AASB 1058 </w:t>
      </w:r>
      <w:r w:rsidRPr="00851105">
        <w:rPr>
          <w:i/>
        </w:rPr>
        <w:t>Income of Not</w:t>
      </w:r>
      <w:r w:rsidRPr="00851105">
        <w:rPr>
          <w:i/>
        </w:rPr>
        <w:noBreakHyphen/>
        <w:t>for</w:t>
      </w:r>
      <w:r w:rsidRPr="00851105">
        <w:rPr>
          <w:i/>
        </w:rPr>
        <w:noBreakHyphen/>
        <w:t>Profit Entities</w:t>
      </w:r>
      <w:r w:rsidRPr="00AC3226">
        <w:t>)</w:t>
      </w:r>
    </w:p>
    <w:p w:rsidR="00A14C3E" w:rsidRDefault="00A14C3E" w:rsidP="00A14C3E">
      <w:r w:rsidRPr="00612997">
        <w:t xml:space="preserve">In preparation </w:t>
      </w:r>
      <w:r>
        <w:t>f</w:t>
      </w:r>
      <w:r w:rsidR="00B846E3">
        <w:t>or</w:t>
      </w:r>
      <w:r>
        <w:t xml:space="preserve"> </w:t>
      </w:r>
      <w:r w:rsidR="00B846E3">
        <w:t>briefings</w:t>
      </w:r>
      <w:r>
        <w:t xml:space="preserve"> and </w:t>
      </w:r>
      <w:r w:rsidR="00B846E3">
        <w:t>the 2019-20 Budget,</w:t>
      </w:r>
      <w:r>
        <w:t xml:space="preserve"> a departmental working group meeting was held at the end of June 2018. The agenda for the meeting covered a debrief of the preliminary data submission process and sought to identify issues and challenges in assessing the impact of the changes arising from the new revenue standards. This forms the basis for identifying any changes that entities may need to address in complying with the requirements of the accounting standards. DTF also covered the series of policy papers and guidance it will be developing as part of the project plan.</w:t>
      </w:r>
    </w:p>
    <w:p w:rsidR="00A14C3E" w:rsidRPr="00AC3226" w:rsidRDefault="00A14C3E" w:rsidP="00A14C3E">
      <w:pPr>
        <w:pStyle w:val="Heading3"/>
      </w:pPr>
      <w:r w:rsidRPr="00851105">
        <w:t xml:space="preserve">AASB 16 </w:t>
      </w:r>
      <w:r w:rsidR="00292B4A">
        <w:rPr>
          <w:i/>
        </w:rPr>
        <w:t>Leases</w:t>
      </w:r>
    </w:p>
    <w:p w:rsidR="00A14C3E" w:rsidRDefault="00A14C3E" w:rsidP="00A14C3E">
      <w:r>
        <w:t xml:space="preserve">The differences to note between the initial data submission request and the request due now, are the following: </w:t>
      </w:r>
    </w:p>
    <w:p w:rsidR="00A14C3E" w:rsidRDefault="00EE0CD4" w:rsidP="00A14C3E">
      <w:pPr>
        <w:pStyle w:val="Bullet1"/>
      </w:pPr>
      <w:r>
        <w:t>t</w:t>
      </w:r>
      <w:r w:rsidR="00A14C3E">
        <w:t xml:space="preserve">he data collection will be based on the 30 June 2018 position, </w:t>
      </w:r>
    </w:p>
    <w:p w:rsidR="00A14C3E" w:rsidRDefault="00EE0CD4" w:rsidP="00A14C3E">
      <w:pPr>
        <w:pStyle w:val="Bullet1"/>
      </w:pPr>
      <w:r>
        <w:t>a</w:t>
      </w:r>
      <w:r w:rsidR="00A14C3E">
        <w:t>n updated incremental borrowing rate will be required, and an updated TCV calculation tool and revised margin will be provided to the Departmental Finance Teams by the first week of July,</w:t>
      </w:r>
    </w:p>
    <w:p w:rsidR="00A14C3E" w:rsidRDefault="00EE0CD4" w:rsidP="00A14C3E">
      <w:pPr>
        <w:pStyle w:val="Bullet1"/>
      </w:pPr>
      <w:r>
        <w:t>t</w:t>
      </w:r>
      <w:r w:rsidR="00A14C3E">
        <w:t>he display of information to be collected into Estimated Financial Statement (EFS) years being; 2019</w:t>
      </w:r>
      <w:r w:rsidR="00A14C3E">
        <w:noBreakHyphen/>
        <w:t>20, 2020</w:t>
      </w:r>
      <w:r w:rsidR="00A14C3E">
        <w:noBreakHyphen/>
        <w:t>21, 2021</w:t>
      </w:r>
      <w:r w:rsidR="00A14C3E">
        <w:noBreakHyphen/>
        <w:t>22, 2022</w:t>
      </w:r>
      <w:r w:rsidR="00A14C3E">
        <w:noBreakHyphen/>
        <w:t>23 for both balance sheet and profit and loss impacts,</w:t>
      </w:r>
    </w:p>
    <w:p w:rsidR="00A14C3E" w:rsidRDefault="00EE0CD4" w:rsidP="00A14C3E">
      <w:pPr>
        <w:pStyle w:val="Bullet1"/>
      </w:pPr>
      <w:r>
        <w:t>i</w:t>
      </w:r>
      <w:r w:rsidR="00A14C3E">
        <w:t>dentification of peppercorn leases,</w:t>
      </w:r>
    </w:p>
    <w:p w:rsidR="00A14C3E" w:rsidRDefault="00EE0CD4" w:rsidP="00A14C3E">
      <w:pPr>
        <w:pStyle w:val="Bullet1"/>
      </w:pPr>
      <w:r>
        <w:t>i</w:t>
      </w:r>
      <w:r w:rsidR="00A14C3E">
        <w:t>dentification and quantification of ‘right of use’ assets contained in service contracts,</w:t>
      </w:r>
    </w:p>
    <w:p w:rsidR="00A14C3E" w:rsidRDefault="00EE0CD4" w:rsidP="00A14C3E">
      <w:pPr>
        <w:pStyle w:val="Bullet1"/>
      </w:pPr>
      <w:r>
        <w:t>i</w:t>
      </w:r>
      <w:r w:rsidR="00A14C3E">
        <w:t>dentification, flagging and elimination of intra-entity and inter-entity leases,</w:t>
      </w:r>
    </w:p>
    <w:p w:rsidR="00A14C3E" w:rsidRDefault="00EE0CD4" w:rsidP="00A14C3E">
      <w:pPr>
        <w:pStyle w:val="Bullet1"/>
      </w:pPr>
      <w:r>
        <w:t>r</w:t>
      </w:r>
      <w:r w:rsidR="00A14C3E">
        <w:t>equirement to submit a lease amortisation sheet data for every lease (excluding bundles) as support with your submission</w:t>
      </w:r>
      <w:r>
        <w:t>;</w:t>
      </w:r>
      <w:r w:rsidR="00A14C3E">
        <w:t xml:space="preserve"> and </w:t>
      </w:r>
    </w:p>
    <w:p w:rsidR="00A14C3E" w:rsidRDefault="00EE0CD4" w:rsidP="00A14C3E">
      <w:pPr>
        <w:pStyle w:val="Bullet1"/>
      </w:pPr>
      <w:r>
        <w:t>r</w:t>
      </w:r>
      <w:r w:rsidR="00A14C3E">
        <w:t xml:space="preserve">equirement to reconcile your submission to your commitments note. </w:t>
      </w:r>
    </w:p>
    <w:p w:rsidR="00A14C3E" w:rsidRDefault="00A14C3E" w:rsidP="00A14C3E">
      <w:r>
        <w:t xml:space="preserve">For those departments and entities that have Shared Service Provider (SSP) accommodation leases, this information will be supplied by the SSP </w:t>
      </w:r>
      <w:r w:rsidR="00B846E3">
        <w:t>in</w:t>
      </w:r>
      <w:r>
        <w:t xml:space="preserve"> July (in line with the new TCV calculation tool).</w:t>
      </w:r>
    </w:p>
    <w:p w:rsidR="00A14C3E" w:rsidRDefault="00A14C3E" w:rsidP="00A14C3E">
      <w:r>
        <w:lastRenderedPageBreak/>
        <w:t xml:space="preserve">Departments have a deadline of 18 August and will be responsible for ensuring the data is representative of the expected financial impacts. </w:t>
      </w:r>
    </w:p>
    <w:p w:rsidR="00BC08E2" w:rsidRPr="00851105" w:rsidRDefault="00BC08E2" w:rsidP="0024195A">
      <w:pPr>
        <w:pStyle w:val="Heading1"/>
      </w:pPr>
      <w:bookmarkStart w:id="16" w:name="_Toc519255630"/>
      <w:r w:rsidRPr="00851105">
        <w:t>VAGO communication</w:t>
      </w:r>
      <w:bookmarkEnd w:id="16"/>
    </w:p>
    <w:p w:rsidR="00BC08E2" w:rsidRPr="00851105" w:rsidRDefault="0024195A" w:rsidP="0024195A">
      <w:pPr>
        <w:pStyle w:val="Heading2"/>
      </w:pPr>
      <w:r w:rsidRPr="00851105">
        <w:t xml:space="preserve">Key </w:t>
      </w:r>
      <w:r w:rsidR="000E13EE" w:rsidRPr="00851105">
        <w:t>audit matters</w:t>
      </w:r>
    </w:p>
    <w:p w:rsidR="00AA5A64" w:rsidRPr="007535AA" w:rsidRDefault="00AA5A64" w:rsidP="00292B4A">
      <w:pPr>
        <w:rPr>
          <w:rFonts w:eastAsia="Times New Roman"/>
        </w:rPr>
      </w:pPr>
      <w:r w:rsidRPr="007535AA">
        <w:rPr>
          <w:rFonts w:eastAsia="Times New Roman"/>
        </w:rPr>
        <w:t xml:space="preserve">VAGO is continuing its staged implementation approach to the voluntary adoption </w:t>
      </w:r>
      <w:r w:rsidR="006A5AF9">
        <w:rPr>
          <w:rFonts w:eastAsia="Times New Roman"/>
        </w:rPr>
        <w:t>of ASA </w:t>
      </w:r>
      <w:r w:rsidRPr="007535AA">
        <w:rPr>
          <w:rFonts w:eastAsia="Times New Roman"/>
        </w:rPr>
        <w:t xml:space="preserve">701 </w:t>
      </w:r>
      <w:r w:rsidRPr="007535AA">
        <w:rPr>
          <w:rFonts w:eastAsia="Times New Roman"/>
          <w:i/>
          <w:iCs/>
        </w:rPr>
        <w:t xml:space="preserve">Communicating Key Audit Matters in the Independent Auditor's Report </w:t>
      </w:r>
      <w:r w:rsidRPr="007535AA">
        <w:rPr>
          <w:rFonts w:eastAsia="Times New Roman"/>
          <w:iCs/>
        </w:rPr>
        <w:t>(KAMs)</w:t>
      </w:r>
      <w:r w:rsidRPr="007535AA">
        <w:rPr>
          <w:rFonts w:eastAsia="Times New Roman"/>
        </w:rPr>
        <w:t xml:space="preserve">. </w:t>
      </w:r>
    </w:p>
    <w:p w:rsidR="00AA5A64" w:rsidRPr="007535AA" w:rsidRDefault="00AA5A64" w:rsidP="00AA5A64">
      <w:pPr>
        <w:rPr>
          <w:rFonts w:ascii="Arial" w:eastAsia="Times New Roman" w:hAnsi="Arial" w:cs="Times New Roman"/>
        </w:rPr>
      </w:pPr>
      <w:r w:rsidRPr="007535AA">
        <w:rPr>
          <w:rFonts w:ascii="Arial" w:eastAsia="Times New Roman" w:hAnsi="Arial" w:cs="Times New Roman"/>
        </w:rPr>
        <w:t>KAMs are, in the auditor’s professional judgement, those matters identified as being of most significance in the audit of the financial statements for the period.</w:t>
      </w:r>
    </w:p>
    <w:p w:rsidR="00AA5A64" w:rsidRPr="007535AA" w:rsidRDefault="00AA5A64" w:rsidP="00AA5A64">
      <w:pPr>
        <w:rPr>
          <w:rFonts w:ascii="Arial" w:eastAsia="Times New Roman" w:hAnsi="Arial" w:cs="Times New Roman"/>
        </w:rPr>
      </w:pPr>
      <w:r w:rsidRPr="007535AA">
        <w:rPr>
          <w:rFonts w:ascii="Arial" w:eastAsia="Times New Roman" w:hAnsi="Arial" w:cs="Times New Roman"/>
        </w:rPr>
        <w:t>The KAM section of the audit report includes:</w:t>
      </w:r>
    </w:p>
    <w:p w:rsidR="00AA5A64" w:rsidRPr="007535AA" w:rsidRDefault="00AA5A64" w:rsidP="00C22C11">
      <w:pPr>
        <w:pStyle w:val="Bullet1"/>
      </w:pPr>
      <w:r w:rsidRPr="007535AA">
        <w:t xml:space="preserve">a brief </w:t>
      </w:r>
      <w:r w:rsidRPr="007535AA">
        <w:rPr>
          <w:rFonts w:cs="Times New Roman"/>
        </w:rPr>
        <w:t>description</w:t>
      </w:r>
      <w:r w:rsidRPr="007535AA">
        <w:t xml:space="preserve"> of the key audit matters; </w:t>
      </w:r>
    </w:p>
    <w:p w:rsidR="00AA5A64" w:rsidRPr="007535AA" w:rsidRDefault="00AA5A64" w:rsidP="00C22C11">
      <w:pPr>
        <w:pStyle w:val="Bullet1"/>
      </w:pPr>
      <w:r w:rsidRPr="007535AA">
        <w:t xml:space="preserve">why VAGO considered them to be a key audit matter; and </w:t>
      </w:r>
    </w:p>
    <w:p w:rsidR="00AA5A64" w:rsidRPr="007535AA" w:rsidRDefault="00AA5A64" w:rsidP="00C22C11">
      <w:pPr>
        <w:pStyle w:val="Bullet1"/>
      </w:pPr>
      <w:r w:rsidRPr="007535AA">
        <w:t xml:space="preserve">what key procedures have been performed to address the matter. </w:t>
      </w:r>
    </w:p>
    <w:p w:rsidR="00AA5A64" w:rsidRPr="007535AA" w:rsidRDefault="00AA5A64" w:rsidP="00AA5A64">
      <w:pPr>
        <w:rPr>
          <w:rFonts w:ascii="Arial" w:eastAsia="Times New Roman" w:hAnsi="Arial" w:cs="Times New Roman"/>
        </w:rPr>
      </w:pPr>
      <w:r w:rsidRPr="007535AA">
        <w:rPr>
          <w:rFonts w:ascii="Arial" w:eastAsia="Times New Roman" w:hAnsi="Arial" w:cs="Times New Roman"/>
        </w:rPr>
        <w:t xml:space="preserve">VAGO is implementing this process during 2017-18 by: </w:t>
      </w:r>
    </w:p>
    <w:p w:rsidR="00AA5A64" w:rsidRPr="007535AA" w:rsidRDefault="00AA5A64" w:rsidP="00C22C11">
      <w:pPr>
        <w:pStyle w:val="Bullet1"/>
      </w:pPr>
      <w:r w:rsidRPr="007535AA">
        <w:t>disclosing KAMs in the independent auditor's report for the State of Victoria;</w:t>
      </w:r>
    </w:p>
    <w:p w:rsidR="00AA5A64" w:rsidRPr="007535AA" w:rsidRDefault="00AA5A64" w:rsidP="00C22C11">
      <w:pPr>
        <w:pStyle w:val="Bullet1"/>
      </w:pPr>
      <w:r w:rsidRPr="007535AA">
        <w:t>reporting KAMs in the independent auditor's report of all departments and those material and other entities that were selected in 2016-17 to report KAM</w:t>
      </w:r>
      <w:r>
        <w:t>s</w:t>
      </w:r>
      <w:r w:rsidRPr="007535AA">
        <w:t xml:space="preserve"> in their closing reports; and </w:t>
      </w:r>
    </w:p>
    <w:p w:rsidR="00AA5A64" w:rsidRPr="00B142A5" w:rsidRDefault="00AA5A64" w:rsidP="00C22C11">
      <w:pPr>
        <w:pStyle w:val="Bullet1"/>
      </w:pPr>
      <w:r w:rsidRPr="007535AA">
        <w:t xml:space="preserve">reporting KAMs in selected additional entities in their closing report. </w:t>
      </w:r>
    </w:p>
    <w:p w:rsidR="00AA5A64" w:rsidRDefault="00AA5A64" w:rsidP="00292B4A">
      <w:r w:rsidRPr="00E31BD4">
        <w:t>If you would like any further information, please speak to your VAGO engagement leade</w:t>
      </w:r>
      <w:r>
        <w:t>r.</w:t>
      </w:r>
    </w:p>
    <w:p w:rsidR="004F5DA0" w:rsidRPr="00851105" w:rsidRDefault="00D93838" w:rsidP="0024195A">
      <w:pPr>
        <w:pStyle w:val="Heading2"/>
      </w:pPr>
      <w:r w:rsidRPr="00851105">
        <w:t xml:space="preserve">Data Analytics </w:t>
      </w:r>
      <w:r w:rsidR="00EE0CD4">
        <w:t>s</w:t>
      </w:r>
      <w:r w:rsidR="004F5DA0" w:rsidRPr="00851105">
        <w:t>trategy</w:t>
      </w:r>
    </w:p>
    <w:p w:rsidR="00AA5A64" w:rsidRPr="007535AA" w:rsidRDefault="00AA5A64" w:rsidP="00292B4A">
      <w:r>
        <w:t xml:space="preserve">VAGO have </w:t>
      </w:r>
      <w:r w:rsidRPr="007535AA">
        <w:t xml:space="preserve">established a Data Analytics business unit which is responsible for identifying and implementing improvements to the way in which data is collected, analysed and interpreted. </w:t>
      </w:r>
      <w:r w:rsidR="00831FA5">
        <w:t>The aim is</w:t>
      </w:r>
      <w:r w:rsidRPr="007535AA">
        <w:t xml:space="preserve"> to:</w:t>
      </w:r>
    </w:p>
    <w:p w:rsidR="00AA5A64" w:rsidRPr="007535AA" w:rsidRDefault="00831FA5" w:rsidP="00C22C11">
      <w:pPr>
        <w:pStyle w:val="Bullet1"/>
      </w:pPr>
      <w:r>
        <w:t xml:space="preserve">further </w:t>
      </w:r>
      <w:r w:rsidR="00AA5A64" w:rsidRPr="007535AA">
        <w:t>streamline</w:t>
      </w:r>
      <w:r w:rsidR="00E3381F">
        <w:t xml:space="preserve"> </w:t>
      </w:r>
      <w:r w:rsidR="003D0455">
        <w:t>data</w:t>
      </w:r>
      <w:r w:rsidR="00AA5A64" w:rsidRPr="007535AA">
        <w:t xml:space="preserve"> collection on audits of financial reports; and</w:t>
      </w:r>
    </w:p>
    <w:p w:rsidR="00AA5A64" w:rsidRPr="007535AA" w:rsidRDefault="00831FA5" w:rsidP="00292B4A">
      <w:pPr>
        <w:pStyle w:val="Bullet1"/>
      </w:pPr>
      <w:r>
        <w:t xml:space="preserve">improve </w:t>
      </w:r>
      <w:r w:rsidR="00AA5A64" w:rsidRPr="007535AA">
        <w:t>the quality of</w:t>
      </w:r>
      <w:r w:rsidR="00AA5A64">
        <w:t xml:space="preserve"> the</w:t>
      </w:r>
      <w:r w:rsidR="00AA5A64" w:rsidRPr="007535AA">
        <w:t xml:space="preserve"> insights that </w:t>
      </w:r>
      <w:r w:rsidR="00E3381F">
        <w:t>can be</w:t>
      </w:r>
      <w:r w:rsidR="00AA5A64">
        <w:t xml:space="preserve"> </w:t>
      </w:r>
      <w:r w:rsidR="00AA5A64" w:rsidRPr="007535AA">
        <w:t>provide</w:t>
      </w:r>
      <w:r w:rsidR="00E3381F">
        <w:t>d</w:t>
      </w:r>
      <w:r w:rsidR="00AA5A64" w:rsidRPr="007535AA">
        <w:t xml:space="preserve"> to </w:t>
      </w:r>
      <w:r w:rsidR="00AA5A64">
        <w:t>audit</w:t>
      </w:r>
      <w:r w:rsidR="00AA5A64" w:rsidRPr="007535AA">
        <w:t xml:space="preserve"> clients and other </w:t>
      </w:r>
      <w:r w:rsidR="003D0455">
        <w:t xml:space="preserve">VAGO </w:t>
      </w:r>
      <w:r w:rsidR="00AA5A64" w:rsidRPr="007535AA">
        <w:t>stakeholders.</w:t>
      </w:r>
    </w:p>
    <w:p w:rsidR="00AA5A64" w:rsidRPr="007535AA" w:rsidRDefault="00AA5A64" w:rsidP="00292B4A">
      <w:r w:rsidRPr="007535AA">
        <w:t xml:space="preserve">VAGO is currently implementing the </w:t>
      </w:r>
      <w:r w:rsidR="00EE0CD4">
        <w:t>five</w:t>
      </w:r>
      <w:r w:rsidRPr="007535AA">
        <w:t xml:space="preserve">-year data analytics strategy for audits. An initial pilot for 2017-18 is ongoing across a targeted and small selection of audit clients and includes streamlining </w:t>
      </w:r>
      <w:r w:rsidR="003D0455">
        <w:t>of</w:t>
      </w:r>
      <w:r w:rsidRPr="007535AA">
        <w:t xml:space="preserve"> data collection </w:t>
      </w:r>
      <w:r>
        <w:t xml:space="preserve">processes </w:t>
      </w:r>
      <w:r w:rsidRPr="00E31BD4">
        <w:t xml:space="preserve">to ensure that the data feeding </w:t>
      </w:r>
      <w:r w:rsidR="00991C6F">
        <w:t xml:space="preserve">into </w:t>
      </w:r>
      <w:r w:rsidR="00991C6F" w:rsidRPr="00E31BD4">
        <w:t>analytics</w:t>
      </w:r>
      <w:r w:rsidRPr="00E31BD4">
        <w:t xml:space="preserve"> </w:t>
      </w:r>
      <w:r w:rsidRPr="00E31BD4">
        <w:rPr>
          <w:noProof/>
        </w:rPr>
        <w:drawing>
          <wp:anchor distT="0" distB="0" distL="114300" distR="114300" simplePos="0" relativeHeight="251659264" behindDoc="0" locked="0" layoutInCell="1" allowOverlap="1" wp14:anchorId="648E4D08" wp14:editId="422E1555">
            <wp:simplePos x="0" y="0"/>
            <wp:positionH relativeFrom="column">
              <wp:posOffset>-770851</wp:posOffset>
            </wp:positionH>
            <wp:positionV relativeFrom="paragraph">
              <wp:posOffset>43779776</wp:posOffset>
            </wp:positionV>
            <wp:extent cx="2527712" cy="970521"/>
            <wp:effectExtent l="0" t="0" r="635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712" cy="97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1BD4">
        <w:rPr>
          <w:noProof/>
        </w:rPr>
        <w:drawing>
          <wp:anchor distT="0" distB="0" distL="114300" distR="114300" simplePos="0" relativeHeight="251660288" behindDoc="0" locked="0" layoutInCell="1" allowOverlap="1" wp14:anchorId="7CF52728" wp14:editId="63EC1C18">
            <wp:simplePos x="0" y="0"/>
            <wp:positionH relativeFrom="column">
              <wp:posOffset>-770851</wp:posOffset>
            </wp:positionH>
            <wp:positionV relativeFrom="paragraph">
              <wp:posOffset>43779776</wp:posOffset>
            </wp:positionV>
            <wp:extent cx="2527712" cy="970521"/>
            <wp:effectExtent l="0" t="0" r="635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712" cy="97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1BD4">
        <w:rPr>
          <w:noProof/>
        </w:rPr>
        <w:drawing>
          <wp:anchor distT="0" distB="0" distL="114300" distR="114300" simplePos="0" relativeHeight="251661312" behindDoc="0" locked="0" layoutInCell="1" allowOverlap="1" wp14:anchorId="73FEBA94" wp14:editId="0E48B542">
            <wp:simplePos x="0" y="0"/>
            <wp:positionH relativeFrom="column">
              <wp:posOffset>-770851</wp:posOffset>
            </wp:positionH>
            <wp:positionV relativeFrom="paragraph">
              <wp:posOffset>43779776</wp:posOffset>
            </wp:positionV>
            <wp:extent cx="2527712" cy="970521"/>
            <wp:effectExtent l="0" t="0" r="635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712" cy="97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1BD4">
        <w:rPr>
          <w:noProof/>
        </w:rPr>
        <w:drawing>
          <wp:anchor distT="0" distB="0" distL="114300" distR="114300" simplePos="0" relativeHeight="251662336" behindDoc="0" locked="0" layoutInCell="1" allowOverlap="1" wp14:anchorId="165E5143" wp14:editId="3B60383A">
            <wp:simplePos x="0" y="0"/>
            <wp:positionH relativeFrom="column">
              <wp:posOffset>-770851</wp:posOffset>
            </wp:positionH>
            <wp:positionV relativeFrom="paragraph">
              <wp:posOffset>43779776</wp:posOffset>
            </wp:positionV>
            <wp:extent cx="2527712" cy="970521"/>
            <wp:effectExtent l="0" t="0" r="635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712" cy="97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1BD4">
        <w:rPr>
          <w:noProof/>
        </w:rPr>
        <w:drawing>
          <wp:anchor distT="0" distB="0" distL="114300" distR="114300" simplePos="0" relativeHeight="251663360" behindDoc="0" locked="0" layoutInCell="1" allowOverlap="1" wp14:anchorId="7559EE72" wp14:editId="161D8267">
            <wp:simplePos x="0" y="0"/>
            <wp:positionH relativeFrom="column">
              <wp:posOffset>-770851</wp:posOffset>
            </wp:positionH>
            <wp:positionV relativeFrom="paragraph">
              <wp:posOffset>43779776</wp:posOffset>
            </wp:positionV>
            <wp:extent cx="2527712" cy="970521"/>
            <wp:effectExtent l="0" t="0" r="635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712" cy="97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1BD4">
        <w:rPr>
          <w:noProof/>
        </w:rPr>
        <w:drawing>
          <wp:anchor distT="0" distB="0" distL="114300" distR="114300" simplePos="0" relativeHeight="251664384" behindDoc="0" locked="0" layoutInCell="1" allowOverlap="1" wp14:anchorId="05206DFB" wp14:editId="4827F160">
            <wp:simplePos x="0" y="0"/>
            <wp:positionH relativeFrom="column">
              <wp:posOffset>-770851</wp:posOffset>
            </wp:positionH>
            <wp:positionV relativeFrom="paragraph">
              <wp:posOffset>43779776</wp:posOffset>
            </wp:positionV>
            <wp:extent cx="2527712" cy="970521"/>
            <wp:effectExtent l="0" t="0" r="635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712" cy="97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1BD4">
        <w:rPr>
          <w:noProof/>
        </w:rPr>
        <w:drawing>
          <wp:anchor distT="0" distB="0" distL="114300" distR="114300" simplePos="0" relativeHeight="251665408" behindDoc="0" locked="0" layoutInCell="1" allowOverlap="1" wp14:anchorId="3F63DCBF" wp14:editId="7518624D">
            <wp:simplePos x="0" y="0"/>
            <wp:positionH relativeFrom="column">
              <wp:posOffset>-770851</wp:posOffset>
            </wp:positionH>
            <wp:positionV relativeFrom="paragraph">
              <wp:posOffset>43779776</wp:posOffset>
            </wp:positionV>
            <wp:extent cx="2527712" cy="970521"/>
            <wp:effectExtent l="0" t="0" r="635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712" cy="97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1BD4">
        <w:rPr>
          <w:noProof/>
        </w:rPr>
        <w:drawing>
          <wp:anchor distT="0" distB="0" distL="114300" distR="114300" simplePos="0" relativeHeight="251666432" behindDoc="0" locked="0" layoutInCell="1" allowOverlap="1" wp14:anchorId="438018C9" wp14:editId="2443B7C1">
            <wp:simplePos x="0" y="0"/>
            <wp:positionH relativeFrom="column">
              <wp:posOffset>-770851</wp:posOffset>
            </wp:positionH>
            <wp:positionV relativeFrom="paragraph">
              <wp:posOffset>43779776</wp:posOffset>
            </wp:positionV>
            <wp:extent cx="2527712" cy="970521"/>
            <wp:effectExtent l="0" t="0" r="635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712" cy="97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1BD4">
        <w:t xml:space="preserve">procedures and dashboards is complete and up to date. </w:t>
      </w:r>
      <w:r w:rsidR="003D0455">
        <w:t>VAGO</w:t>
      </w:r>
      <w:r w:rsidRPr="00E31BD4">
        <w:t xml:space="preserve"> will also be building dashboards that provide better insights </w:t>
      </w:r>
      <w:r w:rsidR="003D0455">
        <w:t>into</w:t>
      </w:r>
      <w:r w:rsidRPr="00E31BD4">
        <w:t xml:space="preserve"> </w:t>
      </w:r>
      <w:r w:rsidR="003D0455">
        <w:t>their</w:t>
      </w:r>
      <w:r w:rsidRPr="00E31BD4">
        <w:t xml:space="preserve"> audits</w:t>
      </w:r>
      <w:r w:rsidRPr="007535AA">
        <w:t xml:space="preserve">. VAGO will continue to engage with the selected departments and agencies on this pilot and on the data analytics plan for 2018-19. </w:t>
      </w:r>
    </w:p>
    <w:p w:rsidR="00AA5A64" w:rsidRDefault="00AA5A64" w:rsidP="00AA5A64">
      <w:pPr>
        <w:rPr>
          <w:rFonts w:ascii="Arial" w:hAnsi="Arial" w:cs="Arial"/>
          <w:iCs/>
          <w:szCs w:val="18"/>
        </w:rPr>
      </w:pPr>
      <w:r w:rsidRPr="007535AA">
        <w:rPr>
          <w:rFonts w:ascii="Arial" w:hAnsi="Arial" w:cs="Arial"/>
          <w:iCs/>
          <w:szCs w:val="18"/>
        </w:rPr>
        <w:t>If you would like any further information about VAGO’s Data Analytics strategy, please speak to your VAGO engagement leader</w:t>
      </w:r>
      <w:r>
        <w:rPr>
          <w:rFonts w:ascii="Arial" w:hAnsi="Arial" w:cs="Arial"/>
          <w:iCs/>
          <w:szCs w:val="18"/>
        </w:rPr>
        <w:t>.</w:t>
      </w:r>
    </w:p>
    <w:p w:rsidR="001F2194" w:rsidRDefault="001F2194" w:rsidP="00BC08E2"/>
    <w:p w:rsidR="00C60EBC" w:rsidRPr="00851105" w:rsidRDefault="00C60EBC" w:rsidP="00BC08E2">
      <w:pPr>
        <w:sectPr w:rsidR="00C60EBC" w:rsidRPr="00851105" w:rsidSect="00A91B6F">
          <w:footerReference w:type="default" r:id="rId23"/>
          <w:pgSz w:w="11906" w:h="16838" w:code="9"/>
          <w:pgMar w:top="1985" w:right="1440" w:bottom="993" w:left="1440" w:header="706" w:footer="461" w:gutter="0"/>
          <w:cols w:space="533"/>
          <w:docGrid w:linePitch="360"/>
        </w:sectPr>
      </w:pPr>
    </w:p>
    <w:p w:rsidR="00BC08E2" w:rsidRPr="00851105" w:rsidRDefault="00BC08E2" w:rsidP="00CE1A05">
      <w:pPr>
        <w:pStyle w:val="Heading1"/>
      </w:pPr>
      <w:bookmarkStart w:id="17" w:name="_Toc519255631"/>
      <w:r w:rsidRPr="00851105">
        <w:lastRenderedPageBreak/>
        <w:t>How to contact us</w:t>
      </w:r>
      <w:bookmarkEnd w:id="17"/>
    </w:p>
    <w:p w:rsidR="00BC08E2" w:rsidRPr="00851105" w:rsidRDefault="00BC08E2" w:rsidP="00BC08E2">
      <w:pPr>
        <w:pStyle w:val="Heading2"/>
        <w:sectPr w:rsidR="00BC08E2" w:rsidRPr="00851105" w:rsidSect="008B69EC">
          <w:pgSz w:w="11906" w:h="16838" w:code="9"/>
          <w:pgMar w:top="2160" w:right="1440" w:bottom="1354" w:left="1440" w:header="706" w:footer="461" w:gutter="0"/>
          <w:cols w:num="2" w:space="533"/>
          <w:docGrid w:linePitch="360"/>
        </w:sectPr>
      </w:pPr>
    </w:p>
    <w:p w:rsidR="00BC08E2" w:rsidRPr="00851105" w:rsidRDefault="00BC08E2" w:rsidP="00CE1A05">
      <w:pPr>
        <w:pStyle w:val="Heading2"/>
      </w:pPr>
      <w:r w:rsidRPr="00851105">
        <w:lastRenderedPageBreak/>
        <w:t>AccPol mail box</w:t>
      </w:r>
    </w:p>
    <w:p w:rsidR="00BC08E2" w:rsidRPr="00851105" w:rsidRDefault="00BC08E2" w:rsidP="00BC08E2">
      <w:pPr>
        <w:rPr>
          <w:rFonts w:eastAsiaTheme="minorHAnsi"/>
          <w:lang w:eastAsia="en-US"/>
        </w:rPr>
      </w:pPr>
      <w:r w:rsidRPr="00851105">
        <w:rPr>
          <w:rFonts w:eastAsiaTheme="minorHAnsi"/>
          <w:lang w:eastAsia="en-US"/>
        </w:rPr>
        <w:t xml:space="preserve">When </w:t>
      </w:r>
      <w:r w:rsidRPr="00851105">
        <w:t xml:space="preserve">directing accounting policy enquiries to DTF at </w:t>
      </w:r>
      <w:hyperlink r:id="rId24" w:history="1">
        <w:r w:rsidRPr="00851105">
          <w:rPr>
            <w:rStyle w:val="Hyperlink"/>
          </w:rPr>
          <w:t>accpol@dtf.vic.gov.au</w:t>
        </w:r>
      </w:hyperlink>
      <w:r w:rsidRPr="00851105">
        <w:t>,</w:t>
      </w:r>
      <w:r w:rsidRPr="00851105">
        <w:rPr>
          <w:rFonts w:eastAsiaTheme="minorHAnsi"/>
          <w:lang w:eastAsia="en-US"/>
        </w:rPr>
        <w:t xml:space="preserve"> </w:t>
      </w:r>
      <w:r w:rsidRPr="00851105">
        <w:rPr>
          <w:rFonts w:eastAsiaTheme="minorHAnsi"/>
          <w:b/>
          <w:bCs/>
          <w:lang w:eastAsia="en-US"/>
        </w:rPr>
        <w:t>departments</w:t>
      </w:r>
      <w:r w:rsidRPr="00851105">
        <w:rPr>
          <w:rFonts w:eastAsiaTheme="minorHAnsi"/>
          <w:lang w:eastAsia="en-US"/>
        </w:rPr>
        <w:t xml:space="preserve"> are requested to </w:t>
      </w:r>
      <w:r w:rsidRPr="00851105">
        <w:t>support</w:t>
      </w:r>
      <w:r w:rsidRPr="00851105">
        <w:rPr>
          <w:rFonts w:eastAsiaTheme="minorHAnsi"/>
          <w:lang w:eastAsia="en-US"/>
        </w:rPr>
        <w:t xml:space="preserve"> their questions with the facts and with clear referencing to Accounting Standards, FRDs and </w:t>
      </w:r>
      <w:r w:rsidRPr="00851105">
        <w:t>other</w:t>
      </w:r>
      <w:r w:rsidRPr="00851105">
        <w:rPr>
          <w:rFonts w:eastAsiaTheme="minorHAnsi"/>
          <w:lang w:eastAsia="en-US"/>
        </w:rPr>
        <w:t xml:space="preserve"> authoritative pronouncements related to their queries.</w:t>
      </w:r>
    </w:p>
    <w:p w:rsidR="00BC08E2" w:rsidRPr="00851105" w:rsidRDefault="00BC08E2" w:rsidP="00BC08E2">
      <w:pPr>
        <w:rPr>
          <w:rFonts w:eastAsiaTheme="minorHAnsi"/>
          <w:lang w:eastAsia="en-US"/>
        </w:rPr>
      </w:pPr>
      <w:r w:rsidRPr="00851105">
        <w:rPr>
          <w:rFonts w:eastAsiaTheme="minorHAnsi"/>
          <w:b/>
          <w:bCs/>
          <w:lang w:eastAsia="en-US"/>
        </w:rPr>
        <w:t>Other entities</w:t>
      </w:r>
      <w:r w:rsidRPr="00851105">
        <w:rPr>
          <w:rFonts w:eastAsiaTheme="minorHAnsi"/>
          <w:lang w:eastAsia="en-US"/>
        </w:rPr>
        <w:t xml:space="preserve"> are requested to contact their portfolio department in the first instance to resolve any accounting policy issues.</w:t>
      </w:r>
    </w:p>
    <w:p w:rsidR="00BC08E2" w:rsidRPr="00851105" w:rsidRDefault="00BC08E2" w:rsidP="00BC08E2">
      <w:pPr>
        <w:pStyle w:val="Heading2"/>
      </w:pPr>
      <w:r w:rsidRPr="00851105">
        <w:t>Useful websites</w:t>
      </w:r>
    </w:p>
    <w:p w:rsidR="00BC08E2" w:rsidRPr="00851105" w:rsidRDefault="007D08B0" w:rsidP="00BC08E2">
      <w:r w:rsidRPr="00851105">
        <w:rPr>
          <w:b/>
        </w:rPr>
        <w:t>AASB </w:t>
      </w:r>
      <w:r w:rsidR="00BC08E2" w:rsidRPr="00851105">
        <w:t xml:space="preserve">– </w:t>
      </w:r>
      <w:hyperlink r:id="rId25" w:history="1">
        <w:r w:rsidR="00BC08E2" w:rsidRPr="00851105">
          <w:rPr>
            <w:rStyle w:val="Hyperlink"/>
          </w:rPr>
          <w:t>www.aasb.com.au</w:t>
        </w:r>
      </w:hyperlink>
      <w:r w:rsidR="00BC08E2" w:rsidRPr="00851105">
        <w:t xml:space="preserve"> for information on </w:t>
      </w:r>
      <w:r w:rsidRPr="00851105">
        <w:t>AASB </w:t>
      </w:r>
      <w:r w:rsidR="00BC08E2" w:rsidRPr="00851105">
        <w:t>pronouncements, discussion papers and ED publications.</w:t>
      </w:r>
    </w:p>
    <w:p w:rsidR="00BC08E2" w:rsidRPr="00851105" w:rsidRDefault="00BC08E2" w:rsidP="00BC08E2">
      <w:r w:rsidRPr="00851105">
        <w:rPr>
          <w:b/>
        </w:rPr>
        <w:t>International Public Sector Accounting Standards Board</w:t>
      </w:r>
      <w:r w:rsidRPr="00851105">
        <w:t xml:space="preserve"> (IPSASB) – </w:t>
      </w:r>
      <w:hyperlink r:id="rId26" w:history="1">
        <w:r w:rsidR="00450799" w:rsidRPr="00851105">
          <w:rPr>
            <w:rStyle w:val="Hyperlink"/>
          </w:rPr>
          <w:t>www.ipsasb.org</w:t>
        </w:r>
      </w:hyperlink>
      <w:r w:rsidRPr="00851105">
        <w:t xml:space="preserve"> for information on IPSASB and </w:t>
      </w:r>
      <w:r w:rsidR="00450799" w:rsidRPr="00851105">
        <w:t>IPSAS-</w:t>
      </w:r>
      <w:r w:rsidRPr="00851105">
        <w:t>pronouncements.</w:t>
      </w:r>
    </w:p>
    <w:p w:rsidR="00BC08E2" w:rsidRPr="00851105" w:rsidRDefault="00BC08E2" w:rsidP="00CE1A05">
      <w:pPr>
        <w:pStyle w:val="Heading2"/>
        <w:spacing w:before="220"/>
      </w:pPr>
      <w:r w:rsidRPr="00851105">
        <w:br w:type="column"/>
      </w:r>
      <w:r w:rsidRPr="00851105">
        <w:lastRenderedPageBreak/>
        <w:t>DTF website</w:t>
      </w:r>
    </w:p>
    <w:p w:rsidR="00BC08E2" w:rsidRPr="00851105" w:rsidRDefault="00BC08E2" w:rsidP="00CE1A05">
      <w:r w:rsidRPr="00851105">
        <w:rPr>
          <w:b/>
        </w:rPr>
        <w:t>The DTF website (for all internet users)</w:t>
      </w:r>
      <w:r w:rsidRPr="00851105">
        <w:t xml:space="preserve"> – </w:t>
      </w:r>
      <w:hyperlink r:id="rId27" w:history="1">
        <w:r w:rsidRPr="00851105">
          <w:rPr>
            <w:rStyle w:val="Hyperlink"/>
          </w:rPr>
          <w:t>www.dtf.vic.gov.au</w:t>
        </w:r>
      </w:hyperlink>
      <w:r w:rsidRPr="00851105">
        <w:t xml:space="preserve">, covers FRDs and guidance, the Model Report, accounting policy updates, </w:t>
      </w:r>
      <w:r w:rsidR="009B64DE" w:rsidRPr="00851105">
        <w:t>long service leave models and related data input,</w:t>
      </w:r>
      <w:r w:rsidR="00EE0CD4">
        <w:t xml:space="preserve"> </w:t>
      </w:r>
      <w:r w:rsidR="009B64DE" w:rsidRPr="00851105">
        <w:t xml:space="preserve">including </w:t>
      </w:r>
      <w:r w:rsidRPr="00851105">
        <w:t>wage inflation and discount rates. From the menu on the top of the home page, users should select Government Financial Management, then Financial Reporting Policy.</w:t>
      </w:r>
    </w:p>
    <w:p w:rsidR="00BC08E2" w:rsidRPr="00851105" w:rsidRDefault="00BC08E2" w:rsidP="00CE1A05">
      <w:r w:rsidRPr="00851105">
        <w:rPr>
          <w:b/>
        </w:rPr>
        <w:t>VPS users</w:t>
      </w:r>
      <w:r w:rsidRPr="00851105">
        <w:t xml:space="preserve"> should contact their portfolio </w:t>
      </w:r>
      <w:r w:rsidR="00052D9B">
        <w:t>d</w:t>
      </w:r>
      <w:r w:rsidRPr="00851105">
        <w:t>epartment in the first instance for the login details to access the information relating to the 2008 Long Service Leave Model</w:t>
      </w:r>
      <w:r w:rsidR="009B64DE" w:rsidRPr="00851105">
        <w:t xml:space="preserve"> and/or</w:t>
      </w:r>
      <w:r w:rsidRPr="00851105">
        <w:t>, the Valuer</w:t>
      </w:r>
      <w:r w:rsidR="00314CE6" w:rsidRPr="00851105">
        <w:noBreakHyphen/>
      </w:r>
      <w:r w:rsidRPr="00851105">
        <w:t>General building and land indices.</w:t>
      </w:r>
    </w:p>
    <w:p w:rsidR="00BC08E2" w:rsidRPr="00851105" w:rsidRDefault="00BC08E2" w:rsidP="00CE1A05">
      <w:pPr>
        <w:rPr>
          <w:rStyle w:val="Hyperlink"/>
        </w:rPr>
      </w:pPr>
      <w:r w:rsidRPr="00851105">
        <w:t>For as</w:t>
      </w:r>
      <w:r w:rsidRPr="00CE1A05">
        <w:t>s</w:t>
      </w:r>
      <w:r w:rsidRPr="00851105">
        <w:t xml:space="preserve">istance with technical difficulties using the DTF website, e.g. broken links, please contact the DTF web team via email at </w:t>
      </w:r>
      <w:hyperlink r:id="rId28" w:history="1">
        <w:r w:rsidRPr="00851105">
          <w:rPr>
            <w:rStyle w:val="Hyperlink"/>
          </w:rPr>
          <w:t>dtfweb@dtf.vic.gov.au</w:t>
        </w:r>
      </w:hyperlink>
    </w:p>
    <w:p w:rsidR="00BC08E2" w:rsidRPr="00851105" w:rsidRDefault="00BC08E2" w:rsidP="00BC08E2">
      <w:pPr>
        <w:pStyle w:val="Heading2"/>
      </w:pPr>
      <w:r w:rsidRPr="00851105">
        <w:t>About the Accounting Policy Update</w:t>
      </w:r>
    </w:p>
    <w:p w:rsidR="00BC08E2" w:rsidRPr="00851105" w:rsidRDefault="00BC08E2" w:rsidP="00BC08E2">
      <w:r w:rsidRPr="00851105">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p>
    <w:p w:rsidR="00BC08E2" w:rsidRPr="00851105" w:rsidRDefault="00BC08E2" w:rsidP="00BC08E2"/>
    <w:p w:rsidR="00BC08E2" w:rsidRPr="00851105" w:rsidRDefault="00BC08E2" w:rsidP="00BC08E2">
      <w:pPr>
        <w:sectPr w:rsidR="00BC08E2" w:rsidRPr="00851105" w:rsidSect="00454F40">
          <w:type w:val="continuous"/>
          <w:pgSz w:w="11906" w:h="16838" w:code="9"/>
          <w:pgMar w:top="2160" w:right="1440" w:bottom="1350" w:left="1440" w:header="706" w:footer="461" w:gutter="0"/>
          <w:pgNumType w:start="1"/>
          <w:cols w:num="2" w:space="386"/>
          <w:docGrid w:linePitch="360"/>
        </w:sectPr>
      </w:pPr>
    </w:p>
    <w:p w:rsidR="00BC08E2" w:rsidRPr="00851105" w:rsidRDefault="00BC08E2" w:rsidP="00BC08E2">
      <w:pPr>
        <w:pStyle w:val="Disclaimertext"/>
      </w:pPr>
      <w:r w:rsidRPr="00851105">
        <w:rPr>
          <w:b/>
        </w:rPr>
        <w:lastRenderedPageBreak/>
        <w:t>Disclaimer:</w:t>
      </w:r>
      <w:r w:rsidRPr="00851105">
        <w:t xml:space="preserve"> No responsibility is taken for any action(s) taken on the basis of information contained in this Newsletter nor for any errors or omissions in that information.</w:t>
      </w:r>
    </w:p>
    <w:p w:rsidR="00BC08E2" w:rsidRPr="00851105" w:rsidRDefault="00BC08E2" w:rsidP="00BC08E2">
      <w:pPr>
        <w:pStyle w:val="NewsletterNote"/>
      </w:pPr>
    </w:p>
    <w:p w:rsidR="00BC08E2" w:rsidRPr="00851105" w:rsidRDefault="00BC08E2" w:rsidP="00BC08E2">
      <w:pPr>
        <w:pStyle w:val="NewsletterNote"/>
      </w:pPr>
      <w:r w:rsidRPr="00851105">
        <w:t xml:space="preserve">Accounting Policy Update </w:t>
      </w:r>
      <w:r w:rsidRPr="00851105">
        <w:br/>
        <w:t>ISSN 2205</w:t>
      </w:r>
      <w:r w:rsidR="00314CE6" w:rsidRPr="00851105">
        <w:noBreakHyphen/>
      </w:r>
      <w:r w:rsidRPr="00851105">
        <w:t>4014</w:t>
      </w:r>
    </w:p>
    <w:p w:rsidR="00BC08E2" w:rsidRPr="00851105" w:rsidRDefault="000E13EE" w:rsidP="00BC08E2">
      <w:pPr>
        <w:keepNext/>
        <w:keepLines/>
        <w:rPr>
          <w:rFonts w:cstheme="minorHAnsi"/>
          <w:sz w:val="16"/>
          <w:szCs w:val="16"/>
        </w:rPr>
      </w:pPr>
      <w:r w:rsidRPr="00851105">
        <w:rPr>
          <w:rFonts w:cstheme="minorHAnsi"/>
          <w:sz w:val="16"/>
          <w:szCs w:val="16"/>
        </w:rPr>
        <w:t>© State of Victoria 201</w:t>
      </w:r>
      <w:r w:rsidR="00450799" w:rsidRPr="00851105">
        <w:rPr>
          <w:rFonts w:cstheme="minorHAnsi"/>
          <w:sz w:val="16"/>
          <w:szCs w:val="16"/>
        </w:rPr>
        <w:t>8</w:t>
      </w:r>
    </w:p>
    <w:p w:rsidR="00BC08E2" w:rsidRPr="00851105" w:rsidRDefault="00BC08E2" w:rsidP="00BC08E2">
      <w:pPr>
        <w:keepNext/>
        <w:keepLines/>
        <w:rPr>
          <w:rFonts w:cstheme="minorHAnsi"/>
          <w:sz w:val="16"/>
          <w:szCs w:val="16"/>
        </w:rPr>
      </w:pPr>
      <w:r w:rsidRPr="00851105">
        <w:rPr>
          <w:rFonts w:cstheme="minorHAnsi"/>
          <w:noProof/>
          <w:sz w:val="16"/>
          <w:szCs w:val="16"/>
        </w:rPr>
        <w:drawing>
          <wp:inline distT="0" distB="0" distL="0" distR="0" wp14:anchorId="5E1427DD" wp14:editId="464A25AC">
            <wp:extent cx="1117460" cy="393651"/>
            <wp:effectExtent l="0" t="0" r="6985" b="6985"/>
            <wp:docPr id="2" name="Picture 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3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BC08E2" w:rsidRPr="00851105" w:rsidRDefault="00BC08E2" w:rsidP="00BC08E2">
      <w:pPr>
        <w:keepNext/>
        <w:keepLines/>
        <w:rPr>
          <w:rFonts w:cstheme="minorHAnsi"/>
          <w:sz w:val="16"/>
          <w:szCs w:val="16"/>
        </w:rPr>
      </w:pPr>
      <w:r w:rsidRPr="00851105">
        <w:rPr>
          <w:rFonts w:cstheme="minorHAnsi"/>
          <w:sz w:val="16"/>
          <w:szCs w:val="16"/>
        </w:rPr>
        <w:t>You are free to re</w:t>
      </w:r>
      <w:r w:rsidR="00314CE6" w:rsidRPr="00851105">
        <w:rPr>
          <w:rFonts w:cstheme="minorHAnsi"/>
          <w:sz w:val="16"/>
          <w:szCs w:val="16"/>
        </w:rPr>
        <w:noBreakHyphen/>
      </w:r>
      <w:r w:rsidRPr="00851105">
        <w:rPr>
          <w:rFonts w:cstheme="minorHAnsi"/>
          <w:sz w:val="16"/>
          <w:szCs w:val="16"/>
        </w:rPr>
        <w:t xml:space="preserve">use this work under a </w:t>
      </w:r>
      <w:hyperlink r:id="rId31" w:history="1">
        <w:r w:rsidRPr="00851105">
          <w:rPr>
            <w:rStyle w:val="Hyperlink"/>
            <w:rFonts w:cstheme="minorHAnsi"/>
            <w:sz w:val="16"/>
            <w:szCs w:val="16"/>
          </w:rPr>
          <w:t>Creative Commons Attribution 4.0 licence</w:t>
        </w:r>
      </w:hyperlink>
      <w:r w:rsidRPr="00851105">
        <w:rPr>
          <w:rFonts w:cstheme="minorHAnsi"/>
          <w:sz w:val="16"/>
          <w:szCs w:val="16"/>
        </w:rPr>
        <w:t>, provided you credit the State of Victoria (Department of Treasury and Finance) as author, indicate if changes were made and comply with the other licence terms. The licence does not apply to any branding, including Government logos.</w:t>
      </w:r>
    </w:p>
    <w:p w:rsidR="00BC08E2" w:rsidRPr="000C21C3" w:rsidRDefault="00BC08E2" w:rsidP="00BC08E2">
      <w:pPr>
        <w:keepNext/>
        <w:keepLines/>
        <w:rPr>
          <w:rFonts w:cstheme="minorHAnsi"/>
          <w:sz w:val="16"/>
          <w:szCs w:val="16"/>
        </w:rPr>
      </w:pPr>
      <w:r w:rsidRPr="00851105">
        <w:rPr>
          <w:rFonts w:cstheme="minorHAnsi"/>
          <w:sz w:val="16"/>
          <w:szCs w:val="16"/>
        </w:rPr>
        <w:t xml:space="preserve">Copyright queries may be directed to </w:t>
      </w:r>
      <w:hyperlink r:id="rId32" w:history="1">
        <w:r w:rsidRPr="00851105">
          <w:rPr>
            <w:rStyle w:val="Hyperlink"/>
            <w:rFonts w:cstheme="minorHAnsi"/>
            <w:sz w:val="16"/>
            <w:szCs w:val="16"/>
          </w:rPr>
          <w:t>IPpolicy@dtf.vic.gov.au</w:t>
        </w:r>
      </w:hyperlink>
      <w:r w:rsidRPr="00851105">
        <w:rPr>
          <w:rFonts w:cstheme="minorHAnsi"/>
          <w:sz w:val="16"/>
          <w:szCs w:val="16"/>
        </w:rPr>
        <w:t>.</w:t>
      </w:r>
      <w:r w:rsidRPr="000C21C3">
        <w:rPr>
          <w:rFonts w:cstheme="minorHAnsi"/>
          <w:sz w:val="16"/>
          <w:szCs w:val="16"/>
        </w:rPr>
        <w:t xml:space="preserve"> </w:t>
      </w:r>
      <w:bookmarkEnd w:id="0"/>
      <w:bookmarkEnd w:id="3"/>
    </w:p>
    <w:sectPr w:rsidR="00BC08E2" w:rsidRPr="000C21C3" w:rsidSect="000C21C3">
      <w:footerReference w:type="default" r:id="rId33"/>
      <w:type w:val="continuous"/>
      <w:pgSz w:w="11906" w:h="16838" w:code="9"/>
      <w:pgMar w:top="2160" w:right="1440" w:bottom="1350" w:left="1440" w:header="706" w:footer="461" w:gutter="0"/>
      <w:pgNumType w:start="1"/>
      <w:cols w:space="5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C7" w:rsidRDefault="009A41C7" w:rsidP="002D711A">
      <w:pPr>
        <w:spacing w:after="0" w:line="240" w:lineRule="auto"/>
      </w:pPr>
      <w:r>
        <w:separator/>
      </w:r>
    </w:p>
  </w:endnote>
  <w:endnote w:type="continuationSeparator" w:id="0">
    <w:p w:rsidR="009A41C7" w:rsidRDefault="009A41C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03" w:rsidRDefault="00F05D03">
    <w:pPr>
      <w:pStyle w:val="Footer"/>
      <w:spacing w:before="0"/>
      <w:rPr>
        <w:rFonts w:ascii="Arial" w:hAnsi="Arial" w:cs="Arial"/>
        <w:b/>
        <w:color w:val="3F3F3F"/>
        <w:sz w:val="20"/>
      </w:rPr>
    </w:pPr>
    <w:bookmarkStart w:id="1" w:name="aliashNonProtectiveMarki1FooterEvenPages"/>
  </w:p>
  <w:p w:rsidR="00F05D03" w:rsidRDefault="00F05D03">
    <w:pPr>
      <w:pStyle w:val="Footer"/>
      <w:spacing w:before="0"/>
      <w:rPr>
        <w:rFonts w:ascii="Arial" w:hAnsi="Arial" w:cs="Arial"/>
        <w:b/>
        <w:color w:val="3F3F3F"/>
        <w:sz w:val="20"/>
      </w:rPr>
    </w:pPr>
  </w:p>
  <w:bookmarkEnd w:id="1"/>
  <w:p w:rsidR="00F05D03" w:rsidRPr="00014213" w:rsidRDefault="00F05D03" w:rsidP="00C022F9">
    <w:pPr>
      <w:pStyle w:val="Footer"/>
    </w:pPr>
    <w:r>
      <w:drawing>
        <wp:anchor distT="0" distB="0" distL="114300" distR="114300" simplePos="0" relativeHeight="251656192" behindDoc="0" locked="0" layoutInCell="1" allowOverlap="1" wp14:anchorId="63D2BCA4" wp14:editId="269BBF7D">
          <wp:simplePos x="0" y="0"/>
          <wp:positionH relativeFrom="column">
            <wp:posOffset>4240861</wp:posOffset>
          </wp:positionH>
          <wp:positionV relativeFrom="page">
            <wp:posOffset>9493250</wp:posOffset>
          </wp:positionV>
          <wp:extent cx="1956435" cy="582930"/>
          <wp:effectExtent l="0" t="0" r="5715" b="7620"/>
          <wp:wrapNone/>
          <wp:docPr id="2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03" w:rsidRDefault="00F05D03" w:rsidP="000C21C3">
    <w:pPr>
      <w:pStyle w:val="Spacer"/>
    </w:pPr>
  </w:p>
  <w:p w:rsidR="00F05D03" w:rsidRPr="00C022F9" w:rsidRDefault="00F05D03"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C4F36">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BC4F36">
      <w:t>Newsletter – Edition No. 34, July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sidR="00BC4F36">
      <w:rPr>
        <w:rStyle w:val="PageNumber"/>
      </w:rPr>
      <w:t>1</w:t>
    </w:r>
    <w:r w:rsidRPr="008B69E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03" w:rsidRDefault="00F05D03">
    <w:pPr>
      <w:pStyle w:val="Footer"/>
      <w:spacing w:before="0"/>
      <w:rPr>
        <w:rFonts w:ascii="Arial" w:hAnsi="Arial" w:cs="Arial"/>
        <w:b/>
        <w:color w:val="3F3F3F"/>
        <w:sz w:val="20"/>
      </w:rPr>
    </w:pPr>
    <w:bookmarkStart w:id="2" w:name="aliashNonProtectiveMarki1FooterFirstPage"/>
  </w:p>
  <w:p w:rsidR="00F05D03" w:rsidRDefault="00F05D03">
    <w:pPr>
      <w:pStyle w:val="Footer"/>
      <w:spacing w:before="0"/>
      <w:rPr>
        <w:rFonts w:ascii="Arial" w:hAnsi="Arial" w:cs="Arial"/>
        <w:b/>
        <w:color w:val="3F3F3F"/>
        <w:sz w:val="20"/>
      </w:rPr>
    </w:pPr>
  </w:p>
  <w:bookmarkEnd w:id="2"/>
  <w:p w:rsidR="00F05D03" w:rsidRDefault="00F05D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03" w:rsidRDefault="00F05D03" w:rsidP="000C21C3">
    <w:pPr>
      <w:pStyle w:val="Spacer"/>
    </w:pPr>
  </w:p>
  <w:p w:rsidR="00F05D03" w:rsidRPr="00C022F9" w:rsidRDefault="00F05D03"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C4F36">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BC4F36">
      <w:t>Newsletter – Edition No. 34, July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sidR="00BC4F36">
      <w:rPr>
        <w:rStyle w:val="PageNumber"/>
      </w:rPr>
      <w:t>2</w:t>
    </w:r>
    <w:r w:rsidRPr="008B69EC">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03" w:rsidRDefault="00F05D03" w:rsidP="00AA2BF4">
    <w:pPr>
      <w:pStyle w:val="Footer"/>
    </w:pPr>
  </w:p>
  <w:p w:rsidR="00F05D03" w:rsidRPr="00C022F9" w:rsidRDefault="00F05D03"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A96617">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A96617">
      <w:t>Newsletter – Edition No. 34, July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11</w:t>
    </w:r>
    <w:r w:rsidRPr="008B69E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C7" w:rsidRDefault="009A41C7" w:rsidP="002D711A">
      <w:pPr>
        <w:spacing w:after="0" w:line="240" w:lineRule="auto"/>
      </w:pPr>
      <w:r>
        <w:separator/>
      </w:r>
    </w:p>
  </w:footnote>
  <w:footnote w:type="continuationSeparator" w:id="0">
    <w:p w:rsidR="009A41C7" w:rsidRDefault="009A41C7"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C4" w:rsidRDefault="00E23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03" w:rsidRPr="0041689E" w:rsidRDefault="00F05D03">
    <w:pPr>
      <w:pStyle w:val="Header"/>
    </w:pPr>
    <w:r>
      <w:rPr>
        <w:noProof/>
      </w:rPr>
      <w:drawing>
        <wp:anchor distT="0" distB="0" distL="114300" distR="114300" simplePos="0" relativeHeight="251658240" behindDoc="0" locked="0" layoutInCell="1" allowOverlap="1" wp14:anchorId="6667E46C" wp14:editId="3AB2FD71">
          <wp:simplePos x="0" y="0"/>
          <wp:positionH relativeFrom="column">
            <wp:posOffset>-309880</wp:posOffset>
          </wp:positionH>
          <wp:positionV relativeFrom="page">
            <wp:posOffset>299085</wp:posOffset>
          </wp:positionV>
          <wp:extent cx="1380490" cy="411480"/>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7FB1BBB4" wp14:editId="607AD88E">
          <wp:simplePos x="0" y="0"/>
          <wp:positionH relativeFrom="column">
            <wp:posOffset>-914400</wp:posOffset>
          </wp:positionH>
          <wp:positionV relativeFrom="page">
            <wp:posOffset>125095</wp:posOffset>
          </wp:positionV>
          <wp:extent cx="7589520" cy="740410"/>
          <wp:effectExtent l="0" t="0" r="0" b="2540"/>
          <wp:wrapNone/>
          <wp:docPr id="2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C4" w:rsidRDefault="00E23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89F"/>
    <w:multiLevelType w:val="hybridMultilevel"/>
    <w:tmpl w:val="F5844D3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4E60815"/>
    <w:multiLevelType w:val="multilevel"/>
    <w:tmpl w:val="5A88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41039"/>
    <w:multiLevelType w:val="hybridMultilevel"/>
    <w:tmpl w:val="21F64BB4"/>
    <w:lvl w:ilvl="0" w:tplc="908CD55C">
      <w:start w:val="1"/>
      <w:numFmt w:val="bullet"/>
      <w:lvlText w:val="•"/>
      <w:lvlJc w:val="left"/>
      <w:pPr>
        <w:tabs>
          <w:tab w:val="num" w:pos="720"/>
        </w:tabs>
        <w:ind w:left="720" w:hanging="360"/>
      </w:pPr>
      <w:rPr>
        <w:rFonts w:ascii="Arial" w:hAnsi="Arial" w:hint="default"/>
      </w:rPr>
    </w:lvl>
    <w:lvl w:ilvl="1" w:tplc="D1B833AE" w:tentative="1">
      <w:start w:val="1"/>
      <w:numFmt w:val="bullet"/>
      <w:lvlText w:val="•"/>
      <w:lvlJc w:val="left"/>
      <w:pPr>
        <w:tabs>
          <w:tab w:val="num" w:pos="1440"/>
        </w:tabs>
        <w:ind w:left="1440" w:hanging="360"/>
      </w:pPr>
      <w:rPr>
        <w:rFonts w:ascii="Arial" w:hAnsi="Arial" w:hint="default"/>
      </w:rPr>
    </w:lvl>
    <w:lvl w:ilvl="2" w:tplc="1A34C228" w:tentative="1">
      <w:start w:val="1"/>
      <w:numFmt w:val="bullet"/>
      <w:lvlText w:val="•"/>
      <w:lvlJc w:val="left"/>
      <w:pPr>
        <w:tabs>
          <w:tab w:val="num" w:pos="2160"/>
        </w:tabs>
        <w:ind w:left="2160" w:hanging="360"/>
      </w:pPr>
      <w:rPr>
        <w:rFonts w:ascii="Arial" w:hAnsi="Arial" w:hint="default"/>
      </w:rPr>
    </w:lvl>
    <w:lvl w:ilvl="3" w:tplc="0E02E238" w:tentative="1">
      <w:start w:val="1"/>
      <w:numFmt w:val="bullet"/>
      <w:lvlText w:val="•"/>
      <w:lvlJc w:val="left"/>
      <w:pPr>
        <w:tabs>
          <w:tab w:val="num" w:pos="2880"/>
        </w:tabs>
        <w:ind w:left="2880" w:hanging="360"/>
      </w:pPr>
      <w:rPr>
        <w:rFonts w:ascii="Arial" w:hAnsi="Arial" w:hint="default"/>
      </w:rPr>
    </w:lvl>
    <w:lvl w:ilvl="4" w:tplc="31F4BD20" w:tentative="1">
      <w:start w:val="1"/>
      <w:numFmt w:val="bullet"/>
      <w:lvlText w:val="•"/>
      <w:lvlJc w:val="left"/>
      <w:pPr>
        <w:tabs>
          <w:tab w:val="num" w:pos="3600"/>
        </w:tabs>
        <w:ind w:left="3600" w:hanging="360"/>
      </w:pPr>
      <w:rPr>
        <w:rFonts w:ascii="Arial" w:hAnsi="Arial" w:hint="default"/>
      </w:rPr>
    </w:lvl>
    <w:lvl w:ilvl="5" w:tplc="F2FEC15C" w:tentative="1">
      <w:start w:val="1"/>
      <w:numFmt w:val="bullet"/>
      <w:lvlText w:val="•"/>
      <w:lvlJc w:val="left"/>
      <w:pPr>
        <w:tabs>
          <w:tab w:val="num" w:pos="4320"/>
        </w:tabs>
        <w:ind w:left="4320" w:hanging="360"/>
      </w:pPr>
      <w:rPr>
        <w:rFonts w:ascii="Arial" w:hAnsi="Arial" w:hint="default"/>
      </w:rPr>
    </w:lvl>
    <w:lvl w:ilvl="6" w:tplc="6ABE842A" w:tentative="1">
      <w:start w:val="1"/>
      <w:numFmt w:val="bullet"/>
      <w:lvlText w:val="•"/>
      <w:lvlJc w:val="left"/>
      <w:pPr>
        <w:tabs>
          <w:tab w:val="num" w:pos="5040"/>
        </w:tabs>
        <w:ind w:left="5040" w:hanging="360"/>
      </w:pPr>
      <w:rPr>
        <w:rFonts w:ascii="Arial" w:hAnsi="Arial" w:hint="default"/>
      </w:rPr>
    </w:lvl>
    <w:lvl w:ilvl="7" w:tplc="B5028CD8" w:tentative="1">
      <w:start w:val="1"/>
      <w:numFmt w:val="bullet"/>
      <w:lvlText w:val="•"/>
      <w:lvlJc w:val="left"/>
      <w:pPr>
        <w:tabs>
          <w:tab w:val="num" w:pos="5760"/>
        </w:tabs>
        <w:ind w:left="5760" w:hanging="360"/>
      </w:pPr>
      <w:rPr>
        <w:rFonts w:ascii="Arial" w:hAnsi="Arial" w:hint="default"/>
      </w:rPr>
    </w:lvl>
    <w:lvl w:ilvl="8" w:tplc="ACE687E6" w:tentative="1">
      <w:start w:val="1"/>
      <w:numFmt w:val="bullet"/>
      <w:lvlText w:val="•"/>
      <w:lvlJc w:val="left"/>
      <w:pPr>
        <w:tabs>
          <w:tab w:val="num" w:pos="6480"/>
        </w:tabs>
        <w:ind w:left="6480" w:hanging="360"/>
      </w:pPr>
      <w:rPr>
        <w:rFonts w:ascii="Arial" w:hAnsi="Arial" w:hint="default"/>
      </w:rPr>
    </w:lvl>
  </w:abstractNum>
  <w:abstractNum w:abstractNumId="3">
    <w:nsid w:val="09385067"/>
    <w:multiLevelType w:val="hybridMultilevel"/>
    <w:tmpl w:val="AE663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483EDE"/>
    <w:multiLevelType w:val="hybridMultilevel"/>
    <w:tmpl w:val="0E4CD3B6"/>
    <w:lvl w:ilvl="0" w:tplc="0C090001">
      <w:start w:val="1"/>
      <w:numFmt w:val="bullet"/>
      <w:lvlText w:val=""/>
      <w:lvlJc w:val="left"/>
      <w:pPr>
        <w:ind w:left="720" w:hanging="360"/>
      </w:pPr>
      <w:rPr>
        <w:rFonts w:ascii="Symbol" w:hAnsi="Symbol" w:hint="default"/>
      </w:rPr>
    </w:lvl>
    <w:lvl w:ilvl="1" w:tplc="8752D4C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554DA8"/>
    <w:multiLevelType w:val="hybridMultilevel"/>
    <w:tmpl w:val="F672FF6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34B218A"/>
    <w:multiLevelType w:val="hybridMultilevel"/>
    <w:tmpl w:val="854C4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8">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E9443A"/>
    <w:multiLevelType w:val="hybridMultilevel"/>
    <w:tmpl w:val="3958493A"/>
    <w:lvl w:ilvl="0" w:tplc="CE3EB29A">
      <w:start w:val="1"/>
      <w:numFmt w:val="decimal"/>
      <w:lvlText w:val="%1."/>
      <w:lvlJc w:val="left"/>
      <w:pPr>
        <w:ind w:left="10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8D525C"/>
    <w:multiLevelType w:val="hybridMultilevel"/>
    <w:tmpl w:val="9A5AFE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0BD07E1"/>
    <w:multiLevelType w:val="hybridMultilevel"/>
    <w:tmpl w:val="B1A6A578"/>
    <w:lvl w:ilvl="0" w:tplc="B3A8A27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67469F"/>
    <w:multiLevelType w:val="hybridMultilevel"/>
    <w:tmpl w:val="F35802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017ED3"/>
    <w:multiLevelType w:val="multilevel"/>
    <w:tmpl w:val="7DD4960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4">
    <w:nsid w:val="446D3A6A"/>
    <w:multiLevelType w:val="multilevel"/>
    <w:tmpl w:val="1BBC767E"/>
    <w:lvl w:ilvl="0">
      <w:start w:val="1"/>
      <w:numFmt w:val="bullet"/>
      <w:pStyle w:val="Bullet1"/>
      <w:lvlText w:val=""/>
      <w:lvlJc w:val="left"/>
      <w:pPr>
        <w:tabs>
          <w:tab w:val="num" w:pos="504"/>
        </w:tabs>
        <w:ind w:left="504" w:hanging="504"/>
      </w:pPr>
      <w:rPr>
        <w:rFonts w:ascii="Symbol" w:hAnsi="Symbol" w:hint="default"/>
        <w:b w:val="0"/>
        <w:i w:val="0"/>
        <w:vanish w:val="0"/>
        <w:color w:val="auto"/>
        <w:sz w:val="20"/>
        <w:szCs w:val="20"/>
      </w:rPr>
    </w:lvl>
    <w:lvl w:ilvl="1">
      <w:start w:val="1"/>
      <w:numFmt w:val="bullet"/>
      <w:pStyle w:val="Bullet2"/>
      <w:lvlText w:val="–"/>
      <w:lvlJc w:val="left"/>
      <w:pPr>
        <w:tabs>
          <w:tab w:val="num" w:pos="864"/>
        </w:tabs>
        <w:ind w:left="864"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5">
    <w:nsid w:val="593D4E58"/>
    <w:multiLevelType w:val="hybridMultilevel"/>
    <w:tmpl w:val="9F4E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AD4A5C"/>
    <w:multiLevelType w:val="hybridMultilevel"/>
    <w:tmpl w:val="E80A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B617C"/>
    <w:multiLevelType w:val="hybridMultilevel"/>
    <w:tmpl w:val="14E048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DD1B7B"/>
    <w:multiLevelType w:val="hybridMultilevel"/>
    <w:tmpl w:val="9648AE4E"/>
    <w:lvl w:ilvl="0" w:tplc="C96A74F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93C56B3"/>
    <w:multiLevelType w:val="hybridMultilevel"/>
    <w:tmpl w:val="B63A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31035B"/>
    <w:multiLevelType w:val="hybridMultilevel"/>
    <w:tmpl w:val="E33858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DAF684B"/>
    <w:multiLevelType w:val="hybridMultilevel"/>
    <w:tmpl w:val="C13EF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FB4E73"/>
    <w:multiLevelType w:val="hybridMultilevel"/>
    <w:tmpl w:val="96D033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FD44514"/>
    <w:multiLevelType w:val="multilevel"/>
    <w:tmpl w:val="C9485A58"/>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4"/>
  </w:num>
  <w:num w:numId="2">
    <w:abstractNumId w:val="23"/>
  </w:num>
  <w:num w:numId="3">
    <w:abstractNumId w:val="8"/>
  </w:num>
  <w:num w:numId="4">
    <w:abstractNumId w:val="7"/>
  </w:num>
  <w:num w:numId="5">
    <w:abstractNumId w:val="9"/>
  </w:num>
  <w:num w:numId="6">
    <w:abstractNumId w:val="6"/>
  </w:num>
  <w:num w:numId="7">
    <w:abstractNumId w:val="19"/>
  </w:num>
  <w:num w:numId="8">
    <w:abstractNumId w:val="4"/>
  </w:num>
  <w:num w:numId="9">
    <w:abstractNumId w:val="12"/>
  </w:num>
  <w:num w:numId="10">
    <w:abstractNumId w:val="16"/>
  </w:num>
  <w:num w:numId="11">
    <w:abstractNumId w:val="0"/>
  </w:num>
  <w:num w:numId="12">
    <w:abstractNumId w:val="11"/>
  </w:num>
  <w:num w:numId="13">
    <w:abstractNumId w:val="18"/>
  </w:num>
  <w:num w:numId="14">
    <w:abstractNumId w:val="2"/>
  </w:num>
  <w:num w:numId="15">
    <w:abstractNumId w:val="17"/>
  </w:num>
  <w:num w:numId="16">
    <w:abstractNumId w:val="14"/>
  </w:num>
  <w:num w:numId="17">
    <w:abstractNumId w:val="21"/>
  </w:num>
  <w:num w:numId="18">
    <w:abstractNumId w:val="15"/>
  </w:num>
  <w:num w:numId="19">
    <w:abstractNumId w:val="5"/>
  </w:num>
  <w:num w:numId="20">
    <w:abstractNumId w:val="20"/>
  </w:num>
  <w:num w:numId="21">
    <w:abstractNumId w:val="10"/>
  </w:num>
  <w:num w:numId="22">
    <w:abstractNumId w:val="13"/>
  </w:num>
  <w:num w:numId="23">
    <w:abstractNumId w:val="1"/>
  </w:num>
  <w:num w:numId="24">
    <w:abstractNumId w:val="3"/>
  </w:num>
  <w:num w:numId="2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CC"/>
    <w:rsid w:val="00000304"/>
    <w:rsid w:val="00001008"/>
    <w:rsid w:val="000018C2"/>
    <w:rsid w:val="000029D8"/>
    <w:rsid w:val="0000324C"/>
    <w:rsid w:val="000056C4"/>
    <w:rsid w:val="0000577E"/>
    <w:rsid w:val="000066FF"/>
    <w:rsid w:val="0001126C"/>
    <w:rsid w:val="00011DCA"/>
    <w:rsid w:val="00012F6F"/>
    <w:rsid w:val="000133E9"/>
    <w:rsid w:val="000136CE"/>
    <w:rsid w:val="00013C20"/>
    <w:rsid w:val="00014213"/>
    <w:rsid w:val="0001436D"/>
    <w:rsid w:val="00014B55"/>
    <w:rsid w:val="0001655D"/>
    <w:rsid w:val="00016FD9"/>
    <w:rsid w:val="00017BF7"/>
    <w:rsid w:val="00017F92"/>
    <w:rsid w:val="00020E3E"/>
    <w:rsid w:val="0002359D"/>
    <w:rsid w:val="000238D7"/>
    <w:rsid w:val="00023BF3"/>
    <w:rsid w:val="00026811"/>
    <w:rsid w:val="000270D4"/>
    <w:rsid w:val="00027F53"/>
    <w:rsid w:val="0003222E"/>
    <w:rsid w:val="0004085F"/>
    <w:rsid w:val="0004356D"/>
    <w:rsid w:val="0004437C"/>
    <w:rsid w:val="00044A0B"/>
    <w:rsid w:val="00045296"/>
    <w:rsid w:val="000505C5"/>
    <w:rsid w:val="0005151E"/>
    <w:rsid w:val="00052D9B"/>
    <w:rsid w:val="0005370C"/>
    <w:rsid w:val="0005474D"/>
    <w:rsid w:val="00055915"/>
    <w:rsid w:val="0005653D"/>
    <w:rsid w:val="0005797C"/>
    <w:rsid w:val="00057B21"/>
    <w:rsid w:val="00060942"/>
    <w:rsid w:val="000659B5"/>
    <w:rsid w:val="00067542"/>
    <w:rsid w:val="00071360"/>
    <w:rsid w:val="000717DA"/>
    <w:rsid w:val="000728E3"/>
    <w:rsid w:val="0007488D"/>
    <w:rsid w:val="000748BB"/>
    <w:rsid w:val="00074F79"/>
    <w:rsid w:val="0007513F"/>
    <w:rsid w:val="00075472"/>
    <w:rsid w:val="00075E6C"/>
    <w:rsid w:val="00077892"/>
    <w:rsid w:val="00080343"/>
    <w:rsid w:val="00080882"/>
    <w:rsid w:val="0008125A"/>
    <w:rsid w:val="00081517"/>
    <w:rsid w:val="0008327A"/>
    <w:rsid w:val="0008405C"/>
    <w:rsid w:val="00085F85"/>
    <w:rsid w:val="000861A0"/>
    <w:rsid w:val="000864DF"/>
    <w:rsid w:val="00090D84"/>
    <w:rsid w:val="000964A0"/>
    <w:rsid w:val="000A3F4A"/>
    <w:rsid w:val="000B1E3E"/>
    <w:rsid w:val="000B286B"/>
    <w:rsid w:val="000B29AD"/>
    <w:rsid w:val="000B67CD"/>
    <w:rsid w:val="000B6E3F"/>
    <w:rsid w:val="000C06B0"/>
    <w:rsid w:val="000C0A83"/>
    <w:rsid w:val="000C21C3"/>
    <w:rsid w:val="000C4420"/>
    <w:rsid w:val="000C6372"/>
    <w:rsid w:val="000C74BB"/>
    <w:rsid w:val="000D0CB8"/>
    <w:rsid w:val="000D0DD1"/>
    <w:rsid w:val="000D1022"/>
    <w:rsid w:val="000D2D61"/>
    <w:rsid w:val="000D3A5A"/>
    <w:rsid w:val="000D3A9C"/>
    <w:rsid w:val="000D59B0"/>
    <w:rsid w:val="000D72EA"/>
    <w:rsid w:val="000D7F8F"/>
    <w:rsid w:val="000E0178"/>
    <w:rsid w:val="000E062E"/>
    <w:rsid w:val="000E13EE"/>
    <w:rsid w:val="000E1475"/>
    <w:rsid w:val="000E1D30"/>
    <w:rsid w:val="000E392D"/>
    <w:rsid w:val="000E3994"/>
    <w:rsid w:val="000E3EBE"/>
    <w:rsid w:val="000E54D2"/>
    <w:rsid w:val="000E6B93"/>
    <w:rsid w:val="000E7565"/>
    <w:rsid w:val="000E7F4B"/>
    <w:rsid w:val="000F1813"/>
    <w:rsid w:val="000F2995"/>
    <w:rsid w:val="000F41B9"/>
    <w:rsid w:val="000F4288"/>
    <w:rsid w:val="000F50A6"/>
    <w:rsid w:val="000F5A54"/>
    <w:rsid w:val="000F7165"/>
    <w:rsid w:val="000F72EE"/>
    <w:rsid w:val="00100661"/>
    <w:rsid w:val="00100F49"/>
    <w:rsid w:val="001012CC"/>
    <w:rsid w:val="00102379"/>
    <w:rsid w:val="00102CEF"/>
    <w:rsid w:val="001065D6"/>
    <w:rsid w:val="00106DD4"/>
    <w:rsid w:val="001074BE"/>
    <w:rsid w:val="00112BCF"/>
    <w:rsid w:val="001132A7"/>
    <w:rsid w:val="00114929"/>
    <w:rsid w:val="0011571C"/>
    <w:rsid w:val="00115A52"/>
    <w:rsid w:val="00117AFF"/>
    <w:rsid w:val="001202BB"/>
    <w:rsid w:val="00120542"/>
    <w:rsid w:val="00121252"/>
    <w:rsid w:val="00121837"/>
    <w:rsid w:val="00122A60"/>
    <w:rsid w:val="0012325C"/>
    <w:rsid w:val="00123DFE"/>
    <w:rsid w:val="00124609"/>
    <w:rsid w:val="001254CE"/>
    <w:rsid w:val="00127A4E"/>
    <w:rsid w:val="00133603"/>
    <w:rsid w:val="00133F4B"/>
    <w:rsid w:val="00134CEA"/>
    <w:rsid w:val="0013502C"/>
    <w:rsid w:val="001361D4"/>
    <w:rsid w:val="00137DB3"/>
    <w:rsid w:val="00141B1B"/>
    <w:rsid w:val="001422CC"/>
    <w:rsid w:val="0014266D"/>
    <w:rsid w:val="0014305C"/>
    <w:rsid w:val="0014397A"/>
    <w:rsid w:val="001514F5"/>
    <w:rsid w:val="001524DD"/>
    <w:rsid w:val="00152901"/>
    <w:rsid w:val="00153251"/>
    <w:rsid w:val="00154B57"/>
    <w:rsid w:val="00156767"/>
    <w:rsid w:val="00157028"/>
    <w:rsid w:val="00157700"/>
    <w:rsid w:val="001617B6"/>
    <w:rsid w:val="00165E66"/>
    <w:rsid w:val="001661C8"/>
    <w:rsid w:val="0016657D"/>
    <w:rsid w:val="00166848"/>
    <w:rsid w:val="001668A1"/>
    <w:rsid w:val="00166F1A"/>
    <w:rsid w:val="001671BA"/>
    <w:rsid w:val="00170E9A"/>
    <w:rsid w:val="00171D16"/>
    <w:rsid w:val="00171F20"/>
    <w:rsid w:val="001725F4"/>
    <w:rsid w:val="00174F8A"/>
    <w:rsid w:val="001752FA"/>
    <w:rsid w:val="00175AB2"/>
    <w:rsid w:val="0017672A"/>
    <w:rsid w:val="00180BDD"/>
    <w:rsid w:val="0018168D"/>
    <w:rsid w:val="00181952"/>
    <w:rsid w:val="00182513"/>
    <w:rsid w:val="00184DD0"/>
    <w:rsid w:val="00185B8C"/>
    <w:rsid w:val="00190575"/>
    <w:rsid w:val="00191217"/>
    <w:rsid w:val="00191A3F"/>
    <w:rsid w:val="00191D59"/>
    <w:rsid w:val="00192047"/>
    <w:rsid w:val="0019300D"/>
    <w:rsid w:val="00194B88"/>
    <w:rsid w:val="001A0420"/>
    <w:rsid w:val="001A13DD"/>
    <w:rsid w:val="001A155C"/>
    <w:rsid w:val="001A1C42"/>
    <w:rsid w:val="001A21F2"/>
    <w:rsid w:val="001A26D4"/>
    <w:rsid w:val="001A2B3B"/>
    <w:rsid w:val="001A4006"/>
    <w:rsid w:val="001A4D39"/>
    <w:rsid w:val="001A6257"/>
    <w:rsid w:val="001A6498"/>
    <w:rsid w:val="001A6878"/>
    <w:rsid w:val="001B0E08"/>
    <w:rsid w:val="001B17E5"/>
    <w:rsid w:val="001B27D2"/>
    <w:rsid w:val="001B2853"/>
    <w:rsid w:val="001B3BFA"/>
    <w:rsid w:val="001B43FF"/>
    <w:rsid w:val="001B4456"/>
    <w:rsid w:val="001B7793"/>
    <w:rsid w:val="001B7BC3"/>
    <w:rsid w:val="001C1192"/>
    <w:rsid w:val="001C1BA6"/>
    <w:rsid w:val="001C325F"/>
    <w:rsid w:val="001C40FB"/>
    <w:rsid w:val="001C44E8"/>
    <w:rsid w:val="001C4802"/>
    <w:rsid w:val="001C7BAE"/>
    <w:rsid w:val="001D2C64"/>
    <w:rsid w:val="001D5BB1"/>
    <w:rsid w:val="001D607A"/>
    <w:rsid w:val="001D73E5"/>
    <w:rsid w:val="001D75D0"/>
    <w:rsid w:val="001E0196"/>
    <w:rsid w:val="001E1CA9"/>
    <w:rsid w:val="001E2604"/>
    <w:rsid w:val="001E28CC"/>
    <w:rsid w:val="001E31FA"/>
    <w:rsid w:val="001E4049"/>
    <w:rsid w:val="001E5DD1"/>
    <w:rsid w:val="001E64F6"/>
    <w:rsid w:val="001E70D0"/>
    <w:rsid w:val="001F13BA"/>
    <w:rsid w:val="001F1A73"/>
    <w:rsid w:val="001F2194"/>
    <w:rsid w:val="001F25D1"/>
    <w:rsid w:val="001F290C"/>
    <w:rsid w:val="001F39F4"/>
    <w:rsid w:val="001F64AC"/>
    <w:rsid w:val="001F6776"/>
    <w:rsid w:val="001F77A7"/>
    <w:rsid w:val="002004C7"/>
    <w:rsid w:val="002013C4"/>
    <w:rsid w:val="00204B52"/>
    <w:rsid w:val="00204BFA"/>
    <w:rsid w:val="00205757"/>
    <w:rsid w:val="002110A1"/>
    <w:rsid w:val="002128F8"/>
    <w:rsid w:val="00214600"/>
    <w:rsid w:val="00215FBE"/>
    <w:rsid w:val="002164E9"/>
    <w:rsid w:val="00216FBD"/>
    <w:rsid w:val="00220DF7"/>
    <w:rsid w:val="00222BEB"/>
    <w:rsid w:val="00225E60"/>
    <w:rsid w:val="0022608F"/>
    <w:rsid w:val="0022613F"/>
    <w:rsid w:val="00227C6B"/>
    <w:rsid w:val="00230312"/>
    <w:rsid w:val="0023202C"/>
    <w:rsid w:val="00233170"/>
    <w:rsid w:val="00234E76"/>
    <w:rsid w:val="00236203"/>
    <w:rsid w:val="0023790D"/>
    <w:rsid w:val="00240CF0"/>
    <w:rsid w:val="0024195A"/>
    <w:rsid w:val="00241DC1"/>
    <w:rsid w:val="00242252"/>
    <w:rsid w:val="00244971"/>
    <w:rsid w:val="00244F1E"/>
    <w:rsid w:val="00245043"/>
    <w:rsid w:val="0024557E"/>
    <w:rsid w:val="00250141"/>
    <w:rsid w:val="00250ACB"/>
    <w:rsid w:val="0025351A"/>
    <w:rsid w:val="00253C77"/>
    <w:rsid w:val="00254BE3"/>
    <w:rsid w:val="0025617A"/>
    <w:rsid w:val="00256627"/>
    <w:rsid w:val="002567E9"/>
    <w:rsid w:val="00256E96"/>
    <w:rsid w:val="00256F2A"/>
    <w:rsid w:val="002573A1"/>
    <w:rsid w:val="0025749A"/>
    <w:rsid w:val="0025756F"/>
    <w:rsid w:val="00257760"/>
    <w:rsid w:val="00257EC4"/>
    <w:rsid w:val="0026176D"/>
    <w:rsid w:val="00263546"/>
    <w:rsid w:val="002638EB"/>
    <w:rsid w:val="002642A0"/>
    <w:rsid w:val="00264333"/>
    <w:rsid w:val="00264CFF"/>
    <w:rsid w:val="00265489"/>
    <w:rsid w:val="002655FF"/>
    <w:rsid w:val="002660B3"/>
    <w:rsid w:val="0027056A"/>
    <w:rsid w:val="002714E7"/>
    <w:rsid w:val="00271E24"/>
    <w:rsid w:val="00272742"/>
    <w:rsid w:val="00272AE4"/>
    <w:rsid w:val="00272D3C"/>
    <w:rsid w:val="002730EA"/>
    <w:rsid w:val="00274F51"/>
    <w:rsid w:val="00282C4B"/>
    <w:rsid w:val="0028372A"/>
    <w:rsid w:val="002858B6"/>
    <w:rsid w:val="002858C4"/>
    <w:rsid w:val="002859B3"/>
    <w:rsid w:val="0028600F"/>
    <w:rsid w:val="002904C9"/>
    <w:rsid w:val="002911CE"/>
    <w:rsid w:val="00291C69"/>
    <w:rsid w:val="00291E23"/>
    <w:rsid w:val="002921DB"/>
    <w:rsid w:val="00292B4A"/>
    <w:rsid w:val="00292D36"/>
    <w:rsid w:val="00296A20"/>
    <w:rsid w:val="00297281"/>
    <w:rsid w:val="002A02FA"/>
    <w:rsid w:val="002A288D"/>
    <w:rsid w:val="002A3A9C"/>
    <w:rsid w:val="002A3D81"/>
    <w:rsid w:val="002A45A6"/>
    <w:rsid w:val="002A602A"/>
    <w:rsid w:val="002B0133"/>
    <w:rsid w:val="002B1933"/>
    <w:rsid w:val="002B287A"/>
    <w:rsid w:val="002B3221"/>
    <w:rsid w:val="002B36A4"/>
    <w:rsid w:val="002B3F9B"/>
    <w:rsid w:val="002B5AC9"/>
    <w:rsid w:val="002B63AD"/>
    <w:rsid w:val="002B6C30"/>
    <w:rsid w:val="002C13A1"/>
    <w:rsid w:val="002C338A"/>
    <w:rsid w:val="002C38A4"/>
    <w:rsid w:val="002C3CFF"/>
    <w:rsid w:val="002C4077"/>
    <w:rsid w:val="002C4355"/>
    <w:rsid w:val="002C4783"/>
    <w:rsid w:val="002C54E0"/>
    <w:rsid w:val="002C5531"/>
    <w:rsid w:val="002C6C65"/>
    <w:rsid w:val="002C7485"/>
    <w:rsid w:val="002D0724"/>
    <w:rsid w:val="002D1A17"/>
    <w:rsid w:val="002D1DDD"/>
    <w:rsid w:val="002D24A9"/>
    <w:rsid w:val="002D320E"/>
    <w:rsid w:val="002D5F25"/>
    <w:rsid w:val="002D6614"/>
    <w:rsid w:val="002D711A"/>
    <w:rsid w:val="002D7293"/>
    <w:rsid w:val="002D7336"/>
    <w:rsid w:val="002E08A5"/>
    <w:rsid w:val="002E09A3"/>
    <w:rsid w:val="002E0F67"/>
    <w:rsid w:val="002E12F7"/>
    <w:rsid w:val="002E166C"/>
    <w:rsid w:val="002E3396"/>
    <w:rsid w:val="002E3A78"/>
    <w:rsid w:val="002E402C"/>
    <w:rsid w:val="002E50FD"/>
    <w:rsid w:val="002E7475"/>
    <w:rsid w:val="002F16CF"/>
    <w:rsid w:val="002F1E36"/>
    <w:rsid w:val="002F2339"/>
    <w:rsid w:val="002F288E"/>
    <w:rsid w:val="002F5CAE"/>
    <w:rsid w:val="00300DD7"/>
    <w:rsid w:val="00302838"/>
    <w:rsid w:val="00303865"/>
    <w:rsid w:val="003050A2"/>
    <w:rsid w:val="003053A2"/>
    <w:rsid w:val="00310C31"/>
    <w:rsid w:val="0031132B"/>
    <w:rsid w:val="0031149C"/>
    <w:rsid w:val="003123FC"/>
    <w:rsid w:val="003138DF"/>
    <w:rsid w:val="003141ED"/>
    <w:rsid w:val="00314A2E"/>
    <w:rsid w:val="00314CE6"/>
    <w:rsid w:val="0031647A"/>
    <w:rsid w:val="00316800"/>
    <w:rsid w:val="003177CA"/>
    <w:rsid w:val="00320ED1"/>
    <w:rsid w:val="003232E7"/>
    <w:rsid w:val="00323444"/>
    <w:rsid w:val="003242EF"/>
    <w:rsid w:val="00324FCB"/>
    <w:rsid w:val="0032529F"/>
    <w:rsid w:val="00325BB2"/>
    <w:rsid w:val="00326BC9"/>
    <w:rsid w:val="00326BE5"/>
    <w:rsid w:val="00326E25"/>
    <w:rsid w:val="003324EF"/>
    <w:rsid w:val="003336C0"/>
    <w:rsid w:val="00336655"/>
    <w:rsid w:val="00336FD2"/>
    <w:rsid w:val="00337262"/>
    <w:rsid w:val="00337BDA"/>
    <w:rsid w:val="00337C52"/>
    <w:rsid w:val="00337F13"/>
    <w:rsid w:val="0034008B"/>
    <w:rsid w:val="0034023B"/>
    <w:rsid w:val="00342ED8"/>
    <w:rsid w:val="0034599C"/>
    <w:rsid w:val="00345C0D"/>
    <w:rsid w:val="003522AD"/>
    <w:rsid w:val="00352C22"/>
    <w:rsid w:val="0035497A"/>
    <w:rsid w:val="003549A5"/>
    <w:rsid w:val="0035528A"/>
    <w:rsid w:val="00355830"/>
    <w:rsid w:val="00356B9E"/>
    <w:rsid w:val="003571E4"/>
    <w:rsid w:val="00360073"/>
    <w:rsid w:val="0036414D"/>
    <w:rsid w:val="0036477A"/>
    <w:rsid w:val="00366459"/>
    <w:rsid w:val="00366862"/>
    <w:rsid w:val="00367393"/>
    <w:rsid w:val="0036757E"/>
    <w:rsid w:val="00367CB3"/>
    <w:rsid w:val="003714DD"/>
    <w:rsid w:val="00371B15"/>
    <w:rsid w:val="00372180"/>
    <w:rsid w:val="003744F3"/>
    <w:rsid w:val="0037490A"/>
    <w:rsid w:val="003774C5"/>
    <w:rsid w:val="0038124B"/>
    <w:rsid w:val="00381438"/>
    <w:rsid w:val="0038205D"/>
    <w:rsid w:val="00382449"/>
    <w:rsid w:val="003827FA"/>
    <w:rsid w:val="0038349F"/>
    <w:rsid w:val="00386450"/>
    <w:rsid w:val="00386AA8"/>
    <w:rsid w:val="003871E1"/>
    <w:rsid w:val="0038771C"/>
    <w:rsid w:val="00390C29"/>
    <w:rsid w:val="003912D2"/>
    <w:rsid w:val="0039236D"/>
    <w:rsid w:val="00392D98"/>
    <w:rsid w:val="00392EF1"/>
    <w:rsid w:val="00393799"/>
    <w:rsid w:val="00393EBC"/>
    <w:rsid w:val="0039405B"/>
    <w:rsid w:val="003941C9"/>
    <w:rsid w:val="00395322"/>
    <w:rsid w:val="003968F9"/>
    <w:rsid w:val="00396E36"/>
    <w:rsid w:val="00396EFE"/>
    <w:rsid w:val="003A0118"/>
    <w:rsid w:val="003A1C19"/>
    <w:rsid w:val="003A1C92"/>
    <w:rsid w:val="003A4896"/>
    <w:rsid w:val="003A48E8"/>
    <w:rsid w:val="003A541A"/>
    <w:rsid w:val="003A5C0B"/>
    <w:rsid w:val="003A6923"/>
    <w:rsid w:val="003B0473"/>
    <w:rsid w:val="003B60CB"/>
    <w:rsid w:val="003B614B"/>
    <w:rsid w:val="003B7EFE"/>
    <w:rsid w:val="003C26E2"/>
    <w:rsid w:val="003C2C67"/>
    <w:rsid w:val="003C39D8"/>
    <w:rsid w:val="003C5BA4"/>
    <w:rsid w:val="003C64BB"/>
    <w:rsid w:val="003C6F2B"/>
    <w:rsid w:val="003C7BBD"/>
    <w:rsid w:val="003D028E"/>
    <w:rsid w:val="003D0455"/>
    <w:rsid w:val="003D0645"/>
    <w:rsid w:val="003D0A92"/>
    <w:rsid w:val="003D2CE8"/>
    <w:rsid w:val="003D4E4F"/>
    <w:rsid w:val="003E33DE"/>
    <w:rsid w:val="003E3E26"/>
    <w:rsid w:val="003E3F8D"/>
    <w:rsid w:val="003E4AEE"/>
    <w:rsid w:val="003E5201"/>
    <w:rsid w:val="003E7AFA"/>
    <w:rsid w:val="003F0BB7"/>
    <w:rsid w:val="003F0F41"/>
    <w:rsid w:val="003F1295"/>
    <w:rsid w:val="003F2B80"/>
    <w:rsid w:val="003F76FC"/>
    <w:rsid w:val="004002EB"/>
    <w:rsid w:val="00400479"/>
    <w:rsid w:val="004036EB"/>
    <w:rsid w:val="00405535"/>
    <w:rsid w:val="00412ED1"/>
    <w:rsid w:val="00414B43"/>
    <w:rsid w:val="00414B6E"/>
    <w:rsid w:val="0041689E"/>
    <w:rsid w:val="00417E72"/>
    <w:rsid w:val="00420A7F"/>
    <w:rsid w:val="0042291A"/>
    <w:rsid w:val="004236C8"/>
    <w:rsid w:val="00426EA8"/>
    <w:rsid w:val="00427201"/>
    <w:rsid w:val="00427681"/>
    <w:rsid w:val="00427C82"/>
    <w:rsid w:val="004302C5"/>
    <w:rsid w:val="004307C7"/>
    <w:rsid w:val="00430B35"/>
    <w:rsid w:val="004314AB"/>
    <w:rsid w:val="0043286E"/>
    <w:rsid w:val="00432BB3"/>
    <w:rsid w:val="00433DB7"/>
    <w:rsid w:val="00436E90"/>
    <w:rsid w:val="00437EE8"/>
    <w:rsid w:val="0044099D"/>
    <w:rsid w:val="00441CE7"/>
    <w:rsid w:val="00443A24"/>
    <w:rsid w:val="004442DD"/>
    <w:rsid w:val="0044667E"/>
    <w:rsid w:val="004501D4"/>
    <w:rsid w:val="00450799"/>
    <w:rsid w:val="00451E5E"/>
    <w:rsid w:val="00453750"/>
    <w:rsid w:val="00453865"/>
    <w:rsid w:val="00453C6A"/>
    <w:rsid w:val="00454F40"/>
    <w:rsid w:val="00455937"/>
    <w:rsid w:val="00456941"/>
    <w:rsid w:val="00456EF5"/>
    <w:rsid w:val="004579F9"/>
    <w:rsid w:val="00464B13"/>
    <w:rsid w:val="00466E26"/>
    <w:rsid w:val="00467195"/>
    <w:rsid w:val="004702EA"/>
    <w:rsid w:val="0047030D"/>
    <w:rsid w:val="004740B1"/>
    <w:rsid w:val="00474E6F"/>
    <w:rsid w:val="00476D9D"/>
    <w:rsid w:val="00477612"/>
    <w:rsid w:val="00481204"/>
    <w:rsid w:val="00482243"/>
    <w:rsid w:val="00482D02"/>
    <w:rsid w:val="00482D96"/>
    <w:rsid w:val="00482FCC"/>
    <w:rsid w:val="004834E8"/>
    <w:rsid w:val="00484A07"/>
    <w:rsid w:val="00485698"/>
    <w:rsid w:val="00487F76"/>
    <w:rsid w:val="00487F9D"/>
    <w:rsid w:val="0049095F"/>
    <w:rsid w:val="00491A13"/>
    <w:rsid w:val="00491ABA"/>
    <w:rsid w:val="004937C4"/>
    <w:rsid w:val="004951E0"/>
    <w:rsid w:val="00495F48"/>
    <w:rsid w:val="004963B7"/>
    <w:rsid w:val="004A01B1"/>
    <w:rsid w:val="004A0E15"/>
    <w:rsid w:val="004A116E"/>
    <w:rsid w:val="004A2742"/>
    <w:rsid w:val="004A53B0"/>
    <w:rsid w:val="004A5D99"/>
    <w:rsid w:val="004A7519"/>
    <w:rsid w:val="004B31E2"/>
    <w:rsid w:val="004B3788"/>
    <w:rsid w:val="004B4A4E"/>
    <w:rsid w:val="004B5375"/>
    <w:rsid w:val="004B5C8C"/>
    <w:rsid w:val="004B6DC6"/>
    <w:rsid w:val="004C062A"/>
    <w:rsid w:val="004C09A3"/>
    <w:rsid w:val="004C1D2A"/>
    <w:rsid w:val="004C2355"/>
    <w:rsid w:val="004C4C72"/>
    <w:rsid w:val="004C5AE9"/>
    <w:rsid w:val="004C5F3A"/>
    <w:rsid w:val="004C6139"/>
    <w:rsid w:val="004C6806"/>
    <w:rsid w:val="004C6C14"/>
    <w:rsid w:val="004C7E70"/>
    <w:rsid w:val="004D2ECD"/>
    <w:rsid w:val="004D3518"/>
    <w:rsid w:val="004D3A00"/>
    <w:rsid w:val="004D3C82"/>
    <w:rsid w:val="004D5B31"/>
    <w:rsid w:val="004D6181"/>
    <w:rsid w:val="004D62D6"/>
    <w:rsid w:val="004D673A"/>
    <w:rsid w:val="004E0820"/>
    <w:rsid w:val="004E31E5"/>
    <w:rsid w:val="004E39FF"/>
    <w:rsid w:val="004E4BB5"/>
    <w:rsid w:val="004E558A"/>
    <w:rsid w:val="004E5F87"/>
    <w:rsid w:val="004E75AE"/>
    <w:rsid w:val="004F0BA6"/>
    <w:rsid w:val="004F5DA0"/>
    <w:rsid w:val="004F7313"/>
    <w:rsid w:val="004F7760"/>
    <w:rsid w:val="00500997"/>
    <w:rsid w:val="0050176A"/>
    <w:rsid w:val="005025A6"/>
    <w:rsid w:val="005027C8"/>
    <w:rsid w:val="00502956"/>
    <w:rsid w:val="00502AC6"/>
    <w:rsid w:val="00503899"/>
    <w:rsid w:val="00504BD9"/>
    <w:rsid w:val="00505F3F"/>
    <w:rsid w:val="00506A37"/>
    <w:rsid w:val="00510C2B"/>
    <w:rsid w:val="0051149C"/>
    <w:rsid w:val="005124CA"/>
    <w:rsid w:val="00514E4A"/>
    <w:rsid w:val="00515E2D"/>
    <w:rsid w:val="00516080"/>
    <w:rsid w:val="00520CE9"/>
    <w:rsid w:val="00523D3F"/>
    <w:rsid w:val="00523E4D"/>
    <w:rsid w:val="005242F9"/>
    <w:rsid w:val="00524B28"/>
    <w:rsid w:val="005253CA"/>
    <w:rsid w:val="0052650C"/>
    <w:rsid w:val="00531EAD"/>
    <w:rsid w:val="00532754"/>
    <w:rsid w:val="00533C5D"/>
    <w:rsid w:val="0053416C"/>
    <w:rsid w:val="00534B39"/>
    <w:rsid w:val="00537CB4"/>
    <w:rsid w:val="00540ED9"/>
    <w:rsid w:val="00540F7B"/>
    <w:rsid w:val="00541C2F"/>
    <w:rsid w:val="00541CAE"/>
    <w:rsid w:val="0054427E"/>
    <w:rsid w:val="0054475A"/>
    <w:rsid w:val="00545348"/>
    <w:rsid w:val="00546260"/>
    <w:rsid w:val="00546E00"/>
    <w:rsid w:val="005472A1"/>
    <w:rsid w:val="00547B6D"/>
    <w:rsid w:val="00550A0E"/>
    <w:rsid w:val="00551B82"/>
    <w:rsid w:val="00552B88"/>
    <w:rsid w:val="00552BF5"/>
    <w:rsid w:val="00552D7E"/>
    <w:rsid w:val="005530BB"/>
    <w:rsid w:val="005536B1"/>
    <w:rsid w:val="0055419B"/>
    <w:rsid w:val="00555723"/>
    <w:rsid w:val="00555EA1"/>
    <w:rsid w:val="00556E44"/>
    <w:rsid w:val="0055727D"/>
    <w:rsid w:val="00560720"/>
    <w:rsid w:val="00560796"/>
    <w:rsid w:val="00563527"/>
    <w:rsid w:val="00563CF7"/>
    <w:rsid w:val="00565EB2"/>
    <w:rsid w:val="0056706D"/>
    <w:rsid w:val="00570B3A"/>
    <w:rsid w:val="00573C66"/>
    <w:rsid w:val="005743E1"/>
    <w:rsid w:val="00574CA9"/>
    <w:rsid w:val="00575618"/>
    <w:rsid w:val="0057585B"/>
    <w:rsid w:val="005765D9"/>
    <w:rsid w:val="00577D9E"/>
    <w:rsid w:val="00580BA3"/>
    <w:rsid w:val="0058124E"/>
    <w:rsid w:val="0058191C"/>
    <w:rsid w:val="00583B0C"/>
    <w:rsid w:val="00587532"/>
    <w:rsid w:val="005875A3"/>
    <w:rsid w:val="0058775C"/>
    <w:rsid w:val="00592174"/>
    <w:rsid w:val="005924F1"/>
    <w:rsid w:val="005929D7"/>
    <w:rsid w:val="00593D50"/>
    <w:rsid w:val="005942D0"/>
    <w:rsid w:val="00594631"/>
    <w:rsid w:val="005948A1"/>
    <w:rsid w:val="00594BA7"/>
    <w:rsid w:val="00594E80"/>
    <w:rsid w:val="00594F97"/>
    <w:rsid w:val="00595B3D"/>
    <w:rsid w:val="00597629"/>
    <w:rsid w:val="005A00BA"/>
    <w:rsid w:val="005A023E"/>
    <w:rsid w:val="005A24F3"/>
    <w:rsid w:val="005A2B8F"/>
    <w:rsid w:val="005A3416"/>
    <w:rsid w:val="005A3B06"/>
    <w:rsid w:val="005A4CE3"/>
    <w:rsid w:val="005A500D"/>
    <w:rsid w:val="005A758F"/>
    <w:rsid w:val="005B0F1D"/>
    <w:rsid w:val="005B1679"/>
    <w:rsid w:val="005B27FE"/>
    <w:rsid w:val="005B442B"/>
    <w:rsid w:val="005B6BBD"/>
    <w:rsid w:val="005B78F2"/>
    <w:rsid w:val="005C07B9"/>
    <w:rsid w:val="005C3E6D"/>
    <w:rsid w:val="005C50EC"/>
    <w:rsid w:val="005C7443"/>
    <w:rsid w:val="005C7A39"/>
    <w:rsid w:val="005D0029"/>
    <w:rsid w:val="005D186E"/>
    <w:rsid w:val="005D22B9"/>
    <w:rsid w:val="005D2483"/>
    <w:rsid w:val="005D60BC"/>
    <w:rsid w:val="005D6EEA"/>
    <w:rsid w:val="005E0B8B"/>
    <w:rsid w:val="005E2514"/>
    <w:rsid w:val="005E3083"/>
    <w:rsid w:val="005E34E1"/>
    <w:rsid w:val="005E43AA"/>
    <w:rsid w:val="005E4751"/>
    <w:rsid w:val="005E582D"/>
    <w:rsid w:val="005E6029"/>
    <w:rsid w:val="005E6FC1"/>
    <w:rsid w:val="005E76CF"/>
    <w:rsid w:val="005F0585"/>
    <w:rsid w:val="005F1737"/>
    <w:rsid w:val="005F1B3B"/>
    <w:rsid w:val="005F5B0A"/>
    <w:rsid w:val="005F61DF"/>
    <w:rsid w:val="006003E5"/>
    <w:rsid w:val="00600436"/>
    <w:rsid w:val="00601EF4"/>
    <w:rsid w:val="0060214A"/>
    <w:rsid w:val="006023F9"/>
    <w:rsid w:val="00602DFD"/>
    <w:rsid w:val="0060380B"/>
    <w:rsid w:val="00603A3B"/>
    <w:rsid w:val="006052EC"/>
    <w:rsid w:val="00606742"/>
    <w:rsid w:val="00606BC9"/>
    <w:rsid w:val="006076C4"/>
    <w:rsid w:val="006077D8"/>
    <w:rsid w:val="00610559"/>
    <w:rsid w:val="00610E90"/>
    <w:rsid w:val="0061231C"/>
    <w:rsid w:val="0061257E"/>
    <w:rsid w:val="00612997"/>
    <w:rsid w:val="0061360C"/>
    <w:rsid w:val="00614388"/>
    <w:rsid w:val="00617457"/>
    <w:rsid w:val="00617764"/>
    <w:rsid w:val="00617A43"/>
    <w:rsid w:val="00617F1F"/>
    <w:rsid w:val="00620C3A"/>
    <w:rsid w:val="00621D09"/>
    <w:rsid w:val="006226B4"/>
    <w:rsid w:val="00625A3D"/>
    <w:rsid w:val="00625C2F"/>
    <w:rsid w:val="006273BA"/>
    <w:rsid w:val="00627832"/>
    <w:rsid w:val="006310AA"/>
    <w:rsid w:val="00632627"/>
    <w:rsid w:val="006332F6"/>
    <w:rsid w:val="00633429"/>
    <w:rsid w:val="00633816"/>
    <w:rsid w:val="00634769"/>
    <w:rsid w:val="006375DA"/>
    <w:rsid w:val="00637AA9"/>
    <w:rsid w:val="006408F8"/>
    <w:rsid w:val="00641E8A"/>
    <w:rsid w:val="006430E1"/>
    <w:rsid w:val="006468C8"/>
    <w:rsid w:val="00650E1F"/>
    <w:rsid w:val="00651CAF"/>
    <w:rsid w:val="0065227A"/>
    <w:rsid w:val="00652625"/>
    <w:rsid w:val="006534B2"/>
    <w:rsid w:val="00654356"/>
    <w:rsid w:val="00654722"/>
    <w:rsid w:val="00655A16"/>
    <w:rsid w:val="0065615D"/>
    <w:rsid w:val="00657011"/>
    <w:rsid w:val="006579D2"/>
    <w:rsid w:val="006605B6"/>
    <w:rsid w:val="0066428E"/>
    <w:rsid w:val="006650B5"/>
    <w:rsid w:val="006651B1"/>
    <w:rsid w:val="00665778"/>
    <w:rsid w:val="006703E8"/>
    <w:rsid w:val="00670D5B"/>
    <w:rsid w:val="00671183"/>
    <w:rsid w:val="00671E7A"/>
    <w:rsid w:val="00671FC5"/>
    <w:rsid w:val="00673330"/>
    <w:rsid w:val="00674151"/>
    <w:rsid w:val="0067682E"/>
    <w:rsid w:val="00677FF4"/>
    <w:rsid w:val="006802F6"/>
    <w:rsid w:val="006814A5"/>
    <w:rsid w:val="00682CF7"/>
    <w:rsid w:val="00683566"/>
    <w:rsid w:val="00683AA3"/>
    <w:rsid w:val="00683F4E"/>
    <w:rsid w:val="006855B3"/>
    <w:rsid w:val="006903FC"/>
    <w:rsid w:val="006908A2"/>
    <w:rsid w:val="006919AC"/>
    <w:rsid w:val="00691C69"/>
    <w:rsid w:val="006927B1"/>
    <w:rsid w:val="00692A21"/>
    <w:rsid w:val="00692B4B"/>
    <w:rsid w:val="00692E7F"/>
    <w:rsid w:val="00693339"/>
    <w:rsid w:val="00696F52"/>
    <w:rsid w:val="006A0212"/>
    <w:rsid w:val="006A09D1"/>
    <w:rsid w:val="006A102F"/>
    <w:rsid w:val="006A1106"/>
    <w:rsid w:val="006A14F6"/>
    <w:rsid w:val="006A16D3"/>
    <w:rsid w:val="006A25DD"/>
    <w:rsid w:val="006A5639"/>
    <w:rsid w:val="006A5AF9"/>
    <w:rsid w:val="006A5B34"/>
    <w:rsid w:val="006A5B8B"/>
    <w:rsid w:val="006A5F5B"/>
    <w:rsid w:val="006A72F2"/>
    <w:rsid w:val="006A7865"/>
    <w:rsid w:val="006B33B0"/>
    <w:rsid w:val="006B56C3"/>
    <w:rsid w:val="006B5EDA"/>
    <w:rsid w:val="006B68C8"/>
    <w:rsid w:val="006C09F6"/>
    <w:rsid w:val="006C0B77"/>
    <w:rsid w:val="006C1530"/>
    <w:rsid w:val="006C1592"/>
    <w:rsid w:val="006C26AA"/>
    <w:rsid w:val="006C77A9"/>
    <w:rsid w:val="006C7924"/>
    <w:rsid w:val="006D7F50"/>
    <w:rsid w:val="006E007B"/>
    <w:rsid w:val="006E12D0"/>
    <w:rsid w:val="006E1454"/>
    <w:rsid w:val="006E1A58"/>
    <w:rsid w:val="006E1A5E"/>
    <w:rsid w:val="006E1D3A"/>
    <w:rsid w:val="006E1F18"/>
    <w:rsid w:val="006E4666"/>
    <w:rsid w:val="006E5531"/>
    <w:rsid w:val="006E57A8"/>
    <w:rsid w:val="006E7BF5"/>
    <w:rsid w:val="006F05FF"/>
    <w:rsid w:val="006F0F13"/>
    <w:rsid w:val="006F393D"/>
    <w:rsid w:val="006F3B8D"/>
    <w:rsid w:val="006F412C"/>
    <w:rsid w:val="006F6693"/>
    <w:rsid w:val="006F68AA"/>
    <w:rsid w:val="006F6CF0"/>
    <w:rsid w:val="00700D18"/>
    <w:rsid w:val="0070125F"/>
    <w:rsid w:val="007013FF"/>
    <w:rsid w:val="00702725"/>
    <w:rsid w:val="00703A17"/>
    <w:rsid w:val="0070679B"/>
    <w:rsid w:val="007067A8"/>
    <w:rsid w:val="00706CE9"/>
    <w:rsid w:val="00707324"/>
    <w:rsid w:val="00707AB5"/>
    <w:rsid w:val="00707FE8"/>
    <w:rsid w:val="00710144"/>
    <w:rsid w:val="00710420"/>
    <w:rsid w:val="00710B4F"/>
    <w:rsid w:val="00711BEF"/>
    <w:rsid w:val="00711FE4"/>
    <w:rsid w:val="00713FB5"/>
    <w:rsid w:val="00714A38"/>
    <w:rsid w:val="00717608"/>
    <w:rsid w:val="007176CF"/>
    <w:rsid w:val="007177D6"/>
    <w:rsid w:val="00720AD4"/>
    <w:rsid w:val="0072165A"/>
    <w:rsid w:val="00723634"/>
    <w:rsid w:val="00723D18"/>
    <w:rsid w:val="00724523"/>
    <w:rsid w:val="00724962"/>
    <w:rsid w:val="00724A0F"/>
    <w:rsid w:val="00725098"/>
    <w:rsid w:val="00725BB6"/>
    <w:rsid w:val="00730065"/>
    <w:rsid w:val="00732162"/>
    <w:rsid w:val="00733B41"/>
    <w:rsid w:val="00733E51"/>
    <w:rsid w:val="007342C9"/>
    <w:rsid w:val="007342CB"/>
    <w:rsid w:val="00734F7F"/>
    <w:rsid w:val="0073527F"/>
    <w:rsid w:val="00736732"/>
    <w:rsid w:val="00740231"/>
    <w:rsid w:val="00740420"/>
    <w:rsid w:val="007429D1"/>
    <w:rsid w:val="007431E8"/>
    <w:rsid w:val="00743CA1"/>
    <w:rsid w:val="007444D8"/>
    <w:rsid w:val="00744F85"/>
    <w:rsid w:val="00745CE6"/>
    <w:rsid w:val="00747E50"/>
    <w:rsid w:val="0075017F"/>
    <w:rsid w:val="00750CBE"/>
    <w:rsid w:val="00750D7B"/>
    <w:rsid w:val="007527F6"/>
    <w:rsid w:val="00755403"/>
    <w:rsid w:val="00755676"/>
    <w:rsid w:val="00755879"/>
    <w:rsid w:val="00755D02"/>
    <w:rsid w:val="007564E5"/>
    <w:rsid w:val="007573A0"/>
    <w:rsid w:val="007576F8"/>
    <w:rsid w:val="007606F7"/>
    <w:rsid w:val="007618A0"/>
    <w:rsid w:val="00765B10"/>
    <w:rsid w:val="007661F9"/>
    <w:rsid w:val="00766B5A"/>
    <w:rsid w:val="0077045F"/>
    <w:rsid w:val="007709AF"/>
    <w:rsid w:val="00772B45"/>
    <w:rsid w:val="00772E91"/>
    <w:rsid w:val="00773872"/>
    <w:rsid w:val="0077479B"/>
    <w:rsid w:val="00774BF8"/>
    <w:rsid w:val="007754E2"/>
    <w:rsid w:val="0077631E"/>
    <w:rsid w:val="007766C1"/>
    <w:rsid w:val="00781712"/>
    <w:rsid w:val="007834F2"/>
    <w:rsid w:val="0078434D"/>
    <w:rsid w:val="00786B9A"/>
    <w:rsid w:val="0079011F"/>
    <w:rsid w:val="00790D40"/>
    <w:rsid w:val="00791020"/>
    <w:rsid w:val="00791970"/>
    <w:rsid w:val="007920D7"/>
    <w:rsid w:val="00793D44"/>
    <w:rsid w:val="0079511F"/>
    <w:rsid w:val="007953DB"/>
    <w:rsid w:val="007A0621"/>
    <w:rsid w:val="007A0924"/>
    <w:rsid w:val="007A14E7"/>
    <w:rsid w:val="007A3DAE"/>
    <w:rsid w:val="007A4644"/>
    <w:rsid w:val="007A5F82"/>
    <w:rsid w:val="007A7C89"/>
    <w:rsid w:val="007B12D3"/>
    <w:rsid w:val="007B38D3"/>
    <w:rsid w:val="007B4A89"/>
    <w:rsid w:val="007B52C8"/>
    <w:rsid w:val="007B588B"/>
    <w:rsid w:val="007B669E"/>
    <w:rsid w:val="007B6D42"/>
    <w:rsid w:val="007B7A19"/>
    <w:rsid w:val="007B7C1C"/>
    <w:rsid w:val="007C1CCE"/>
    <w:rsid w:val="007C2CD2"/>
    <w:rsid w:val="007C2F36"/>
    <w:rsid w:val="007C4172"/>
    <w:rsid w:val="007C4436"/>
    <w:rsid w:val="007C50C2"/>
    <w:rsid w:val="007C5D44"/>
    <w:rsid w:val="007C6E38"/>
    <w:rsid w:val="007D03CC"/>
    <w:rsid w:val="007D08B0"/>
    <w:rsid w:val="007D0C34"/>
    <w:rsid w:val="007D10A8"/>
    <w:rsid w:val="007D10F9"/>
    <w:rsid w:val="007D2921"/>
    <w:rsid w:val="007D39F9"/>
    <w:rsid w:val="007E0770"/>
    <w:rsid w:val="007E19BE"/>
    <w:rsid w:val="007E2778"/>
    <w:rsid w:val="007E27AE"/>
    <w:rsid w:val="007E43F4"/>
    <w:rsid w:val="007E5CCE"/>
    <w:rsid w:val="007E6207"/>
    <w:rsid w:val="007E77C8"/>
    <w:rsid w:val="007F00DD"/>
    <w:rsid w:val="007F05FC"/>
    <w:rsid w:val="007F0B74"/>
    <w:rsid w:val="007F1A4C"/>
    <w:rsid w:val="007F2339"/>
    <w:rsid w:val="007F3C89"/>
    <w:rsid w:val="007F3FBB"/>
    <w:rsid w:val="007F4007"/>
    <w:rsid w:val="007F4EE9"/>
    <w:rsid w:val="007F7063"/>
    <w:rsid w:val="007F729F"/>
    <w:rsid w:val="007F76F8"/>
    <w:rsid w:val="007F7D41"/>
    <w:rsid w:val="00800DAA"/>
    <w:rsid w:val="00801390"/>
    <w:rsid w:val="008015B2"/>
    <w:rsid w:val="00801B6D"/>
    <w:rsid w:val="008022C3"/>
    <w:rsid w:val="00803D0A"/>
    <w:rsid w:val="00803F54"/>
    <w:rsid w:val="008041E6"/>
    <w:rsid w:val="008041FB"/>
    <w:rsid w:val="008065D2"/>
    <w:rsid w:val="00811F18"/>
    <w:rsid w:val="00812BCA"/>
    <w:rsid w:val="00814115"/>
    <w:rsid w:val="00817831"/>
    <w:rsid w:val="0082194C"/>
    <w:rsid w:val="008220C4"/>
    <w:rsid w:val="008222FF"/>
    <w:rsid w:val="0082349F"/>
    <w:rsid w:val="008241FF"/>
    <w:rsid w:val="008245AD"/>
    <w:rsid w:val="0082710C"/>
    <w:rsid w:val="008318C6"/>
    <w:rsid w:val="00831FA5"/>
    <w:rsid w:val="00833B52"/>
    <w:rsid w:val="00834AD3"/>
    <w:rsid w:val="00835053"/>
    <w:rsid w:val="008351C5"/>
    <w:rsid w:val="00836331"/>
    <w:rsid w:val="00836C92"/>
    <w:rsid w:val="008372D2"/>
    <w:rsid w:val="008411E9"/>
    <w:rsid w:val="00841C86"/>
    <w:rsid w:val="0084200F"/>
    <w:rsid w:val="008428B0"/>
    <w:rsid w:val="00843B2C"/>
    <w:rsid w:val="008467EC"/>
    <w:rsid w:val="00850272"/>
    <w:rsid w:val="00850A85"/>
    <w:rsid w:val="00851105"/>
    <w:rsid w:val="008518B0"/>
    <w:rsid w:val="0085257B"/>
    <w:rsid w:val="008530A9"/>
    <w:rsid w:val="008532AF"/>
    <w:rsid w:val="00855889"/>
    <w:rsid w:val="00855C7B"/>
    <w:rsid w:val="00855C8B"/>
    <w:rsid w:val="008632DA"/>
    <w:rsid w:val="0086695D"/>
    <w:rsid w:val="008711D2"/>
    <w:rsid w:val="00871976"/>
    <w:rsid w:val="00872CD8"/>
    <w:rsid w:val="008732F4"/>
    <w:rsid w:val="00873B05"/>
    <w:rsid w:val="008740B3"/>
    <w:rsid w:val="00874F40"/>
    <w:rsid w:val="00877721"/>
    <w:rsid w:val="00877DB8"/>
    <w:rsid w:val="00881358"/>
    <w:rsid w:val="00881675"/>
    <w:rsid w:val="00884125"/>
    <w:rsid w:val="00885113"/>
    <w:rsid w:val="00885327"/>
    <w:rsid w:val="008869E4"/>
    <w:rsid w:val="00886C24"/>
    <w:rsid w:val="00886FAA"/>
    <w:rsid w:val="008927E0"/>
    <w:rsid w:val="008971F9"/>
    <w:rsid w:val="00897396"/>
    <w:rsid w:val="00897424"/>
    <w:rsid w:val="00897596"/>
    <w:rsid w:val="00897754"/>
    <w:rsid w:val="00897BA6"/>
    <w:rsid w:val="00897CF2"/>
    <w:rsid w:val="008A00E6"/>
    <w:rsid w:val="008A0551"/>
    <w:rsid w:val="008A3882"/>
    <w:rsid w:val="008A4900"/>
    <w:rsid w:val="008A5D3E"/>
    <w:rsid w:val="008A6C31"/>
    <w:rsid w:val="008A70BF"/>
    <w:rsid w:val="008A7EDB"/>
    <w:rsid w:val="008B18D6"/>
    <w:rsid w:val="008B23D6"/>
    <w:rsid w:val="008B242A"/>
    <w:rsid w:val="008B34C2"/>
    <w:rsid w:val="008B3BA9"/>
    <w:rsid w:val="008B58F7"/>
    <w:rsid w:val="008B66AA"/>
    <w:rsid w:val="008B69EC"/>
    <w:rsid w:val="008B6E60"/>
    <w:rsid w:val="008B73DA"/>
    <w:rsid w:val="008C0D16"/>
    <w:rsid w:val="008C1F3C"/>
    <w:rsid w:val="008C1FC4"/>
    <w:rsid w:val="008C4405"/>
    <w:rsid w:val="008C50FA"/>
    <w:rsid w:val="008D0281"/>
    <w:rsid w:val="008D4A92"/>
    <w:rsid w:val="008D57E3"/>
    <w:rsid w:val="008D5CE3"/>
    <w:rsid w:val="008D70D3"/>
    <w:rsid w:val="008D7333"/>
    <w:rsid w:val="008D7613"/>
    <w:rsid w:val="008D7B3F"/>
    <w:rsid w:val="008E34B2"/>
    <w:rsid w:val="008E3C4E"/>
    <w:rsid w:val="008E5364"/>
    <w:rsid w:val="008E63A9"/>
    <w:rsid w:val="008E74A9"/>
    <w:rsid w:val="008F024D"/>
    <w:rsid w:val="008F07F4"/>
    <w:rsid w:val="008F07FE"/>
    <w:rsid w:val="008F1B26"/>
    <w:rsid w:val="008F48B5"/>
    <w:rsid w:val="008F4C5C"/>
    <w:rsid w:val="008F5E8E"/>
    <w:rsid w:val="008F6105"/>
    <w:rsid w:val="008F68D0"/>
    <w:rsid w:val="008F6ACB"/>
    <w:rsid w:val="008F6D45"/>
    <w:rsid w:val="009000AA"/>
    <w:rsid w:val="00900D19"/>
    <w:rsid w:val="00901043"/>
    <w:rsid w:val="0090189D"/>
    <w:rsid w:val="00901A08"/>
    <w:rsid w:val="0090245C"/>
    <w:rsid w:val="009036C2"/>
    <w:rsid w:val="00904D8D"/>
    <w:rsid w:val="00907E71"/>
    <w:rsid w:val="00910AE2"/>
    <w:rsid w:val="00911435"/>
    <w:rsid w:val="00911ECB"/>
    <w:rsid w:val="009145B1"/>
    <w:rsid w:val="00914DA4"/>
    <w:rsid w:val="00916BFF"/>
    <w:rsid w:val="00920193"/>
    <w:rsid w:val="00920C1E"/>
    <w:rsid w:val="00921A11"/>
    <w:rsid w:val="00922AB6"/>
    <w:rsid w:val="00922C54"/>
    <w:rsid w:val="00925D8C"/>
    <w:rsid w:val="00927351"/>
    <w:rsid w:val="00927596"/>
    <w:rsid w:val="0093131A"/>
    <w:rsid w:val="00932855"/>
    <w:rsid w:val="00933E03"/>
    <w:rsid w:val="00935F75"/>
    <w:rsid w:val="00935F9E"/>
    <w:rsid w:val="00936599"/>
    <w:rsid w:val="009376EB"/>
    <w:rsid w:val="00937982"/>
    <w:rsid w:val="00937BAF"/>
    <w:rsid w:val="00937EBE"/>
    <w:rsid w:val="009416A9"/>
    <w:rsid w:val="009423B8"/>
    <w:rsid w:val="00943F52"/>
    <w:rsid w:val="00944015"/>
    <w:rsid w:val="0094447F"/>
    <w:rsid w:val="00944F19"/>
    <w:rsid w:val="00945E8C"/>
    <w:rsid w:val="00946F81"/>
    <w:rsid w:val="0095024A"/>
    <w:rsid w:val="00950E62"/>
    <w:rsid w:val="009511B2"/>
    <w:rsid w:val="00952D59"/>
    <w:rsid w:val="009539FC"/>
    <w:rsid w:val="009567FE"/>
    <w:rsid w:val="00961EEA"/>
    <w:rsid w:val="009625CF"/>
    <w:rsid w:val="009627A3"/>
    <w:rsid w:val="00964C64"/>
    <w:rsid w:val="0096507F"/>
    <w:rsid w:val="00965557"/>
    <w:rsid w:val="00965A3E"/>
    <w:rsid w:val="00965E8D"/>
    <w:rsid w:val="0096613D"/>
    <w:rsid w:val="0096740D"/>
    <w:rsid w:val="009734B1"/>
    <w:rsid w:val="00975091"/>
    <w:rsid w:val="009767A0"/>
    <w:rsid w:val="00976B18"/>
    <w:rsid w:val="00977D2E"/>
    <w:rsid w:val="009813B8"/>
    <w:rsid w:val="009820B2"/>
    <w:rsid w:val="009834C0"/>
    <w:rsid w:val="00984DE0"/>
    <w:rsid w:val="00986AAC"/>
    <w:rsid w:val="00987E37"/>
    <w:rsid w:val="00990F8A"/>
    <w:rsid w:val="009910E8"/>
    <w:rsid w:val="00991739"/>
    <w:rsid w:val="009917AB"/>
    <w:rsid w:val="00991C6F"/>
    <w:rsid w:val="009927E3"/>
    <w:rsid w:val="009933F6"/>
    <w:rsid w:val="009944F5"/>
    <w:rsid w:val="00994A49"/>
    <w:rsid w:val="00996470"/>
    <w:rsid w:val="009969B6"/>
    <w:rsid w:val="009973C7"/>
    <w:rsid w:val="009973ED"/>
    <w:rsid w:val="00997740"/>
    <w:rsid w:val="00997F29"/>
    <w:rsid w:val="009A0C13"/>
    <w:rsid w:val="009A1DA2"/>
    <w:rsid w:val="009A2BB3"/>
    <w:rsid w:val="009A2FCB"/>
    <w:rsid w:val="009A3704"/>
    <w:rsid w:val="009A41C7"/>
    <w:rsid w:val="009A4739"/>
    <w:rsid w:val="009A5458"/>
    <w:rsid w:val="009A674F"/>
    <w:rsid w:val="009A7962"/>
    <w:rsid w:val="009B07B2"/>
    <w:rsid w:val="009B0A27"/>
    <w:rsid w:val="009B0E6B"/>
    <w:rsid w:val="009B14C3"/>
    <w:rsid w:val="009B199C"/>
    <w:rsid w:val="009B1A25"/>
    <w:rsid w:val="009B2877"/>
    <w:rsid w:val="009B2E5D"/>
    <w:rsid w:val="009B2FDA"/>
    <w:rsid w:val="009B3F54"/>
    <w:rsid w:val="009B518E"/>
    <w:rsid w:val="009B54C8"/>
    <w:rsid w:val="009B61F1"/>
    <w:rsid w:val="009B62E0"/>
    <w:rsid w:val="009B64DE"/>
    <w:rsid w:val="009B6551"/>
    <w:rsid w:val="009B78CE"/>
    <w:rsid w:val="009B7ACA"/>
    <w:rsid w:val="009C1530"/>
    <w:rsid w:val="009C1943"/>
    <w:rsid w:val="009C2711"/>
    <w:rsid w:val="009C3D88"/>
    <w:rsid w:val="009C43A1"/>
    <w:rsid w:val="009C4CA0"/>
    <w:rsid w:val="009C5B37"/>
    <w:rsid w:val="009C5CF6"/>
    <w:rsid w:val="009D0264"/>
    <w:rsid w:val="009D1077"/>
    <w:rsid w:val="009D1895"/>
    <w:rsid w:val="009D25E3"/>
    <w:rsid w:val="009D38DC"/>
    <w:rsid w:val="009D3D19"/>
    <w:rsid w:val="009D4A6D"/>
    <w:rsid w:val="009D4DDD"/>
    <w:rsid w:val="009D52BF"/>
    <w:rsid w:val="009D5336"/>
    <w:rsid w:val="009D5750"/>
    <w:rsid w:val="009E3858"/>
    <w:rsid w:val="009E70DD"/>
    <w:rsid w:val="009F25CB"/>
    <w:rsid w:val="009F2ED9"/>
    <w:rsid w:val="009F3231"/>
    <w:rsid w:val="009F3B94"/>
    <w:rsid w:val="009F54B4"/>
    <w:rsid w:val="009F5C58"/>
    <w:rsid w:val="009F6007"/>
    <w:rsid w:val="00A00728"/>
    <w:rsid w:val="00A01581"/>
    <w:rsid w:val="00A01975"/>
    <w:rsid w:val="00A01DA7"/>
    <w:rsid w:val="00A023A0"/>
    <w:rsid w:val="00A03370"/>
    <w:rsid w:val="00A0385E"/>
    <w:rsid w:val="00A0699D"/>
    <w:rsid w:val="00A06E8A"/>
    <w:rsid w:val="00A07BA3"/>
    <w:rsid w:val="00A07C30"/>
    <w:rsid w:val="00A10603"/>
    <w:rsid w:val="00A107C2"/>
    <w:rsid w:val="00A11C6C"/>
    <w:rsid w:val="00A1222A"/>
    <w:rsid w:val="00A14464"/>
    <w:rsid w:val="00A14A9C"/>
    <w:rsid w:val="00A14C3E"/>
    <w:rsid w:val="00A1562B"/>
    <w:rsid w:val="00A170F4"/>
    <w:rsid w:val="00A17BC7"/>
    <w:rsid w:val="00A2017C"/>
    <w:rsid w:val="00A2116E"/>
    <w:rsid w:val="00A21D23"/>
    <w:rsid w:val="00A232B8"/>
    <w:rsid w:val="00A23EBF"/>
    <w:rsid w:val="00A2559E"/>
    <w:rsid w:val="00A25FD9"/>
    <w:rsid w:val="00A26145"/>
    <w:rsid w:val="00A261D2"/>
    <w:rsid w:val="00A26317"/>
    <w:rsid w:val="00A300DC"/>
    <w:rsid w:val="00A30938"/>
    <w:rsid w:val="00A3484B"/>
    <w:rsid w:val="00A35156"/>
    <w:rsid w:val="00A373FC"/>
    <w:rsid w:val="00A414CA"/>
    <w:rsid w:val="00A4175E"/>
    <w:rsid w:val="00A41D01"/>
    <w:rsid w:val="00A423D2"/>
    <w:rsid w:val="00A4242F"/>
    <w:rsid w:val="00A430A8"/>
    <w:rsid w:val="00A44E1E"/>
    <w:rsid w:val="00A46BA8"/>
    <w:rsid w:val="00A47208"/>
    <w:rsid w:val="00A47634"/>
    <w:rsid w:val="00A47746"/>
    <w:rsid w:val="00A52265"/>
    <w:rsid w:val="00A52879"/>
    <w:rsid w:val="00A52A33"/>
    <w:rsid w:val="00A5377D"/>
    <w:rsid w:val="00A542BF"/>
    <w:rsid w:val="00A5570A"/>
    <w:rsid w:val="00A5691F"/>
    <w:rsid w:val="00A5774F"/>
    <w:rsid w:val="00A60032"/>
    <w:rsid w:val="00A60641"/>
    <w:rsid w:val="00A60C2D"/>
    <w:rsid w:val="00A612FE"/>
    <w:rsid w:val="00A6235A"/>
    <w:rsid w:val="00A63C98"/>
    <w:rsid w:val="00A66CD1"/>
    <w:rsid w:val="00A67503"/>
    <w:rsid w:val="00A74E46"/>
    <w:rsid w:val="00A81D9D"/>
    <w:rsid w:val="00A8267D"/>
    <w:rsid w:val="00A830F6"/>
    <w:rsid w:val="00A831F0"/>
    <w:rsid w:val="00A83DE9"/>
    <w:rsid w:val="00A84484"/>
    <w:rsid w:val="00A845CA"/>
    <w:rsid w:val="00A85489"/>
    <w:rsid w:val="00A862D0"/>
    <w:rsid w:val="00A86C77"/>
    <w:rsid w:val="00A907EA"/>
    <w:rsid w:val="00A90A4F"/>
    <w:rsid w:val="00A90B3C"/>
    <w:rsid w:val="00A91295"/>
    <w:rsid w:val="00A91B6F"/>
    <w:rsid w:val="00A92E8B"/>
    <w:rsid w:val="00A94164"/>
    <w:rsid w:val="00A94215"/>
    <w:rsid w:val="00A96617"/>
    <w:rsid w:val="00AA10AD"/>
    <w:rsid w:val="00AA26B8"/>
    <w:rsid w:val="00AA2BF4"/>
    <w:rsid w:val="00AA3044"/>
    <w:rsid w:val="00AA39DE"/>
    <w:rsid w:val="00AA40E7"/>
    <w:rsid w:val="00AA45BA"/>
    <w:rsid w:val="00AA5A64"/>
    <w:rsid w:val="00AA5F39"/>
    <w:rsid w:val="00AA72BF"/>
    <w:rsid w:val="00AB0B1F"/>
    <w:rsid w:val="00AB331A"/>
    <w:rsid w:val="00AB337D"/>
    <w:rsid w:val="00AB3B7D"/>
    <w:rsid w:val="00AB3FE2"/>
    <w:rsid w:val="00AB62B9"/>
    <w:rsid w:val="00AB6355"/>
    <w:rsid w:val="00AB687A"/>
    <w:rsid w:val="00AB774D"/>
    <w:rsid w:val="00AB78D9"/>
    <w:rsid w:val="00AB7DDC"/>
    <w:rsid w:val="00AC0711"/>
    <w:rsid w:val="00AC0DE7"/>
    <w:rsid w:val="00AC2674"/>
    <w:rsid w:val="00AC3171"/>
    <w:rsid w:val="00AC3226"/>
    <w:rsid w:val="00AC4CD5"/>
    <w:rsid w:val="00AC4D88"/>
    <w:rsid w:val="00AC77A8"/>
    <w:rsid w:val="00AD08A5"/>
    <w:rsid w:val="00AD256A"/>
    <w:rsid w:val="00AD3322"/>
    <w:rsid w:val="00AD550E"/>
    <w:rsid w:val="00AD5807"/>
    <w:rsid w:val="00AD6BA0"/>
    <w:rsid w:val="00AD7B0B"/>
    <w:rsid w:val="00AD7CE5"/>
    <w:rsid w:val="00AD7E4E"/>
    <w:rsid w:val="00AE1855"/>
    <w:rsid w:val="00AE1A2F"/>
    <w:rsid w:val="00AE3C98"/>
    <w:rsid w:val="00AE417D"/>
    <w:rsid w:val="00AE4485"/>
    <w:rsid w:val="00AE4999"/>
    <w:rsid w:val="00AE4AA1"/>
    <w:rsid w:val="00AE4F5E"/>
    <w:rsid w:val="00AE6254"/>
    <w:rsid w:val="00AF0273"/>
    <w:rsid w:val="00AF1AB3"/>
    <w:rsid w:val="00AF1B58"/>
    <w:rsid w:val="00AF225F"/>
    <w:rsid w:val="00AF22FE"/>
    <w:rsid w:val="00AF27D3"/>
    <w:rsid w:val="00AF4D58"/>
    <w:rsid w:val="00AF5B4C"/>
    <w:rsid w:val="00AF6666"/>
    <w:rsid w:val="00AF689A"/>
    <w:rsid w:val="00B01937"/>
    <w:rsid w:val="00B01F33"/>
    <w:rsid w:val="00B02271"/>
    <w:rsid w:val="00B049AC"/>
    <w:rsid w:val="00B05C5D"/>
    <w:rsid w:val="00B061D9"/>
    <w:rsid w:val="00B07D2D"/>
    <w:rsid w:val="00B10154"/>
    <w:rsid w:val="00B10545"/>
    <w:rsid w:val="00B10638"/>
    <w:rsid w:val="00B12C3D"/>
    <w:rsid w:val="00B1361F"/>
    <w:rsid w:val="00B14279"/>
    <w:rsid w:val="00B16247"/>
    <w:rsid w:val="00B16912"/>
    <w:rsid w:val="00B21F15"/>
    <w:rsid w:val="00B22E99"/>
    <w:rsid w:val="00B25123"/>
    <w:rsid w:val="00B26573"/>
    <w:rsid w:val="00B30747"/>
    <w:rsid w:val="00B3081A"/>
    <w:rsid w:val="00B33794"/>
    <w:rsid w:val="00B35761"/>
    <w:rsid w:val="00B365DD"/>
    <w:rsid w:val="00B37347"/>
    <w:rsid w:val="00B374DE"/>
    <w:rsid w:val="00B3756A"/>
    <w:rsid w:val="00B37B04"/>
    <w:rsid w:val="00B40C86"/>
    <w:rsid w:val="00B4272D"/>
    <w:rsid w:val="00B45E96"/>
    <w:rsid w:val="00B52A8C"/>
    <w:rsid w:val="00B53733"/>
    <w:rsid w:val="00B53D0E"/>
    <w:rsid w:val="00B53E2D"/>
    <w:rsid w:val="00B556D8"/>
    <w:rsid w:val="00B600DC"/>
    <w:rsid w:val="00B603DC"/>
    <w:rsid w:val="00B61CC9"/>
    <w:rsid w:val="00B62EB8"/>
    <w:rsid w:val="00B62ECA"/>
    <w:rsid w:val="00B63243"/>
    <w:rsid w:val="00B64EB6"/>
    <w:rsid w:val="00B67B87"/>
    <w:rsid w:val="00B70B23"/>
    <w:rsid w:val="00B71AE5"/>
    <w:rsid w:val="00B73E1A"/>
    <w:rsid w:val="00B741FD"/>
    <w:rsid w:val="00B758B8"/>
    <w:rsid w:val="00B75A02"/>
    <w:rsid w:val="00B7666E"/>
    <w:rsid w:val="00B81B44"/>
    <w:rsid w:val="00B82832"/>
    <w:rsid w:val="00B82977"/>
    <w:rsid w:val="00B829C6"/>
    <w:rsid w:val="00B83CF6"/>
    <w:rsid w:val="00B846E3"/>
    <w:rsid w:val="00B879F0"/>
    <w:rsid w:val="00B901BE"/>
    <w:rsid w:val="00B9053B"/>
    <w:rsid w:val="00B937A9"/>
    <w:rsid w:val="00B9452B"/>
    <w:rsid w:val="00B95010"/>
    <w:rsid w:val="00B956A1"/>
    <w:rsid w:val="00B959F6"/>
    <w:rsid w:val="00B95D9C"/>
    <w:rsid w:val="00B9600F"/>
    <w:rsid w:val="00BA09ED"/>
    <w:rsid w:val="00BA0B17"/>
    <w:rsid w:val="00BA14D0"/>
    <w:rsid w:val="00BA17E1"/>
    <w:rsid w:val="00BA2405"/>
    <w:rsid w:val="00BA3107"/>
    <w:rsid w:val="00BA5E2A"/>
    <w:rsid w:val="00BA6129"/>
    <w:rsid w:val="00BA63E1"/>
    <w:rsid w:val="00BA664B"/>
    <w:rsid w:val="00BA7208"/>
    <w:rsid w:val="00BA77FB"/>
    <w:rsid w:val="00BB0142"/>
    <w:rsid w:val="00BB0153"/>
    <w:rsid w:val="00BB2CB9"/>
    <w:rsid w:val="00BB37F8"/>
    <w:rsid w:val="00BB4A15"/>
    <w:rsid w:val="00BB522E"/>
    <w:rsid w:val="00BC003D"/>
    <w:rsid w:val="00BC08E2"/>
    <w:rsid w:val="00BC17AD"/>
    <w:rsid w:val="00BC23B4"/>
    <w:rsid w:val="00BC3422"/>
    <w:rsid w:val="00BC4F36"/>
    <w:rsid w:val="00BC74CD"/>
    <w:rsid w:val="00BD001C"/>
    <w:rsid w:val="00BD0E3F"/>
    <w:rsid w:val="00BD24E7"/>
    <w:rsid w:val="00BD2B94"/>
    <w:rsid w:val="00BD3682"/>
    <w:rsid w:val="00BD49F7"/>
    <w:rsid w:val="00BD57DF"/>
    <w:rsid w:val="00BD5F0F"/>
    <w:rsid w:val="00BE1362"/>
    <w:rsid w:val="00BE18AD"/>
    <w:rsid w:val="00BE2004"/>
    <w:rsid w:val="00BE3B09"/>
    <w:rsid w:val="00BE68BD"/>
    <w:rsid w:val="00BE7989"/>
    <w:rsid w:val="00BE7EBF"/>
    <w:rsid w:val="00BF0266"/>
    <w:rsid w:val="00BF04C2"/>
    <w:rsid w:val="00BF0628"/>
    <w:rsid w:val="00BF3A34"/>
    <w:rsid w:val="00BF412D"/>
    <w:rsid w:val="00BF42AA"/>
    <w:rsid w:val="00BF53D7"/>
    <w:rsid w:val="00BF63B2"/>
    <w:rsid w:val="00BF69F3"/>
    <w:rsid w:val="00BF6C17"/>
    <w:rsid w:val="00BF7702"/>
    <w:rsid w:val="00C0049B"/>
    <w:rsid w:val="00C015B9"/>
    <w:rsid w:val="00C015C8"/>
    <w:rsid w:val="00C022F9"/>
    <w:rsid w:val="00C0260A"/>
    <w:rsid w:val="00C032EA"/>
    <w:rsid w:val="00C04112"/>
    <w:rsid w:val="00C0430B"/>
    <w:rsid w:val="00C050CC"/>
    <w:rsid w:val="00C06EB5"/>
    <w:rsid w:val="00C10DF0"/>
    <w:rsid w:val="00C1145F"/>
    <w:rsid w:val="00C11620"/>
    <w:rsid w:val="00C14A24"/>
    <w:rsid w:val="00C17CE1"/>
    <w:rsid w:val="00C209B8"/>
    <w:rsid w:val="00C21A0B"/>
    <w:rsid w:val="00C22531"/>
    <w:rsid w:val="00C22C11"/>
    <w:rsid w:val="00C23201"/>
    <w:rsid w:val="00C2389F"/>
    <w:rsid w:val="00C24581"/>
    <w:rsid w:val="00C24969"/>
    <w:rsid w:val="00C24A9C"/>
    <w:rsid w:val="00C24DA0"/>
    <w:rsid w:val="00C2643F"/>
    <w:rsid w:val="00C306A6"/>
    <w:rsid w:val="00C31D1F"/>
    <w:rsid w:val="00C33AD1"/>
    <w:rsid w:val="00C34A9C"/>
    <w:rsid w:val="00C3506E"/>
    <w:rsid w:val="00C35845"/>
    <w:rsid w:val="00C35AE8"/>
    <w:rsid w:val="00C3686C"/>
    <w:rsid w:val="00C36FA4"/>
    <w:rsid w:val="00C40FC5"/>
    <w:rsid w:val="00C41E4B"/>
    <w:rsid w:val="00C4269F"/>
    <w:rsid w:val="00C426B0"/>
    <w:rsid w:val="00C444D9"/>
    <w:rsid w:val="00C45561"/>
    <w:rsid w:val="00C4594E"/>
    <w:rsid w:val="00C45B33"/>
    <w:rsid w:val="00C45E55"/>
    <w:rsid w:val="00C46455"/>
    <w:rsid w:val="00C4700F"/>
    <w:rsid w:val="00C47380"/>
    <w:rsid w:val="00C50524"/>
    <w:rsid w:val="00C5083F"/>
    <w:rsid w:val="00C53BA6"/>
    <w:rsid w:val="00C54184"/>
    <w:rsid w:val="00C55194"/>
    <w:rsid w:val="00C554B6"/>
    <w:rsid w:val="00C56F9B"/>
    <w:rsid w:val="00C60EBC"/>
    <w:rsid w:val="00C615DD"/>
    <w:rsid w:val="00C61CA0"/>
    <w:rsid w:val="00C62C06"/>
    <w:rsid w:val="00C637E1"/>
    <w:rsid w:val="00C65206"/>
    <w:rsid w:val="00C65BE7"/>
    <w:rsid w:val="00C7031C"/>
    <w:rsid w:val="00C70D50"/>
    <w:rsid w:val="00C71CC1"/>
    <w:rsid w:val="00C74692"/>
    <w:rsid w:val="00C757B5"/>
    <w:rsid w:val="00C75B40"/>
    <w:rsid w:val="00C76071"/>
    <w:rsid w:val="00C80A2A"/>
    <w:rsid w:val="00C82230"/>
    <w:rsid w:val="00C8354B"/>
    <w:rsid w:val="00C83743"/>
    <w:rsid w:val="00C84D69"/>
    <w:rsid w:val="00C85E2A"/>
    <w:rsid w:val="00C90293"/>
    <w:rsid w:val="00C907D7"/>
    <w:rsid w:val="00C92338"/>
    <w:rsid w:val="00C9654B"/>
    <w:rsid w:val="00C96F5F"/>
    <w:rsid w:val="00C97926"/>
    <w:rsid w:val="00CA03A6"/>
    <w:rsid w:val="00CA1267"/>
    <w:rsid w:val="00CA128A"/>
    <w:rsid w:val="00CA3FD4"/>
    <w:rsid w:val="00CA48C5"/>
    <w:rsid w:val="00CA5778"/>
    <w:rsid w:val="00CA6049"/>
    <w:rsid w:val="00CA7C3A"/>
    <w:rsid w:val="00CB01C2"/>
    <w:rsid w:val="00CB0777"/>
    <w:rsid w:val="00CB0E7A"/>
    <w:rsid w:val="00CB23CC"/>
    <w:rsid w:val="00CB2BF8"/>
    <w:rsid w:val="00CB38E6"/>
    <w:rsid w:val="00CB66E1"/>
    <w:rsid w:val="00CC2DB2"/>
    <w:rsid w:val="00CC542E"/>
    <w:rsid w:val="00CC5D53"/>
    <w:rsid w:val="00CC5F1C"/>
    <w:rsid w:val="00CC5FC9"/>
    <w:rsid w:val="00CC77E8"/>
    <w:rsid w:val="00CC77FF"/>
    <w:rsid w:val="00CD0307"/>
    <w:rsid w:val="00CD069B"/>
    <w:rsid w:val="00CD0B47"/>
    <w:rsid w:val="00CD1E80"/>
    <w:rsid w:val="00CD280B"/>
    <w:rsid w:val="00CD3526"/>
    <w:rsid w:val="00CD3B07"/>
    <w:rsid w:val="00CD3D1B"/>
    <w:rsid w:val="00CD610A"/>
    <w:rsid w:val="00CD72E5"/>
    <w:rsid w:val="00CE0533"/>
    <w:rsid w:val="00CE135A"/>
    <w:rsid w:val="00CE1A05"/>
    <w:rsid w:val="00CE3834"/>
    <w:rsid w:val="00CE3861"/>
    <w:rsid w:val="00CE4C87"/>
    <w:rsid w:val="00CE5B8F"/>
    <w:rsid w:val="00CF127E"/>
    <w:rsid w:val="00CF14D0"/>
    <w:rsid w:val="00CF1DD3"/>
    <w:rsid w:val="00CF461D"/>
    <w:rsid w:val="00CF466B"/>
    <w:rsid w:val="00CF46D0"/>
    <w:rsid w:val="00CF4AFE"/>
    <w:rsid w:val="00CF5DBC"/>
    <w:rsid w:val="00CF7DCA"/>
    <w:rsid w:val="00D00093"/>
    <w:rsid w:val="00D002AE"/>
    <w:rsid w:val="00D0153A"/>
    <w:rsid w:val="00D01A14"/>
    <w:rsid w:val="00D02962"/>
    <w:rsid w:val="00D0343C"/>
    <w:rsid w:val="00D1055D"/>
    <w:rsid w:val="00D117A2"/>
    <w:rsid w:val="00D13E9F"/>
    <w:rsid w:val="00D14D2F"/>
    <w:rsid w:val="00D15282"/>
    <w:rsid w:val="00D206CE"/>
    <w:rsid w:val="00D20A40"/>
    <w:rsid w:val="00D20F7C"/>
    <w:rsid w:val="00D211E9"/>
    <w:rsid w:val="00D22E7A"/>
    <w:rsid w:val="00D2312F"/>
    <w:rsid w:val="00D23F23"/>
    <w:rsid w:val="00D253FB"/>
    <w:rsid w:val="00D269C1"/>
    <w:rsid w:val="00D3027B"/>
    <w:rsid w:val="00D302E8"/>
    <w:rsid w:val="00D30DB3"/>
    <w:rsid w:val="00D30EF3"/>
    <w:rsid w:val="00D328D1"/>
    <w:rsid w:val="00D33668"/>
    <w:rsid w:val="00D36463"/>
    <w:rsid w:val="00D36D94"/>
    <w:rsid w:val="00D40C42"/>
    <w:rsid w:val="00D417CC"/>
    <w:rsid w:val="00D41F35"/>
    <w:rsid w:val="00D43969"/>
    <w:rsid w:val="00D43C60"/>
    <w:rsid w:val="00D44953"/>
    <w:rsid w:val="00D44B1E"/>
    <w:rsid w:val="00D45509"/>
    <w:rsid w:val="00D45C31"/>
    <w:rsid w:val="00D4623F"/>
    <w:rsid w:val="00D4693B"/>
    <w:rsid w:val="00D470CE"/>
    <w:rsid w:val="00D4720C"/>
    <w:rsid w:val="00D539CF"/>
    <w:rsid w:val="00D542F3"/>
    <w:rsid w:val="00D54CE7"/>
    <w:rsid w:val="00D559AA"/>
    <w:rsid w:val="00D55A11"/>
    <w:rsid w:val="00D5644B"/>
    <w:rsid w:val="00D56E25"/>
    <w:rsid w:val="00D570D6"/>
    <w:rsid w:val="00D60E4B"/>
    <w:rsid w:val="00D630A0"/>
    <w:rsid w:val="00D63A6A"/>
    <w:rsid w:val="00D63C58"/>
    <w:rsid w:val="00D6631D"/>
    <w:rsid w:val="00D70446"/>
    <w:rsid w:val="00D71052"/>
    <w:rsid w:val="00D717E3"/>
    <w:rsid w:val="00D718D7"/>
    <w:rsid w:val="00D71CBB"/>
    <w:rsid w:val="00D76C23"/>
    <w:rsid w:val="00D76E4D"/>
    <w:rsid w:val="00D7775C"/>
    <w:rsid w:val="00D80060"/>
    <w:rsid w:val="00D80D54"/>
    <w:rsid w:val="00D814B7"/>
    <w:rsid w:val="00D84295"/>
    <w:rsid w:val="00D84BCC"/>
    <w:rsid w:val="00D86813"/>
    <w:rsid w:val="00D90688"/>
    <w:rsid w:val="00D91282"/>
    <w:rsid w:val="00D9128A"/>
    <w:rsid w:val="00D92740"/>
    <w:rsid w:val="00D93838"/>
    <w:rsid w:val="00D94496"/>
    <w:rsid w:val="00D945A3"/>
    <w:rsid w:val="00D9623C"/>
    <w:rsid w:val="00D96486"/>
    <w:rsid w:val="00DA0F9C"/>
    <w:rsid w:val="00DA1E3D"/>
    <w:rsid w:val="00DA298D"/>
    <w:rsid w:val="00DA310F"/>
    <w:rsid w:val="00DA3AAD"/>
    <w:rsid w:val="00DA3C26"/>
    <w:rsid w:val="00DA46EF"/>
    <w:rsid w:val="00DA4810"/>
    <w:rsid w:val="00DA5BE1"/>
    <w:rsid w:val="00DA6C0F"/>
    <w:rsid w:val="00DA7D31"/>
    <w:rsid w:val="00DB1007"/>
    <w:rsid w:val="00DB12A3"/>
    <w:rsid w:val="00DB2ED7"/>
    <w:rsid w:val="00DB2F5C"/>
    <w:rsid w:val="00DB312B"/>
    <w:rsid w:val="00DB3FA9"/>
    <w:rsid w:val="00DB7C7C"/>
    <w:rsid w:val="00DC07AE"/>
    <w:rsid w:val="00DC0EE9"/>
    <w:rsid w:val="00DC11AB"/>
    <w:rsid w:val="00DC2036"/>
    <w:rsid w:val="00DC42C4"/>
    <w:rsid w:val="00DC5654"/>
    <w:rsid w:val="00DC658F"/>
    <w:rsid w:val="00DC77DD"/>
    <w:rsid w:val="00DD0492"/>
    <w:rsid w:val="00DD4350"/>
    <w:rsid w:val="00DD4F35"/>
    <w:rsid w:val="00DD6F3F"/>
    <w:rsid w:val="00DE155B"/>
    <w:rsid w:val="00DE3E44"/>
    <w:rsid w:val="00DE4013"/>
    <w:rsid w:val="00DE40D6"/>
    <w:rsid w:val="00DE6049"/>
    <w:rsid w:val="00DE60CC"/>
    <w:rsid w:val="00DE701C"/>
    <w:rsid w:val="00DE7086"/>
    <w:rsid w:val="00DF1D02"/>
    <w:rsid w:val="00DF2EF6"/>
    <w:rsid w:val="00DF4741"/>
    <w:rsid w:val="00DF4830"/>
    <w:rsid w:val="00DF5159"/>
    <w:rsid w:val="00DF5AEC"/>
    <w:rsid w:val="00DF5CDC"/>
    <w:rsid w:val="00DF6166"/>
    <w:rsid w:val="00DF694B"/>
    <w:rsid w:val="00DF7A5F"/>
    <w:rsid w:val="00E00289"/>
    <w:rsid w:val="00E018C9"/>
    <w:rsid w:val="00E047FC"/>
    <w:rsid w:val="00E04AFD"/>
    <w:rsid w:val="00E04E2E"/>
    <w:rsid w:val="00E059C9"/>
    <w:rsid w:val="00E0634B"/>
    <w:rsid w:val="00E070DD"/>
    <w:rsid w:val="00E108DB"/>
    <w:rsid w:val="00E123AC"/>
    <w:rsid w:val="00E137E2"/>
    <w:rsid w:val="00E15EAB"/>
    <w:rsid w:val="00E17D08"/>
    <w:rsid w:val="00E20BA7"/>
    <w:rsid w:val="00E21EF3"/>
    <w:rsid w:val="00E23EC4"/>
    <w:rsid w:val="00E24D2F"/>
    <w:rsid w:val="00E24D30"/>
    <w:rsid w:val="00E26B32"/>
    <w:rsid w:val="00E26D3A"/>
    <w:rsid w:val="00E30C66"/>
    <w:rsid w:val="00E31072"/>
    <w:rsid w:val="00E3123B"/>
    <w:rsid w:val="00E32001"/>
    <w:rsid w:val="00E330D0"/>
    <w:rsid w:val="00E3381F"/>
    <w:rsid w:val="00E3467B"/>
    <w:rsid w:val="00E34CC8"/>
    <w:rsid w:val="00E35463"/>
    <w:rsid w:val="00E407B6"/>
    <w:rsid w:val="00E41EF1"/>
    <w:rsid w:val="00E42128"/>
    <w:rsid w:val="00E42942"/>
    <w:rsid w:val="00E439DC"/>
    <w:rsid w:val="00E43DE4"/>
    <w:rsid w:val="00E44D1C"/>
    <w:rsid w:val="00E45662"/>
    <w:rsid w:val="00E468A6"/>
    <w:rsid w:val="00E528A6"/>
    <w:rsid w:val="00E55EE8"/>
    <w:rsid w:val="00E56EB3"/>
    <w:rsid w:val="00E60FDF"/>
    <w:rsid w:val="00E60FF2"/>
    <w:rsid w:val="00E61ED7"/>
    <w:rsid w:val="00E62A16"/>
    <w:rsid w:val="00E62ADF"/>
    <w:rsid w:val="00E64319"/>
    <w:rsid w:val="00E64CF8"/>
    <w:rsid w:val="00E666B0"/>
    <w:rsid w:val="00E66C74"/>
    <w:rsid w:val="00E710D4"/>
    <w:rsid w:val="00E7114E"/>
    <w:rsid w:val="00E71BDF"/>
    <w:rsid w:val="00E7437F"/>
    <w:rsid w:val="00E75560"/>
    <w:rsid w:val="00E81815"/>
    <w:rsid w:val="00E81B4E"/>
    <w:rsid w:val="00E81BDC"/>
    <w:rsid w:val="00E82B30"/>
    <w:rsid w:val="00E83CA7"/>
    <w:rsid w:val="00E849AD"/>
    <w:rsid w:val="00E87F1E"/>
    <w:rsid w:val="00E909FC"/>
    <w:rsid w:val="00E90CCC"/>
    <w:rsid w:val="00E91467"/>
    <w:rsid w:val="00E92985"/>
    <w:rsid w:val="00E93062"/>
    <w:rsid w:val="00E93960"/>
    <w:rsid w:val="00E94324"/>
    <w:rsid w:val="00E94FCA"/>
    <w:rsid w:val="00E9545E"/>
    <w:rsid w:val="00E95B26"/>
    <w:rsid w:val="00E95BD9"/>
    <w:rsid w:val="00E9714B"/>
    <w:rsid w:val="00E97E85"/>
    <w:rsid w:val="00EA56DF"/>
    <w:rsid w:val="00EA5E07"/>
    <w:rsid w:val="00EA6BBD"/>
    <w:rsid w:val="00EA7819"/>
    <w:rsid w:val="00EB2D51"/>
    <w:rsid w:val="00EB4020"/>
    <w:rsid w:val="00EB5453"/>
    <w:rsid w:val="00EB5C39"/>
    <w:rsid w:val="00EB60CA"/>
    <w:rsid w:val="00EB6D34"/>
    <w:rsid w:val="00EB6DF4"/>
    <w:rsid w:val="00EB770D"/>
    <w:rsid w:val="00EC13A6"/>
    <w:rsid w:val="00EC171D"/>
    <w:rsid w:val="00EC3508"/>
    <w:rsid w:val="00EC3DD1"/>
    <w:rsid w:val="00EC57AA"/>
    <w:rsid w:val="00EC7349"/>
    <w:rsid w:val="00EC7593"/>
    <w:rsid w:val="00ED0DD3"/>
    <w:rsid w:val="00ED254A"/>
    <w:rsid w:val="00ED487E"/>
    <w:rsid w:val="00ED4AB9"/>
    <w:rsid w:val="00ED5BB6"/>
    <w:rsid w:val="00ED6DF3"/>
    <w:rsid w:val="00ED72AC"/>
    <w:rsid w:val="00ED7D16"/>
    <w:rsid w:val="00EE0CD4"/>
    <w:rsid w:val="00EE184D"/>
    <w:rsid w:val="00EE22EB"/>
    <w:rsid w:val="00EE2B86"/>
    <w:rsid w:val="00EE4DDF"/>
    <w:rsid w:val="00EE6FF4"/>
    <w:rsid w:val="00EE7A0D"/>
    <w:rsid w:val="00EF0016"/>
    <w:rsid w:val="00EF073A"/>
    <w:rsid w:val="00EF0A2B"/>
    <w:rsid w:val="00EF15D6"/>
    <w:rsid w:val="00EF7579"/>
    <w:rsid w:val="00EF79B1"/>
    <w:rsid w:val="00EF7AE7"/>
    <w:rsid w:val="00F00304"/>
    <w:rsid w:val="00F016C6"/>
    <w:rsid w:val="00F023E5"/>
    <w:rsid w:val="00F029C2"/>
    <w:rsid w:val="00F031DC"/>
    <w:rsid w:val="00F0374B"/>
    <w:rsid w:val="00F04686"/>
    <w:rsid w:val="00F04E0C"/>
    <w:rsid w:val="00F05BC2"/>
    <w:rsid w:val="00F05D03"/>
    <w:rsid w:val="00F07B1C"/>
    <w:rsid w:val="00F07F41"/>
    <w:rsid w:val="00F10711"/>
    <w:rsid w:val="00F10E6F"/>
    <w:rsid w:val="00F11A30"/>
    <w:rsid w:val="00F1257E"/>
    <w:rsid w:val="00F15469"/>
    <w:rsid w:val="00F1620B"/>
    <w:rsid w:val="00F16226"/>
    <w:rsid w:val="00F1630D"/>
    <w:rsid w:val="00F17CE1"/>
    <w:rsid w:val="00F2031F"/>
    <w:rsid w:val="00F2115C"/>
    <w:rsid w:val="00F21AE3"/>
    <w:rsid w:val="00F21C8B"/>
    <w:rsid w:val="00F21F37"/>
    <w:rsid w:val="00F22ABA"/>
    <w:rsid w:val="00F22B79"/>
    <w:rsid w:val="00F23B73"/>
    <w:rsid w:val="00F2420B"/>
    <w:rsid w:val="00F24364"/>
    <w:rsid w:val="00F25DD9"/>
    <w:rsid w:val="00F30A53"/>
    <w:rsid w:val="00F30ABD"/>
    <w:rsid w:val="00F31533"/>
    <w:rsid w:val="00F335B3"/>
    <w:rsid w:val="00F337FC"/>
    <w:rsid w:val="00F33884"/>
    <w:rsid w:val="00F35014"/>
    <w:rsid w:val="00F35F7B"/>
    <w:rsid w:val="00F36B12"/>
    <w:rsid w:val="00F371BB"/>
    <w:rsid w:val="00F41F70"/>
    <w:rsid w:val="00F420DD"/>
    <w:rsid w:val="00F44EB3"/>
    <w:rsid w:val="00F44FCD"/>
    <w:rsid w:val="00F462A9"/>
    <w:rsid w:val="00F507AC"/>
    <w:rsid w:val="00F50A56"/>
    <w:rsid w:val="00F527EB"/>
    <w:rsid w:val="00F549E4"/>
    <w:rsid w:val="00F57D07"/>
    <w:rsid w:val="00F60AF5"/>
    <w:rsid w:val="00F60F9F"/>
    <w:rsid w:val="00F6272B"/>
    <w:rsid w:val="00F64F08"/>
    <w:rsid w:val="00F6507B"/>
    <w:rsid w:val="00F66391"/>
    <w:rsid w:val="00F703FC"/>
    <w:rsid w:val="00F7144E"/>
    <w:rsid w:val="00F7154F"/>
    <w:rsid w:val="00F71CFC"/>
    <w:rsid w:val="00F734F5"/>
    <w:rsid w:val="00F74EC8"/>
    <w:rsid w:val="00F75FEE"/>
    <w:rsid w:val="00F76934"/>
    <w:rsid w:val="00F76FDD"/>
    <w:rsid w:val="00F77888"/>
    <w:rsid w:val="00F77EDF"/>
    <w:rsid w:val="00F80774"/>
    <w:rsid w:val="00F807C0"/>
    <w:rsid w:val="00F8681A"/>
    <w:rsid w:val="00F91E41"/>
    <w:rsid w:val="00F92110"/>
    <w:rsid w:val="00F92B68"/>
    <w:rsid w:val="00F94E40"/>
    <w:rsid w:val="00F9594A"/>
    <w:rsid w:val="00F95B0A"/>
    <w:rsid w:val="00F966B1"/>
    <w:rsid w:val="00F96941"/>
    <w:rsid w:val="00F96C2A"/>
    <w:rsid w:val="00F9718B"/>
    <w:rsid w:val="00F9790E"/>
    <w:rsid w:val="00F97D48"/>
    <w:rsid w:val="00F97EF9"/>
    <w:rsid w:val="00FA02E0"/>
    <w:rsid w:val="00FA0311"/>
    <w:rsid w:val="00FA298D"/>
    <w:rsid w:val="00FA2B0F"/>
    <w:rsid w:val="00FA2B51"/>
    <w:rsid w:val="00FA2B5F"/>
    <w:rsid w:val="00FA36FF"/>
    <w:rsid w:val="00FA4FAA"/>
    <w:rsid w:val="00FA506A"/>
    <w:rsid w:val="00FA6104"/>
    <w:rsid w:val="00FA62A1"/>
    <w:rsid w:val="00FB0008"/>
    <w:rsid w:val="00FB1563"/>
    <w:rsid w:val="00FB2397"/>
    <w:rsid w:val="00FB47E7"/>
    <w:rsid w:val="00FB6821"/>
    <w:rsid w:val="00FB7089"/>
    <w:rsid w:val="00FB73B4"/>
    <w:rsid w:val="00FC045D"/>
    <w:rsid w:val="00FC1BA3"/>
    <w:rsid w:val="00FC1D24"/>
    <w:rsid w:val="00FC42E5"/>
    <w:rsid w:val="00FC46A0"/>
    <w:rsid w:val="00FC4CF8"/>
    <w:rsid w:val="00FC54E8"/>
    <w:rsid w:val="00FC562F"/>
    <w:rsid w:val="00FC795D"/>
    <w:rsid w:val="00FD0D96"/>
    <w:rsid w:val="00FD1EAE"/>
    <w:rsid w:val="00FD34E2"/>
    <w:rsid w:val="00FD3C7F"/>
    <w:rsid w:val="00FD4EF2"/>
    <w:rsid w:val="00FD640F"/>
    <w:rsid w:val="00FD6B4C"/>
    <w:rsid w:val="00FE0B84"/>
    <w:rsid w:val="00FE1F3B"/>
    <w:rsid w:val="00FE341D"/>
    <w:rsid w:val="00FE4E20"/>
    <w:rsid w:val="00FE55C0"/>
    <w:rsid w:val="00FE62DA"/>
    <w:rsid w:val="00FF159C"/>
    <w:rsid w:val="00FF1C0D"/>
    <w:rsid w:val="00FF24EF"/>
    <w:rsid w:val="00FF28E9"/>
    <w:rsid w:val="00FF2F8B"/>
    <w:rsid w:val="00FF367C"/>
    <w:rsid w:val="00FF4E99"/>
    <w:rsid w:val="00FF5BC2"/>
    <w:rsid w:val="00FF7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6C1592"/>
    <w:pPr>
      <w:spacing w:before="160" w:after="100"/>
    </w:pPr>
    <w:rPr>
      <w:spacing w:val="2"/>
      <w:sz w:val="18"/>
    </w:rPr>
  </w:style>
  <w:style w:type="paragraph" w:styleId="Heading1">
    <w:name w:val="heading 1"/>
    <w:next w:val="Normal"/>
    <w:link w:val="Heading1Char"/>
    <w:qFormat/>
    <w:rsid w:val="00CF46D0"/>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CF46D0"/>
    <w:pPr>
      <w:keepNext/>
      <w:keepLines/>
      <w:spacing w:before="240" w:after="120"/>
      <w:outlineLvl w:val="1"/>
    </w:pPr>
    <w:rPr>
      <w:rFonts w:asciiTheme="majorHAnsi" w:eastAsiaTheme="majorEastAsia" w:hAnsiTheme="majorHAnsi" w:cstheme="majorBidi"/>
      <w:b/>
      <w:bCs/>
      <w:color w:val="0063A6" w:themeColor="accent1"/>
      <w:sz w:val="24"/>
      <w:szCs w:val="24"/>
    </w:rPr>
  </w:style>
  <w:style w:type="paragraph" w:styleId="Heading3">
    <w:name w:val="heading 3"/>
    <w:basedOn w:val="Normal"/>
    <w:next w:val="Normal"/>
    <w:link w:val="Heading3Char"/>
    <w:qFormat/>
    <w:rsid w:val="007D03CC"/>
    <w:pPr>
      <w:keepNext/>
      <w:keepLines/>
      <w:spacing w:before="180" w:after="0"/>
      <w:outlineLvl w:val="2"/>
    </w:pPr>
    <w:rPr>
      <w:rFonts w:asciiTheme="majorHAnsi" w:eastAsiaTheme="majorEastAsia" w:hAnsiTheme="majorHAnsi" w:cstheme="majorBidi"/>
      <w:b/>
      <w:bCs/>
      <w:color w:val="009CDE" w:themeColor="accent5"/>
      <w:sz w:val="21"/>
      <w:szCs w:val="21"/>
    </w:rPr>
  </w:style>
  <w:style w:type="paragraph" w:styleId="Heading4">
    <w:name w:val="heading 4"/>
    <w:basedOn w:val="Normal"/>
    <w:next w:val="Normal"/>
    <w:link w:val="Heading4Char"/>
    <w:qFormat/>
    <w:rsid w:val="00314CE6"/>
    <w:pPr>
      <w:keepNext/>
      <w:keepLines/>
      <w:spacing w:before="200" w:after="0"/>
      <w:outlineLvl w:val="3"/>
    </w:pPr>
    <w:rPr>
      <w:rFonts w:asciiTheme="majorHAnsi" w:eastAsiaTheme="majorEastAsia" w:hAnsiTheme="majorHAnsi" w:cstheme="majorBidi"/>
      <w:b/>
      <w:bCs/>
      <w:iCs/>
      <w:color w:val="53565A"/>
      <w:sz w:val="19"/>
    </w:rPr>
  </w:style>
  <w:style w:type="paragraph" w:styleId="Heading5">
    <w:name w:val="heading 5"/>
    <w:basedOn w:val="Normal"/>
    <w:next w:val="Normal"/>
    <w:link w:val="Heading5Char"/>
    <w:qFormat/>
    <w:rsid w:val="006C1592"/>
    <w:pPr>
      <w:keepNext/>
      <w:keepLines/>
      <w:spacing w:after="0"/>
      <w:outlineLvl w:val="4"/>
    </w:pPr>
    <w:rPr>
      <w:rFonts w:asciiTheme="majorHAnsi" w:eastAsiaTheme="majorEastAsia" w:hAnsiTheme="majorHAnsi" w:cstheme="majorBidi"/>
      <w:i/>
      <w:color w:val="003152" w:themeColor="accent1" w:themeShade="7F"/>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F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F46D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F46D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F46D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F46D0"/>
    <w:pPr>
      <w:tabs>
        <w:tab w:val="right" w:leader="dot" w:pos="2520"/>
      </w:tabs>
      <w:spacing w:before="0" w:after="0"/>
      <w:ind w:right="432"/>
    </w:pPr>
    <w:rPr>
      <w:sz w:val="16"/>
      <w:szCs w:val="24"/>
    </w:rPr>
  </w:style>
  <w:style w:type="paragraph" w:styleId="TOC2">
    <w:name w:val="toc 2"/>
    <w:next w:val="Normal"/>
    <w:uiPriority w:val="39"/>
    <w:rsid w:val="00CF46D0"/>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F46D0"/>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CF46D0"/>
    <w:pPr>
      <w:spacing w:after="60" w:line="240" w:lineRule="auto"/>
    </w:pPr>
    <w:rPr>
      <w:sz w:val="16"/>
    </w:rPr>
  </w:style>
  <w:style w:type="paragraph" w:styleId="Index2">
    <w:name w:val="index 2"/>
    <w:basedOn w:val="Normal"/>
    <w:next w:val="Normal"/>
    <w:uiPriority w:val="99"/>
    <w:semiHidden/>
    <w:rsid w:val="00CF46D0"/>
    <w:pPr>
      <w:spacing w:after="0" w:line="240" w:lineRule="auto"/>
      <w:ind w:left="216"/>
    </w:pPr>
    <w:rPr>
      <w:sz w:val="16"/>
      <w:szCs w:val="16"/>
    </w:rPr>
  </w:style>
  <w:style w:type="character" w:styleId="Hyperlink">
    <w:name w:val="Hyperlink"/>
    <w:basedOn w:val="DefaultParagraphFont"/>
    <w:uiPriority w:val="99"/>
    <w:rsid w:val="00CF46D0"/>
    <w:rPr>
      <w:color w:val="53565A" w:themeColor="hyperlink"/>
      <w:u w:val="none"/>
    </w:rPr>
  </w:style>
  <w:style w:type="character" w:customStyle="1" w:styleId="Heading1Char">
    <w:name w:val="Heading 1 Char"/>
    <w:basedOn w:val="DefaultParagraphFont"/>
    <w:link w:val="Heading1"/>
    <w:rsid w:val="00CF46D0"/>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CF46D0"/>
    <w:rPr>
      <w:rFonts w:asciiTheme="majorHAnsi" w:eastAsiaTheme="majorEastAsia" w:hAnsiTheme="majorHAnsi" w:cstheme="majorBidi"/>
      <w:b/>
      <w:bCs/>
      <w:color w:val="0063A6" w:themeColor="accent1"/>
      <w:spacing w:val="2"/>
      <w:sz w:val="24"/>
      <w:szCs w:val="24"/>
    </w:rPr>
  </w:style>
  <w:style w:type="paragraph" w:customStyle="1" w:styleId="Bullet1">
    <w:name w:val="Bullet 1"/>
    <w:uiPriority w:val="11"/>
    <w:qFormat/>
    <w:rsid w:val="003053A2"/>
    <w:pPr>
      <w:numPr>
        <w:numId w:val="1"/>
      </w:numPr>
      <w:spacing w:before="100" w:after="100" w:line="240" w:lineRule="auto"/>
      <w:contextualSpacing/>
    </w:pPr>
    <w:rPr>
      <w:rFonts w:eastAsia="Times New Roman" w:cs="Calibri"/>
      <w:spacing w:val="2"/>
      <w:sz w:val="18"/>
    </w:rPr>
  </w:style>
  <w:style w:type="paragraph" w:customStyle="1" w:styleId="Bullet2">
    <w:name w:val="Bullet 2"/>
    <w:basedOn w:val="Bullet1"/>
    <w:uiPriority w:val="11"/>
    <w:qFormat/>
    <w:rsid w:val="0024195A"/>
    <w:pPr>
      <w:numPr>
        <w:ilvl w:val="1"/>
      </w:numPr>
    </w:pPr>
  </w:style>
  <w:style w:type="paragraph" w:customStyle="1" w:styleId="Bulletindent">
    <w:name w:val="Bullet indent"/>
    <w:basedOn w:val="Bullet2"/>
    <w:uiPriority w:val="9"/>
    <w:qFormat/>
    <w:rsid w:val="00CF46D0"/>
    <w:pPr>
      <w:numPr>
        <w:ilvl w:val="2"/>
      </w:numPr>
    </w:pPr>
  </w:style>
  <w:style w:type="paragraph" w:customStyle="1" w:styleId="Heading1numbered">
    <w:name w:val="Heading 1 numbered"/>
    <w:basedOn w:val="Heading1"/>
    <w:next w:val="NormalIndent"/>
    <w:uiPriority w:val="4"/>
    <w:semiHidden/>
    <w:qFormat/>
    <w:rsid w:val="00CF46D0"/>
    <w:pPr>
      <w:numPr>
        <w:ilvl w:val="2"/>
        <w:numId w:val="2"/>
      </w:numPr>
    </w:pPr>
  </w:style>
  <w:style w:type="paragraph" w:customStyle="1" w:styleId="Heading2numbered">
    <w:name w:val="Heading 2 numbered"/>
    <w:basedOn w:val="Heading2"/>
    <w:next w:val="NormalIndent"/>
    <w:uiPriority w:val="4"/>
    <w:semiHidden/>
    <w:qFormat/>
    <w:rsid w:val="00CF46D0"/>
    <w:pPr>
      <w:numPr>
        <w:ilvl w:val="3"/>
        <w:numId w:val="2"/>
      </w:numPr>
    </w:pPr>
  </w:style>
  <w:style w:type="paragraph" w:customStyle="1" w:styleId="Heading3numbered">
    <w:name w:val="Heading 3 numbered"/>
    <w:basedOn w:val="Heading3"/>
    <w:next w:val="NormalIndent"/>
    <w:uiPriority w:val="4"/>
    <w:semiHidden/>
    <w:qFormat/>
    <w:rsid w:val="00CF46D0"/>
    <w:pPr>
      <w:numPr>
        <w:ilvl w:val="4"/>
        <w:numId w:val="2"/>
      </w:numPr>
    </w:pPr>
  </w:style>
  <w:style w:type="character" w:customStyle="1" w:styleId="Heading3Char">
    <w:name w:val="Heading 3 Char"/>
    <w:basedOn w:val="DefaultParagraphFont"/>
    <w:link w:val="Heading3"/>
    <w:rsid w:val="007D03CC"/>
    <w:rPr>
      <w:rFonts w:asciiTheme="majorHAnsi" w:eastAsiaTheme="majorEastAsia" w:hAnsiTheme="majorHAnsi" w:cstheme="majorBidi"/>
      <w:b/>
      <w:bCs/>
      <w:color w:val="009CDE" w:themeColor="accent5"/>
      <w:spacing w:val="2"/>
      <w:sz w:val="21"/>
      <w:szCs w:val="21"/>
    </w:rPr>
  </w:style>
  <w:style w:type="paragraph" w:customStyle="1" w:styleId="Heading4numbered">
    <w:name w:val="Heading 4 numbered"/>
    <w:basedOn w:val="Heading4"/>
    <w:next w:val="NormalIndent"/>
    <w:uiPriority w:val="4"/>
    <w:semiHidden/>
    <w:qFormat/>
    <w:rsid w:val="00CF46D0"/>
    <w:pPr>
      <w:numPr>
        <w:ilvl w:val="5"/>
        <w:numId w:val="2"/>
      </w:numPr>
    </w:pPr>
  </w:style>
  <w:style w:type="character" w:customStyle="1" w:styleId="Heading4Char">
    <w:name w:val="Heading 4 Char"/>
    <w:basedOn w:val="DefaultParagraphFont"/>
    <w:link w:val="Heading4"/>
    <w:rsid w:val="00314CE6"/>
    <w:rPr>
      <w:rFonts w:asciiTheme="majorHAnsi" w:eastAsiaTheme="majorEastAsia" w:hAnsiTheme="majorHAnsi" w:cstheme="majorBidi"/>
      <w:b/>
      <w:bCs/>
      <w:iCs/>
      <w:color w:val="53565A"/>
      <w:spacing w:val="2"/>
      <w:sz w:val="19"/>
    </w:rPr>
  </w:style>
  <w:style w:type="paragraph" w:styleId="NormalIndent">
    <w:name w:val="Normal Indent"/>
    <w:basedOn w:val="Normal"/>
    <w:uiPriority w:val="4"/>
    <w:qFormat/>
    <w:rsid w:val="007D03CC"/>
    <w:pPr>
      <w:spacing w:line="252" w:lineRule="auto"/>
      <w:ind w:left="504"/>
    </w:pPr>
  </w:style>
  <w:style w:type="paragraph" w:customStyle="1" w:styleId="NoteNormal">
    <w:name w:val="Note Normal"/>
    <w:basedOn w:val="Normal"/>
    <w:uiPriority w:val="11"/>
    <w:rsid w:val="00CF46D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F46D0"/>
    <w:pPr>
      <w:spacing w:before="0" w:after="0" w:line="120" w:lineRule="atLeast"/>
    </w:pPr>
    <w:rPr>
      <w:rFonts w:eastAsia="Times New Roman" w:cs="Calibri"/>
      <w:spacing w:val="0"/>
      <w:sz w:val="10"/>
      <w:szCs w:val="22"/>
    </w:rPr>
  </w:style>
  <w:style w:type="paragraph" w:styleId="Subtitle">
    <w:name w:val="Subtitle"/>
    <w:link w:val="SubtitleChar"/>
    <w:uiPriority w:val="99"/>
    <w:rsid w:val="00CF46D0"/>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CF46D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CF46D0"/>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CF46D0"/>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CF46D0"/>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CF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D0"/>
    <w:rPr>
      <w:rFonts w:ascii="Tahoma" w:hAnsi="Tahoma" w:cs="Tahoma"/>
      <w:spacing w:val="2"/>
      <w:sz w:val="16"/>
      <w:szCs w:val="16"/>
    </w:rPr>
  </w:style>
  <w:style w:type="paragraph" w:customStyle="1" w:styleId="Bulletindent2">
    <w:name w:val="Bullet indent 2"/>
    <w:basedOn w:val="Normal"/>
    <w:uiPriority w:val="9"/>
    <w:qFormat/>
    <w:rsid w:val="00CF46D0"/>
    <w:pPr>
      <w:numPr>
        <w:ilvl w:val="3"/>
        <w:numId w:val="1"/>
      </w:numPr>
      <w:spacing w:before="100"/>
      <w:contextualSpacing/>
    </w:pPr>
  </w:style>
  <w:style w:type="paragraph" w:styleId="IndexHeading">
    <w:name w:val="index heading"/>
    <w:basedOn w:val="Normal"/>
    <w:next w:val="Index1"/>
    <w:uiPriority w:val="99"/>
    <w:semiHidden/>
    <w:rsid w:val="00CF46D0"/>
    <w:rPr>
      <w:rFonts w:asciiTheme="majorHAnsi" w:eastAsiaTheme="majorEastAsia" w:hAnsiTheme="majorHAnsi" w:cstheme="majorBidi"/>
      <w:b/>
      <w:bCs/>
    </w:rPr>
  </w:style>
  <w:style w:type="paragraph" w:styleId="Header">
    <w:name w:val="header"/>
    <w:basedOn w:val="Normal"/>
    <w:link w:val="HeaderChar"/>
    <w:uiPriority w:val="99"/>
    <w:semiHidden/>
    <w:rsid w:val="00CF46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46D0"/>
    <w:rPr>
      <w:spacing w:val="2"/>
      <w:sz w:val="18"/>
    </w:rPr>
  </w:style>
  <w:style w:type="paragraph" w:styleId="Footer">
    <w:name w:val="footer"/>
    <w:basedOn w:val="Normal"/>
    <w:link w:val="FooterChar"/>
    <w:uiPriority w:val="24"/>
    <w:semiHidden/>
    <w:rsid w:val="00CF46D0"/>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CF46D0"/>
    <w:rPr>
      <w:noProof/>
      <w:spacing w:val="2"/>
      <w:sz w:val="18"/>
      <w:szCs w:val="18"/>
    </w:rPr>
  </w:style>
  <w:style w:type="character" w:styleId="PageNumber">
    <w:name w:val="page number"/>
    <w:uiPriority w:val="49"/>
    <w:semiHidden/>
    <w:rsid w:val="00CF46D0"/>
  </w:style>
  <w:style w:type="paragraph" w:styleId="TOCHeading">
    <w:name w:val="TOC Heading"/>
    <w:basedOn w:val="Heading1"/>
    <w:next w:val="Normal"/>
    <w:uiPriority w:val="39"/>
    <w:rsid w:val="00CF46D0"/>
    <w:pPr>
      <w:spacing w:before="480" w:after="720"/>
      <w:outlineLvl w:val="9"/>
    </w:pPr>
    <w:rPr>
      <w:spacing w:val="2"/>
    </w:rPr>
  </w:style>
  <w:style w:type="paragraph" w:customStyle="1" w:styleId="NormalTight">
    <w:name w:val="Normal Tight"/>
    <w:uiPriority w:val="99"/>
    <w:semiHidden/>
    <w:rsid w:val="00CF46D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F46D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F46D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F46D0"/>
    <w:pPr>
      <w:spacing w:before="5800"/>
      <w:ind w:right="1382"/>
    </w:pPr>
  </w:style>
  <w:style w:type="paragraph" w:styleId="TOC4">
    <w:name w:val="toc 4"/>
    <w:basedOn w:val="TOC1"/>
    <w:next w:val="Normal"/>
    <w:uiPriority w:val="39"/>
    <w:semiHidden/>
    <w:rsid w:val="00CF46D0"/>
    <w:pPr>
      <w:ind w:left="450" w:hanging="450"/>
    </w:pPr>
    <w:rPr>
      <w:noProof/>
      <w:lang w:eastAsia="en-US"/>
    </w:rPr>
  </w:style>
  <w:style w:type="paragraph" w:styleId="TOC5">
    <w:name w:val="toc 5"/>
    <w:basedOn w:val="TOC2"/>
    <w:next w:val="Normal"/>
    <w:uiPriority w:val="39"/>
    <w:semiHidden/>
    <w:rsid w:val="00CF46D0"/>
    <w:pPr>
      <w:ind w:left="1080" w:hanging="634"/>
    </w:pPr>
    <w:rPr>
      <w:lang w:eastAsia="en-US"/>
    </w:rPr>
  </w:style>
  <w:style w:type="paragraph" w:styleId="TOC6">
    <w:name w:val="toc 6"/>
    <w:basedOn w:val="TOC3"/>
    <w:next w:val="Normal"/>
    <w:uiPriority w:val="39"/>
    <w:semiHidden/>
    <w:rsid w:val="00CF46D0"/>
    <w:pPr>
      <w:ind w:left="1800" w:hanging="720"/>
    </w:pPr>
    <w:rPr>
      <w:lang w:eastAsia="en-US"/>
    </w:rPr>
  </w:style>
  <w:style w:type="table" w:customStyle="1" w:styleId="DTFtexttable">
    <w:name w:val="DTF text table"/>
    <w:basedOn w:val="TableGrid"/>
    <w:uiPriority w:val="99"/>
    <w:rsid w:val="00CF46D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F46D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F46D0"/>
    <w:pPr>
      <w:spacing w:before="60" w:after="60" w:line="264" w:lineRule="auto"/>
    </w:pPr>
    <w:rPr>
      <w:sz w:val="17"/>
    </w:rPr>
  </w:style>
  <w:style w:type="paragraph" w:customStyle="1" w:styleId="Tabletextright">
    <w:name w:val="Table text right"/>
    <w:basedOn w:val="Tabletext"/>
    <w:uiPriority w:val="6"/>
    <w:qFormat/>
    <w:rsid w:val="00CF46D0"/>
    <w:pPr>
      <w:jc w:val="right"/>
    </w:pPr>
  </w:style>
  <w:style w:type="paragraph" w:customStyle="1" w:styleId="Listnumindent2">
    <w:name w:val="List num indent 2"/>
    <w:basedOn w:val="Normal"/>
    <w:uiPriority w:val="5"/>
    <w:semiHidden/>
    <w:qFormat/>
    <w:rsid w:val="00CF46D0"/>
    <w:pPr>
      <w:numPr>
        <w:ilvl w:val="7"/>
        <w:numId w:val="2"/>
      </w:numPr>
      <w:spacing w:before="100"/>
      <w:contextualSpacing/>
    </w:pPr>
  </w:style>
  <w:style w:type="paragraph" w:customStyle="1" w:styleId="Listnumindent">
    <w:name w:val="List num indent"/>
    <w:basedOn w:val="Normal"/>
    <w:uiPriority w:val="5"/>
    <w:semiHidden/>
    <w:qFormat/>
    <w:rsid w:val="00CF46D0"/>
    <w:pPr>
      <w:numPr>
        <w:ilvl w:val="6"/>
        <w:numId w:val="2"/>
      </w:numPr>
      <w:spacing w:before="100"/>
    </w:pPr>
  </w:style>
  <w:style w:type="paragraph" w:customStyle="1" w:styleId="Listnum">
    <w:name w:val="List num"/>
    <w:basedOn w:val="Normal"/>
    <w:uiPriority w:val="1"/>
    <w:qFormat/>
    <w:rsid w:val="00CF46D0"/>
    <w:pPr>
      <w:numPr>
        <w:numId w:val="2"/>
      </w:numPr>
    </w:pPr>
  </w:style>
  <w:style w:type="paragraph" w:customStyle="1" w:styleId="Listnum2">
    <w:name w:val="List num 2"/>
    <w:basedOn w:val="Normal"/>
    <w:uiPriority w:val="1"/>
    <w:qFormat/>
    <w:rsid w:val="00CF46D0"/>
    <w:pPr>
      <w:numPr>
        <w:ilvl w:val="1"/>
        <w:numId w:val="2"/>
      </w:numPr>
    </w:pPr>
  </w:style>
  <w:style w:type="paragraph" w:customStyle="1" w:styleId="Tabletextcentred">
    <w:name w:val="Table text centred"/>
    <w:basedOn w:val="Tabletext"/>
    <w:uiPriority w:val="6"/>
    <w:qFormat/>
    <w:rsid w:val="00CF46D0"/>
    <w:pPr>
      <w:jc w:val="center"/>
    </w:pPr>
  </w:style>
  <w:style w:type="paragraph" w:customStyle="1" w:styleId="Tableheader">
    <w:name w:val="Table header"/>
    <w:basedOn w:val="Tabletext"/>
    <w:uiPriority w:val="6"/>
    <w:qFormat/>
    <w:rsid w:val="00E018C9"/>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7"/>
    <w:rsid w:val="00CF46D0"/>
    <w:pPr>
      <w:numPr>
        <w:numId w:val="3"/>
      </w:numPr>
    </w:pPr>
  </w:style>
  <w:style w:type="paragraph" w:customStyle="1" w:styleId="Tabledash">
    <w:name w:val="Table dash"/>
    <w:basedOn w:val="Tablebullet"/>
    <w:uiPriority w:val="7"/>
    <w:rsid w:val="00CF46D0"/>
    <w:pPr>
      <w:numPr>
        <w:ilvl w:val="1"/>
      </w:numPr>
    </w:pPr>
  </w:style>
  <w:style w:type="paragraph" w:customStyle="1" w:styleId="Tabletextindent">
    <w:name w:val="Table text indent"/>
    <w:basedOn w:val="Tabletext"/>
    <w:uiPriority w:val="6"/>
    <w:qFormat/>
    <w:rsid w:val="00CF46D0"/>
    <w:pPr>
      <w:ind w:left="288"/>
    </w:pPr>
  </w:style>
  <w:style w:type="paragraph" w:customStyle="1" w:styleId="Disclaimertext">
    <w:name w:val="Disclaimer text"/>
    <w:basedOn w:val="Normal"/>
    <w:uiPriority w:val="12"/>
    <w:qFormat/>
    <w:rsid w:val="00CF46D0"/>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4"/>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001008"/>
    <w:pPr>
      <w:keepNext/>
      <w:keepLines/>
      <w:spacing w:before="100" w:after="0" w:line="252" w:lineRule="auto"/>
      <w:contextualSpacing/>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 w:type="paragraph" w:styleId="ListParagraph">
    <w:name w:val="List Paragraph"/>
    <w:basedOn w:val="Normal"/>
    <w:uiPriority w:val="34"/>
    <w:qFormat/>
    <w:rsid w:val="005E6FC1"/>
    <w:pPr>
      <w:ind w:left="720"/>
      <w:contextualSpacing/>
    </w:pPr>
  </w:style>
  <w:style w:type="paragraph" w:customStyle="1" w:styleId="Bullet1grey">
    <w:name w:val="Bullet 1 grey"/>
    <w:basedOn w:val="Bullet1"/>
    <w:uiPriority w:val="1"/>
    <w:qFormat/>
    <w:rsid w:val="003912D2"/>
    <w:pPr>
      <w:tabs>
        <w:tab w:val="left" w:pos="360"/>
      </w:tabs>
      <w:spacing w:before="60" w:after="40"/>
      <w:contextualSpacing w:val="0"/>
    </w:pPr>
    <w:rPr>
      <w:rFonts w:ascii="Calibri" w:eastAsia="Calibri" w:hAnsi="Calibri" w:cs="Times New Roman"/>
      <w:color w:val="6E6E64"/>
      <w:spacing w:val="0"/>
      <w:sz w:val="22"/>
      <w:szCs w:val="22"/>
      <w:lang w:eastAsia="en-US"/>
    </w:rPr>
  </w:style>
  <w:style w:type="paragraph" w:styleId="NormalWeb">
    <w:name w:val="Normal (Web)"/>
    <w:basedOn w:val="Normal"/>
    <w:uiPriority w:val="99"/>
    <w:semiHidden/>
    <w:unhideWhenUsed/>
    <w:rsid w:val="008E5364"/>
    <w:pPr>
      <w:spacing w:before="100" w:beforeAutospacing="1" w:afterAutospacing="1" w:line="240" w:lineRule="auto"/>
    </w:pPr>
    <w:rPr>
      <w:rFonts w:ascii="Times New Roman" w:eastAsia="Times New Roman" w:hAnsi="Times New Roman" w:cs="Times New Roman"/>
      <w:spacing w:val="0"/>
      <w:sz w:val="24"/>
      <w:szCs w:val="24"/>
    </w:rPr>
  </w:style>
  <w:style w:type="character" w:styleId="FollowedHyperlink">
    <w:name w:val="FollowedHyperlink"/>
    <w:basedOn w:val="DefaultParagraphFont"/>
    <w:uiPriority w:val="99"/>
    <w:semiHidden/>
    <w:rsid w:val="004F7313"/>
    <w:rPr>
      <w:color w:val="8A2A2B" w:themeColor="followedHyperlink"/>
      <w:u w:val="single"/>
    </w:rPr>
  </w:style>
  <w:style w:type="character" w:customStyle="1" w:styleId="paragraphnormalChar1">
    <w:name w:val="paragraph normal Char1"/>
    <w:basedOn w:val="DefaultParagraphFont"/>
    <w:link w:val="paragraphnormal"/>
    <w:rsid w:val="004F5DA0"/>
    <w:rPr>
      <w:rFonts w:ascii="Calibri" w:hAnsi="Calibri"/>
    </w:rPr>
  </w:style>
  <w:style w:type="paragraph" w:customStyle="1" w:styleId="paragraphnormal">
    <w:name w:val="paragraph normal"/>
    <w:basedOn w:val="Normal"/>
    <w:link w:val="paragraphnormalChar1"/>
    <w:rsid w:val="004F5DA0"/>
    <w:pPr>
      <w:spacing w:before="60" w:after="60" w:line="264" w:lineRule="auto"/>
    </w:pPr>
    <w:rPr>
      <w:rFonts w:ascii="Calibri" w:hAnsi="Calibri"/>
      <w:spacing w:val="0"/>
      <w:sz w:val="20"/>
    </w:rPr>
  </w:style>
  <w:style w:type="character" w:customStyle="1" w:styleId="tabletextChar">
    <w:name w:val="table text Char"/>
    <w:basedOn w:val="DefaultParagraphFont"/>
    <w:link w:val="tabletext0"/>
    <w:uiPriority w:val="24"/>
    <w:rsid w:val="004F5DA0"/>
    <w:rPr>
      <w:rFonts w:ascii="Calibri" w:hAnsi="Calibri"/>
    </w:rPr>
  </w:style>
  <w:style w:type="paragraph" w:customStyle="1" w:styleId="tabletext0">
    <w:name w:val="table text"/>
    <w:basedOn w:val="Normal"/>
    <w:link w:val="tabletextChar"/>
    <w:uiPriority w:val="24"/>
    <w:rsid w:val="004F5DA0"/>
    <w:pPr>
      <w:spacing w:before="60" w:after="60" w:line="240" w:lineRule="auto"/>
    </w:pPr>
    <w:rPr>
      <w:rFonts w:ascii="Calibri" w:hAnsi="Calibri"/>
      <w:spacing w:val="0"/>
      <w:sz w:val="20"/>
    </w:rPr>
  </w:style>
  <w:style w:type="character" w:styleId="Strong">
    <w:name w:val="Strong"/>
    <w:basedOn w:val="DefaultParagraphFont"/>
    <w:uiPriority w:val="22"/>
    <w:qFormat/>
    <w:rsid w:val="009B78CE"/>
    <w:rPr>
      <w:b/>
      <w:bCs/>
    </w:rPr>
  </w:style>
  <w:style w:type="character" w:customStyle="1" w:styleId="apple-converted-space">
    <w:name w:val="apple-converted-space"/>
    <w:basedOn w:val="DefaultParagraphFont"/>
    <w:rsid w:val="009B78CE"/>
  </w:style>
  <w:style w:type="character" w:styleId="Emphasis">
    <w:name w:val="Emphasis"/>
    <w:basedOn w:val="DefaultParagraphFont"/>
    <w:uiPriority w:val="20"/>
    <w:qFormat/>
    <w:rsid w:val="009B78CE"/>
    <w:rPr>
      <w:i/>
      <w:iCs/>
    </w:rPr>
  </w:style>
  <w:style w:type="paragraph" w:customStyle="1" w:styleId="image-caption">
    <w:name w:val="image-caption"/>
    <w:basedOn w:val="Normal"/>
    <w:rsid w:val="009B78CE"/>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Heading5Char">
    <w:name w:val="Heading 5 Char"/>
    <w:basedOn w:val="DefaultParagraphFont"/>
    <w:link w:val="Heading5"/>
    <w:rsid w:val="006C1592"/>
    <w:rPr>
      <w:rFonts w:asciiTheme="majorHAnsi" w:eastAsiaTheme="majorEastAsia" w:hAnsiTheme="majorHAnsi" w:cstheme="majorBidi"/>
      <w:i/>
      <w:color w:val="003152" w:themeColor="accent1" w:themeShade="7F"/>
      <w:spacing w:val="2"/>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6C1592"/>
    <w:pPr>
      <w:spacing w:before="160" w:after="100"/>
    </w:pPr>
    <w:rPr>
      <w:spacing w:val="2"/>
      <w:sz w:val="18"/>
    </w:rPr>
  </w:style>
  <w:style w:type="paragraph" w:styleId="Heading1">
    <w:name w:val="heading 1"/>
    <w:next w:val="Normal"/>
    <w:link w:val="Heading1Char"/>
    <w:qFormat/>
    <w:rsid w:val="00CF46D0"/>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CF46D0"/>
    <w:pPr>
      <w:keepNext/>
      <w:keepLines/>
      <w:spacing w:before="240" w:after="120"/>
      <w:outlineLvl w:val="1"/>
    </w:pPr>
    <w:rPr>
      <w:rFonts w:asciiTheme="majorHAnsi" w:eastAsiaTheme="majorEastAsia" w:hAnsiTheme="majorHAnsi" w:cstheme="majorBidi"/>
      <w:b/>
      <w:bCs/>
      <w:color w:val="0063A6" w:themeColor="accent1"/>
      <w:sz w:val="24"/>
      <w:szCs w:val="24"/>
    </w:rPr>
  </w:style>
  <w:style w:type="paragraph" w:styleId="Heading3">
    <w:name w:val="heading 3"/>
    <w:basedOn w:val="Normal"/>
    <w:next w:val="Normal"/>
    <w:link w:val="Heading3Char"/>
    <w:qFormat/>
    <w:rsid w:val="007D03CC"/>
    <w:pPr>
      <w:keepNext/>
      <w:keepLines/>
      <w:spacing w:before="180" w:after="0"/>
      <w:outlineLvl w:val="2"/>
    </w:pPr>
    <w:rPr>
      <w:rFonts w:asciiTheme="majorHAnsi" w:eastAsiaTheme="majorEastAsia" w:hAnsiTheme="majorHAnsi" w:cstheme="majorBidi"/>
      <w:b/>
      <w:bCs/>
      <w:color w:val="009CDE" w:themeColor="accent5"/>
      <w:sz w:val="21"/>
      <w:szCs w:val="21"/>
    </w:rPr>
  </w:style>
  <w:style w:type="paragraph" w:styleId="Heading4">
    <w:name w:val="heading 4"/>
    <w:basedOn w:val="Normal"/>
    <w:next w:val="Normal"/>
    <w:link w:val="Heading4Char"/>
    <w:qFormat/>
    <w:rsid w:val="00314CE6"/>
    <w:pPr>
      <w:keepNext/>
      <w:keepLines/>
      <w:spacing w:before="200" w:after="0"/>
      <w:outlineLvl w:val="3"/>
    </w:pPr>
    <w:rPr>
      <w:rFonts w:asciiTheme="majorHAnsi" w:eastAsiaTheme="majorEastAsia" w:hAnsiTheme="majorHAnsi" w:cstheme="majorBidi"/>
      <w:b/>
      <w:bCs/>
      <w:iCs/>
      <w:color w:val="53565A"/>
      <w:sz w:val="19"/>
    </w:rPr>
  </w:style>
  <w:style w:type="paragraph" w:styleId="Heading5">
    <w:name w:val="heading 5"/>
    <w:basedOn w:val="Normal"/>
    <w:next w:val="Normal"/>
    <w:link w:val="Heading5Char"/>
    <w:qFormat/>
    <w:rsid w:val="006C1592"/>
    <w:pPr>
      <w:keepNext/>
      <w:keepLines/>
      <w:spacing w:after="0"/>
      <w:outlineLvl w:val="4"/>
    </w:pPr>
    <w:rPr>
      <w:rFonts w:asciiTheme="majorHAnsi" w:eastAsiaTheme="majorEastAsia" w:hAnsiTheme="majorHAnsi" w:cstheme="majorBidi"/>
      <w:i/>
      <w:color w:val="003152" w:themeColor="accent1" w:themeShade="7F"/>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F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F46D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F46D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F46D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F46D0"/>
    <w:pPr>
      <w:tabs>
        <w:tab w:val="right" w:leader="dot" w:pos="2520"/>
      </w:tabs>
      <w:spacing w:before="0" w:after="0"/>
      <w:ind w:right="432"/>
    </w:pPr>
    <w:rPr>
      <w:sz w:val="16"/>
      <w:szCs w:val="24"/>
    </w:rPr>
  </w:style>
  <w:style w:type="paragraph" w:styleId="TOC2">
    <w:name w:val="toc 2"/>
    <w:next w:val="Normal"/>
    <w:uiPriority w:val="39"/>
    <w:rsid w:val="00CF46D0"/>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F46D0"/>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CF46D0"/>
    <w:pPr>
      <w:spacing w:after="60" w:line="240" w:lineRule="auto"/>
    </w:pPr>
    <w:rPr>
      <w:sz w:val="16"/>
    </w:rPr>
  </w:style>
  <w:style w:type="paragraph" w:styleId="Index2">
    <w:name w:val="index 2"/>
    <w:basedOn w:val="Normal"/>
    <w:next w:val="Normal"/>
    <w:uiPriority w:val="99"/>
    <w:semiHidden/>
    <w:rsid w:val="00CF46D0"/>
    <w:pPr>
      <w:spacing w:after="0" w:line="240" w:lineRule="auto"/>
      <w:ind w:left="216"/>
    </w:pPr>
    <w:rPr>
      <w:sz w:val="16"/>
      <w:szCs w:val="16"/>
    </w:rPr>
  </w:style>
  <w:style w:type="character" w:styleId="Hyperlink">
    <w:name w:val="Hyperlink"/>
    <w:basedOn w:val="DefaultParagraphFont"/>
    <w:uiPriority w:val="99"/>
    <w:rsid w:val="00CF46D0"/>
    <w:rPr>
      <w:color w:val="53565A" w:themeColor="hyperlink"/>
      <w:u w:val="none"/>
    </w:rPr>
  </w:style>
  <w:style w:type="character" w:customStyle="1" w:styleId="Heading1Char">
    <w:name w:val="Heading 1 Char"/>
    <w:basedOn w:val="DefaultParagraphFont"/>
    <w:link w:val="Heading1"/>
    <w:rsid w:val="00CF46D0"/>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CF46D0"/>
    <w:rPr>
      <w:rFonts w:asciiTheme="majorHAnsi" w:eastAsiaTheme="majorEastAsia" w:hAnsiTheme="majorHAnsi" w:cstheme="majorBidi"/>
      <w:b/>
      <w:bCs/>
      <w:color w:val="0063A6" w:themeColor="accent1"/>
      <w:spacing w:val="2"/>
      <w:sz w:val="24"/>
      <w:szCs w:val="24"/>
    </w:rPr>
  </w:style>
  <w:style w:type="paragraph" w:customStyle="1" w:styleId="Bullet1">
    <w:name w:val="Bullet 1"/>
    <w:uiPriority w:val="11"/>
    <w:qFormat/>
    <w:rsid w:val="003053A2"/>
    <w:pPr>
      <w:numPr>
        <w:numId w:val="1"/>
      </w:numPr>
      <w:spacing w:before="100" w:after="100" w:line="240" w:lineRule="auto"/>
      <w:contextualSpacing/>
    </w:pPr>
    <w:rPr>
      <w:rFonts w:eastAsia="Times New Roman" w:cs="Calibri"/>
      <w:spacing w:val="2"/>
      <w:sz w:val="18"/>
    </w:rPr>
  </w:style>
  <w:style w:type="paragraph" w:customStyle="1" w:styleId="Bullet2">
    <w:name w:val="Bullet 2"/>
    <w:basedOn w:val="Bullet1"/>
    <w:uiPriority w:val="11"/>
    <w:qFormat/>
    <w:rsid w:val="0024195A"/>
    <w:pPr>
      <w:numPr>
        <w:ilvl w:val="1"/>
      </w:numPr>
    </w:pPr>
  </w:style>
  <w:style w:type="paragraph" w:customStyle="1" w:styleId="Bulletindent">
    <w:name w:val="Bullet indent"/>
    <w:basedOn w:val="Bullet2"/>
    <w:uiPriority w:val="9"/>
    <w:qFormat/>
    <w:rsid w:val="00CF46D0"/>
    <w:pPr>
      <w:numPr>
        <w:ilvl w:val="2"/>
      </w:numPr>
    </w:pPr>
  </w:style>
  <w:style w:type="paragraph" w:customStyle="1" w:styleId="Heading1numbered">
    <w:name w:val="Heading 1 numbered"/>
    <w:basedOn w:val="Heading1"/>
    <w:next w:val="NormalIndent"/>
    <w:uiPriority w:val="4"/>
    <w:semiHidden/>
    <w:qFormat/>
    <w:rsid w:val="00CF46D0"/>
    <w:pPr>
      <w:numPr>
        <w:ilvl w:val="2"/>
        <w:numId w:val="2"/>
      </w:numPr>
    </w:pPr>
  </w:style>
  <w:style w:type="paragraph" w:customStyle="1" w:styleId="Heading2numbered">
    <w:name w:val="Heading 2 numbered"/>
    <w:basedOn w:val="Heading2"/>
    <w:next w:val="NormalIndent"/>
    <w:uiPriority w:val="4"/>
    <w:semiHidden/>
    <w:qFormat/>
    <w:rsid w:val="00CF46D0"/>
    <w:pPr>
      <w:numPr>
        <w:ilvl w:val="3"/>
        <w:numId w:val="2"/>
      </w:numPr>
    </w:pPr>
  </w:style>
  <w:style w:type="paragraph" w:customStyle="1" w:styleId="Heading3numbered">
    <w:name w:val="Heading 3 numbered"/>
    <w:basedOn w:val="Heading3"/>
    <w:next w:val="NormalIndent"/>
    <w:uiPriority w:val="4"/>
    <w:semiHidden/>
    <w:qFormat/>
    <w:rsid w:val="00CF46D0"/>
    <w:pPr>
      <w:numPr>
        <w:ilvl w:val="4"/>
        <w:numId w:val="2"/>
      </w:numPr>
    </w:pPr>
  </w:style>
  <w:style w:type="character" w:customStyle="1" w:styleId="Heading3Char">
    <w:name w:val="Heading 3 Char"/>
    <w:basedOn w:val="DefaultParagraphFont"/>
    <w:link w:val="Heading3"/>
    <w:rsid w:val="007D03CC"/>
    <w:rPr>
      <w:rFonts w:asciiTheme="majorHAnsi" w:eastAsiaTheme="majorEastAsia" w:hAnsiTheme="majorHAnsi" w:cstheme="majorBidi"/>
      <w:b/>
      <w:bCs/>
      <w:color w:val="009CDE" w:themeColor="accent5"/>
      <w:spacing w:val="2"/>
      <w:sz w:val="21"/>
      <w:szCs w:val="21"/>
    </w:rPr>
  </w:style>
  <w:style w:type="paragraph" w:customStyle="1" w:styleId="Heading4numbered">
    <w:name w:val="Heading 4 numbered"/>
    <w:basedOn w:val="Heading4"/>
    <w:next w:val="NormalIndent"/>
    <w:uiPriority w:val="4"/>
    <w:semiHidden/>
    <w:qFormat/>
    <w:rsid w:val="00CF46D0"/>
    <w:pPr>
      <w:numPr>
        <w:ilvl w:val="5"/>
        <w:numId w:val="2"/>
      </w:numPr>
    </w:pPr>
  </w:style>
  <w:style w:type="character" w:customStyle="1" w:styleId="Heading4Char">
    <w:name w:val="Heading 4 Char"/>
    <w:basedOn w:val="DefaultParagraphFont"/>
    <w:link w:val="Heading4"/>
    <w:rsid w:val="00314CE6"/>
    <w:rPr>
      <w:rFonts w:asciiTheme="majorHAnsi" w:eastAsiaTheme="majorEastAsia" w:hAnsiTheme="majorHAnsi" w:cstheme="majorBidi"/>
      <w:b/>
      <w:bCs/>
      <w:iCs/>
      <w:color w:val="53565A"/>
      <w:spacing w:val="2"/>
      <w:sz w:val="19"/>
    </w:rPr>
  </w:style>
  <w:style w:type="paragraph" w:styleId="NormalIndent">
    <w:name w:val="Normal Indent"/>
    <w:basedOn w:val="Normal"/>
    <w:uiPriority w:val="4"/>
    <w:qFormat/>
    <w:rsid w:val="007D03CC"/>
    <w:pPr>
      <w:spacing w:line="252" w:lineRule="auto"/>
      <w:ind w:left="504"/>
    </w:pPr>
  </w:style>
  <w:style w:type="paragraph" w:customStyle="1" w:styleId="NoteNormal">
    <w:name w:val="Note Normal"/>
    <w:basedOn w:val="Normal"/>
    <w:uiPriority w:val="11"/>
    <w:rsid w:val="00CF46D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F46D0"/>
    <w:pPr>
      <w:spacing w:before="0" w:after="0" w:line="120" w:lineRule="atLeast"/>
    </w:pPr>
    <w:rPr>
      <w:rFonts w:eastAsia="Times New Roman" w:cs="Calibri"/>
      <w:spacing w:val="0"/>
      <w:sz w:val="10"/>
      <w:szCs w:val="22"/>
    </w:rPr>
  </w:style>
  <w:style w:type="paragraph" w:styleId="Subtitle">
    <w:name w:val="Subtitle"/>
    <w:link w:val="SubtitleChar"/>
    <w:uiPriority w:val="99"/>
    <w:rsid w:val="00CF46D0"/>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CF46D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CF46D0"/>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CF46D0"/>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CF46D0"/>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CF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D0"/>
    <w:rPr>
      <w:rFonts w:ascii="Tahoma" w:hAnsi="Tahoma" w:cs="Tahoma"/>
      <w:spacing w:val="2"/>
      <w:sz w:val="16"/>
      <w:szCs w:val="16"/>
    </w:rPr>
  </w:style>
  <w:style w:type="paragraph" w:customStyle="1" w:styleId="Bulletindent2">
    <w:name w:val="Bullet indent 2"/>
    <w:basedOn w:val="Normal"/>
    <w:uiPriority w:val="9"/>
    <w:qFormat/>
    <w:rsid w:val="00CF46D0"/>
    <w:pPr>
      <w:numPr>
        <w:ilvl w:val="3"/>
        <w:numId w:val="1"/>
      </w:numPr>
      <w:spacing w:before="100"/>
      <w:contextualSpacing/>
    </w:pPr>
  </w:style>
  <w:style w:type="paragraph" w:styleId="IndexHeading">
    <w:name w:val="index heading"/>
    <w:basedOn w:val="Normal"/>
    <w:next w:val="Index1"/>
    <w:uiPriority w:val="99"/>
    <w:semiHidden/>
    <w:rsid w:val="00CF46D0"/>
    <w:rPr>
      <w:rFonts w:asciiTheme="majorHAnsi" w:eastAsiaTheme="majorEastAsia" w:hAnsiTheme="majorHAnsi" w:cstheme="majorBidi"/>
      <w:b/>
      <w:bCs/>
    </w:rPr>
  </w:style>
  <w:style w:type="paragraph" w:styleId="Header">
    <w:name w:val="header"/>
    <w:basedOn w:val="Normal"/>
    <w:link w:val="HeaderChar"/>
    <w:uiPriority w:val="99"/>
    <w:semiHidden/>
    <w:rsid w:val="00CF46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46D0"/>
    <w:rPr>
      <w:spacing w:val="2"/>
      <w:sz w:val="18"/>
    </w:rPr>
  </w:style>
  <w:style w:type="paragraph" w:styleId="Footer">
    <w:name w:val="footer"/>
    <w:basedOn w:val="Normal"/>
    <w:link w:val="FooterChar"/>
    <w:uiPriority w:val="24"/>
    <w:semiHidden/>
    <w:rsid w:val="00CF46D0"/>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CF46D0"/>
    <w:rPr>
      <w:noProof/>
      <w:spacing w:val="2"/>
      <w:sz w:val="18"/>
      <w:szCs w:val="18"/>
    </w:rPr>
  </w:style>
  <w:style w:type="character" w:styleId="PageNumber">
    <w:name w:val="page number"/>
    <w:uiPriority w:val="49"/>
    <w:semiHidden/>
    <w:rsid w:val="00CF46D0"/>
  </w:style>
  <w:style w:type="paragraph" w:styleId="TOCHeading">
    <w:name w:val="TOC Heading"/>
    <w:basedOn w:val="Heading1"/>
    <w:next w:val="Normal"/>
    <w:uiPriority w:val="39"/>
    <w:rsid w:val="00CF46D0"/>
    <w:pPr>
      <w:spacing w:before="480" w:after="720"/>
      <w:outlineLvl w:val="9"/>
    </w:pPr>
    <w:rPr>
      <w:spacing w:val="2"/>
    </w:rPr>
  </w:style>
  <w:style w:type="paragraph" w:customStyle="1" w:styleId="NormalTight">
    <w:name w:val="Normal Tight"/>
    <w:uiPriority w:val="99"/>
    <w:semiHidden/>
    <w:rsid w:val="00CF46D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F46D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F46D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F46D0"/>
    <w:pPr>
      <w:spacing w:before="5800"/>
      <w:ind w:right="1382"/>
    </w:pPr>
  </w:style>
  <w:style w:type="paragraph" w:styleId="TOC4">
    <w:name w:val="toc 4"/>
    <w:basedOn w:val="TOC1"/>
    <w:next w:val="Normal"/>
    <w:uiPriority w:val="39"/>
    <w:semiHidden/>
    <w:rsid w:val="00CF46D0"/>
    <w:pPr>
      <w:ind w:left="450" w:hanging="450"/>
    </w:pPr>
    <w:rPr>
      <w:noProof/>
      <w:lang w:eastAsia="en-US"/>
    </w:rPr>
  </w:style>
  <w:style w:type="paragraph" w:styleId="TOC5">
    <w:name w:val="toc 5"/>
    <w:basedOn w:val="TOC2"/>
    <w:next w:val="Normal"/>
    <w:uiPriority w:val="39"/>
    <w:semiHidden/>
    <w:rsid w:val="00CF46D0"/>
    <w:pPr>
      <w:ind w:left="1080" w:hanging="634"/>
    </w:pPr>
    <w:rPr>
      <w:lang w:eastAsia="en-US"/>
    </w:rPr>
  </w:style>
  <w:style w:type="paragraph" w:styleId="TOC6">
    <w:name w:val="toc 6"/>
    <w:basedOn w:val="TOC3"/>
    <w:next w:val="Normal"/>
    <w:uiPriority w:val="39"/>
    <w:semiHidden/>
    <w:rsid w:val="00CF46D0"/>
    <w:pPr>
      <w:ind w:left="1800" w:hanging="720"/>
    </w:pPr>
    <w:rPr>
      <w:lang w:eastAsia="en-US"/>
    </w:rPr>
  </w:style>
  <w:style w:type="table" w:customStyle="1" w:styleId="DTFtexttable">
    <w:name w:val="DTF text table"/>
    <w:basedOn w:val="TableGrid"/>
    <w:uiPriority w:val="99"/>
    <w:rsid w:val="00CF46D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F46D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F46D0"/>
    <w:pPr>
      <w:spacing w:before="60" w:after="60" w:line="264" w:lineRule="auto"/>
    </w:pPr>
    <w:rPr>
      <w:sz w:val="17"/>
    </w:rPr>
  </w:style>
  <w:style w:type="paragraph" w:customStyle="1" w:styleId="Tabletextright">
    <w:name w:val="Table text right"/>
    <w:basedOn w:val="Tabletext"/>
    <w:uiPriority w:val="6"/>
    <w:qFormat/>
    <w:rsid w:val="00CF46D0"/>
    <w:pPr>
      <w:jc w:val="right"/>
    </w:pPr>
  </w:style>
  <w:style w:type="paragraph" w:customStyle="1" w:styleId="Listnumindent2">
    <w:name w:val="List num indent 2"/>
    <w:basedOn w:val="Normal"/>
    <w:uiPriority w:val="5"/>
    <w:semiHidden/>
    <w:qFormat/>
    <w:rsid w:val="00CF46D0"/>
    <w:pPr>
      <w:numPr>
        <w:ilvl w:val="7"/>
        <w:numId w:val="2"/>
      </w:numPr>
      <w:spacing w:before="100"/>
      <w:contextualSpacing/>
    </w:pPr>
  </w:style>
  <w:style w:type="paragraph" w:customStyle="1" w:styleId="Listnumindent">
    <w:name w:val="List num indent"/>
    <w:basedOn w:val="Normal"/>
    <w:uiPriority w:val="5"/>
    <w:semiHidden/>
    <w:qFormat/>
    <w:rsid w:val="00CF46D0"/>
    <w:pPr>
      <w:numPr>
        <w:ilvl w:val="6"/>
        <w:numId w:val="2"/>
      </w:numPr>
      <w:spacing w:before="100"/>
    </w:pPr>
  </w:style>
  <w:style w:type="paragraph" w:customStyle="1" w:styleId="Listnum">
    <w:name w:val="List num"/>
    <w:basedOn w:val="Normal"/>
    <w:uiPriority w:val="1"/>
    <w:qFormat/>
    <w:rsid w:val="00CF46D0"/>
    <w:pPr>
      <w:numPr>
        <w:numId w:val="2"/>
      </w:numPr>
    </w:pPr>
  </w:style>
  <w:style w:type="paragraph" w:customStyle="1" w:styleId="Listnum2">
    <w:name w:val="List num 2"/>
    <w:basedOn w:val="Normal"/>
    <w:uiPriority w:val="1"/>
    <w:qFormat/>
    <w:rsid w:val="00CF46D0"/>
    <w:pPr>
      <w:numPr>
        <w:ilvl w:val="1"/>
        <w:numId w:val="2"/>
      </w:numPr>
    </w:pPr>
  </w:style>
  <w:style w:type="paragraph" w:customStyle="1" w:styleId="Tabletextcentred">
    <w:name w:val="Table text centred"/>
    <w:basedOn w:val="Tabletext"/>
    <w:uiPriority w:val="6"/>
    <w:qFormat/>
    <w:rsid w:val="00CF46D0"/>
    <w:pPr>
      <w:jc w:val="center"/>
    </w:pPr>
  </w:style>
  <w:style w:type="paragraph" w:customStyle="1" w:styleId="Tableheader">
    <w:name w:val="Table header"/>
    <w:basedOn w:val="Tabletext"/>
    <w:uiPriority w:val="6"/>
    <w:qFormat/>
    <w:rsid w:val="00E018C9"/>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7"/>
    <w:rsid w:val="00CF46D0"/>
    <w:pPr>
      <w:numPr>
        <w:numId w:val="3"/>
      </w:numPr>
    </w:pPr>
  </w:style>
  <w:style w:type="paragraph" w:customStyle="1" w:styleId="Tabledash">
    <w:name w:val="Table dash"/>
    <w:basedOn w:val="Tablebullet"/>
    <w:uiPriority w:val="7"/>
    <w:rsid w:val="00CF46D0"/>
    <w:pPr>
      <w:numPr>
        <w:ilvl w:val="1"/>
      </w:numPr>
    </w:pPr>
  </w:style>
  <w:style w:type="paragraph" w:customStyle="1" w:styleId="Tabletextindent">
    <w:name w:val="Table text indent"/>
    <w:basedOn w:val="Tabletext"/>
    <w:uiPriority w:val="6"/>
    <w:qFormat/>
    <w:rsid w:val="00CF46D0"/>
    <w:pPr>
      <w:ind w:left="288"/>
    </w:pPr>
  </w:style>
  <w:style w:type="paragraph" w:customStyle="1" w:styleId="Disclaimertext">
    <w:name w:val="Disclaimer text"/>
    <w:basedOn w:val="Normal"/>
    <w:uiPriority w:val="12"/>
    <w:qFormat/>
    <w:rsid w:val="00CF46D0"/>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4"/>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001008"/>
    <w:pPr>
      <w:keepNext/>
      <w:keepLines/>
      <w:spacing w:before="100" w:after="0" w:line="252" w:lineRule="auto"/>
      <w:contextualSpacing/>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 w:type="paragraph" w:styleId="ListParagraph">
    <w:name w:val="List Paragraph"/>
    <w:basedOn w:val="Normal"/>
    <w:uiPriority w:val="34"/>
    <w:qFormat/>
    <w:rsid w:val="005E6FC1"/>
    <w:pPr>
      <w:ind w:left="720"/>
      <w:contextualSpacing/>
    </w:pPr>
  </w:style>
  <w:style w:type="paragraph" w:customStyle="1" w:styleId="Bullet1grey">
    <w:name w:val="Bullet 1 grey"/>
    <w:basedOn w:val="Bullet1"/>
    <w:uiPriority w:val="1"/>
    <w:qFormat/>
    <w:rsid w:val="003912D2"/>
    <w:pPr>
      <w:tabs>
        <w:tab w:val="left" w:pos="360"/>
      </w:tabs>
      <w:spacing w:before="60" w:after="40"/>
      <w:contextualSpacing w:val="0"/>
    </w:pPr>
    <w:rPr>
      <w:rFonts w:ascii="Calibri" w:eastAsia="Calibri" w:hAnsi="Calibri" w:cs="Times New Roman"/>
      <w:color w:val="6E6E64"/>
      <w:spacing w:val="0"/>
      <w:sz w:val="22"/>
      <w:szCs w:val="22"/>
      <w:lang w:eastAsia="en-US"/>
    </w:rPr>
  </w:style>
  <w:style w:type="paragraph" w:styleId="NormalWeb">
    <w:name w:val="Normal (Web)"/>
    <w:basedOn w:val="Normal"/>
    <w:uiPriority w:val="99"/>
    <w:semiHidden/>
    <w:unhideWhenUsed/>
    <w:rsid w:val="008E5364"/>
    <w:pPr>
      <w:spacing w:before="100" w:beforeAutospacing="1" w:afterAutospacing="1" w:line="240" w:lineRule="auto"/>
    </w:pPr>
    <w:rPr>
      <w:rFonts w:ascii="Times New Roman" w:eastAsia="Times New Roman" w:hAnsi="Times New Roman" w:cs="Times New Roman"/>
      <w:spacing w:val="0"/>
      <w:sz w:val="24"/>
      <w:szCs w:val="24"/>
    </w:rPr>
  </w:style>
  <w:style w:type="character" w:styleId="FollowedHyperlink">
    <w:name w:val="FollowedHyperlink"/>
    <w:basedOn w:val="DefaultParagraphFont"/>
    <w:uiPriority w:val="99"/>
    <w:semiHidden/>
    <w:rsid w:val="004F7313"/>
    <w:rPr>
      <w:color w:val="8A2A2B" w:themeColor="followedHyperlink"/>
      <w:u w:val="single"/>
    </w:rPr>
  </w:style>
  <w:style w:type="character" w:customStyle="1" w:styleId="paragraphnormalChar1">
    <w:name w:val="paragraph normal Char1"/>
    <w:basedOn w:val="DefaultParagraphFont"/>
    <w:link w:val="paragraphnormal"/>
    <w:rsid w:val="004F5DA0"/>
    <w:rPr>
      <w:rFonts w:ascii="Calibri" w:hAnsi="Calibri"/>
    </w:rPr>
  </w:style>
  <w:style w:type="paragraph" w:customStyle="1" w:styleId="paragraphnormal">
    <w:name w:val="paragraph normal"/>
    <w:basedOn w:val="Normal"/>
    <w:link w:val="paragraphnormalChar1"/>
    <w:rsid w:val="004F5DA0"/>
    <w:pPr>
      <w:spacing w:before="60" w:after="60" w:line="264" w:lineRule="auto"/>
    </w:pPr>
    <w:rPr>
      <w:rFonts w:ascii="Calibri" w:hAnsi="Calibri"/>
      <w:spacing w:val="0"/>
      <w:sz w:val="20"/>
    </w:rPr>
  </w:style>
  <w:style w:type="character" w:customStyle="1" w:styleId="tabletextChar">
    <w:name w:val="table text Char"/>
    <w:basedOn w:val="DefaultParagraphFont"/>
    <w:link w:val="tabletext0"/>
    <w:uiPriority w:val="24"/>
    <w:rsid w:val="004F5DA0"/>
    <w:rPr>
      <w:rFonts w:ascii="Calibri" w:hAnsi="Calibri"/>
    </w:rPr>
  </w:style>
  <w:style w:type="paragraph" w:customStyle="1" w:styleId="tabletext0">
    <w:name w:val="table text"/>
    <w:basedOn w:val="Normal"/>
    <w:link w:val="tabletextChar"/>
    <w:uiPriority w:val="24"/>
    <w:rsid w:val="004F5DA0"/>
    <w:pPr>
      <w:spacing w:before="60" w:after="60" w:line="240" w:lineRule="auto"/>
    </w:pPr>
    <w:rPr>
      <w:rFonts w:ascii="Calibri" w:hAnsi="Calibri"/>
      <w:spacing w:val="0"/>
      <w:sz w:val="20"/>
    </w:rPr>
  </w:style>
  <w:style w:type="character" w:styleId="Strong">
    <w:name w:val="Strong"/>
    <w:basedOn w:val="DefaultParagraphFont"/>
    <w:uiPriority w:val="22"/>
    <w:qFormat/>
    <w:rsid w:val="009B78CE"/>
    <w:rPr>
      <w:b/>
      <w:bCs/>
    </w:rPr>
  </w:style>
  <w:style w:type="character" w:customStyle="1" w:styleId="apple-converted-space">
    <w:name w:val="apple-converted-space"/>
    <w:basedOn w:val="DefaultParagraphFont"/>
    <w:rsid w:val="009B78CE"/>
  </w:style>
  <w:style w:type="character" w:styleId="Emphasis">
    <w:name w:val="Emphasis"/>
    <w:basedOn w:val="DefaultParagraphFont"/>
    <w:uiPriority w:val="20"/>
    <w:qFormat/>
    <w:rsid w:val="009B78CE"/>
    <w:rPr>
      <w:i/>
      <w:iCs/>
    </w:rPr>
  </w:style>
  <w:style w:type="paragraph" w:customStyle="1" w:styleId="image-caption">
    <w:name w:val="image-caption"/>
    <w:basedOn w:val="Normal"/>
    <w:rsid w:val="009B78CE"/>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Heading5Char">
    <w:name w:val="Heading 5 Char"/>
    <w:basedOn w:val="DefaultParagraphFont"/>
    <w:link w:val="Heading5"/>
    <w:rsid w:val="006C1592"/>
    <w:rPr>
      <w:rFonts w:asciiTheme="majorHAnsi" w:eastAsiaTheme="majorEastAsia" w:hAnsiTheme="majorHAnsi" w:cstheme="majorBidi"/>
      <w:i/>
      <w:color w:val="003152" w:themeColor="accent1" w:themeShade="7F"/>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958">
      <w:bodyDiv w:val="1"/>
      <w:marLeft w:val="0"/>
      <w:marRight w:val="0"/>
      <w:marTop w:val="0"/>
      <w:marBottom w:val="0"/>
      <w:divBdr>
        <w:top w:val="none" w:sz="0" w:space="0" w:color="auto"/>
        <w:left w:val="none" w:sz="0" w:space="0" w:color="auto"/>
        <w:bottom w:val="none" w:sz="0" w:space="0" w:color="auto"/>
        <w:right w:val="none" w:sz="0" w:space="0" w:color="auto"/>
      </w:divBdr>
    </w:div>
    <w:div w:id="57869672">
      <w:bodyDiv w:val="1"/>
      <w:marLeft w:val="0"/>
      <w:marRight w:val="0"/>
      <w:marTop w:val="0"/>
      <w:marBottom w:val="0"/>
      <w:divBdr>
        <w:top w:val="none" w:sz="0" w:space="0" w:color="auto"/>
        <w:left w:val="none" w:sz="0" w:space="0" w:color="auto"/>
        <w:bottom w:val="none" w:sz="0" w:space="0" w:color="auto"/>
        <w:right w:val="none" w:sz="0" w:space="0" w:color="auto"/>
      </w:divBdr>
    </w:div>
    <w:div w:id="220295076">
      <w:bodyDiv w:val="1"/>
      <w:marLeft w:val="0"/>
      <w:marRight w:val="0"/>
      <w:marTop w:val="0"/>
      <w:marBottom w:val="0"/>
      <w:divBdr>
        <w:top w:val="none" w:sz="0" w:space="0" w:color="auto"/>
        <w:left w:val="none" w:sz="0" w:space="0" w:color="auto"/>
        <w:bottom w:val="none" w:sz="0" w:space="0" w:color="auto"/>
        <w:right w:val="none" w:sz="0" w:space="0" w:color="auto"/>
      </w:divBdr>
    </w:div>
    <w:div w:id="412703507">
      <w:bodyDiv w:val="1"/>
      <w:marLeft w:val="0"/>
      <w:marRight w:val="0"/>
      <w:marTop w:val="0"/>
      <w:marBottom w:val="0"/>
      <w:divBdr>
        <w:top w:val="none" w:sz="0" w:space="0" w:color="auto"/>
        <w:left w:val="none" w:sz="0" w:space="0" w:color="auto"/>
        <w:bottom w:val="none" w:sz="0" w:space="0" w:color="auto"/>
        <w:right w:val="none" w:sz="0" w:space="0" w:color="auto"/>
      </w:divBdr>
    </w:div>
    <w:div w:id="447510771">
      <w:bodyDiv w:val="1"/>
      <w:marLeft w:val="0"/>
      <w:marRight w:val="0"/>
      <w:marTop w:val="0"/>
      <w:marBottom w:val="0"/>
      <w:divBdr>
        <w:top w:val="none" w:sz="0" w:space="0" w:color="auto"/>
        <w:left w:val="none" w:sz="0" w:space="0" w:color="auto"/>
        <w:bottom w:val="none" w:sz="0" w:space="0" w:color="auto"/>
        <w:right w:val="none" w:sz="0" w:space="0" w:color="auto"/>
      </w:divBdr>
    </w:div>
    <w:div w:id="739447991">
      <w:bodyDiv w:val="1"/>
      <w:marLeft w:val="0"/>
      <w:marRight w:val="0"/>
      <w:marTop w:val="0"/>
      <w:marBottom w:val="0"/>
      <w:divBdr>
        <w:top w:val="none" w:sz="0" w:space="0" w:color="auto"/>
        <w:left w:val="none" w:sz="0" w:space="0" w:color="auto"/>
        <w:bottom w:val="none" w:sz="0" w:space="0" w:color="auto"/>
        <w:right w:val="none" w:sz="0" w:space="0" w:color="auto"/>
      </w:divBdr>
      <w:divsChild>
        <w:div w:id="37442333">
          <w:marLeft w:val="274"/>
          <w:marRight w:val="0"/>
          <w:marTop w:val="0"/>
          <w:marBottom w:val="0"/>
          <w:divBdr>
            <w:top w:val="none" w:sz="0" w:space="0" w:color="auto"/>
            <w:left w:val="none" w:sz="0" w:space="0" w:color="auto"/>
            <w:bottom w:val="none" w:sz="0" w:space="0" w:color="auto"/>
            <w:right w:val="none" w:sz="0" w:space="0" w:color="auto"/>
          </w:divBdr>
        </w:div>
      </w:divsChild>
    </w:div>
    <w:div w:id="1073626560">
      <w:bodyDiv w:val="1"/>
      <w:marLeft w:val="0"/>
      <w:marRight w:val="0"/>
      <w:marTop w:val="0"/>
      <w:marBottom w:val="0"/>
      <w:divBdr>
        <w:top w:val="none" w:sz="0" w:space="0" w:color="auto"/>
        <w:left w:val="none" w:sz="0" w:space="0" w:color="auto"/>
        <w:bottom w:val="none" w:sz="0" w:space="0" w:color="auto"/>
        <w:right w:val="none" w:sz="0" w:space="0" w:color="auto"/>
      </w:divBdr>
      <w:divsChild>
        <w:div w:id="726729506">
          <w:marLeft w:val="0"/>
          <w:marRight w:val="0"/>
          <w:marTop w:val="105"/>
          <w:marBottom w:val="105"/>
          <w:divBdr>
            <w:top w:val="none" w:sz="0" w:space="0" w:color="auto"/>
            <w:left w:val="none" w:sz="0" w:space="0" w:color="auto"/>
            <w:bottom w:val="none" w:sz="0" w:space="0" w:color="auto"/>
            <w:right w:val="none" w:sz="0" w:space="0" w:color="auto"/>
          </w:divBdr>
        </w:div>
      </w:divsChild>
    </w:div>
    <w:div w:id="1172991782">
      <w:bodyDiv w:val="1"/>
      <w:marLeft w:val="0"/>
      <w:marRight w:val="0"/>
      <w:marTop w:val="0"/>
      <w:marBottom w:val="0"/>
      <w:divBdr>
        <w:top w:val="none" w:sz="0" w:space="0" w:color="auto"/>
        <w:left w:val="none" w:sz="0" w:space="0" w:color="auto"/>
        <w:bottom w:val="none" w:sz="0" w:space="0" w:color="auto"/>
        <w:right w:val="none" w:sz="0" w:space="0" w:color="auto"/>
      </w:divBdr>
    </w:div>
    <w:div w:id="1486051648">
      <w:bodyDiv w:val="1"/>
      <w:marLeft w:val="0"/>
      <w:marRight w:val="0"/>
      <w:marTop w:val="0"/>
      <w:marBottom w:val="0"/>
      <w:divBdr>
        <w:top w:val="none" w:sz="0" w:space="0" w:color="auto"/>
        <w:left w:val="none" w:sz="0" w:space="0" w:color="auto"/>
        <w:bottom w:val="none" w:sz="0" w:space="0" w:color="auto"/>
        <w:right w:val="none" w:sz="0" w:space="0" w:color="auto"/>
      </w:divBdr>
      <w:divsChild>
        <w:div w:id="51661618">
          <w:marLeft w:val="0"/>
          <w:marRight w:val="0"/>
          <w:marTop w:val="0"/>
          <w:marBottom w:val="0"/>
          <w:divBdr>
            <w:top w:val="none" w:sz="0" w:space="0" w:color="auto"/>
            <w:left w:val="none" w:sz="0" w:space="0" w:color="auto"/>
            <w:bottom w:val="none" w:sz="0" w:space="0" w:color="auto"/>
            <w:right w:val="none" w:sz="0" w:space="0" w:color="auto"/>
          </w:divBdr>
          <w:divsChild>
            <w:div w:id="962883468">
              <w:marLeft w:val="0"/>
              <w:marRight w:val="0"/>
              <w:marTop w:val="105"/>
              <w:marBottom w:val="105"/>
              <w:divBdr>
                <w:top w:val="none" w:sz="0" w:space="0" w:color="auto"/>
                <w:left w:val="none" w:sz="0" w:space="0" w:color="auto"/>
                <w:bottom w:val="none" w:sz="0" w:space="0" w:color="auto"/>
                <w:right w:val="none" w:sz="0" w:space="0" w:color="auto"/>
              </w:divBdr>
            </w:div>
          </w:divsChild>
        </w:div>
        <w:div w:id="1500804046">
          <w:marLeft w:val="0"/>
          <w:marRight w:val="0"/>
          <w:marTop w:val="0"/>
          <w:marBottom w:val="0"/>
          <w:divBdr>
            <w:top w:val="none" w:sz="0" w:space="0" w:color="auto"/>
            <w:left w:val="none" w:sz="0" w:space="0" w:color="auto"/>
            <w:bottom w:val="none" w:sz="0" w:space="0" w:color="auto"/>
            <w:right w:val="none" w:sz="0" w:space="0" w:color="auto"/>
          </w:divBdr>
          <w:divsChild>
            <w:div w:id="1805730222">
              <w:marLeft w:val="0"/>
              <w:marRight w:val="0"/>
              <w:marTop w:val="105"/>
              <w:marBottom w:val="105"/>
              <w:divBdr>
                <w:top w:val="none" w:sz="0" w:space="0" w:color="auto"/>
                <w:left w:val="none" w:sz="0" w:space="0" w:color="auto"/>
                <w:bottom w:val="none" w:sz="0" w:space="0" w:color="auto"/>
                <w:right w:val="none" w:sz="0" w:space="0" w:color="auto"/>
              </w:divBdr>
            </w:div>
          </w:divsChild>
        </w:div>
        <w:div w:id="2009946127">
          <w:marLeft w:val="0"/>
          <w:marRight w:val="0"/>
          <w:marTop w:val="0"/>
          <w:marBottom w:val="0"/>
          <w:divBdr>
            <w:top w:val="none" w:sz="0" w:space="0" w:color="auto"/>
            <w:left w:val="none" w:sz="0" w:space="0" w:color="auto"/>
            <w:bottom w:val="none" w:sz="0" w:space="0" w:color="auto"/>
            <w:right w:val="none" w:sz="0" w:space="0" w:color="auto"/>
          </w:divBdr>
          <w:divsChild>
            <w:div w:id="1126898463">
              <w:marLeft w:val="0"/>
              <w:marRight w:val="0"/>
              <w:marTop w:val="0"/>
              <w:marBottom w:val="0"/>
              <w:divBdr>
                <w:top w:val="none" w:sz="0" w:space="0" w:color="auto"/>
                <w:left w:val="none" w:sz="0" w:space="0" w:color="auto"/>
                <w:bottom w:val="none" w:sz="0" w:space="0" w:color="auto"/>
                <w:right w:val="none" w:sz="0" w:space="0" w:color="auto"/>
              </w:divBdr>
            </w:div>
          </w:divsChild>
        </w:div>
        <w:div w:id="177501895">
          <w:marLeft w:val="0"/>
          <w:marRight w:val="0"/>
          <w:marTop w:val="0"/>
          <w:marBottom w:val="0"/>
          <w:divBdr>
            <w:top w:val="none" w:sz="0" w:space="0" w:color="auto"/>
            <w:left w:val="none" w:sz="0" w:space="0" w:color="auto"/>
            <w:bottom w:val="none" w:sz="0" w:space="0" w:color="auto"/>
            <w:right w:val="none" w:sz="0" w:space="0" w:color="auto"/>
          </w:divBdr>
          <w:divsChild>
            <w:div w:id="1670599256">
              <w:marLeft w:val="0"/>
              <w:marRight w:val="0"/>
              <w:marTop w:val="105"/>
              <w:marBottom w:val="105"/>
              <w:divBdr>
                <w:top w:val="none" w:sz="0" w:space="0" w:color="auto"/>
                <w:left w:val="none" w:sz="0" w:space="0" w:color="auto"/>
                <w:bottom w:val="none" w:sz="0" w:space="0" w:color="auto"/>
                <w:right w:val="none" w:sz="0" w:space="0" w:color="auto"/>
              </w:divBdr>
            </w:div>
          </w:divsChild>
        </w:div>
        <w:div w:id="379939399">
          <w:marLeft w:val="0"/>
          <w:marRight w:val="0"/>
          <w:marTop w:val="0"/>
          <w:marBottom w:val="0"/>
          <w:divBdr>
            <w:top w:val="none" w:sz="0" w:space="0" w:color="auto"/>
            <w:left w:val="none" w:sz="0" w:space="0" w:color="auto"/>
            <w:bottom w:val="none" w:sz="0" w:space="0" w:color="auto"/>
            <w:right w:val="none" w:sz="0" w:space="0" w:color="auto"/>
          </w:divBdr>
          <w:divsChild>
            <w:div w:id="152798518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7738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tanding.directions@dtf.vic.gov.au" TargetMode="External"/><Relationship Id="rId26" Type="http://schemas.openxmlformats.org/officeDocument/2006/relationships/hyperlink" Target="http://www.ipsasb.org"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tf.vic.gov.au/files/0b43b325-68cc-4285-9055-a5a6010a5a01/Standing-Directions-Instructions-2016.docx" TargetMode="External"/><Relationship Id="rId25" Type="http://schemas.openxmlformats.org/officeDocument/2006/relationships/hyperlink" Target="http://www.aasb.com.au"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dtf.vic.gov.au/Publications/Government-Financial-Management-publications/Financial-Reporting-Policy/Accounting-policy-update-newsletters" TargetMode="External"/><Relationship Id="rId20" Type="http://schemas.openxmlformats.org/officeDocument/2006/relationships/hyperlink" Target="http://www.legislation.vic.gov.au" TargetMode="External"/><Relationship Id="rId29" Type="http://schemas.openxmlformats.org/officeDocument/2006/relationships/hyperlink" Target="http://creativecommons.org/licenses/by/3.0/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accpol@dtf.vic.gov.au" TargetMode="External"/><Relationship Id="rId32" Type="http://schemas.openxmlformats.org/officeDocument/2006/relationships/hyperlink" Target="mailto:IPpolicy@dtf.vic.gov.au" TargetMode="External"/><Relationship Id="rId5" Type="http://schemas.openxmlformats.org/officeDocument/2006/relationships/settings" Target="settings.xml"/><Relationship Id="rId15" Type="http://schemas.openxmlformats.org/officeDocument/2006/relationships/hyperlink" Target="https://www.dtf.vic.gov.au/financial-reporting-policy/aasb-124-related-party-disclosures" TargetMode="External"/><Relationship Id="rId23" Type="http://schemas.openxmlformats.org/officeDocument/2006/relationships/footer" Target="footer4.xml"/><Relationship Id="rId28" Type="http://schemas.openxmlformats.org/officeDocument/2006/relationships/hyperlink" Target="mailto:dtfweb@dtf.vic.gov.au" TargetMode="Externa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hyperlink" Target="http://creativecommons.org/licenses/by/4.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hyperlink" Target="http://www.dtf.vic.gov.au/Government-Financial-Management/Financial-reporting-policy" TargetMode="External"/><Relationship Id="rId30" Type="http://schemas.openxmlformats.org/officeDocument/2006/relationships/image" Target="media/image4.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Newsletter%20Accounting%20Policy.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pvfdtf001\DTF_DATA02$\TRIM\Accounting%20Policy_BFM\STATE%20BUDGET%20(WoVG)\ACCOUNTING%20(WoVG)\Newsletter\34%20June%202018\Trend%20Analysis%20include%20wage%20inflation%20June%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vfdtf001\DTF_DATA02$\TRIM\Accounting%20Policy_BFM\STATE%20BUDGET%20(WoVG)\ACCOUNTING%20(WoVG)\Accounting%20Standards%20Implementation%20Project\Standards%20Workplan%20Updated%2013%20June%202018.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lgn="ctr">
              <a:defRPr sz="1200"/>
            </a:pPr>
            <a:r>
              <a:rPr lang="en-AU" sz="1000"/>
              <a:t>Wage inflation and annual effective discount rate for </a:t>
            </a:r>
            <a:br>
              <a:rPr lang="en-AU" sz="1000"/>
            </a:br>
            <a:r>
              <a:rPr lang="en-AU" sz="1000"/>
              <a:t>employee benefits calculations</a:t>
            </a:r>
          </a:p>
        </c:rich>
      </c:tx>
      <c:layout>
        <c:manualLayout>
          <c:xMode val="edge"/>
          <c:yMode val="edge"/>
          <c:x val="0.22883428866677383"/>
          <c:y val="1.0206675972732324E-2"/>
        </c:manualLayout>
      </c:layout>
      <c:overlay val="1"/>
    </c:title>
    <c:autoTitleDeleted val="0"/>
    <c:plotArea>
      <c:layout>
        <c:manualLayout>
          <c:layoutTarget val="inner"/>
          <c:xMode val="edge"/>
          <c:yMode val="edge"/>
          <c:x val="0.11347546672944951"/>
          <c:y val="0.13990275500342067"/>
          <c:w val="0.82730225713432037"/>
          <c:h val="0.63609660238253352"/>
        </c:manualLayout>
      </c:layout>
      <c:lineChart>
        <c:grouping val="standard"/>
        <c:varyColors val="0"/>
        <c:ser>
          <c:idx val="0"/>
          <c:order val="0"/>
          <c:tx>
            <c:strRef>
              <c:f>'Sheet1 (2)'!$C$3</c:f>
              <c:strCache>
                <c:ptCount val="1"/>
                <c:pt idx="0">
                  <c:v>Annual effective rate</c:v>
                </c:pt>
              </c:strCache>
            </c:strRef>
          </c:tx>
          <c:spPr>
            <a:ln w="19050"/>
          </c:spPr>
          <c:marker>
            <c:spPr>
              <a:ln w="19050"/>
            </c:spPr>
          </c:marker>
          <c:dLbls>
            <c:delete val="1"/>
          </c:dLbls>
          <c:cat>
            <c:numRef>
              <c:f>'Sheet1 (2)'!$B$4:$B$30</c:f>
              <c:numCache>
                <c:formatCode>mmm\-yy</c:formatCode>
                <c:ptCount val="15"/>
                <c:pt idx="0">
                  <c:v>42094</c:v>
                </c:pt>
                <c:pt idx="1">
                  <c:v>42185</c:v>
                </c:pt>
                <c:pt idx="2">
                  <c:v>42277</c:v>
                </c:pt>
                <c:pt idx="3">
                  <c:v>42369</c:v>
                </c:pt>
                <c:pt idx="4">
                  <c:v>42460</c:v>
                </c:pt>
                <c:pt idx="5">
                  <c:v>42551</c:v>
                </c:pt>
                <c:pt idx="6">
                  <c:v>42643</c:v>
                </c:pt>
                <c:pt idx="7">
                  <c:v>42735</c:v>
                </c:pt>
                <c:pt idx="8">
                  <c:v>42825</c:v>
                </c:pt>
                <c:pt idx="9">
                  <c:v>42887</c:v>
                </c:pt>
                <c:pt idx="10">
                  <c:v>42979</c:v>
                </c:pt>
                <c:pt idx="11">
                  <c:v>43070</c:v>
                </c:pt>
                <c:pt idx="12">
                  <c:v>43160</c:v>
                </c:pt>
                <c:pt idx="13">
                  <c:v>43191</c:v>
                </c:pt>
                <c:pt idx="14">
                  <c:v>43221</c:v>
                </c:pt>
              </c:numCache>
            </c:numRef>
          </c:cat>
          <c:val>
            <c:numRef>
              <c:f>'Sheet1 (2)'!$C$4:$C$30</c:f>
              <c:numCache>
                <c:formatCode>0.000</c:formatCode>
                <c:ptCount val="15"/>
                <c:pt idx="0" formatCode="General">
                  <c:v>2.3279999999999998</c:v>
                </c:pt>
                <c:pt idx="1">
                  <c:v>3.028</c:v>
                </c:pt>
                <c:pt idx="2" formatCode="General">
                  <c:v>2.6219999999999999</c:v>
                </c:pt>
                <c:pt idx="3" formatCode="General">
                  <c:v>2.9009999999999998</c:v>
                </c:pt>
                <c:pt idx="4">
                  <c:v>2.5</c:v>
                </c:pt>
                <c:pt idx="5">
                  <c:v>1.99</c:v>
                </c:pt>
                <c:pt idx="6">
                  <c:v>1.9139999999999999</c:v>
                </c:pt>
                <c:pt idx="7">
                  <c:v>2.7229999999999999</c:v>
                </c:pt>
                <c:pt idx="8">
                  <c:v>2.5920000000000001</c:v>
                </c:pt>
                <c:pt idx="9" formatCode="General">
                  <c:v>2.6120000000000001</c:v>
                </c:pt>
                <c:pt idx="10" formatCode="General">
                  <c:v>2.8039999999999998</c:v>
                </c:pt>
                <c:pt idx="11" formatCode="General">
                  <c:v>2.6829999999999998</c:v>
                </c:pt>
                <c:pt idx="12" formatCode="General">
                  <c:v>2.617</c:v>
                </c:pt>
                <c:pt idx="13" formatCode="General">
                  <c:v>2.7839999999999998</c:v>
                </c:pt>
                <c:pt idx="14" formatCode="General">
                  <c:v>2.6880000000000002</c:v>
                </c:pt>
              </c:numCache>
            </c:numRef>
          </c:val>
          <c:smooth val="0"/>
        </c:ser>
        <c:ser>
          <c:idx val="1"/>
          <c:order val="1"/>
          <c:tx>
            <c:strRef>
              <c:f>'Sheet1 (2)'!$D$3</c:f>
              <c:strCache>
                <c:ptCount val="1"/>
                <c:pt idx="0">
                  <c:v>Wage inflation rate</c:v>
                </c:pt>
              </c:strCache>
            </c:strRef>
          </c:tx>
          <c:spPr>
            <a:ln w="19050"/>
          </c:spPr>
          <c:marker>
            <c:spPr>
              <a:ln w="19050"/>
            </c:spPr>
          </c:marker>
          <c:dLbls>
            <c:delete val="1"/>
          </c:dLbls>
          <c:cat>
            <c:numRef>
              <c:f>'Sheet1 (2)'!$B$4:$B$30</c:f>
              <c:numCache>
                <c:formatCode>mmm\-yy</c:formatCode>
                <c:ptCount val="15"/>
                <c:pt idx="0">
                  <c:v>42094</c:v>
                </c:pt>
                <c:pt idx="1">
                  <c:v>42185</c:v>
                </c:pt>
                <c:pt idx="2">
                  <c:v>42277</c:v>
                </c:pt>
                <c:pt idx="3">
                  <c:v>42369</c:v>
                </c:pt>
                <c:pt idx="4">
                  <c:v>42460</c:v>
                </c:pt>
                <c:pt idx="5">
                  <c:v>42551</c:v>
                </c:pt>
                <c:pt idx="6">
                  <c:v>42643</c:v>
                </c:pt>
                <c:pt idx="7">
                  <c:v>42735</c:v>
                </c:pt>
                <c:pt idx="8">
                  <c:v>42825</c:v>
                </c:pt>
                <c:pt idx="9">
                  <c:v>42887</c:v>
                </c:pt>
                <c:pt idx="10">
                  <c:v>42979</c:v>
                </c:pt>
                <c:pt idx="11">
                  <c:v>43070</c:v>
                </c:pt>
                <c:pt idx="12">
                  <c:v>43160</c:v>
                </c:pt>
                <c:pt idx="13">
                  <c:v>43191</c:v>
                </c:pt>
                <c:pt idx="14">
                  <c:v>43221</c:v>
                </c:pt>
              </c:numCache>
            </c:numRef>
          </c:cat>
          <c:val>
            <c:numRef>
              <c:f>'Sheet1 (2)'!$D$4:$D$30</c:f>
              <c:numCache>
                <c:formatCode>0.000</c:formatCode>
                <c:ptCount val="15"/>
                <c:pt idx="0" formatCode="General">
                  <c:v>4.25</c:v>
                </c:pt>
                <c:pt idx="1">
                  <c:v>4.4379999999999997</c:v>
                </c:pt>
                <c:pt idx="2" formatCode="General">
                  <c:v>4.4379999999999997</c:v>
                </c:pt>
                <c:pt idx="3" formatCode="General">
                  <c:v>4.3129999999999997</c:v>
                </c:pt>
                <c:pt idx="4">
                  <c:v>4.3129999999999997</c:v>
                </c:pt>
                <c:pt idx="5">
                  <c:v>4.125</c:v>
                </c:pt>
                <c:pt idx="6">
                  <c:v>4.125</c:v>
                </c:pt>
                <c:pt idx="7">
                  <c:v>3.8130000000000002</c:v>
                </c:pt>
                <c:pt idx="8">
                  <c:v>3.8130000000000002</c:v>
                </c:pt>
                <c:pt idx="9" formatCode="General">
                  <c:v>3.8130000000000002</c:v>
                </c:pt>
                <c:pt idx="10" formatCode="General">
                  <c:v>3.8130000000000002</c:v>
                </c:pt>
                <c:pt idx="11" formatCode="General">
                  <c:v>3.625</c:v>
                </c:pt>
                <c:pt idx="12" formatCode="General">
                  <c:v>3.625</c:v>
                </c:pt>
                <c:pt idx="13" formatCode="General">
                  <c:v>3.875</c:v>
                </c:pt>
                <c:pt idx="14" formatCode="General">
                  <c:v>3.875</c:v>
                </c:pt>
              </c:numCache>
            </c:numRef>
          </c:val>
          <c:smooth val="0"/>
        </c:ser>
        <c:dLbls>
          <c:dLblPos val="t"/>
          <c:showLegendKey val="0"/>
          <c:showVal val="1"/>
          <c:showCatName val="0"/>
          <c:showSerName val="0"/>
          <c:showPercent val="0"/>
          <c:showBubbleSize val="0"/>
        </c:dLbls>
        <c:marker val="1"/>
        <c:smooth val="0"/>
        <c:axId val="254154240"/>
        <c:axId val="254156160"/>
      </c:lineChart>
      <c:catAx>
        <c:axId val="254154240"/>
        <c:scaling>
          <c:orientation val="minMax"/>
        </c:scaling>
        <c:delete val="0"/>
        <c:axPos val="b"/>
        <c:numFmt formatCode="mmm\-yy" sourceLinked="1"/>
        <c:majorTickMark val="out"/>
        <c:minorTickMark val="none"/>
        <c:tickLblPos val="nextTo"/>
        <c:txPr>
          <a:bodyPr/>
          <a:lstStyle/>
          <a:p>
            <a:pPr>
              <a:defRPr sz="900"/>
            </a:pPr>
            <a:endParaRPr lang="en-US"/>
          </a:p>
        </c:txPr>
        <c:crossAx val="254156160"/>
        <c:crosses val="autoZero"/>
        <c:auto val="0"/>
        <c:lblAlgn val="ctr"/>
        <c:lblOffset val="100"/>
        <c:noMultiLvlLbl val="0"/>
      </c:catAx>
      <c:valAx>
        <c:axId val="254156160"/>
        <c:scaling>
          <c:orientation val="minMax"/>
        </c:scaling>
        <c:delete val="0"/>
        <c:axPos val="l"/>
        <c:majorGridlines>
          <c:spPr>
            <a:ln>
              <a:solidFill>
                <a:schemeClr val="bg1">
                  <a:lumMod val="75000"/>
                </a:schemeClr>
              </a:solidFill>
              <a:prstDash val="dash"/>
            </a:ln>
          </c:spPr>
        </c:majorGridlines>
        <c:numFmt formatCode="General" sourceLinked="1"/>
        <c:majorTickMark val="out"/>
        <c:minorTickMark val="none"/>
        <c:tickLblPos val="nextTo"/>
        <c:txPr>
          <a:bodyPr/>
          <a:lstStyle/>
          <a:p>
            <a:pPr>
              <a:defRPr sz="900"/>
            </a:pPr>
            <a:endParaRPr lang="en-US"/>
          </a:p>
        </c:txPr>
        <c:crossAx val="254154240"/>
        <c:crosses val="autoZero"/>
        <c:crossBetween val="between"/>
      </c:valAx>
    </c:plotArea>
    <c:legend>
      <c:legendPos val="r"/>
      <c:layout>
        <c:manualLayout>
          <c:xMode val="edge"/>
          <c:yMode val="edge"/>
          <c:x val="0.23770911029351008"/>
          <c:y val="0.93183894181901972"/>
          <c:w val="0.50789095406855578"/>
          <c:h val="5.765296517402875E-2"/>
        </c:manualLayout>
      </c:layout>
      <c:overlay val="0"/>
      <c:txPr>
        <a:bodyPr/>
        <a:lstStyle/>
        <a:p>
          <a:pPr>
            <a:defRPr sz="900"/>
          </a:pPr>
          <a:endParaRPr lang="en-US"/>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73822375988366"/>
          <c:y val="0.49953470734508587"/>
          <c:w val="0.83073010929603952"/>
          <c:h val="0.40149843598317336"/>
        </c:manualLayout>
      </c:layout>
      <c:barChart>
        <c:barDir val="bar"/>
        <c:grouping val="stacked"/>
        <c:varyColors val="0"/>
        <c:ser>
          <c:idx val="0"/>
          <c:order val="0"/>
          <c:tx>
            <c:strRef>
              <c:f>'Presentation Graphs'!$B$3</c:f>
              <c:strCache>
                <c:ptCount val="1"/>
                <c:pt idx="0">
                  <c:v>Starting Date</c:v>
                </c:pt>
              </c:strCache>
            </c:strRef>
          </c:tx>
          <c:spPr>
            <a:noFill/>
            <a:ln>
              <a:noFill/>
            </a:ln>
            <a:effectLst/>
          </c:spPr>
          <c:invertIfNegative val="0"/>
          <c:cat>
            <c:strRef>
              <c:f>'Presentation Graphs'!$A$4:$A$24</c:f>
              <c:strCache>
                <c:ptCount val="5"/>
                <c:pt idx="0">
                  <c:v>Planning</c:v>
                </c:pt>
                <c:pt idx="1">
                  <c:v>Policy development</c:v>
                </c:pt>
                <c:pt idx="2">
                  <c:v>Guidance and tools</c:v>
                </c:pt>
                <c:pt idx="3">
                  <c:v>Updated data templates</c:v>
                </c:pt>
                <c:pt idx="4">
                  <c:v>Department/ agency implementation</c:v>
                </c:pt>
              </c:strCache>
            </c:strRef>
          </c:cat>
          <c:val>
            <c:numRef>
              <c:f>'Presentation Graphs'!$B$4:$B$24</c:f>
              <c:numCache>
                <c:formatCode>m/d/yyyy</c:formatCode>
                <c:ptCount val="5"/>
                <c:pt idx="0">
                  <c:v>43248</c:v>
                </c:pt>
                <c:pt idx="1">
                  <c:v>43276</c:v>
                </c:pt>
                <c:pt idx="2">
                  <c:v>43318</c:v>
                </c:pt>
                <c:pt idx="3">
                  <c:v>43290</c:v>
                </c:pt>
                <c:pt idx="4">
                  <c:v>43304</c:v>
                </c:pt>
              </c:numCache>
            </c:numRef>
          </c:val>
          <c:extLst xmlns:c16r2="http://schemas.microsoft.com/office/drawing/2015/06/chart">
            <c:ext xmlns:c16="http://schemas.microsoft.com/office/drawing/2014/chart" uri="{C3380CC4-5D6E-409C-BE32-E72D297353CC}">
              <c16:uniqueId val="{00000001-DBD2-4C28-84C2-FC05E6CCE82D}"/>
            </c:ext>
          </c:extLst>
        </c:ser>
        <c:ser>
          <c:idx val="1"/>
          <c:order val="1"/>
          <c:tx>
            <c:strRef>
              <c:f>'Presentation Graphs'!$E$3</c:f>
              <c:strCache>
                <c:ptCount val="1"/>
                <c:pt idx="0">
                  <c:v>Days Spent</c:v>
                </c:pt>
              </c:strCache>
            </c:strRef>
          </c:tx>
          <c:spPr>
            <a:solidFill>
              <a:schemeClr val="accent1"/>
            </a:solidFill>
            <a:ln>
              <a:noFill/>
            </a:ln>
            <a:effectLst/>
          </c:spPr>
          <c:invertIfNegative val="0"/>
          <c:cat>
            <c:strRef>
              <c:f>'Presentation Graphs'!$A$4:$A$24</c:f>
              <c:strCache>
                <c:ptCount val="5"/>
                <c:pt idx="0">
                  <c:v>Planning</c:v>
                </c:pt>
                <c:pt idx="1">
                  <c:v>Policy development</c:v>
                </c:pt>
                <c:pt idx="2">
                  <c:v>Guidance and tools</c:v>
                </c:pt>
                <c:pt idx="3">
                  <c:v>Updated data templates</c:v>
                </c:pt>
                <c:pt idx="4">
                  <c:v>Department/ agency implementation</c:v>
                </c:pt>
              </c:strCache>
            </c:strRef>
          </c:cat>
          <c:val>
            <c:numRef>
              <c:f>'Presentation Graphs'!$E$4:$E$24</c:f>
              <c:numCache>
                <c:formatCode>General</c:formatCode>
                <c:ptCount val="5"/>
                <c:pt idx="0">
                  <c:v>31</c:v>
                </c:pt>
                <c:pt idx="1">
                  <c:v>54</c:v>
                </c:pt>
                <c:pt idx="2">
                  <c:v>47</c:v>
                </c:pt>
                <c:pt idx="3">
                  <c:v>68</c:v>
                </c:pt>
                <c:pt idx="4">
                  <c:v>180</c:v>
                </c:pt>
              </c:numCache>
            </c:numRef>
          </c:val>
          <c:extLst xmlns:c16r2="http://schemas.microsoft.com/office/drawing/2015/06/chart">
            <c:ext xmlns:c16="http://schemas.microsoft.com/office/drawing/2014/chart" uri="{C3380CC4-5D6E-409C-BE32-E72D297353CC}">
              <c16:uniqueId val="{00000002-DBD2-4C28-84C2-FC05E6CCE82D}"/>
            </c:ext>
          </c:extLst>
        </c:ser>
        <c:ser>
          <c:idx val="2"/>
          <c:order val="2"/>
          <c:invertIfNegative val="0"/>
          <c:cat>
            <c:strRef>
              <c:f>'Presentation Graphs'!$A$4:$A$24</c:f>
              <c:strCache>
                <c:ptCount val="5"/>
                <c:pt idx="0">
                  <c:v>Planning</c:v>
                </c:pt>
                <c:pt idx="1">
                  <c:v>Policy development</c:v>
                </c:pt>
                <c:pt idx="2">
                  <c:v>Guidance and tools</c:v>
                </c:pt>
                <c:pt idx="3">
                  <c:v>Updated data templates</c:v>
                </c:pt>
                <c:pt idx="4">
                  <c:v>Department/ agency implementation</c:v>
                </c:pt>
              </c:strCache>
            </c:strRef>
          </c:cat>
          <c:val>
            <c:numRef>
              <c:f>'Presentation Graphs'!$E$1</c:f>
              <c:numCache>
                <c:formatCode>General</c:formatCode>
                <c:ptCount val="1"/>
                <c:pt idx="0">
                  <c:v>0</c:v>
                </c:pt>
              </c:numCache>
            </c:numRef>
          </c:val>
        </c:ser>
        <c:dLbls>
          <c:showLegendKey val="0"/>
          <c:showVal val="0"/>
          <c:showCatName val="0"/>
          <c:showSerName val="0"/>
          <c:showPercent val="0"/>
          <c:showBubbleSize val="0"/>
        </c:dLbls>
        <c:gapWidth val="150"/>
        <c:overlap val="100"/>
        <c:axId val="90580864"/>
        <c:axId val="90582400"/>
      </c:barChart>
      <c:catAx>
        <c:axId val="905808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82400"/>
        <c:crosses val="autoZero"/>
        <c:auto val="1"/>
        <c:lblAlgn val="ctr"/>
        <c:lblOffset val="100"/>
        <c:noMultiLvlLbl val="0"/>
      </c:catAx>
      <c:valAx>
        <c:axId val="90582400"/>
        <c:scaling>
          <c:orientation val="minMax"/>
          <c:max val="43481"/>
          <c:min val="43241"/>
        </c:scaling>
        <c:delete val="0"/>
        <c:axPos val="t"/>
        <c:majorGridlines>
          <c:spPr>
            <a:ln w="6350"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C09]d\ mmmm\ yyyy;@" sourceLinked="0"/>
        <c:majorTickMark val="out"/>
        <c:minorTickMark val="out"/>
        <c:tickLblPos val="nextTo"/>
        <c:spPr>
          <a:noFill/>
          <a:ln>
            <a:noFill/>
          </a:ln>
          <a:effectLst/>
        </c:spPr>
        <c:txPr>
          <a:bodyPr rot="-4320000" spcFirstLastPara="1" vertOverflow="ellipsis" wrap="square" anchor="b" anchorCtr="0"/>
          <a:lstStyle/>
          <a:p>
            <a:pPr>
              <a:defRPr sz="800" b="0" i="0" u="none" strike="noStrike" kern="1200" baseline="0">
                <a:solidFill>
                  <a:srgbClr val="53565A"/>
                </a:solidFill>
                <a:latin typeface="+mn-lt"/>
                <a:ea typeface="+mn-ea"/>
                <a:cs typeface="+mn-cs"/>
              </a:defRPr>
            </a:pPr>
            <a:endParaRPr lang="en-US"/>
          </a:p>
        </c:txPr>
        <c:crossAx val="90580864"/>
        <c:crosses val="autoZero"/>
        <c:crossBetween val="between"/>
        <c:majorUnit val="28"/>
      </c:valAx>
      <c:spPr>
        <a:ln>
          <a:solidFill>
            <a:schemeClr val="tx1">
              <a:lumMod val="15000"/>
              <a:lumOff val="85000"/>
            </a:schemeClr>
          </a:solid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0.01107</cdr:x>
      <cdr:y>0.40899</cdr:y>
    </cdr:from>
    <cdr:to>
      <cdr:x>0.0421</cdr:x>
      <cdr:y>0.59208</cdr:y>
    </cdr:to>
    <cdr:sp macro="" textlink="">
      <cdr:nvSpPr>
        <cdr:cNvPr id="2" name="TextBox 1"/>
        <cdr:cNvSpPr txBox="1"/>
      </cdr:nvSpPr>
      <cdr:spPr>
        <a:xfrm xmlns:a="http://schemas.openxmlformats.org/drawingml/2006/main" rot="16200000">
          <a:off x="-185304" y="1757717"/>
          <a:ext cx="675491" cy="177880"/>
        </a:xfrm>
        <a:prstGeom xmlns:a="http://schemas.openxmlformats.org/drawingml/2006/main" prst="rect">
          <a:avLst/>
        </a:prstGeom>
      </cdr:spPr>
      <cdr:txBody>
        <a:bodyPr xmlns:a="http://schemas.openxmlformats.org/drawingml/2006/main" vertOverflow="clip" wrap="square" rtlCol="0" anchor="b" anchorCtr="0"/>
        <a:lstStyle xmlns:a="http://schemas.openxmlformats.org/drawingml/2006/main"/>
        <a:p xmlns:a="http://schemas.openxmlformats.org/drawingml/2006/main">
          <a:r>
            <a:rPr lang="en-AU" sz="900" b="0" i="1"/>
            <a:t>per cent</a:t>
          </a:r>
        </a:p>
      </cdr:txBody>
    </cdr:sp>
  </cdr:relSizeAnchor>
</c:userShape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4A4E-9FA6-4F5E-A1C5-8430C6D8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Accounting Policy.dotx</Template>
  <TotalTime>0</TotalTime>
  <Pages>12</Pages>
  <Words>5474</Words>
  <Characters>31206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Paul Bowerman</cp:lastModifiedBy>
  <cp:revision>2</cp:revision>
  <cp:lastPrinted>2018-07-15T23:13:00Z</cp:lastPrinted>
  <dcterms:created xsi:type="dcterms:W3CDTF">2018-07-16T00:32:00Z</dcterms:created>
  <dcterms:modified xsi:type="dcterms:W3CDTF">2018-07-16T00:32:00Z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072d7c36-2304-45b7-96cc-a9d6fb191336</vt:lpwstr>
  </property>
  <property fmtid="{D5CDD505-2E9C-101B-9397-08002B2CF9AE}" pid="3" name="PSPFClassification">
    <vt:lpwstr>Do Not Mark</vt:lpwstr>
  </property>
</Properties>
</file>