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863E" w14:textId="2C7A5A25" w:rsidR="00BC08E2" w:rsidRPr="00851105" w:rsidRDefault="00BC08E2" w:rsidP="00BC08E2">
      <w:pPr>
        <w:pStyle w:val="Title"/>
      </w:pPr>
      <w:bookmarkStart w:id="0" w:name="_Toc442780672"/>
      <w:r w:rsidRPr="00851105">
        <w:t>Accounting policy update</w:t>
      </w:r>
    </w:p>
    <w:p w14:paraId="00417AEE" w14:textId="77777777" w:rsidR="00E97DFC" w:rsidRDefault="00E97DFC" w:rsidP="00E97DFC">
      <w:pPr>
        <w:pStyle w:val="Subtitle"/>
      </w:pPr>
      <w:r>
        <w:t xml:space="preserve">Newsletter – Edition No. </w:t>
      </w:r>
      <w:r w:rsidRPr="005C123F">
        <w:t>37</w:t>
      </w:r>
      <w:r>
        <w:t>, December 2019</w:t>
      </w:r>
    </w:p>
    <w:p w14:paraId="650689E7" w14:textId="77777777" w:rsidR="00BC08E2" w:rsidRPr="00851105" w:rsidRDefault="00BC08E2" w:rsidP="00BC08E2">
      <w:pPr>
        <w:pStyle w:val="Spacer"/>
      </w:pPr>
    </w:p>
    <w:p w14:paraId="46E557BB" w14:textId="77777777" w:rsidR="00BC08E2" w:rsidRPr="00851105" w:rsidRDefault="00BC08E2" w:rsidP="00BC08E2">
      <w:pPr>
        <w:pStyle w:val="Spacer"/>
      </w:pPr>
    </w:p>
    <w:p w14:paraId="67638197" w14:textId="77777777" w:rsidR="00BC08E2" w:rsidRPr="00851105" w:rsidRDefault="00BC08E2" w:rsidP="00BC08E2">
      <w:pPr>
        <w:pStyle w:val="Heading1"/>
        <w:sectPr w:rsidR="00BC08E2" w:rsidRPr="00851105" w:rsidSect="00C51246">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titlePg/>
          <w:docGrid w:linePitch="360"/>
        </w:sectPr>
      </w:pPr>
    </w:p>
    <w:p w14:paraId="6F6F63D5" w14:textId="77777777" w:rsidR="00BC08E2" w:rsidRPr="00851105" w:rsidRDefault="00BC08E2" w:rsidP="00BC08E2">
      <w:pPr>
        <w:pStyle w:val="Spacer"/>
      </w:pPr>
      <w:bookmarkStart w:id="1" w:name="_Toc442780674"/>
    </w:p>
    <w:p w14:paraId="1F55C463" w14:textId="4B93EA1D" w:rsidR="00BC08E2" w:rsidRPr="00851105" w:rsidRDefault="00BC08E2" w:rsidP="00BC08E2">
      <w:pPr>
        <w:pStyle w:val="Heading4"/>
        <w:spacing w:before="60"/>
      </w:pPr>
      <w:r w:rsidRPr="00851105">
        <w:t>Scope: This bi</w:t>
      </w:r>
      <w:r w:rsidR="00314CE6" w:rsidRPr="00851105">
        <w:noBreakHyphen/>
      </w:r>
      <w:r w:rsidRPr="00851105">
        <w:t xml:space="preserve">annual newsletter outlines areas of </w:t>
      </w:r>
      <w:r w:rsidR="00810CD2" w:rsidRPr="00851105">
        <w:t>importance</w:t>
      </w:r>
      <w:r w:rsidRPr="00851105">
        <w:t xml:space="preserve"> in public sector financial reporting. Please distribute to both budget and financial reporting areas of Victorian </w:t>
      </w:r>
      <w:r w:rsidR="00810CD2" w:rsidRPr="00851105">
        <w:t>public-sector</w:t>
      </w:r>
      <w:r w:rsidRPr="00851105">
        <w:t xml:space="preserve"> entities.</w:t>
      </w:r>
    </w:p>
    <w:p w14:paraId="385BD3EB" w14:textId="77777777" w:rsidR="00BC08E2" w:rsidRPr="00851105" w:rsidRDefault="00BC08E2" w:rsidP="00BC08E2"/>
    <w:p w14:paraId="35DDC2ED" w14:textId="77777777" w:rsidR="00BC08E2" w:rsidRPr="00851105" w:rsidRDefault="00BC08E2" w:rsidP="00BC08E2">
      <w:pPr>
        <w:spacing w:before="0" w:after="0"/>
      </w:pPr>
    </w:p>
    <w:tbl>
      <w:tblPr>
        <w:tblStyle w:val="TableGrid"/>
        <w:tblW w:w="0" w:type="auto"/>
        <w:tblBorders>
          <w:bottom w:val="none" w:sz="0" w:space="0" w:color="auto"/>
        </w:tblBorders>
        <w:tblLook w:val="0480" w:firstRow="0" w:lastRow="0" w:firstColumn="1" w:lastColumn="0" w:noHBand="0" w:noVBand="1"/>
      </w:tblPr>
      <w:tblGrid>
        <w:gridCol w:w="2833"/>
      </w:tblGrid>
      <w:tr w:rsidR="00BC08E2" w:rsidRPr="00851105" w14:paraId="415A8F07" w14:textId="77777777" w:rsidTr="00314CE6">
        <w:tc>
          <w:tcPr>
            <w:cnfStyle w:val="001000000000" w:firstRow="0" w:lastRow="0" w:firstColumn="1" w:lastColumn="0" w:oddVBand="0" w:evenVBand="0" w:oddHBand="0" w:evenHBand="0" w:firstRowFirstColumn="0" w:firstRowLastColumn="0" w:lastRowFirstColumn="0" w:lastRowLastColumn="0"/>
            <w:tcW w:w="2833" w:type="dxa"/>
          </w:tcPr>
          <w:p w14:paraId="178BCECC" w14:textId="5EC89819" w:rsidR="00BC08E2" w:rsidRPr="00851105" w:rsidRDefault="00BC08E2" w:rsidP="00314CE6">
            <w:pPr>
              <w:pStyle w:val="TOCHeading"/>
              <w:spacing w:before="200" w:after="100"/>
            </w:pPr>
            <w:r w:rsidRPr="00851105">
              <w:t>Inside this edition</w:t>
            </w:r>
            <w:r w:rsidR="00725049">
              <w:t xml:space="preserve"> – </w:t>
            </w:r>
          </w:p>
          <w:p w14:paraId="463F2535" w14:textId="73A18062" w:rsidR="0009584F" w:rsidRDefault="00BC08E2">
            <w:pPr>
              <w:pStyle w:val="TOC1"/>
              <w:rPr>
                <w:noProof/>
                <w:spacing w:val="0"/>
                <w:sz w:val="22"/>
                <w:szCs w:val="22"/>
              </w:rPr>
            </w:pPr>
            <w:r w:rsidRPr="00725049">
              <w:rPr>
                <w:rFonts w:eastAsiaTheme="minorEastAsia"/>
                <w:szCs w:val="16"/>
                <w:highlight w:val="yellow"/>
                <w:lang w:eastAsia="en-AU"/>
              </w:rPr>
              <w:fldChar w:fldCharType="begin"/>
            </w:r>
            <w:r w:rsidRPr="00725049">
              <w:rPr>
                <w:szCs w:val="16"/>
                <w:highlight w:val="yellow"/>
              </w:rPr>
              <w:instrText xml:space="preserve"> TOC \h \z \t "Heading 1,1" </w:instrText>
            </w:r>
            <w:r w:rsidRPr="00725049">
              <w:rPr>
                <w:rFonts w:eastAsiaTheme="minorEastAsia"/>
                <w:szCs w:val="16"/>
                <w:highlight w:val="yellow"/>
                <w:lang w:eastAsia="en-AU"/>
              </w:rPr>
              <w:fldChar w:fldCharType="separate"/>
            </w:r>
            <w:hyperlink w:anchor="_Toc33614830" w:history="1">
              <w:r w:rsidR="0009584F" w:rsidRPr="00F47F96">
                <w:rPr>
                  <w:rStyle w:val="Hyperlink"/>
                  <w:noProof/>
                </w:rPr>
                <w:t>Overview</w:t>
              </w:r>
              <w:r w:rsidR="0009584F">
                <w:rPr>
                  <w:noProof/>
                  <w:webHidden/>
                </w:rPr>
                <w:tab/>
              </w:r>
              <w:r w:rsidR="0009584F">
                <w:rPr>
                  <w:noProof/>
                  <w:webHidden/>
                </w:rPr>
                <w:fldChar w:fldCharType="begin"/>
              </w:r>
              <w:r w:rsidR="0009584F">
                <w:rPr>
                  <w:noProof/>
                  <w:webHidden/>
                </w:rPr>
                <w:instrText xml:space="preserve"> PAGEREF _Toc33614830 \h </w:instrText>
              </w:r>
              <w:r w:rsidR="0009584F">
                <w:rPr>
                  <w:noProof/>
                  <w:webHidden/>
                </w:rPr>
              </w:r>
              <w:r w:rsidR="0009584F">
                <w:rPr>
                  <w:noProof/>
                  <w:webHidden/>
                </w:rPr>
                <w:fldChar w:fldCharType="separate"/>
              </w:r>
              <w:r w:rsidR="0009584F">
                <w:rPr>
                  <w:noProof/>
                  <w:webHidden/>
                </w:rPr>
                <w:t>1</w:t>
              </w:r>
              <w:r w:rsidR="0009584F">
                <w:rPr>
                  <w:noProof/>
                  <w:webHidden/>
                </w:rPr>
                <w:fldChar w:fldCharType="end"/>
              </w:r>
            </w:hyperlink>
          </w:p>
          <w:p w14:paraId="7F83472E" w14:textId="38A76462" w:rsidR="0009584F" w:rsidRDefault="0002277B">
            <w:pPr>
              <w:pStyle w:val="TOC1"/>
              <w:rPr>
                <w:noProof/>
                <w:spacing w:val="0"/>
                <w:sz w:val="22"/>
                <w:szCs w:val="22"/>
              </w:rPr>
            </w:pPr>
            <w:hyperlink w:anchor="_Toc33614831" w:history="1">
              <w:r w:rsidR="0009584F" w:rsidRPr="00F47F96">
                <w:rPr>
                  <w:rStyle w:val="Hyperlink"/>
                  <w:noProof/>
                </w:rPr>
                <w:t>2019</w:t>
              </w:r>
              <w:r w:rsidR="0009584F" w:rsidRPr="00F47F96">
                <w:rPr>
                  <w:rStyle w:val="Hyperlink"/>
                  <w:noProof/>
                </w:rPr>
                <w:noBreakHyphen/>
                <w:t>20 reporting year</w:t>
              </w:r>
              <w:r w:rsidR="0009584F">
                <w:rPr>
                  <w:noProof/>
                  <w:webHidden/>
                </w:rPr>
                <w:tab/>
              </w:r>
              <w:r w:rsidR="0009584F">
                <w:rPr>
                  <w:noProof/>
                  <w:webHidden/>
                </w:rPr>
                <w:fldChar w:fldCharType="begin"/>
              </w:r>
              <w:r w:rsidR="0009584F">
                <w:rPr>
                  <w:noProof/>
                  <w:webHidden/>
                </w:rPr>
                <w:instrText xml:space="preserve"> PAGEREF _Toc33614831 \h </w:instrText>
              </w:r>
              <w:r w:rsidR="0009584F">
                <w:rPr>
                  <w:noProof/>
                  <w:webHidden/>
                </w:rPr>
              </w:r>
              <w:r w:rsidR="0009584F">
                <w:rPr>
                  <w:noProof/>
                  <w:webHidden/>
                </w:rPr>
                <w:fldChar w:fldCharType="separate"/>
              </w:r>
              <w:r w:rsidR="0009584F">
                <w:rPr>
                  <w:noProof/>
                  <w:webHidden/>
                </w:rPr>
                <w:t>2</w:t>
              </w:r>
              <w:r w:rsidR="0009584F">
                <w:rPr>
                  <w:noProof/>
                  <w:webHidden/>
                </w:rPr>
                <w:fldChar w:fldCharType="end"/>
              </w:r>
            </w:hyperlink>
          </w:p>
          <w:p w14:paraId="6A4EA340" w14:textId="36852BEC" w:rsidR="0009584F" w:rsidRDefault="0002277B">
            <w:pPr>
              <w:pStyle w:val="TOC1"/>
              <w:rPr>
                <w:noProof/>
                <w:spacing w:val="0"/>
                <w:sz w:val="22"/>
                <w:szCs w:val="22"/>
              </w:rPr>
            </w:pPr>
            <w:hyperlink w:anchor="_Toc33614832" w:history="1">
              <w:r w:rsidR="0009584F" w:rsidRPr="00F47F96">
                <w:rPr>
                  <w:rStyle w:val="Hyperlink"/>
                  <w:noProof/>
                </w:rPr>
                <w:t>Financial reporting legislation</w:t>
              </w:r>
              <w:r w:rsidR="0009584F">
                <w:rPr>
                  <w:noProof/>
                  <w:webHidden/>
                </w:rPr>
                <w:tab/>
              </w:r>
              <w:r w:rsidR="0009584F">
                <w:rPr>
                  <w:noProof/>
                  <w:webHidden/>
                </w:rPr>
                <w:fldChar w:fldCharType="begin"/>
              </w:r>
              <w:r w:rsidR="0009584F">
                <w:rPr>
                  <w:noProof/>
                  <w:webHidden/>
                </w:rPr>
                <w:instrText xml:space="preserve"> PAGEREF _Toc33614832 \h </w:instrText>
              </w:r>
              <w:r w:rsidR="0009584F">
                <w:rPr>
                  <w:noProof/>
                  <w:webHidden/>
                </w:rPr>
              </w:r>
              <w:r w:rsidR="0009584F">
                <w:rPr>
                  <w:noProof/>
                  <w:webHidden/>
                </w:rPr>
                <w:fldChar w:fldCharType="separate"/>
              </w:r>
              <w:r w:rsidR="0009584F">
                <w:rPr>
                  <w:noProof/>
                  <w:webHidden/>
                </w:rPr>
                <w:t>4</w:t>
              </w:r>
              <w:r w:rsidR="0009584F">
                <w:rPr>
                  <w:noProof/>
                  <w:webHidden/>
                </w:rPr>
                <w:fldChar w:fldCharType="end"/>
              </w:r>
            </w:hyperlink>
          </w:p>
          <w:p w14:paraId="65D9ABAF" w14:textId="570D835C" w:rsidR="0009584F" w:rsidRDefault="0002277B">
            <w:pPr>
              <w:pStyle w:val="TOC1"/>
              <w:rPr>
                <w:noProof/>
                <w:spacing w:val="0"/>
                <w:sz w:val="22"/>
                <w:szCs w:val="22"/>
              </w:rPr>
            </w:pPr>
            <w:hyperlink w:anchor="_Toc33614833" w:history="1">
              <w:r w:rsidR="0009584F" w:rsidRPr="00F47F96">
                <w:rPr>
                  <w:rStyle w:val="Hyperlink"/>
                  <w:noProof/>
                </w:rPr>
                <w:t>Net debt impacts of new accounting standards</w:t>
              </w:r>
              <w:r w:rsidR="0009584F">
                <w:rPr>
                  <w:noProof/>
                  <w:webHidden/>
                </w:rPr>
                <w:tab/>
              </w:r>
              <w:r w:rsidR="0009584F">
                <w:rPr>
                  <w:noProof/>
                  <w:webHidden/>
                </w:rPr>
                <w:fldChar w:fldCharType="begin"/>
              </w:r>
              <w:r w:rsidR="0009584F">
                <w:rPr>
                  <w:noProof/>
                  <w:webHidden/>
                </w:rPr>
                <w:instrText xml:space="preserve"> PAGEREF _Toc33614833 \h </w:instrText>
              </w:r>
              <w:r w:rsidR="0009584F">
                <w:rPr>
                  <w:noProof/>
                  <w:webHidden/>
                </w:rPr>
              </w:r>
              <w:r w:rsidR="0009584F">
                <w:rPr>
                  <w:noProof/>
                  <w:webHidden/>
                </w:rPr>
                <w:fldChar w:fldCharType="separate"/>
              </w:r>
              <w:r w:rsidR="0009584F">
                <w:rPr>
                  <w:noProof/>
                  <w:webHidden/>
                </w:rPr>
                <w:t>6</w:t>
              </w:r>
              <w:r w:rsidR="0009584F">
                <w:rPr>
                  <w:noProof/>
                  <w:webHidden/>
                </w:rPr>
                <w:fldChar w:fldCharType="end"/>
              </w:r>
            </w:hyperlink>
          </w:p>
          <w:p w14:paraId="6A9C45D1" w14:textId="79658135" w:rsidR="0009584F" w:rsidRDefault="0002277B">
            <w:pPr>
              <w:pStyle w:val="TOC1"/>
              <w:rPr>
                <w:noProof/>
                <w:spacing w:val="0"/>
                <w:sz w:val="22"/>
                <w:szCs w:val="22"/>
              </w:rPr>
            </w:pPr>
            <w:hyperlink w:anchor="_Toc33614834" w:history="1">
              <w:r w:rsidR="0009584F" w:rsidRPr="00F47F96">
                <w:rPr>
                  <w:rStyle w:val="Hyperlink"/>
                  <w:noProof/>
                </w:rPr>
                <w:t>AASB update</w:t>
              </w:r>
              <w:r w:rsidR="0009584F">
                <w:rPr>
                  <w:noProof/>
                  <w:webHidden/>
                </w:rPr>
                <w:tab/>
              </w:r>
              <w:r w:rsidR="0009584F">
                <w:rPr>
                  <w:noProof/>
                  <w:webHidden/>
                </w:rPr>
                <w:fldChar w:fldCharType="begin"/>
              </w:r>
              <w:r w:rsidR="0009584F">
                <w:rPr>
                  <w:noProof/>
                  <w:webHidden/>
                </w:rPr>
                <w:instrText xml:space="preserve"> PAGEREF _Toc33614834 \h </w:instrText>
              </w:r>
              <w:r w:rsidR="0009584F">
                <w:rPr>
                  <w:noProof/>
                  <w:webHidden/>
                </w:rPr>
              </w:r>
              <w:r w:rsidR="0009584F">
                <w:rPr>
                  <w:noProof/>
                  <w:webHidden/>
                </w:rPr>
                <w:fldChar w:fldCharType="separate"/>
              </w:r>
              <w:r w:rsidR="0009584F">
                <w:rPr>
                  <w:noProof/>
                  <w:webHidden/>
                </w:rPr>
                <w:t>7</w:t>
              </w:r>
              <w:r w:rsidR="0009584F">
                <w:rPr>
                  <w:noProof/>
                  <w:webHidden/>
                </w:rPr>
                <w:fldChar w:fldCharType="end"/>
              </w:r>
            </w:hyperlink>
          </w:p>
          <w:p w14:paraId="082F5CB0" w14:textId="09B7BAFC" w:rsidR="0009584F" w:rsidRDefault="0002277B">
            <w:pPr>
              <w:pStyle w:val="TOC1"/>
              <w:rPr>
                <w:noProof/>
                <w:spacing w:val="0"/>
                <w:sz w:val="22"/>
                <w:szCs w:val="22"/>
              </w:rPr>
            </w:pPr>
            <w:hyperlink w:anchor="_Toc33614835" w:history="1">
              <w:r w:rsidR="0009584F" w:rsidRPr="00F47F96">
                <w:rPr>
                  <w:rStyle w:val="Hyperlink"/>
                  <w:noProof/>
                </w:rPr>
                <w:t>Other developments</w:t>
              </w:r>
              <w:r w:rsidR="0009584F">
                <w:rPr>
                  <w:noProof/>
                  <w:webHidden/>
                </w:rPr>
                <w:tab/>
              </w:r>
              <w:r w:rsidR="0009584F">
                <w:rPr>
                  <w:noProof/>
                  <w:webHidden/>
                </w:rPr>
                <w:fldChar w:fldCharType="begin"/>
              </w:r>
              <w:r w:rsidR="0009584F">
                <w:rPr>
                  <w:noProof/>
                  <w:webHidden/>
                </w:rPr>
                <w:instrText xml:space="preserve"> PAGEREF _Toc33614835 \h </w:instrText>
              </w:r>
              <w:r w:rsidR="0009584F">
                <w:rPr>
                  <w:noProof/>
                  <w:webHidden/>
                </w:rPr>
              </w:r>
              <w:r w:rsidR="0009584F">
                <w:rPr>
                  <w:noProof/>
                  <w:webHidden/>
                </w:rPr>
                <w:fldChar w:fldCharType="separate"/>
              </w:r>
              <w:r w:rsidR="0009584F">
                <w:rPr>
                  <w:noProof/>
                  <w:webHidden/>
                </w:rPr>
                <w:t>11</w:t>
              </w:r>
              <w:r w:rsidR="0009584F">
                <w:rPr>
                  <w:noProof/>
                  <w:webHidden/>
                </w:rPr>
                <w:fldChar w:fldCharType="end"/>
              </w:r>
            </w:hyperlink>
          </w:p>
          <w:p w14:paraId="1C0385C9" w14:textId="08C1F8C6" w:rsidR="0009584F" w:rsidRDefault="0002277B">
            <w:pPr>
              <w:pStyle w:val="TOC1"/>
              <w:rPr>
                <w:noProof/>
                <w:spacing w:val="0"/>
                <w:sz w:val="22"/>
                <w:szCs w:val="22"/>
              </w:rPr>
            </w:pPr>
            <w:hyperlink w:anchor="_Toc33614836" w:history="1">
              <w:r w:rsidR="0009584F" w:rsidRPr="00F47F96">
                <w:rPr>
                  <w:rStyle w:val="Hyperlink"/>
                  <w:noProof/>
                </w:rPr>
                <w:t>How to contact us</w:t>
              </w:r>
              <w:r w:rsidR="0009584F">
                <w:rPr>
                  <w:noProof/>
                  <w:webHidden/>
                </w:rPr>
                <w:tab/>
              </w:r>
              <w:r w:rsidR="0009584F">
                <w:rPr>
                  <w:noProof/>
                  <w:webHidden/>
                </w:rPr>
                <w:fldChar w:fldCharType="begin"/>
              </w:r>
              <w:r w:rsidR="0009584F">
                <w:rPr>
                  <w:noProof/>
                  <w:webHidden/>
                </w:rPr>
                <w:instrText xml:space="preserve"> PAGEREF _Toc33614836 \h </w:instrText>
              </w:r>
              <w:r w:rsidR="0009584F">
                <w:rPr>
                  <w:noProof/>
                  <w:webHidden/>
                </w:rPr>
              </w:r>
              <w:r w:rsidR="0009584F">
                <w:rPr>
                  <w:noProof/>
                  <w:webHidden/>
                </w:rPr>
                <w:fldChar w:fldCharType="separate"/>
              </w:r>
              <w:r w:rsidR="0009584F">
                <w:rPr>
                  <w:noProof/>
                  <w:webHidden/>
                </w:rPr>
                <w:t>13</w:t>
              </w:r>
              <w:r w:rsidR="0009584F">
                <w:rPr>
                  <w:noProof/>
                  <w:webHidden/>
                </w:rPr>
                <w:fldChar w:fldCharType="end"/>
              </w:r>
            </w:hyperlink>
          </w:p>
          <w:p w14:paraId="12938B7A" w14:textId="46EB26DF" w:rsidR="00BC08E2" w:rsidRPr="00851105" w:rsidRDefault="00BC08E2" w:rsidP="00314CE6">
            <w:pPr>
              <w:pStyle w:val="NewsletterNote"/>
            </w:pPr>
            <w:r w:rsidRPr="00725049">
              <w:rPr>
                <w:highlight w:val="yellow"/>
              </w:rPr>
              <w:fldChar w:fldCharType="end"/>
            </w:r>
          </w:p>
        </w:tc>
      </w:tr>
    </w:tbl>
    <w:p w14:paraId="4A2DD2DD" w14:textId="77777777" w:rsidR="00BC08E2" w:rsidRPr="00851105" w:rsidRDefault="00BC08E2" w:rsidP="00BC08E2"/>
    <w:p w14:paraId="5AFF4186" w14:textId="77777777" w:rsidR="00BC08E2" w:rsidRPr="00851105" w:rsidRDefault="00BC08E2" w:rsidP="00BC08E2"/>
    <w:p w14:paraId="0D819856" w14:textId="4B936C5B" w:rsidR="00BC08E2" w:rsidRPr="00683AA3" w:rsidRDefault="00BC08E2" w:rsidP="00BC08E2">
      <w:pPr>
        <w:pStyle w:val="Heading1"/>
        <w:rPr>
          <w:color w:val="auto"/>
        </w:rPr>
      </w:pPr>
      <w:r w:rsidRPr="00851105">
        <w:br w:type="column"/>
      </w:r>
      <w:bookmarkStart w:id="2" w:name="_Toc33614830"/>
      <w:r w:rsidR="00E97DFC" w:rsidRPr="008E7654">
        <w:t>Overview</w:t>
      </w:r>
      <w:bookmarkEnd w:id="2"/>
      <w:r w:rsidR="00E97DFC" w:rsidRPr="008E7654">
        <w:t xml:space="preserve"> </w:t>
      </w:r>
    </w:p>
    <w:p w14:paraId="58FAAABE" w14:textId="4CF8C885" w:rsidR="00FE5526" w:rsidRDefault="0038515B" w:rsidP="00985A21">
      <w:r>
        <w:t>Work on the 2019-20 Model Report is now underway</w:t>
      </w:r>
      <w:r w:rsidR="000E57B1">
        <w:t>,</w:t>
      </w:r>
      <w:r w:rsidR="004C246F">
        <w:t xml:space="preserve"> with </w:t>
      </w:r>
      <w:r w:rsidR="00FE5526">
        <w:t xml:space="preserve">an </w:t>
      </w:r>
      <w:r w:rsidR="007209C0">
        <w:t>anticipated</w:t>
      </w:r>
      <w:r w:rsidR="004C246F">
        <w:t xml:space="preserve"> release in </w:t>
      </w:r>
      <w:r w:rsidR="00CF7E3A">
        <w:t>May</w:t>
      </w:r>
      <w:r w:rsidR="007209C0">
        <w:t xml:space="preserve"> 2020</w:t>
      </w:r>
      <w:r w:rsidR="007A4601">
        <w:t xml:space="preserve">. </w:t>
      </w:r>
      <w:r w:rsidR="000A6E63">
        <w:t>The key</w:t>
      </w:r>
      <w:r w:rsidR="007A4601">
        <w:t xml:space="preserve"> change</w:t>
      </w:r>
      <w:r w:rsidR="000A6E63">
        <w:t>s</w:t>
      </w:r>
      <w:r w:rsidR="007A4601">
        <w:t xml:space="preserve"> this year will include disclosures to meet the requirements of the new accounting standards</w:t>
      </w:r>
      <w:r w:rsidR="00027932">
        <w:t>:</w:t>
      </w:r>
      <w:r w:rsidR="00E366B3">
        <w:t xml:space="preserve"> </w:t>
      </w:r>
      <w:r w:rsidR="00985A21">
        <w:t>AASB </w:t>
      </w:r>
      <w:r w:rsidR="00E366B3">
        <w:t>15</w:t>
      </w:r>
      <w:r w:rsidR="00FE5526">
        <w:t xml:space="preserve"> </w:t>
      </w:r>
      <w:r w:rsidR="00FE5526">
        <w:rPr>
          <w:i/>
        </w:rPr>
        <w:t>Revenue from Contracts with Customers</w:t>
      </w:r>
      <w:r w:rsidR="00E366B3">
        <w:t>,</w:t>
      </w:r>
      <w:r w:rsidR="00027932" w:rsidRPr="00027932">
        <w:t xml:space="preserve"> </w:t>
      </w:r>
      <w:r w:rsidR="00985A21">
        <w:t>AASB </w:t>
      </w:r>
      <w:r w:rsidR="00E366B3">
        <w:t>16</w:t>
      </w:r>
      <w:r w:rsidR="00FE5526">
        <w:t xml:space="preserve"> </w:t>
      </w:r>
      <w:r w:rsidR="00FE5526">
        <w:rPr>
          <w:i/>
        </w:rPr>
        <w:t>Leases</w:t>
      </w:r>
      <w:r w:rsidR="00E366B3">
        <w:t xml:space="preserve">, </w:t>
      </w:r>
      <w:r w:rsidR="00985A21">
        <w:t>AASB </w:t>
      </w:r>
      <w:r w:rsidR="00E366B3">
        <w:t>1058</w:t>
      </w:r>
      <w:r w:rsidR="00FE5526">
        <w:t xml:space="preserve"> </w:t>
      </w:r>
      <w:r w:rsidR="00FE5526">
        <w:rPr>
          <w:i/>
        </w:rPr>
        <w:t>Income of Not-for-Profit Entities</w:t>
      </w:r>
      <w:r w:rsidR="00E366B3">
        <w:t xml:space="preserve"> and</w:t>
      </w:r>
      <w:r w:rsidR="00027932">
        <w:t xml:space="preserve"> </w:t>
      </w:r>
      <w:r w:rsidR="00985A21">
        <w:t>AASB </w:t>
      </w:r>
      <w:r w:rsidR="00E366B3">
        <w:t>1059</w:t>
      </w:r>
      <w:r w:rsidR="00FE5526">
        <w:t xml:space="preserve"> </w:t>
      </w:r>
      <w:r w:rsidR="00FE5526">
        <w:rPr>
          <w:i/>
        </w:rPr>
        <w:t>Service Concession Arrangements: Grantors</w:t>
      </w:r>
      <w:r w:rsidR="00E366B3">
        <w:t xml:space="preserve"> operative from 1 July 2019</w:t>
      </w:r>
      <w:r w:rsidR="00FE5526">
        <w:t xml:space="preserve"> for 30 June year-end reporters (1 January 2019 for 31 December year-end reporters)</w:t>
      </w:r>
      <w:r w:rsidR="004C246F">
        <w:t>.</w:t>
      </w:r>
    </w:p>
    <w:p w14:paraId="07C34DDB" w14:textId="0C05E0C5" w:rsidR="00FE5526" w:rsidRDefault="00FE5526" w:rsidP="00985A21">
      <w:r>
        <w:t>There is a suite of FRDs</w:t>
      </w:r>
      <w:r w:rsidR="007655E7">
        <w:t xml:space="preserve"> </w:t>
      </w:r>
      <w:r w:rsidR="00027932">
        <w:t>that will be released, prescribing</w:t>
      </w:r>
      <w:r>
        <w:t xml:space="preserve"> the transitional requirements for the new accounting standards</w:t>
      </w:r>
      <w:r w:rsidR="007655E7">
        <w:t>. They include</w:t>
      </w:r>
      <w:r>
        <w:t>:</w:t>
      </w:r>
    </w:p>
    <w:p w14:paraId="6253A03D" w14:textId="3B3CFDF0" w:rsidR="00E366B3" w:rsidRPr="00FE5526" w:rsidRDefault="00FE5526" w:rsidP="00985A21">
      <w:pPr>
        <w:pStyle w:val="Bullet1"/>
      </w:pPr>
      <w:r w:rsidRPr="00985A21">
        <w:t>FRD</w:t>
      </w:r>
      <w:r>
        <w:t xml:space="preserve"> 121 </w:t>
      </w:r>
      <w:r w:rsidRPr="00985A21">
        <w:rPr>
          <w:i/>
          <w:iCs/>
        </w:rPr>
        <w:t xml:space="preserve">Transitional requirements on the application of </w:t>
      </w:r>
      <w:r w:rsidR="00985A21">
        <w:rPr>
          <w:i/>
          <w:iCs/>
        </w:rPr>
        <w:t>AASB </w:t>
      </w:r>
      <w:r w:rsidRPr="00985A21">
        <w:rPr>
          <w:i/>
          <w:iCs/>
        </w:rPr>
        <w:t>15 Revenue from Contracts with Customers</w:t>
      </w:r>
      <w:r w:rsidR="00027932" w:rsidRPr="00985A21">
        <w:t>;</w:t>
      </w:r>
    </w:p>
    <w:p w14:paraId="228B5E4D" w14:textId="06369ED5" w:rsidR="00FE5526" w:rsidRPr="00FE5526" w:rsidRDefault="00FE5526" w:rsidP="00985A21">
      <w:pPr>
        <w:pStyle w:val="Bullet1"/>
      </w:pPr>
      <w:r>
        <w:t xml:space="preserve">FRD 122 </w:t>
      </w:r>
      <w:r w:rsidRPr="00985A21">
        <w:rPr>
          <w:i/>
          <w:iCs/>
        </w:rPr>
        <w:t xml:space="preserve">Transitional requirements on the application of </w:t>
      </w:r>
      <w:r w:rsidR="00985A21">
        <w:rPr>
          <w:i/>
          <w:iCs/>
        </w:rPr>
        <w:t>AASB </w:t>
      </w:r>
      <w:r w:rsidRPr="00985A21">
        <w:rPr>
          <w:i/>
          <w:iCs/>
        </w:rPr>
        <w:t>1058 Income of Not-for-Profit Entities</w:t>
      </w:r>
      <w:r w:rsidR="00027932">
        <w:t>;</w:t>
      </w:r>
    </w:p>
    <w:p w14:paraId="58A9F519" w14:textId="3019EED3" w:rsidR="00FE5526" w:rsidRPr="00FE5526" w:rsidRDefault="00FE5526" w:rsidP="00985A21">
      <w:pPr>
        <w:pStyle w:val="Bullet1"/>
      </w:pPr>
      <w:r>
        <w:t xml:space="preserve">FRD 123 </w:t>
      </w:r>
      <w:r w:rsidRPr="00985A21">
        <w:rPr>
          <w:i/>
          <w:iCs/>
        </w:rPr>
        <w:t xml:space="preserve">Transitional requirements on the application of </w:t>
      </w:r>
      <w:r w:rsidR="00985A21">
        <w:rPr>
          <w:i/>
          <w:iCs/>
        </w:rPr>
        <w:t>AASB </w:t>
      </w:r>
      <w:r w:rsidRPr="00985A21">
        <w:rPr>
          <w:i/>
          <w:iCs/>
        </w:rPr>
        <w:t>16 Leases</w:t>
      </w:r>
      <w:r w:rsidR="00027932">
        <w:t>; and</w:t>
      </w:r>
    </w:p>
    <w:p w14:paraId="6DD7F43A" w14:textId="19730686" w:rsidR="00FE5526" w:rsidRDefault="00FE5526" w:rsidP="00985A21">
      <w:pPr>
        <w:pStyle w:val="Bullet1"/>
      </w:pPr>
      <w:r>
        <w:t xml:space="preserve">FRD 124 </w:t>
      </w:r>
      <w:r w:rsidR="007655E7" w:rsidRPr="00985A21">
        <w:rPr>
          <w:i/>
          <w:iCs/>
        </w:rPr>
        <w:t xml:space="preserve">Transitional requirements on the application of </w:t>
      </w:r>
      <w:r w:rsidR="00985A21">
        <w:rPr>
          <w:i/>
          <w:iCs/>
        </w:rPr>
        <w:t>AASB </w:t>
      </w:r>
      <w:r w:rsidR="007655E7" w:rsidRPr="00985A21">
        <w:rPr>
          <w:i/>
          <w:iCs/>
        </w:rPr>
        <w:t>1059 Service Concession Arrangements: Grantors</w:t>
      </w:r>
      <w:r w:rsidR="007655E7">
        <w:t>.</w:t>
      </w:r>
    </w:p>
    <w:p w14:paraId="453A4FF6" w14:textId="33E7D406" w:rsidR="007655E7" w:rsidRDefault="007655E7" w:rsidP="00985A21">
      <w:r>
        <w:t xml:space="preserve">Preparers are reminded to ensure they continue to roll out their key management personnel </w:t>
      </w:r>
      <w:r w:rsidR="00985A21">
        <w:t>AASB </w:t>
      </w:r>
      <w:r>
        <w:t xml:space="preserve">124 </w:t>
      </w:r>
      <w:r>
        <w:rPr>
          <w:i/>
        </w:rPr>
        <w:t>Related Party Disclosures</w:t>
      </w:r>
      <w:r>
        <w:t xml:space="preserve"> declarations and attestation statements to support their annual reporting process.</w:t>
      </w:r>
    </w:p>
    <w:p w14:paraId="001A0D7A" w14:textId="27384808" w:rsidR="007655E7" w:rsidRDefault="007854C2" w:rsidP="00985A21">
      <w:r>
        <w:t xml:space="preserve">To aid your implementation planning considerations, </w:t>
      </w:r>
      <w:r w:rsidR="00663EE2">
        <w:t>we have noted the following</w:t>
      </w:r>
      <w:r w:rsidR="00027932">
        <w:t xml:space="preserve"> enacted</w:t>
      </w:r>
      <w:r w:rsidR="00663EE2">
        <w:t xml:space="preserve"> </w:t>
      </w:r>
      <w:r w:rsidR="007655E7">
        <w:t>changes</w:t>
      </w:r>
      <w:r w:rsidR="00146CF0">
        <w:t xml:space="preserve"> and changes on the horizon</w:t>
      </w:r>
      <w:r w:rsidR="007655E7">
        <w:t xml:space="preserve"> </w:t>
      </w:r>
      <w:r w:rsidR="00663EE2">
        <w:t>from the Australian Accounting Standards Board (AASB)</w:t>
      </w:r>
      <w:r w:rsidR="007655E7">
        <w:t xml:space="preserve"> that may impact your annual reporting requirements</w:t>
      </w:r>
      <w:r w:rsidR="00663EE2">
        <w:t>:</w:t>
      </w:r>
    </w:p>
    <w:p w14:paraId="24BAACB0" w14:textId="6870940D" w:rsidR="00663EE2" w:rsidRDefault="00985A21" w:rsidP="00985A21">
      <w:pPr>
        <w:pStyle w:val="Bullet1"/>
      </w:pPr>
      <w:r>
        <w:t xml:space="preserve">amending </w:t>
      </w:r>
      <w:r w:rsidR="00663EE2">
        <w:t xml:space="preserve">standards to </w:t>
      </w:r>
      <w:r>
        <w:t>AASB </w:t>
      </w:r>
      <w:r w:rsidR="00663EE2">
        <w:t>15/</w:t>
      </w:r>
      <w:r>
        <w:t>AASB </w:t>
      </w:r>
      <w:r w:rsidR="00663EE2">
        <w:t xml:space="preserve">1058 and </w:t>
      </w:r>
      <w:r>
        <w:t>AASB </w:t>
      </w:r>
      <w:r w:rsidR="00663EE2">
        <w:t>16;</w:t>
      </w:r>
    </w:p>
    <w:p w14:paraId="0A9A7738" w14:textId="2FFC01BD" w:rsidR="00663EE2" w:rsidRDefault="00985A21" w:rsidP="00985A21">
      <w:pPr>
        <w:pStyle w:val="Bullet1"/>
      </w:pPr>
      <w:r>
        <w:t>key AASB </w:t>
      </w:r>
      <w:r w:rsidR="00663EE2">
        <w:t>standards issued but not effective</w:t>
      </w:r>
      <w:r w:rsidR="00146CF0">
        <w:t xml:space="preserve"> for 2019-20</w:t>
      </w:r>
      <w:r w:rsidR="00663EE2">
        <w:t>; and</w:t>
      </w:r>
    </w:p>
    <w:p w14:paraId="13A85EFD" w14:textId="6C6F9395" w:rsidR="00663EE2" w:rsidRDefault="00985A21" w:rsidP="00985A21">
      <w:pPr>
        <w:pStyle w:val="Bullet1"/>
      </w:pPr>
      <w:r>
        <w:t xml:space="preserve">other </w:t>
      </w:r>
      <w:r w:rsidR="00663EE2">
        <w:t xml:space="preserve">new standards </w:t>
      </w:r>
      <w:r w:rsidR="00146CF0">
        <w:t>issued since 1 July 2019.</w:t>
      </w:r>
    </w:p>
    <w:p w14:paraId="629F0B71" w14:textId="77777777" w:rsidR="0004757C" w:rsidRDefault="00544145" w:rsidP="00985A21">
      <w:r>
        <w:t>Finally,</w:t>
      </w:r>
      <w:r w:rsidR="0004757C">
        <w:t xml:space="preserve"> a table of key financial publications due in the coming year, along with their anticipated publication dates, is included in this newsletter.</w:t>
      </w:r>
    </w:p>
    <w:p w14:paraId="1B2BAEB6" w14:textId="1C401CD6" w:rsidR="00985A21" w:rsidRPr="00851105" w:rsidRDefault="00985A21" w:rsidP="00985A21">
      <w:pPr>
        <w:sectPr w:rsidR="00985A21" w:rsidRPr="00851105" w:rsidSect="00C5124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160" w:right="1440" w:bottom="1350" w:left="1440" w:header="706" w:footer="461" w:gutter="0"/>
          <w:pgNumType w:start="1"/>
          <w:cols w:num="2" w:space="706" w:equalWidth="0">
            <w:col w:w="2973" w:space="533"/>
            <w:col w:w="5520"/>
          </w:cols>
          <w:titlePg/>
          <w:docGrid w:linePitch="360"/>
        </w:sectPr>
      </w:pPr>
    </w:p>
    <w:p w14:paraId="304034A3" w14:textId="1DE42568" w:rsidR="00E97DFC" w:rsidRPr="00CF7E3A" w:rsidRDefault="00E97DFC" w:rsidP="00E97DFC">
      <w:pPr>
        <w:pStyle w:val="Heading1"/>
      </w:pPr>
      <w:bookmarkStart w:id="3" w:name="_Toc452724749"/>
      <w:bookmarkStart w:id="4" w:name="_Toc424822613"/>
      <w:bookmarkStart w:id="5" w:name="_Toc408567317"/>
      <w:bookmarkStart w:id="6" w:name="_Toc33614831"/>
      <w:bookmarkStart w:id="7" w:name="_Hlk531073932"/>
      <w:r w:rsidRPr="00CF7E3A">
        <w:lastRenderedPageBreak/>
        <w:t>2019</w:t>
      </w:r>
      <w:r w:rsidRPr="00CF7E3A">
        <w:noBreakHyphen/>
        <w:t>20 reporting year</w:t>
      </w:r>
      <w:bookmarkEnd w:id="3"/>
      <w:bookmarkEnd w:id="4"/>
      <w:bookmarkEnd w:id="5"/>
      <w:bookmarkEnd w:id="6"/>
      <w:r w:rsidRPr="00CF7E3A">
        <w:t xml:space="preserve"> </w:t>
      </w:r>
    </w:p>
    <w:p w14:paraId="2A302BA8" w14:textId="77777777" w:rsidR="00E97DFC" w:rsidRPr="00CF7E3A" w:rsidRDefault="00E97DFC" w:rsidP="00D85AAE">
      <w:pPr>
        <w:pStyle w:val="Heading2"/>
      </w:pPr>
      <w:r w:rsidRPr="00CF7E3A">
        <w:t>Major updates/reminders</w:t>
      </w:r>
    </w:p>
    <w:p w14:paraId="150788BA" w14:textId="43B7A534" w:rsidR="00E97DFC" w:rsidRPr="00D85AAE" w:rsidRDefault="00E97DFC" w:rsidP="00D85AAE">
      <w:pPr>
        <w:pStyle w:val="Heading4"/>
        <w:rPr>
          <w:i/>
          <w:iCs w:val="0"/>
        </w:rPr>
      </w:pPr>
      <w:r w:rsidRPr="00D85AAE">
        <w:rPr>
          <w:i/>
          <w:iCs w:val="0"/>
        </w:rPr>
        <w:t>2019</w:t>
      </w:r>
      <w:r w:rsidRPr="00D85AAE">
        <w:rPr>
          <w:i/>
          <w:iCs w:val="0"/>
        </w:rPr>
        <w:noBreakHyphen/>
        <w:t xml:space="preserve">20 Model Report </w:t>
      </w:r>
      <w:r w:rsidRPr="00D85AAE">
        <w:t xml:space="preserve">for Victorian Government </w:t>
      </w:r>
      <w:r w:rsidR="00D85AAE" w:rsidRPr="00D85AAE">
        <w:t>Departments</w:t>
      </w:r>
      <w:r w:rsidR="00D85AAE" w:rsidRPr="00D85AAE">
        <w:rPr>
          <w:i/>
          <w:iCs w:val="0"/>
        </w:rPr>
        <w:t xml:space="preserve"> </w:t>
      </w:r>
    </w:p>
    <w:p w14:paraId="5D14FFFD" w14:textId="01194544" w:rsidR="00E97DFC" w:rsidRPr="00CF7E3A" w:rsidRDefault="00E97DFC" w:rsidP="00E97DFC">
      <w:r w:rsidRPr="00CF7E3A">
        <w:t xml:space="preserve">The Department of Treasury and Finance (DTF) has </w:t>
      </w:r>
      <w:r w:rsidR="00492B06">
        <w:t>commenced</w:t>
      </w:r>
      <w:r w:rsidR="00492B06" w:rsidRPr="00CF7E3A">
        <w:t xml:space="preserve"> </w:t>
      </w:r>
      <w:r w:rsidRPr="00CF7E3A">
        <w:t xml:space="preserve">preparatory work on the </w:t>
      </w:r>
      <w:r w:rsidRPr="00D85AAE">
        <w:rPr>
          <w:i/>
          <w:iCs/>
        </w:rPr>
        <w:t>201</w:t>
      </w:r>
      <w:r w:rsidR="00773E67" w:rsidRPr="00D85AAE">
        <w:rPr>
          <w:i/>
          <w:iCs/>
        </w:rPr>
        <w:t>9</w:t>
      </w:r>
      <w:r w:rsidRPr="00D85AAE">
        <w:rPr>
          <w:i/>
          <w:iCs/>
        </w:rPr>
        <w:noBreakHyphen/>
      </w:r>
      <w:r w:rsidR="00773E67" w:rsidRPr="00D85AAE">
        <w:rPr>
          <w:i/>
          <w:iCs/>
        </w:rPr>
        <w:t>20</w:t>
      </w:r>
      <w:r w:rsidRPr="00D85AAE">
        <w:rPr>
          <w:i/>
          <w:iCs/>
        </w:rPr>
        <w:t xml:space="preserve"> Model Report</w:t>
      </w:r>
      <w:r w:rsidRPr="00CF7E3A">
        <w:t xml:space="preserve"> and has set a</w:t>
      </w:r>
      <w:r w:rsidR="007B53DB">
        <w:t>n</w:t>
      </w:r>
      <w:r w:rsidRPr="00CF7E3A">
        <w:t xml:space="preserve"> </w:t>
      </w:r>
      <w:r w:rsidR="007B53DB">
        <w:t>anticipated</w:t>
      </w:r>
      <w:r w:rsidRPr="00CF7E3A">
        <w:t xml:space="preserve"> release date </w:t>
      </w:r>
      <w:r w:rsidR="003C3DCB">
        <w:t xml:space="preserve">of </w:t>
      </w:r>
      <w:r w:rsidRPr="00CF7E3A">
        <w:t>around mid-</w:t>
      </w:r>
      <w:r w:rsidR="001E5470" w:rsidRPr="00CF7E3A">
        <w:t>May</w:t>
      </w:r>
      <w:r w:rsidRPr="00CF7E3A">
        <w:t xml:space="preserve"> 20</w:t>
      </w:r>
      <w:r w:rsidR="00DC72EA" w:rsidRPr="00CF7E3A">
        <w:t>20</w:t>
      </w:r>
      <w:r w:rsidRPr="00CF7E3A">
        <w:t xml:space="preserve">. </w:t>
      </w:r>
      <w:r w:rsidR="001E5470" w:rsidRPr="00CF7E3A">
        <w:t>The k</w:t>
      </w:r>
      <w:r w:rsidRPr="00CF7E3A">
        <w:t>ey change</w:t>
      </w:r>
      <w:r w:rsidR="001E5470" w:rsidRPr="00CF7E3A">
        <w:t>s</w:t>
      </w:r>
      <w:r w:rsidRPr="00CF7E3A">
        <w:t xml:space="preserve"> proposed for the 201</w:t>
      </w:r>
      <w:r w:rsidR="00773E67" w:rsidRPr="00CF7E3A">
        <w:t>9</w:t>
      </w:r>
      <w:r w:rsidRPr="00CF7E3A">
        <w:noBreakHyphen/>
      </w:r>
      <w:r w:rsidR="00773E67" w:rsidRPr="00CF7E3A">
        <w:t>20</w:t>
      </w:r>
      <w:r w:rsidRPr="00CF7E3A">
        <w:t xml:space="preserve"> Model Report include:</w:t>
      </w:r>
    </w:p>
    <w:p w14:paraId="2E2233CC" w14:textId="3FEC2A96" w:rsidR="000305D1" w:rsidRPr="00CF7E3A" w:rsidRDefault="00E97DFC" w:rsidP="00985A21">
      <w:pPr>
        <w:pStyle w:val="Bullet1"/>
      </w:pPr>
      <w:r w:rsidRPr="00CF7E3A">
        <w:t>incorporation of the first-time adoption,</w:t>
      </w:r>
      <w:r w:rsidRPr="00CF7E3A">
        <w:rPr>
          <w:b/>
          <w:i/>
        </w:rPr>
        <w:t xml:space="preserve"> </w:t>
      </w:r>
      <w:r w:rsidRPr="00CF7E3A">
        <w:t>including transition disclosures in the financial statements and associated notes</w:t>
      </w:r>
      <w:r w:rsidR="000305D1" w:rsidRPr="00CF7E3A">
        <w:t xml:space="preserve"> </w:t>
      </w:r>
      <w:r w:rsidR="000F2D03" w:rsidRPr="00CF7E3A">
        <w:t>for</w:t>
      </w:r>
      <w:r w:rsidR="000305D1" w:rsidRPr="00CF7E3A">
        <w:t xml:space="preserve"> the new</w:t>
      </w:r>
      <w:r w:rsidR="000542E2" w:rsidRPr="00CF7E3A">
        <w:t xml:space="preserve"> suite </w:t>
      </w:r>
      <w:r w:rsidR="000305D1" w:rsidRPr="00CF7E3A">
        <w:t>of accounting standards</w:t>
      </w:r>
      <w:r w:rsidR="000305D1" w:rsidRPr="00CF7E3A">
        <w:rPr>
          <w:i/>
        </w:rPr>
        <w:t>:</w:t>
      </w:r>
    </w:p>
    <w:p w14:paraId="5EA9CB80" w14:textId="0BDB2055" w:rsidR="000542E2" w:rsidRPr="00CF7E3A" w:rsidRDefault="00985A21" w:rsidP="00985A21">
      <w:pPr>
        <w:pStyle w:val="Bullet2"/>
      </w:pPr>
      <w:r>
        <w:t>AASB </w:t>
      </w:r>
      <w:r w:rsidR="000542E2" w:rsidRPr="00CF7E3A">
        <w:t xml:space="preserve">15 </w:t>
      </w:r>
      <w:r w:rsidR="000542E2" w:rsidRPr="00D85AAE">
        <w:rPr>
          <w:i/>
          <w:iCs/>
        </w:rPr>
        <w:t>Revenue from Contracts with Customers</w:t>
      </w:r>
      <w:r w:rsidR="000F2D03" w:rsidRPr="00CF7E3A">
        <w:t>;</w:t>
      </w:r>
    </w:p>
    <w:p w14:paraId="32F0CD2F" w14:textId="32C92085" w:rsidR="000542E2" w:rsidRPr="00CF7E3A" w:rsidRDefault="00985A21" w:rsidP="00985A21">
      <w:pPr>
        <w:pStyle w:val="Bullet2"/>
      </w:pPr>
      <w:r>
        <w:t>AASB </w:t>
      </w:r>
      <w:r w:rsidR="000542E2" w:rsidRPr="00CF7E3A">
        <w:t xml:space="preserve">1058 </w:t>
      </w:r>
      <w:r w:rsidR="000542E2" w:rsidRPr="00D85AAE">
        <w:rPr>
          <w:i/>
          <w:iCs/>
        </w:rPr>
        <w:t>Income of Not-for-Profit Entities</w:t>
      </w:r>
      <w:r w:rsidR="000F2D03" w:rsidRPr="00CF7E3A">
        <w:t>;</w:t>
      </w:r>
    </w:p>
    <w:p w14:paraId="5AFC5C30" w14:textId="0FB71DE6" w:rsidR="000542E2" w:rsidRPr="00CF7E3A" w:rsidRDefault="00985A21" w:rsidP="00985A21">
      <w:pPr>
        <w:pStyle w:val="Bullet2"/>
      </w:pPr>
      <w:r>
        <w:t>AASB </w:t>
      </w:r>
      <w:r w:rsidR="000542E2" w:rsidRPr="00CF7E3A">
        <w:t xml:space="preserve">16 </w:t>
      </w:r>
      <w:r w:rsidR="000542E2" w:rsidRPr="00CF7E3A">
        <w:rPr>
          <w:i/>
        </w:rPr>
        <w:t>Leases</w:t>
      </w:r>
      <w:r w:rsidR="000542E2" w:rsidRPr="00CF7E3A">
        <w:t xml:space="preserve">; and </w:t>
      </w:r>
    </w:p>
    <w:p w14:paraId="289D16D1" w14:textId="241DBB76" w:rsidR="000F2D03" w:rsidRPr="00CF7E3A" w:rsidRDefault="00985A21" w:rsidP="00985A21">
      <w:pPr>
        <w:pStyle w:val="Bullet2"/>
      </w:pPr>
      <w:r>
        <w:t>AASB </w:t>
      </w:r>
      <w:r w:rsidR="000F2D03" w:rsidRPr="00CF7E3A">
        <w:t xml:space="preserve">1059 </w:t>
      </w:r>
      <w:r w:rsidR="000F2D03" w:rsidRPr="00D85AAE">
        <w:rPr>
          <w:i/>
          <w:iCs/>
        </w:rPr>
        <w:t>Service Concession Arrangements</w:t>
      </w:r>
      <w:r w:rsidR="000F2D03" w:rsidRPr="00CF7E3A">
        <w:t>.</w:t>
      </w:r>
    </w:p>
    <w:p w14:paraId="60483037" w14:textId="11CD58FD" w:rsidR="00E97DFC" w:rsidRDefault="00E97DFC" w:rsidP="00985A21">
      <w:pPr>
        <w:pStyle w:val="Bullet1"/>
      </w:pPr>
      <w:r w:rsidRPr="00CF7E3A">
        <w:t xml:space="preserve">updated and </w:t>
      </w:r>
      <w:r w:rsidR="00492B06">
        <w:t>amended</w:t>
      </w:r>
      <w:r w:rsidR="00492B06" w:rsidRPr="00CF7E3A">
        <w:t xml:space="preserve"> </w:t>
      </w:r>
      <w:r w:rsidRPr="00CF7E3A">
        <w:t>appendices incorporating information that was provided in the ‘New Accounting Standards Instruction’ pack, including implementation checklists for the new accounting standards</w:t>
      </w:r>
      <w:r w:rsidR="007B53DB">
        <w:t xml:space="preserve"> </w:t>
      </w:r>
      <w:r w:rsidR="00826C3D">
        <w:t xml:space="preserve">which are </w:t>
      </w:r>
      <w:r w:rsidR="007B53DB">
        <w:t>retained on the secured DTF website</w:t>
      </w:r>
      <w:r w:rsidR="00471C7E">
        <w:t xml:space="preserve"> </w:t>
      </w:r>
      <w:r w:rsidR="00826C3D">
        <w:t>(</w:t>
      </w:r>
      <w:hyperlink r:id="rId21" w:history="1">
        <w:r w:rsidR="00471C7E">
          <w:rPr>
            <w:rStyle w:val="Hyperlink"/>
          </w:rPr>
          <w:t>https://www.dtf.vic.gov.au/financial-reporting-policy/accounting-standards-checklists</w:t>
        </w:r>
      </w:hyperlink>
      <w:r w:rsidR="00471C7E">
        <w:t>).</w:t>
      </w:r>
    </w:p>
    <w:p w14:paraId="2167ADEE" w14:textId="32458855" w:rsidR="004A02DC" w:rsidRPr="00CF7E3A" w:rsidRDefault="004A02DC" w:rsidP="00985A21">
      <w:r>
        <w:t>No significant changes are anticipated in the report of operations.</w:t>
      </w:r>
    </w:p>
    <w:p w14:paraId="290D253C" w14:textId="3B383943" w:rsidR="00F81A0E" w:rsidRPr="00CF7E3A" w:rsidRDefault="00E97DFC" w:rsidP="00985A21">
      <w:r w:rsidRPr="00CF7E3A">
        <w:t xml:space="preserve">Further communication will be provided when the changes are approved for the </w:t>
      </w:r>
      <w:r w:rsidR="0070144E" w:rsidRPr="00CF7E3A">
        <w:t>2019-20</w:t>
      </w:r>
      <w:r w:rsidRPr="00CF7E3A">
        <w:t xml:space="preserve"> Model Report</w:t>
      </w:r>
      <w:r w:rsidR="00C8549E" w:rsidRPr="00CF7E3A">
        <w:t xml:space="preserve"> and </w:t>
      </w:r>
      <w:r w:rsidR="00F81A0E" w:rsidRPr="00CF7E3A">
        <w:t xml:space="preserve">a </w:t>
      </w:r>
      <w:r w:rsidR="00C8549E" w:rsidRPr="00CF7E3A">
        <w:t xml:space="preserve">workshop will be held </w:t>
      </w:r>
      <w:r w:rsidR="00F81A0E" w:rsidRPr="00CF7E3A">
        <w:t xml:space="preserve">with departments to cover the new disclosure requirements for the new suite of accounting standards. The </w:t>
      </w:r>
      <w:r w:rsidR="00C61F58">
        <w:t xml:space="preserve">DTF </w:t>
      </w:r>
      <w:r w:rsidR="00F81A0E" w:rsidRPr="00CF7E3A">
        <w:t xml:space="preserve">Consolidated Reporting and Analysis team will also provide </w:t>
      </w:r>
      <w:r w:rsidR="00D85AAE">
        <w:t>‘</w:t>
      </w:r>
      <w:r w:rsidR="00F81A0E" w:rsidRPr="00CF7E3A">
        <w:t>FINSI</w:t>
      </w:r>
      <w:r w:rsidR="00D85AAE">
        <w:t>’</w:t>
      </w:r>
      <w:r w:rsidR="00F81A0E" w:rsidRPr="00CF7E3A">
        <w:t xml:space="preserve"> training </w:t>
      </w:r>
      <w:r w:rsidR="007B53DB">
        <w:t xml:space="preserve">at the end </w:t>
      </w:r>
      <w:r w:rsidR="00CF7E3A" w:rsidRPr="00CF7E3A">
        <w:t xml:space="preserve">of June to </w:t>
      </w:r>
      <w:r w:rsidR="000B2752">
        <w:t>run</w:t>
      </w:r>
      <w:r w:rsidR="00CF7E3A" w:rsidRPr="00CF7E3A">
        <w:t xml:space="preserve"> through the new </w:t>
      </w:r>
      <w:r w:rsidR="00D85AAE">
        <w:t>‘</w:t>
      </w:r>
      <w:r w:rsidR="00CF7E3A" w:rsidRPr="00CF7E3A">
        <w:t>FIN</w:t>
      </w:r>
      <w:r w:rsidR="00CF7E3A">
        <w:t>SI</w:t>
      </w:r>
      <w:r w:rsidR="00D85AAE">
        <w:t>’</w:t>
      </w:r>
      <w:r w:rsidR="00CF7E3A" w:rsidRPr="00CF7E3A">
        <w:t xml:space="preserve"> template</w:t>
      </w:r>
      <w:r w:rsidR="000B2752">
        <w:t>s in relation to the new accounting standards.</w:t>
      </w:r>
    </w:p>
    <w:p w14:paraId="32E7992A" w14:textId="19C55217" w:rsidR="00E97DFC" w:rsidRDefault="00E97DFC" w:rsidP="00E97DFC">
      <w:r w:rsidRPr="00CF7E3A">
        <w:t>A comprehensive list of the significant changes will be detailed in the ‘</w:t>
      </w:r>
      <w:r w:rsidR="00D85AAE" w:rsidRPr="00CF7E3A">
        <w:t xml:space="preserve">summary </w:t>
      </w:r>
      <w:r w:rsidRPr="00CF7E3A">
        <w:t xml:space="preserve">of changes’, which will accompany the </w:t>
      </w:r>
      <w:r w:rsidR="002A05BE" w:rsidRPr="00D85AAE">
        <w:rPr>
          <w:i/>
          <w:iCs/>
        </w:rPr>
        <w:t>2019-20</w:t>
      </w:r>
      <w:r w:rsidRPr="00D85AAE">
        <w:rPr>
          <w:i/>
          <w:iCs/>
        </w:rPr>
        <w:t xml:space="preserve"> Model Report</w:t>
      </w:r>
      <w:r w:rsidRPr="00CF7E3A">
        <w:t xml:space="preserve">. </w:t>
      </w:r>
    </w:p>
    <w:bookmarkEnd w:id="7"/>
    <w:p w14:paraId="692B4090" w14:textId="4071AF1F" w:rsidR="00E97DFC" w:rsidRDefault="00985A21" w:rsidP="00E97DFC">
      <w:pPr>
        <w:pStyle w:val="Heading3"/>
        <w:rPr>
          <w:highlight w:val="yellow"/>
        </w:rPr>
      </w:pPr>
      <w:r>
        <w:t>AASB </w:t>
      </w:r>
      <w:r w:rsidR="00E97DFC" w:rsidRPr="003F1727">
        <w:t xml:space="preserve">124 </w:t>
      </w:r>
      <w:r w:rsidR="00E97DFC" w:rsidRPr="003F1727">
        <w:rPr>
          <w:i/>
        </w:rPr>
        <w:t>Related Party Disclosures</w:t>
      </w:r>
      <w:r w:rsidR="00E97DFC" w:rsidRPr="003F1727">
        <w:t xml:space="preserve"> project </w:t>
      </w:r>
    </w:p>
    <w:p w14:paraId="3B58CF6C" w14:textId="21B3D626" w:rsidR="00E97DFC" w:rsidRPr="00494AA2" w:rsidRDefault="00E97DFC" w:rsidP="00E97DFC">
      <w:pPr>
        <w:pStyle w:val="Heading4"/>
      </w:pPr>
      <w:r w:rsidRPr="00494AA2">
        <w:t>Ministerial declarations for the 201</w:t>
      </w:r>
      <w:r w:rsidR="00494AA2">
        <w:t>9</w:t>
      </w:r>
      <w:r w:rsidRPr="00494AA2">
        <w:noBreakHyphen/>
      </w:r>
      <w:r w:rsidR="00494AA2">
        <w:t>20</w:t>
      </w:r>
      <w:r w:rsidRPr="00494AA2">
        <w:t xml:space="preserve"> reporting period</w:t>
      </w:r>
    </w:p>
    <w:p w14:paraId="591A266B" w14:textId="5E71E021" w:rsidR="00E97DFC" w:rsidRDefault="00E97DFC" w:rsidP="00E97DFC">
      <w:pPr>
        <w:rPr>
          <w:rFonts w:eastAsia="Times New Roman"/>
        </w:rPr>
      </w:pPr>
      <w:r w:rsidRPr="00494AA2">
        <w:rPr>
          <w:rFonts w:eastAsia="Times New Roman"/>
        </w:rPr>
        <w:t>To support the compliance and preparation of financial reports by not</w:t>
      </w:r>
      <w:r w:rsidRPr="00494AA2">
        <w:rPr>
          <w:rFonts w:eastAsia="Times New Roman"/>
        </w:rPr>
        <w:noBreakHyphen/>
        <w:t>for</w:t>
      </w:r>
      <w:r w:rsidRPr="00494AA2">
        <w:rPr>
          <w:rFonts w:eastAsia="Times New Roman"/>
        </w:rPr>
        <w:noBreakHyphen/>
        <w:t xml:space="preserve">profit public sector entities, information consistent with the requirements of </w:t>
      </w:r>
      <w:r w:rsidR="00985A21">
        <w:rPr>
          <w:rFonts w:eastAsia="Times New Roman"/>
        </w:rPr>
        <w:t>AASB </w:t>
      </w:r>
      <w:r w:rsidRPr="00494AA2">
        <w:rPr>
          <w:rFonts w:eastAsia="Times New Roman"/>
        </w:rPr>
        <w:t xml:space="preserve">124 </w:t>
      </w:r>
      <w:r w:rsidRPr="00494AA2">
        <w:rPr>
          <w:rFonts w:eastAsia="Times New Roman"/>
          <w:i/>
        </w:rPr>
        <w:t>Related Party Disclosures</w:t>
      </w:r>
      <w:r w:rsidRPr="00494AA2">
        <w:rPr>
          <w:rFonts w:eastAsia="Times New Roman"/>
        </w:rPr>
        <w:t xml:space="preserve"> is collected twice in each financial year from Cabinet ministers, as not all Victorian public sector not-for-profit entities have a 30 June year</w:t>
      </w:r>
      <w:r w:rsidR="00C61F58">
        <w:rPr>
          <w:rFonts w:eastAsia="Times New Roman"/>
        </w:rPr>
        <w:t>-</w:t>
      </w:r>
      <w:r w:rsidRPr="00494AA2">
        <w:rPr>
          <w:rFonts w:eastAsia="Times New Roman"/>
        </w:rPr>
        <w:t>end. For example, the year</w:t>
      </w:r>
      <w:r w:rsidR="00C61F58">
        <w:rPr>
          <w:rFonts w:eastAsia="Times New Roman"/>
        </w:rPr>
        <w:t>-</w:t>
      </w:r>
      <w:r w:rsidRPr="00494AA2">
        <w:rPr>
          <w:rFonts w:eastAsia="Times New Roman"/>
        </w:rPr>
        <w:t>end for Alpine Resort entities, TAFEs and schools is 31 December.</w:t>
      </w:r>
    </w:p>
    <w:p w14:paraId="5ACD759B" w14:textId="0C6D4E06" w:rsidR="00494AA2" w:rsidRPr="00494AA2" w:rsidRDefault="00494AA2" w:rsidP="00E97DFC">
      <w:pPr>
        <w:rPr>
          <w:rFonts w:eastAsia="Times New Roman"/>
        </w:rPr>
      </w:pPr>
      <w:r>
        <w:rPr>
          <w:rFonts w:eastAsia="Times New Roman"/>
        </w:rPr>
        <w:t xml:space="preserve">Cabinet ministers </w:t>
      </w:r>
      <w:r w:rsidR="00FA09B5">
        <w:rPr>
          <w:rFonts w:eastAsia="Times New Roman"/>
        </w:rPr>
        <w:t xml:space="preserve">were </w:t>
      </w:r>
      <w:r>
        <w:rPr>
          <w:rFonts w:eastAsia="Times New Roman"/>
        </w:rPr>
        <w:t>requested to complete and return their certificates for the period 1 July to 31</w:t>
      </w:r>
      <w:r w:rsidR="00985A21">
        <w:rPr>
          <w:rFonts w:eastAsia="Times New Roman"/>
        </w:rPr>
        <w:t> </w:t>
      </w:r>
      <w:r>
        <w:rPr>
          <w:rFonts w:eastAsia="Times New Roman"/>
        </w:rPr>
        <w:t xml:space="preserve">December 2019 to the Department of Premier and Cabinet no later than </w:t>
      </w:r>
      <w:r w:rsidRPr="007B53DB">
        <w:rPr>
          <w:rFonts w:eastAsia="Times New Roman"/>
          <w:b/>
        </w:rPr>
        <w:t>24 January 2020</w:t>
      </w:r>
      <w:r>
        <w:rPr>
          <w:rFonts w:eastAsia="Times New Roman"/>
        </w:rPr>
        <w:t>.</w:t>
      </w:r>
    </w:p>
    <w:p w14:paraId="4121B55F" w14:textId="77777777" w:rsidR="00E97DFC" w:rsidRPr="00494AA2" w:rsidRDefault="00E97DFC" w:rsidP="00E97DFC">
      <w:pPr>
        <w:spacing w:before="200" w:after="0"/>
        <w:rPr>
          <w:rFonts w:ascii="Arial" w:eastAsia="Times New Roman" w:hAnsi="Arial" w:cs="Times New Roman"/>
        </w:rPr>
      </w:pPr>
      <w:r w:rsidRPr="00494AA2">
        <w:rPr>
          <w:rFonts w:ascii="Arial" w:eastAsia="Times New Roman" w:hAnsi="Arial" w:cs="Times New Roman"/>
        </w:rPr>
        <w:t xml:space="preserve">DTF will provide information extracted from ministerial declarations to the relevant portfolio entities to perform a ‘significance’ and a ‘materiality’ assessment of the nature and amount of the related party transactions for disclosure, where relevant, in the entities’ annual financial reports. </w:t>
      </w:r>
    </w:p>
    <w:p w14:paraId="4537DD92" w14:textId="77777777" w:rsidR="00E97DFC" w:rsidRPr="00494AA2" w:rsidRDefault="00E97DFC" w:rsidP="00E97DFC">
      <w:pPr>
        <w:spacing w:before="200" w:after="0"/>
        <w:rPr>
          <w:rFonts w:ascii="Arial" w:eastAsia="Times New Roman" w:hAnsi="Arial" w:cs="Times New Roman"/>
        </w:rPr>
      </w:pPr>
      <w:r w:rsidRPr="00494AA2">
        <w:rPr>
          <w:rFonts w:ascii="Arial" w:eastAsia="Times New Roman" w:hAnsi="Arial" w:cs="Times New Roman"/>
        </w:rPr>
        <w:t>Entities are reminded that, under the agreed protocols, consultation is required with the relevant Minister(s) and DTF, where disclosures are proposed.</w:t>
      </w:r>
    </w:p>
    <w:p w14:paraId="0B3BFEA3" w14:textId="77777777" w:rsidR="00E97DFC" w:rsidRPr="003F1727" w:rsidRDefault="00E97DFC" w:rsidP="00E97DFC">
      <w:pPr>
        <w:pStyle w:val="Heading4"/>
      </w:pPr>
      <w:r w:rsidRPr="003F1727">
        <w:t>Movements in key management personnel</w:t>
      </w:r>
    </w:p>
    <w:p w14:paraId="17A46977" w14:textId="6948E7F1" w:rsidR="00E97DFC" w:rsidRPr="003F1727" w:rsidRDefault="00E97DFC" w:rsidP="00E97DFC">
      <w:r w:rsidRPr="003F1727">
        <w:t>Entities with a 31 December 201</w:t>
      </w:r>
      <w:r w:rsidR="003F1727" w:rsidRPr="003F1727">
        <w:t>9</w:t>
      </w:r>
      <w:r w:rsidRPr="003F1727">
        <w:t xml:space="preserve"> reporting date are reminded disclosure for the 201</w:t>
      </w:r>
      <w:r w:rsidR="003F1727" w:rsidRPr="003F1727">
        <w:t xml:space="preserve">9 </w:t>
      </w:r>
      <w:r w:rsidRPr="003F1727">
        <w:t xml:space="preserve">reporting period will need to include information relevant to all key management personnel appointed during the period, including any executive appointments and departures. </w:t>
      </w:r>
    </w:p>
    <w:p w14:paraId="196EC131" w14:textId="77777777" w:rsidR="00E97DFC" w:rsidRPr="00494AA2" w:rsidRDefault="00E97DFC" w:rsidP="00E97DFC">
      <w:pPr>
        <w:pStyle w:val="Heading4"/>
      </w:pPr>
      <w:r w:rsidRPr="00494AA2">
        <w:lastRenderedPageBreak/>
        <w:t>Guidance information</w:t>
      </w:r>
    </w:p>
    <w:p w14:paraId="48F628CD" w14:textId="49185110" w:rsidR="00E97DFC" w:rsidRPr="00494AA2" w:rsidRDefault="00E97DFC" w:rsidP="00985A21">
      <w:r w:rsidRPr="00494AA2">
        <w:t xml:space="preserve">A declaration certificate, checklist and summary guidance are included in Appendices </w:t>
      </w:r>
      <w:r w:rsidR="003F1727" w:rsidRPr="00494AA2">
        <w:t>9</w:t>
      </w:r>
      <w:r w:rsidRPr="00494AA2">
        <w:t xml:space="preserve"> and </w:t>
      </w:r>
      <w:r w:rsidR="003F1727" w:rsidRPr="00494AA2">
        <w:t>10</w:t>
      </w:r>
      <w:r w:rsidRPr="00494AA2">
        <w:t xml:space="preserve"> of the </w:t>
      </w:r>
      <w:r w:rsidRPr="00494AA2">
        <w:rPr>
          <w:i/>
        </w:rPr>
        <w:t>20</w:t>
      </w:r>
      <w:r w:rsidR="00A1588A" w:rsidRPr="00494AA2">
        <w:rPr>
          <w:i/>
        </w:rPr>
        <w:t>1</w:t>
      </w:r>
      <w:r w:rsidR="00494AA2" w:rsidRPr="00494AA2">
        <w:rPr>
          <w:i/>
        </w:rPr>
        <w:t>8</w:t>
      </w:r>
      <w:r w:rsidR="00A1588A" w:rsidRPr="00494AA2">
        <w:rPr>
          <w:i/>
        </w:rPr>
        <w:t xml:space="preserve">-19 </w:t>
      </w:r>
      <w:r w:rsidRPr="00494AA2">
        <w:rPr>
          <w:i/>
        </w:rPr>
        <w:t>Model Report</w:t>
      </w:r>
      <w:r w:rsidRPr="00494AA2">
        <w:t xml:space="preserve"> to assist entities with the implementation of </w:t>
      </w:r>
      <w:r w:rsidR="00985A21">
        <w:t>AASB </w:t>
      </w:r>
      <w:r w:rsidRPr="00494AA2">
        <w:t>124. Further comprehensive guidance information is also available in the ‘Financial Reporting Policy’ section of DTF’s website at</w:t>
      </w:r>
      <w:r w:rsidR="0002277B">
        <w:t>:</w:t>
      </w:r>
      <w:bookmarkStart w:id="8" w:name="_GoBack"/>
      <w:bookmarkEnd w:id="8"/>
      <w:r w:rsidRPr="00494AA2">
        <w:t xml:space="preserve"> </w:t>
      </w:r>
      <w:bookmarkStart w:id="9" w:name="_Hlk534958407"/>
      <w:r w:rsidRPr="00494AA2">
        <w:fldChar w:fldCharType="begin"/>
      </w:r>
      <w:r w:rsidRPr="00494AA2">
        <w:instrText xml:space="preserve"> HYPERLINK "https://www.dtf.vic.gov.au/financial-reporting-policy/aasb-124-related-party-disclosures" </w:instrText>
      </w:r>
      <w:r w:rsidRPr="00494AA2">
        <w:fldChar w:fldCharType="separate"/>
      </w:r>
      <w:r w:rsidRPr="00494AA2">
        <w:rPr>
          <w:rStyle w:val="Hyperlink"/>
        </w:rPr>
        <w:t>www.dtf.vic.gov.au/financial-reporting-policy/aasb-124-related-party-disclosures</w:t>
      </w:r>
      <w:r w:rsidRPr="00494AA2">
        <w:fldChar w:fldCharType="end"/>
      </w:r>
      <w:r w:rsidR="00494AA2">
        <w:t>.</w:t>
      </w:r>
      <w:r w:rsidRPr="00494AA2">
        <w:t xml:space="preserve"> </w:t>
      </w:r>
      <w:bookmarkEnd w:id="9"/>
    </w:p>
    <w:p w14:paraId="2D7B61E7" w14:textId="2B192C6D" w:rsidR="00E97DFC" w:rsidRPr="004E5463" w:rsidRDefault="00E97DFC" w:rsidP="00E97DFC">
      <w:pPr>
        <w:pStyle w:val="Heading3"/>
      </w:pPr>
      <w:r w:rsidRPr="004E5463">
        <w:t>Interim valuation assessments</w:t>
      </w:r>
      <w:r w:rsidR="00E554F1" w:rsidRPr="004E5463">
        <w:t xml:space="preserve"> </w:t>
      </w:r>
    </w:p>
    <w:p w14:paraId="716793A3" w14:textId="4F84C2D4" w:rsidR="00E97DFC" w:rsidRPr="004E5463" w:rsidRDefault="00E97DFC" w:rsidP="00E97DFC">
      <w:pPr>
        <w:keepNext/>
        <w:spacing w:before="80"/>
      </w:pPr>
      <w:r w:rsidRPr="004E5463">
        <w:t>You should have already conducted your 201</w:t>
      </w:r>
      <w:r w:rsidR="004E5463" w:rsidRPr="004E5463">
        <w:t>9</w:t>
      </w:r>
      <w:r w:rsidRPr="004E5463">
        <w:noBreakHyphen/>
      </w:r>
      <w:r w:rsidR="004E5463" w:rsidRPr="004E5463">
        <w:t>20</w:t>
      </w:r>
      <w:r w:rsidRPr="004E5463">
        <w:t xml:space="preserve"> interim valuation assessments using the October 201</w:t>
      </w:r>
      <w:r w:rsidR="004E5463" w:rsidRPr="004E5463">
        <w:t>9</w:t>
      </w:r>
      <w:r w:rsidRPr="004E5463">
        <w:t xml:space="preserve"> indices or other relevant information as a preliminary indicator to assess how the fair values for land assets have moved for the period. The Valuer-General’s land indices can be found at</w:t>
      </w:r>
      <w:r w:rsidR="00C61F58">
        <w:t>:</w:t>
      </w:r>
      <w:r w:rsidRPr="004E5463">
        <w:t xml:space="preserve"> </w:t>
      </w:r>
      <w:hyperlink r:id="rId22" w:history="1">
        <w:r w:rsidRPr="004E5463">
          <w:rPr>
            <w:rStyle w:val="Hyperlink"/>
          </w:rPr>
          <w:t>https://www.dtf.vic.gov.au/financial-reporting-policy/valuer-general-land-indices</w:t>
        </w:r>
      </w:hyperlink>
    </w:p>
    <w:p w14:paraId="2D97C150" w14:textId="77777777" w:rsidR="00E97DFC" w:rsidRDefault="00E97DFC" w:rsidP="00E97DFC">
      <w:pPr>
        <w:keepNext/>
        <w:spacing w:before="80"/>
      </w:pPr>
      <w:r w:rsidRPr="004E5463">
        <w:t xml:space="preserve">Victorian Government departments, agencies and entities should contact their portfolio department in the first instance for the login details to access the land indices. Our December 2016 Newsletter, Edition No. 31 contains information on interim valuation assessments, including an example of how to assess fair value movements on a cumulative basis. The publication can be found at </w:t>
      </w:r>
      <w:hyperlink r:id="rId23" w:history="1">
        <w:r w:rsidRPr="004E5463">
          <w:rPr>
            <w:rStyle w:val="Hyperlink"/>
          </w:rPr>
          <w:t>www.dtf.vic.gov.au/Accounting-policy-newsletters</w:t>
        </w:r>
      </w:hyperlink>
      <w:r w:rsidRPr="004E5463">
        <w:t>.</w:t>
      </w:r>
    </w:p>
    <w:p w14:paraId="74F91C8C" w14:textId="3FE45FAA" w:rsidR="00E97DFC" w:rsidRPr="00985A21" w:rsidRDefault="00E97DFC" w:rsidP="00D85AAE">
      <w:pPr>
        <w:pStyle w:val="Heading2"/>
      </w:pPr>
      <w:r w:rsidRPr="00D85AAE">
        <w:t>Machinery</w:t>
      </w:r>
      <w:r w:rsidRPr="00985A21">
        <w:t xml:space="preserve"> of government manual</w:t>
      </w:r>
    </w:p>
    <w:p w14:paraId="4CB411EE" w14:textId="33BED307" w:rsidR="00A1588A" w:rsidRDefault="00E97DFC" w:rsidP="0036408C">
      <w:r w:rsidRPr="00206395">
        <w:t>The</w:t>
      </w:r>
      <w:r w:rsidR="00206395" w:rsidRPr="00206395">
        <w:t xml:space="preserve"> revised</w:t>
      </w:r>
      <w:r w:rsidRPr="00206395">
        <w:t xml:space="preserve"> </w:t>
      </w:r>
      <w:r w:rsidRPr="00206395">
        <w:rPr>
          <w:i/>
        </w:rPr>
        <w:t xml:space="preserve">Victorian public sector operating manual on machinery of government changes </w:t>
      </w:r>
      <w:r w:rsidRPr="00206395">
        <w:t xml:space="preserve">(MOG Manual) </w:t>
      </w:r>
      <w:r w:rsidR="00206395" w:rsidRPr="00206395">
        <w:t>is scheduled for release in January 202</w:t>
      </w:r>
      <w:r w:rsidR="00C61F58">
        <w:t>0, it outlines the agreed framework and protocols for working through MOG changes across government</w:t>
      </w:r>
      <w:r w:rsidRPr="00206395">
        <w:t xml:space="preserve">. </w:t>
      </w:r>
    </w:p>
    <w:p w14:paraId="2C55D3FA" w14:textId="787729DF" w:rsidR="00E97DFC" w:rsidRDefault="00E97DFC" w:rsidP="00D85AAE">
      <w:pPr>
        <w:pStyle w:val="Heading2"/>
      </w:pPr>
      <w:bookmarkStart w:id="10" w:name="_Toc424822614"/>
      <w:bookmarkStart w:id="11" w:name="_Toc452724750"/>
      <w:r w:rsidRPr="005E4B6E">
        <w:t xml:space="preserve">Financial reporting directions and guidance notes </w:t>
      </w:r>
    </w:p>
    <w:p w14:paraId="70551187" w14:textId="796D31C3" w:rsidR="007F4153" w:rsidRDefault="00582B51" w:rsidP="007F4153">
      <w:r>
        <w:t xml:space="preserve">The following new FRDs </w:t>
      </w:r>
      <w:r w:rsidR="009E7B32">
        <w:t xml:space="preserve">will be issued </w:t>
      </w:r>
      <w:r w:rsidR="005E4B6E">
        <w:t>in early 20</w:t>
      </w:r>
      <w:r w:rsidR="006C7458">
        <w:t>20</w:t>
      </w:r>
      <w:r w:rsidR="005E4B6E">
        <w:t xml:space="preserve"> </w:t>
      </w:r>
      <w:r w:rsidR="009E7B32">
        <w:t>prescribing the transition requirements on the application of the new accounting standards:</w:t>
      </w:r>
    </w:p>
    <w:p w14:paraId="3702F073" w14:textId="342A803A" w:rsidR="00265212" w:rsidRPr="009E7B32" w:rsidRDefault="00265212" w:rsidP="00985A21">
      <w:pPr>
        <w:pStyle w:val="Bullet1"/>
      </w:pPr>
      <w:r w:rsidRPr="00DA298D">
        <w:t>FRD </w:t>
      </w:r>
      <w:r>
        <w:t>121</w:t>
      </w:r>
      <w:r w:rsidRPr="00DA298D">
        <w:t xml:space="preserve"> </w:t>
      </w:r>
      <w:r w:rsidRPr="00117C18">
        <w:rPr>
          <w:i/>
          <w:iCs/>
        </w:rPr>
        <w:t xml:space="preserve">Transitional requirements on the application of </w:t>
      </w:r>
      <w:r w:rsidR="00985A21" w:rsidRPr="00117C18">
        <w:rPr>
          <w:i/>
          <w:iCs/>
        </w:rPr>
        <w:t>AASB </w:t>
      </w:r>
      <w:r w:rsidRPr="00117C18">
        <w:rPr>
          <w:i/>
          <w:iCs/>
        </w:rPr>
        <w:t>15 Revenue from Contracts with Customers</w:t>
      </w:r>
      <w:r w:rsidR="00FF50FD" w:rsidRPr="009E7B32">
        <w:t>;</w:t>
      </w:r>
    </w:p>
    <w:p w14:paraId="0CD4C513" w14:textId="79C5052B" w:rsidR="00FF50FD" w:rsidRPr="00FF50FD" w:rsidRDefault="00FF50FD" w:rsidP="00985A21">
      <w:pPr>
        <w:pStyle w:val="Bullet1"/>
      </w:pPr>
      <w:r>
        <w:t xml:space="preserve">FRD 122 </w:t>
      </w:r>
      <w:r w:rsidRPr="00117C18">
        <w:rPr>
          <w:i/>
          <w:iCs/>
        </w:rPr>
        <w:t xml:space="preserve">Transitional requirements on the application of </w:t>
      </w:r>
      <w:r w:rsidR="00985A21" w:rsidRPr="00117C18">
        <w:rPr>
          <w:i/>
          <w:iCs/>
        </w:rPr>
        <w:t>AASB </w:t>
      </w:r>
      <w:r w:rsidRPr="00117C18">
        <w:rPr>
          <w:i/>
          <w:iCs/>
        </w:rPr>
        <w:t>1058 Income of Not-for-Profit Entities</w:t>
      </w:r>
      <w:r w:rsidRPr="009E7B32">
        <w:t>;</w:t>
      </w:r>
    </w:p>
    <w:p w14:paraId="4EF7E991" w14:textId="1D8FDF68" w:rsidR="00FF50FD" w:rsidRDefault="00FF50FD" w:rsidP="00985A21">
      <w:pPr>
        <w:pStyle w:val="Bullet1"/>
      </w:pPr>
      <w:r w:rsidRPr="00FF50FD">
        <w:t xml:space="preserve">FRD 123 </w:t>
      </w:r>
      <w:r w:rsidRPr="00117C18">
        <w:rPr>
          <w:i/>
          <w:iCs/>
        </w:rPr>
        <w:t xml:space="preserve">Transitional requirements on the application of </w:t>
      </w:r>
      <w:r w:rsidR="00985A21" w:rsidRPr="00117C18">
        <w:rPr>
          <w:i/>
          <w:iCs/>
        </w:rPr>
        <w:t>AASB </w:t>
      </w:r>
      <w:r w:rsidRPr="00117C18">
        <w:rPr>
          <w:i/>
          <w:iCs/>
        </w:rPr>
        <w:t>16 Leases</w:t>
      </w:r>
      <w:r>
        <w:t xml:space="preserve">; and </w:t>
      </w:r>
    </w:p>
    <w:p w14:paraId="3DCA5FF7" w14:textId="78A950AB" w:rsidR="00FF50FD" w:rsidRDefault="00FF50FD" w:rsidP="00985A21">
      <w:pPr>
        <w:pStyle w:val="Bullet1"/>
      </w:pPr>
      <w:r>
        <w:t xml:space="preserve">FRD 124 </w:t>
      </w:r>
      <w:r w:rsidRPr="00117C18">
        <w:rPr>
          <w:i/>
          <w:iCs/>
        </w:rPr>
        <w:t xml:space="preserve">Transitional requirements on the application of </w:t>
      </w:r>
      <w:r w:rsidR="00985A21" w:rsidRPr="00117C18">
        <w:rPr>
          <w:i/>
          <w:iCs/>
        </w:rPr>
        <w:t>AASB </w:t>
      </w:r>
      <w:r w:rsidRPr="00117C18">
        <w:rPr>
          <w:i/>
          <w:iCs/>
        </w:rPr>
        <w:t>1059 Service Concession Arrangements: Grantors</w:t>
      </w:r>
      <w:r w:rsidR="009E7B32">
        <w:t>.</w:t>
      </w:r>
    </w:p>
    <w:p w14:paraId="5A380DDE" w14:textId="7F070070" w:rsidR="003C3DCB" w:rsidRDefault="003C3DCB" w:rsidP="00117C18">
      <w:r>
        <w:t>The transitional elections are all consistent with the elections communicated as part of the 201</w:t>
      </w:r>
      <w:r w:rsidR="00117C18">
        <w:t>9</w:t>
      </w:r>
      <w:r w:rsidR="00117C18">
        <w:noBreakHyphen/>
      </w:r>
      <w:r>
        <w:t>20</w:t>
      </w:r>
      <w:r w:rsidR="00117C18">
        <w:t xml:space="preserve"> </w:t>
      </w:r>
      <w:r>
        <w:t>Budget process</w:t>
      </w:r>
      <w:r w:rsidR="009C66FB">
        <w:t xml:space="preserve">. The Accounting Standards Checklists are available on the </w:t>
      </w:r>
      <w:r w:rsidR="009C66FB" w:rsidRPr="00D85AAE">
        <w:t>DTF website</w:t>
      </w:r>
      <w:r w:rsidR="00D85AAE">
        <w:t xml:space="preserve"> at</w:t>
      </w:r>
      <w:r w:rsidR="00522937">
        <w:t>:</w:t>
      </w:r>
      <w:r w:rsidR="00D85AAE">
        <w:t xml:space="preserve"> </w:t>
      </w:r>
      <w:hyperlink r:id="rId24" w:history="1">
        <w:r w:rsidR="00D85AAE" w:rsidRPr="00EA3B51">
          <w:rPr>
            <w:rStyle w:val="Hyperlink"/>
          </w:rPr>
          <w:t>https://www.dtf.vic.gov.au/financial-reporting-policy/accounting-standards-checklists</w:t>
        </w:r>
      </w:hyperlink>
      <w:r w:rsidR="00D85AAE">
        <w:t>.</w:t>
      </w:r>
    </w:p>
    <w:p w14:paraId="492559B7" w14:textId="2E519221" w:rsidR="00AB1B7A" w:rsidRDefault="00AB1B7A" w:rsidP="00AB1B7A">
      <w:pPr>
        <w:pStyle w:val="Heading3"/>
        <w:rPr>
          <w:i/>
        </w:rPr>
      </w:pPr>
      <w:r w:rsidRPr="0075270C">
        <w:t xml:space="preserve">FRD 103H </w:t>
      </w:r>
      <w:r w:rsidRPr="0075270C">
        <w:rPr>
          <w:i/>
        </w:rPr>
        <w:t>Non-financial physical assets</w:t>
      </w:r>
    </w:p>
    <w:p w14:paraId="0A5FCDD1" w14:textId="36DEF4B4" w:rsidR="00E81215" w:rsidRPr="00E81215" w:rsidRDefault="00E81215" w:rsidP="00117C18">
      <w:r w:rsidRPr="006F1C18">
        <w:t>Minor editorial amendments have been made to FRD 103H. These include:</w:t>
      </w:r>
    </w:p>
    <w:p w14:paraId="2D462F35" w14:textId="496CA02F" w:rsidR="006F1C18" w:rsidRDefault="006F1C18" w:rsidP="00117C18">
      <w:pPr>
        <w:pStyle w:val="Bullet1"/>
      </w:pPr>
      <w:bookmarkStart w:id="12" w:name="_Toc29545248"/>
      <w:r w:rsidRPr="00117C18">
        <w:t>entities</w:t>
      </w:r>
      <w:r w:rsidRPr="006F1C18">
        <w:t xml:space="preserve"> being referenced by their new classifications. Entities are now classified by functions of government (COFOG) which have been issued by the ABS</w:t>
      </w:r>
      <w:r w:rsidR="00ED2EE0">
        <w:t>;</w:t>
      </w:r>
    </w:p>
    <w:p w14:paraId="052D7CC8" w14:textId="43EBD3CE" w:rsidR="00E81215" w:rsidRDefault="00E81215" w:rsidP="00117C18">
      <w:pPr>
        <w:pStyle w:val="Bullet1"/>
      </w:pPr>
      <w:r w:rsidRPr="006F1C18">
        <w:t>an updated schedule of asset revaluations (as from 2019</w:t>
      </w:r>
      <w:r w:rsidR="00D85AAE">
        <w:t>-</w:t>
      </w:r>
      <w:r w:rsidRPr="006F1C18">
        <w:t xml:space="preserve">20) following the last </w:t>
      </w:r>
      <w:r w:rsidR="00D85AAE" w:rsidRPr="006F1C18">
        <w:t xml:space="preserve">machinery </w:t>
      </w:r>
      <w:r w:rsidRPr="006F1C18">
        <w:t xml:space="preserve">of government changes and for consistency with the new COFOG classifications. The schedule has been included in the guidance paper ‘Guidance on the application of FRD 103H </w:t>
      </w:r>
      <w:r w:rsidRPr="00D85AAE">
        <w:rPr>
          <w:i/>
          <w:iCs/>
        </w:rPr>
        <w:t>Non-financial physical assets’</w:t>
      </w:r>
      <w:r w:rsidRPr="006F1C18">
        <w:t>, to provide a reference point on entities revaluation years</w:t>
      </w:r>
      <w:r w:rsidR="009C66FB">
        <w:t xml:space="preserve">, and is available on the DTF website </w:t>
      </w:r>
      <w:hyperlink r:id="rId25" w:history="1">
        <w:r w:rsidR="009C66FB" w:rsidRPr="009C66FB">
          <w:rPr>
            <w:rStyle w:val="Hyperlink"/>
          </w:rPr>
          <w:t>here</w:t>
        </w:r>
      </w:hyperlink>
      <w:r w:rsidR="00ED2EE0">
        <w:t>; and</w:t>
      </w:r>
    </w:p>
    <w:p w14:paraId="0F1C5146" w14:textId="7447FEE7" w:rsidR="00ED2EE0" w:rsidRDefault="00ED2EE0" w:rsidP="00117C18">
      <w:pPr>
        <w:pStyle w:val="Bullet1"/>
      </w:pPr>
      <w:r>
        <w:t>clarifying that assets under construction/development shall be measured at cost and are not subject to revaluation until the construction/development phase has been completed for those assets.</w:t>
      </w:r>
    </w:p>
    <w:p w14:paraId="468DDC98" w14:textId="5B6E76DE" w:rsidR="008E7654" w:rsidRDefault="008E7654" w:rsidP="00895B2A">
      <w:pPr>
        <w:pStyle w:val="Heading1"/>
      </w:pPr>
      <w:bookmarkStart w:id="13" w:name="_Toc33614832"/>
      <w:bookmarkEnd w:id="12"/>
      <w:r w:rsidRPr="008E7654">
        <w:lastRenderedPageBreak/>
        <w:t>F</w:t>
      </w:r>
      <w:r w:rsidR="00BC08E2" w:rsidRPr="008E7654">
        <w:t>inancial reporting legislation</w:t>
      </w:r>
      <w:bookmarkEnd w:id="10"/>
      <w:bookmarkEnd w:id="11"/>
      <w:bookmarkEnd w:id="13"/>
      <w:r w:rsidR="00BC08E2" w:rsidRPr="008E7654">
        <w:t xml:space="preserve"> </w:t>
      </w:r>
    </w:p>
    <w:p w14:paraId="4DA733D0" w14:textId="7D7D2F55" w:rsidR="00E97DFC" w:rsidRPr="00117C18" w:rsidRDefault="00E97DFC" w:rsidP="00D85AAE">
      <w:pPr>
        <w:pStyle w:val="Heading2"/>
      </w:pPr>
      <w:r w:rsidRPr="00117C18">
        <w:t xml:space="preserve">Standing Directions – annual report attestation </w:t>
      </w:r>
    </w:p>
    <w:p w14:paraId="227B92D9" w14:textId="7CEC1188" w:rsidR="00E97DFC" w:rsidRPr="004B3F06" w:rsidRDefault="00E97DFC" w:rsidP="00117C18">
      <w:r w:rsidRPr="004B3F06">
        <w:t xml:space="preserve">The </w:t>
      </w:r>
      <w:r w:rsidRPr="004B3F06">
        <w:rPr>
          <w:i/>
          <w:iCs/>
        </w:rPr>
        <w:t>Standing Directions of the Minister for Finance 2016</w:t>
      </w:r>
      <w:r w:rsidRPr="004B3F06">
        <w:t xml:space="preserve"> (2016 Standing Directions) require a formal attestation statement in your annual reports. All agencies with a 31 December reporting date must complete an attestation statement for the period</w:t>
      </w:r>
      <w:r w:rsidRPr="004B3F06">
        <w:rPr>
          <w:b/>
          <w:bCs/>
        </w:rPr>
        <w:t xml:space="preserve"> 1 January </w:t>
      </w:r>
      <w:r w:rsidR="00FA79E7" w:rsidRPr="004B3F06">
        <w:rPr>
          <w:b/>
          <w:bCs/>
        </w:rPr>
        <w:t xml:space="preserve">2019 </w:t>
      </w:r>
      <w:r w:rsidRPr="004B3F06">
        <w:rPr>
          <w:bCs/>
        </w:rPr>
        <w:t>to</w:t>
      </w:r>
      <w:r w:rsidRPr="004B3F06">
        <w:rPr>
          <w:b/>
          <w:bCs/>
        </w:rPr>
        <w:t xml:space="preserve"> 31 December </w:t>
      </w:r>
      <w:r w:rsidR="00FA79E7" w:rsidRPr="004B3F06">
        <w:rPr>
          <w:b/>
          <w:bCs/>
        </w:rPr>
        <w:t>2019</w:t>
      </w:r>
      <w:r w:rsidRPr="004B3F06">
        <w:rPr>
          <w:b/>
          <w:bCs/>
        </w:rPr>
        <w:t xml:space="preserve">, </w:t>
      </w:r>
      <w:r w:rsidR="00FA79E7" w:rsidRPr="004B3F06">
        <w:t>covering</w:t>
      </w:r>
      <w:r w:rsidRPr="004B3F06">
        <w:rPr>
          <w:b/>
          <w:bCs/>
        </w:rPr>
        <w:t xml:space="preserve"> all </w:t>
      </w:r>
      <w:r w:rsidRPr="004B3F06">
        <w:t xml:space="preserve">applicable 2016 Standing Directions and Instructions as required and in </w:t>
      </w:r>
      <w:r w:rsidR="00FA79E7" w:rsidRPr="004B3F06">
        <w:t xml:space="preserve">a </w:t>
      </w:r>
      <w:r w:rsidRPr="004B3F06">
        <w:t xml:space="preserve">form prescribed by </w:t>
      </w:r>
      <w:hyperlink r:id="rId26" w:history="1">
        <w:r w:rsidRPr="004B3F06">
          <w:rPr>
            <w:rStyle w:val="Hyperlink"/>
          </w:rPr>
          <w:t>Instruction 5.1, clause 2</w:t>
        </w:r>
      </w:hyperlink>
      <w:r w:rsidRPr="004B3F06">
        <w:t xml:space="preserve">.2. </w:t>
      </w:r>
    </w:p>
    <w:p w14:paraId="30CF6320" w14:textId="49B3B29E" w:rsidR="00E97DFC" w:rsidRDefault="00E97DFC" w:rsidP="00A1588A">
      <w:r w:rsidRPr="004B3F06">
        <w:t xml:space="preserve">If you have any further queries on the Standing Directions, please direct your queries to the DTF Financial Frameworks team mailbox: </w:t>
      </w:r>
      <w:hyperlink r:id="rId27" w:history="1">
        <w:r w:rsidRPr="004B3F06">
          <w:rPr>
            <w:rStyle w:val="Hyperlink"/>
          </w:rPr>
          <w:t>standing.directions@dtf.vic.gov.au</w:t>
        </w:r>
      </w:hyperlink>
      <w:r w:rsidRPr="004B3F06">
        <w:t>.</w:t>
      </w:r>
    </w:p>
    <w:p w14:paraId="5A7E5813" w14:textId="10922A24" w:rsidR="00E97DFC" w:rsidRPr="004B3F06" w:rsidRDefault="00E97DFC" w:rsidP="00D85AAE">
      <w:pPr>
        <w:pStyle w:val="Heading2"/>
      </w:pPr>
      <w:r w:rsidRPr="004B3F06">
        <w:t xml:space="preserve">Superannuation Guarantee Levy </w:t>
      </w:r>
    </w:p>
    <w:p w14:paraId="3C05B5AE" w14:textId="45FA05F2" w:rsidR="00E97DFC" w:rsidRPr="004B3F06" w:rsidRDefault="00E97DFC" w:rsidP="00E97DFC">
      <w:r w:rsidRPr="004B3F06">
        <w:t xml:space="preserve">There has been no change to the Superannuation Guarantee Levy (SGL) schedule since the last update on the SGL in the December 2017 newsletter edition. Consistent with the </w:t>
      </w:r>
      <w:r w:rsidRPr="004B3F06">
        <w:rPr>
          <w:i/>
        </w:rPr>
        <w:t>Minerals Resource Rent Tax Repeal and Other Measures Act 2014</w:t>
      </w:r>
      <w:r w:rsidRPr="004B3F06">
        <w:t xml:space="preserve"> passed in September 2014, the future SGL rates will remain at 9.5 per cent until</w:t>
      </w:r>
      <w:r w:rsidR="0009584F">
        <w:t xml:space="preserve"> </w:t>
      </w:r>
      <w:r w:rsidRPr="004B3F06">
        <w:t xml:space="preserve">2021, before increasing by 0.5 per cent annually between 2021 and 2025. </w:t>
      </w:r>
    </w:p>
    <w:p w14:paraId="5A0AE621" w14:textId="7B7737B7" w:rsidR="00E97DFC" w:rsidRDefault="00E97DFC" w:rsidP="00A1588A">
      <w:pPr>
        <w:rPr>
          <w:rFonts w:ascii="Arial" w:hAnsi="Arial" w:cs="Arial"/>
          <w:szCs w:val="24"/>
        </w:rPr>
      </w:pPr>
      <w:r w:rsidRPr="004B3F06">
        <w:rPr>
          <w:rFonts w:ascii="Arial" w:hAnsi="Arial" w:cs="Arial"/>
          <w:szCs w:val="24"/>
        </w:rPr>
        <w:t>The next SGL rate change for departments and agencies will be effective from 1 July 2021 when the rate will increase to 10 per cent.</w:t>
      </w:r>
      <w:r>
        <w:rPr>
          <w:rFonts w:ascii="Arial" w:hAnsi="Arial" w:cs="Arial"/>
          <w:szCs w:val="24"/>
        </w:rPr>
        <w:t xml:space="preserve"> </w:t>
      </w:r>
    </w:p>
    <w:p w14:paraId="754177E0" w14:textId="5AF58D23" w:rsidR="00BC08E2" w:rsidRPr="00117C18" w:rsidRDefault="00BC08E2" w:rsidP="00D85AAE">
      <w:pPr>
        <w:pStyle w:val="Heading2"/>
      </w:pPr>
      <w:r w:rsidRPr="00117C18">
        <w:t>Wage inflation and discount rates</w:t>
      </w:r>
      <w:r w:rsidR="00BE68C7" w:rsidRPr="00117C18">
        <w:t xml:space="preserve"> </w:t>
      </w:r>
    </w:p>
    <w:p w14:paraId="6BA0B3A0" w14:textId="77777777" w:rsidR="00266A7E" w:rsidRDefault="00AC4D88" w:rsidP="00D00093">
      <w:pPr>
        <w:rPr>
          <w:rFonts w:ascii="Arial" w:hAnsi="Arial" w:cs="Arial"/>
          <w:szCs w:val="24"/>
        </w:rPr>
      </w:pPr>
      <w:r w:rsidRPr="00851105">
        <w:rPr>
          <w:rFonts w:ascii="Arial" w:hAnsi="Arial" w:cs="Arial"/>
          <w:szCs w:val="24"/>
        </w:rPr>
        <w:t xml:space="preserve">DTF publishes the wage inflation and discount rates quarterly for </w:t>
      </w:r>
      <w:r w:rsidR="00502AC6" w:rsidRPr="00851105">
        <w:rPr>
          <w:rFonts w:ascii="Arial" w:hAnsi="Arial" w:cs="Arial"/>
          <w:szCs w:val="24"/>
        </w:rPr>
        <w:t xml:space="preserve">the </w:t>
      </w:r>
      <w:r w:rsidRPr="00851105">
        <w:rPr>
          <w:rFonts w:ascii="Arial" w:hAnsi="Arial" w:cs="Arial"/>
          <w:szCs w:val="24"/>
        </w:rPr>
        <w:t xml:space="preserve">September, December and March quarters. </w:t>
      </w:r>
    </w:p>
    <w:p w14:paraId="361F3EE1" w14:textId="77777777" w:rsidR="00117C18" w:rsidRDefault="00120542" w:rsidP="000F4E61">
      <w:pPr>
        <w:rPr>
          <w:noProof/>
        </w:rPr>
      </w:pPr>
      <w:r w:rsidRPr="00851105">
        <w:rPr>
          <w:rFonts w:ascii="Arial" w:hAnsi="Arial" w:cs="Arial"/>
          <w:szCs w:val="24"/>
        </w:rPr>
        <w:t>The wage inflation and discount rates are published for both</w:t>
      </w:r>
      <w:r w:rsidR="005A0F86">
        <w:rPr>
          <w:rFonts w:ascii="Arial" w:hAnsi="Arial" w:cs="Arial"/>
          <w:szCs w:val="24"/>
        </w:rPr>
        <w:t xml:space="preserve"> the</w:t>
      </w:r>
      <w:r w:rsidRPr="00851105">
        <w:rPr>
          <w:rFonts w:ascii="Arial" w:hAnsi="Arial" w:cs="Arial"/>
          <w:szCs w:val="24"/>
        </w:rPr>
        <w:t xml:space="preserve"> 2004 and 2008 Long Service Leave Models. Wage inflation rates reflect </w:t>
      </w:r>
      <w:r w:rsidR="007B6D42" w:rsidRPr="00851105">
        <w:rPr>
          <w:rFonts w:ascii="Arial" w:hAnsi="Arial" w:cs="Arial"/>
          <w:szCs w:val="24"/>
        </w:rPr>
        <w:t xml:space="preserve">current </w:t>
      </w:r>
      <w:r w:rsidRPr="00851105">
        <w:rPr>
          <w:rFonts w:ascii="Arial" w:hAnsi="Arial" w:cs="Arial"/>
          <w:szCs w:val="24"/>
        </w:rPr>
        <w:t xml:space="preserve">economic assumptions made in </w:t>
      </w:r>
      <w:r w:rsidR="003324EF" w:rsidRPr="00851105">
        <w:rPr>
          <w:rFonts w:ascii="Arial" w:hAnsi="Arial" w:cs="Arial"/>
          <w:szCs w:val="24"/>
        </w:rPr>
        <w:t xml:space="preserve">the preparation of the </w:t>
      </w:r>
      <w:r w:rsidRPr="00851105">
        <w:rPr>
          <w:rFonts w:ascii="Arial" w:hAnsi="Arial" w:cs="Arial"/>
          <w:szCs w:val="24"/>
        </w:rPr>
        <w:t>State Budget.</w:t>
      </w:r>
      <w:r w:rsidR="00080343" w:rsidRPr="00851105">
        <w:rPr>
          <w:rFonts w:ascii="Arial" w:hAnsi="Arial" w:cs="Arial"/>
          <w:szCs w:val="24"/>
        </w:rPr>
        <w:t xml:space="preserve"> The discount rates are representative of the yield of Commonwealth Treasury bond</w:t>
      </w:r>
      <w:r w:rsidR="00AF1AB3" w:rsidRPr="00851105">
        <w:rPr>
          <w:rFonts w:ascii="Arial" w:hAnsi="Arial" w:cs="Arial"/>
          <w:szCs w:val="24"/>
        </w:rPr>
        <w:t>s</w:t>
      </w:r>
      <w:r w:rsidR="00D717E3" w:rsidRPr="00851105">
        <w:rPr>
          <w:rFonts w:ascii="Arial" w:hAnsi="Arial" w:cs="Arial"/>
          <w:szCs w:val="24"/>
        </w:rPr>
        <w:t>,</w:t>
      </w:r>
      <w:r w:rsidR="00080343" w:rsidRPr="00851105">
        <w:rPr>
          <w:rFonts w:ascii="Arial" w:hAnsi="Arial" w:cs="Arial"/>
          <w:szCs w:val="24"/>
        </w:rPr>
        <w:t xml:space="preserve"> published by </w:t>
      </w:r>
      <w:r w:rsidR="00D717E3" w:rsidRPr="00851105">
        <w:rPr>
          <w:rFonts w:ascii="Arial" w:hAnsi="Arial" w:cs="Arial"/>
          <w:szCs w:val="24"/>
        </w:rPr>
        <w:t xml:space="preserve">the </w:t>
      </w:r>
      <w:r w:rsidR="00080343" w:rsidRPr="00851105">
        <w:rPr>
          <w:rFonts w:ascii="Arial" w:hAnsi="Arial" w:cs="Arial"/>
          <w:szCs w:val="24"/>
        </w:rPr>
        <w:t>Reserv</w:t>
      </w:r>
      <w:r w:rsidR="004451ED">
        <w:rPr>
          <w:rFonts w:ascii="Arial" w:hAnsi="Arial" w:cs="Arial"/>
          <w:szCs w:val="24"/>
        </w:rPr>
        <w:t>e Bank of Australia</w:t>
      </w:r>
      <w:r w:rsidR="00EE55D8">
        <w:rPr>
          <w:rFonts w:ascii="Arial" w:hAnsi="Arial" w:cs="Arial"/>
          <w:szCs w:val="24"/>
        </w:rPr>
        <w:t>.</w:t>
      </w:r>
      <w:r w:rsidR="00EE55D8" w:rsidRPr="00EE55D8">
        <w:rPr>
          <w:noProof/>
        </w:rPr>
        <w:t xml:space="preserve"> </w:t>
      </w:r>
    </w:p>
    <w:p w14:paraId="22F8734E" w14:textId="6C2081C4" w:rsidR="000861A0" w:rsidRPr="00851105" w:rsidRDefault="002B5178" w:rsidP="000F4E61">
      <w:pPr>
        <w:rPr>
          <w:rFonts w:ascii="Arial" w:hAnsi="Arial" w:cs="Arial"/>
          <w:szCs w:val="24"/>
        </w:rPr>
      </w:pPr>
      <w:r>
        <w:rPr>
          <w:noProof/>
        </w:rPr>
        <w:drawing>
          <wp:inline distT="0" distB="0" distL="0" distR="0" wp14:anchorId="7315B78C" wp14:editId="08C6B048">
            <wp:extent cx="5693410" cy="3250565"/>
            <wp:effectExtent l="0" t="0" r="2540" b="6985"/>
            <wp:docPr id="43" name="Chart 43">
              <a:extLst xmlns:a="http://schemas.openxmlformats.org/drawingml/2006/main">
                <a:ext uri="{FF2B5EF4-FFF2-40B4-BE49-F238E27FC236}">
                  <a16:creationId xmlns:a16="http://schemas.microsoft.com/office/drawing/2014/main" id="{08F2480A-9BF5-4FC2-ADC1-6B69141725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EF4788B" w14:textId="6E8E1DDF" w:rsidR="00C13026" w:rsidRDefault="00C13026" w:rsidP="00C13026">
      <w:r>
        <w:t>The graph above shows that the annual discount rate</w:t>
      </w:r>
      <w:r w:rsidR="00C65481">
        <w:t xml:space="preserve"> has continued a downward trend </w:t>
      </w:r>
      <w:r w:rsidR="00F32ACF">
        <w:t xml:space="preserve">through </w:t>
      </w:r>
      <w:r w:rsidR="00C61F58">
        <w:t xml:space="preserve">the </w:t>
      </w:r>
      <w:r w:rsidR="00F32ACF">
        <w:t xml:space="preserve">majority of the 2019 calendar year (considerable decrease of </w:t>
      </w:r>
      <w:r w:rsidR="00077102" w:rsidRPr="00077102">
        <w:t>130.5 basis points</w:t>
      </w:r>
      <w:r w:rsidR="00F32ACF">
        <w:t xml:space="preserve"> from December 2018 to September 2019)</w:t>
      </w:r>
      <w:r w:rsidR="00360646">
        <w:t>,</w:t>
      </w:r>
      <w:r>
        <w:t xml:space="preserve"> </w:t>
      </w:r>
      <w:r w:rsidR="003866DF">
        <w:t>which increases</w:t>
      </w:r>
      <w:r>
        <w:t xml:space="preserve"> the present value of the annual and long service leave liabilities, with all else being equal.</w:t>
      </w:r>
    </w:p>
    <w:p w14:paraId="13C15DDE" w14:textId="42478054" w:rsidR="00C13026" w:rsidRDefault="00F32ACF" w:rsidP="00C13026">
      <w:pPr>
        <w:rPr>
          <w:spacing w:val="0"/>
        </w:rPr>
      </w:pPr>
      <w:r>
        <w:lastRenderedPageBreak/>
        <w:t xml:space="preserve">During the last quarter of 2019, the annual discount rate </w:t>
      </w:r>
      <w:r w:rsidR="00C13026">
        <w:t>ha</w:t>
      </w:r>
      <w:r w:rsidR="00DB37BC">
        <w:t>s</w:t>
      </w:r>
      <w:r w:rsidR="00C13026">
        <w:t xml:space="preserve"> started to slightly trend upward</w:t>
      </w:r>
      <w:r w:rsidR="00360646">
        <w:t xml:space="preserve"> </w:t>
      </w:r>
      <w:r w:rsidR="003866DF">
        <w:t xml:space="preserve">(increase of </w:t>
      </w:r>
      <w:r w:rsidR="00077102" w:rsidRPr="00077102">
        <w:t>36.2</w:t>
      </w:r>
      <w:r w:rsidR="00D85AAE">
        <w:t> </w:t>
      </w:r>
      <w:r w:rsidR="00077102" w:rsidRPr="00077102">
        <w:t>basis points</w:t>
      </w:r>
      <w:r w:rsidR="003866DF">
        <w:t xml:space="preserve"> from September to December 2019</w:t>
      </w:r>
      <w:r w:rsidR="00006E11">
        <w:t>); which</w:t>
      </w:r>
      <w:r w:rsidR="003D4DE9">
        <w:t xml:space="preserve"> will </w:t>
      </w:r>
      <w:r w:rsidR="006C064A">
        <w:t xml:space="preserve">slightly decrease the present value of both the annual and long service leave </w:t>
      </w:r>
      <w:r w:rsidR="00360646">
        <w:t>liabilities, with</w:t>
      </w:r>
      <w:r w:rsidR="00C13026">
        <w:t xml:space="preserve"> all else being equal.</w:t>
      </w:r>
    </w:p>
    <w:p w14:paraId="44F26C95" w14:textId="5134C1A1" w:rsidR="008E7654" w:rsidRDefault="003866DF" w:rsidP="00C13026">
      <w:r>
        <w:t>The wage inflation rate has remained relatively flat over the 2019</w:t>
      </w:r>
      <w:r w:rsidR="00043BBF">
        <w:t xml:space="preserve"> year</w:t>
      </w:r>
      <w:r w:rsidR="006C064A">
        <w:t xml:space="preserve">. </w:t>
      </w:r>
      <w:r w:rsidR="00C13026">
        <w:t xml:space="preserve">Moreover, the </w:t>
      </w:r>
      <w:r w:rsidR="003F2566">
        <w:t>recently released</w:t>
      </w:r>
      <w:r w:rsidR="00D85AAE">
        <w:t xml:space="preserve"> </w:t>
      </w:r>
      <w:r w:rsidR="00C13026" w:rsidRPr="00D85AAE">
        <w:rPr>
          <w:i/>
          <w:iCs/>
        </w:rPr>
        <w:t>2019</w:t>
      </w:r>
      <w:r w:rsidR="00D85AAE" w:rsidRPr="00D85AAE">
        <w:rPr>
          <w:i/>
          <w:iCs/>
        </w:rPr>
        <w:noBreakHyphen/>
      </w:r>
      <w:r w:rsidR="00C13026" w:rsidRPr="00D85AAE">
        <w:rPr>
          <w:i/>
          <w:iCs/>
        </w:rPr>
        <w:t>20 Budget Update</w:t>
      </w:r>
      <w:r w:rsidR="00C13026">
        <w:t xml:space="preserve"> </w:t>
      </w:r>
      <w:r w:rsidR="003F2566">
        <w:t xml:space="preserve">shows that </w:t>
      </w:r>
      <w:r w:rsidR="00C13026">
        <w:t xml:space="preserve">the </w:t>
      </w:r>
      <w:r w:rsidR="00D85AAE">
        <w:t xml:space="preserve">wage inflation </w:t>
      </w:r>
      <w:r w:rsidR="00C13026">
        <w:t xml:space="preserve">rate has </w:t>
      </w:r>
      <w:r w:rsidR="006C064A">
        <w:t xml:space="preserve">slightly </w:t>
      </w:r>
      <w:r w:rsidR="00C13026">
        <w:t>decreased to 4.25</w:t>
      </w:r>
      <w:r w:rsidR="00D85AAE">
        <w:t xml:space="preserve"> per cent</w:t>
      </w:r>
      <w:r w:rsidR="00360646">
        <w:t xml:space="preserve"> from 4.313</w:t>
      </w:r>
      <w:r w:rsidR="00D85AAE">
        <w:t xml:space="preserve"> per cent </w:t>
      </w:r>
      <w:r w:rsidR="00895B2A">
        <w:t xml:space="preserve">at </w:t>
      </w:r>
      <w:r w:rsidR="00C13026">
        <w:t xml:space="preserve">30 September 2019. </w:t>
      </w:r>
    </w:p>
    <w:p w14:paraId="63629F30" w14:textId="0F5B8462" w:rsidR="00E97DFC" w:rsidRPr="00D85AAE" w:rsidRDefault="00E97DFC" w:rsidP="00D85AAE">
      <w:pPr>
        <w:pStyle w:val="Heading2"/>
      </w:pPr>
      <w:r w:rsidRPr="00D85AAE">
        <w:t xml:space="preserve">Proposed amendments to </w:t>
      </w:r>
      <w:r w:rsidR="004B3F06" w:rsidRPr="00D85AAE">
        <w:t>f</w:t>
      </w:r>
      <w:r w:rsidRPr="00D85AAE">
        <w:t xml:space="preserve">inancial </w:t>
      </w:r>
      <w:r w:rsidR="004B3F06" w:rsidRPr="00D85AAE">
        <w:t xml:space="preserve">management </w:t>
      </w:r>
      <w:r w:rsidR="0071489B" w:rsidRPr="00D85AAE">
        <w:t>legislation</w:t>
      </w:r>
    </w:p>
    <w:p w14:paraId="695C6BB4" w14:textId="3123B3E5" w:rsidR="00E97DFC" w:rsidRPr="008E7654" w:rsidRDefault="004B3F06" w:rsidP="008E7654">
      <w:pPr>
        <w:rPr>
          <w:rFonts w:ascii="Arial" w:hAnsi="Arial" w:cs="Arial"/>
          <w:szCs w:val="24"/>
        </w:rPr>
      </w:pPr>
      <w:r w:rsidRPr="00D85AAE">
        <w:t>The Financial Management and Constitution Acts Amendment Bill 2017 lapsed when the previous Parliament</w:t>
      </w:r>
      <w:r>
        <w:t xml:space="preserve"> expired on 30 October 2018. The Government is currently analysing and assessing various options for financial management reform, which may result in proposals for legislative change. Departments will be consulted on any such proposals </w:t>
      </w:r>
      <w:r w:rsidR="00895B2A">
        <w:t>as applicable.</w:t>
      </w:r>
    </w:p>
    <w:p w14:paraId="199CD9B8" w14:textId="7FFA0CDA" w:rsidR="00E97DFC" w:rsidRPr="00D85AAE" w:rsidRDefault="00E97DFC" w:rsidP="00D85AAE">
      <w:pPr>
        <w:pStyle w:val="Heading2"/>
      </w:pPr>
      <w:r w:rsidRPr="00D85AAE">
        <w:t>Resource Management Framework</w:t>
      </w:r>
    </w:p>
    <w:p w14:paraId="456B0894" w14:textId="61F28920" w:rsidR="00E97DFC" w:rsidRPr="00DB1700" w:rsidRDefault="00E97DFC" w:rsidP="00E97DFC">
      <w:r w:rsidRPr="00DB1700">
        <w:t>The Resource Management Framework (RMF) assist</w:t>
      </w:r>
      <w:r w:rsidR="00DD24A5" w:rsidRPr="00DB1700">
        <w:t>s</w:t>
      </w:r>
      <w:r w:rsidRPr="00DB1700">
        <w:t xml:space="preserve"> Victorian Government departments in understanding the legislative and </w:t>
      </w:r>
      <w:r w:rsidR="00DD24A5" w:rsidRPr="00DB1700">
        <w:t xml:space="preserve">policies for the State’s financial management </w:t>
      </w:r>
      <w:r w:rsidRPr="00DB1700">
        <w:t xml:space="preserve">framework </w:t>
      </w:r>
      <w:r w:rsidR="00DD24A5" w:rsidRPr="00DB1700">
        <w:t>encompassing the areas of goal setting</w:t>
      </w:r>
      <w:r w:rsidR="006C5F42">
        <w:t>,</w:t>
      </w:r>
      <w:r w:rsidR="00DD24A5" w:rsidRPr="00DB1700">
        <w:t xml:space="preserve"> </w:t>
      </w:r>
      <w:r w:rsidRPr="00DB1700">
        <w:t>public sector planning, budgeting, service delivery, accountability and review</w:t>
      </w:r>
      <w:r w:rsidR="00DD24A5" w:rsidRPr="00DB1700">
        <w:t>. The RMF</w:t>
      </w:r>
      <w:r w:rsidR="00BA0863">
        <w:t xml:space="preserve"> b</w:t>
      </w:r>
      <w:r w:rsidR="00DD24A5" w:rsidRPr="00DB1700">
        <w:t>ecame</w:t>
      </w:r>
      <w:r w:rsidRPr="00DB1700">
        <w:t xml:space="preserve"> effective from 1 July 2019. The RMF </w:t>
      </w:r>
      <w:r w:rsidR="00DD24A5" w:rsidRPr="00DB1700">
        <w:t xml:space="preserve">replaced </w:t>
      </w:r>
      <w:r w:rsidRPr="00DB1700">
        <w:t xml:space="preserve">the </w:t>
      </w:r>
      <w:r w:rsidR="00DD24A5" w:rsidRPr="00DB1700">
        <w:t xml:space="preserve">former </w:t>
      </w:r>
      <w:r w:rsidRPr="00DB1700">
        <w:t xml:space="preserve">Budget Operations Framework (BOF) and the Performance Management Framework (PMF), merging the policies and procedures of these documents into a single framework document. </w:t>
      </w:r>
    </w:p>
    <w:p w14:paraId="699A261E" w14:textId="6F98237B" w:rsidR="00A1588A" w:rsidRDefault="00DB1700" w:rsidP="0045788E">
      <w:r w:rsidRPr="00DB1700">
        <w:t>As a result of further review, the Financial Reporting Operations Framework (FROF) will be retired at 30</w:t>
      </w:r>
      <w:r w:rsidR="00D85AAE">
        <w:t> </w:t>
      </w:r>
      <w:r w:rsidRPr="00DB1700">
        <w:t>June</w:t>
      </w:r>
      <w:r w:rsidR="00D85AAE">
        <w:t> </w:t>
      </w:r>
      <w:r w:rsidRPr="00DB1700">
        <w:t>2020. Some of the topics in the current FROF will be incorporated into existing Financial Reporting Directions, while other topics will be merged into the current RMF. It is anticipated that a revised RMF incorporating these changes will be issued around March-April 2020 (timing to be confirmed), with the revised RMF to take effect from 1 July 2020. Departments will be advised of the specific details when this occurs.</w:t>
      </w:r>
    </w:p>
    <w:p w14:paraId="1B97011E" w14:textId="230AEF29" w:rsidR="002921DB" w:rsidRPr="00D85AAE" w:rsidRDefault="00BC08E2" w:rsidP="00D85AAE">
      <w:pPr>
        <w:pStyle w:val="Heading2"/>
      </w:pPr>
      <w:r w:rsidRPr="00D85AAE">
        <w:t xml:space="preserve">Key financial publication dates for the State of Victoria in </w:t>
      </w:r>
      <w:r w:rsidR="00782373" w:rsidRPr="00D85AAE">
        <w:t>201</w:t>
      </w:r>
      <w:r w:rsidR="00045AE9" w:rsidRPr="00D85AAE">
        <w:t>9</w:t>
      </w:r>
      <w:r w:rsidR="00314CE6" w:rsidRPr="00D85AAE">
        <w:noBreakHyphen/>
      </w:r>
      <w:r w:rsidR="00045AE9" w:rsidRPr="00D85AAE">
        <w:t>20</w:t>
      </w:r>
      <w:r w:rsidR="00782373" w:rsidRPr="00D85AAE">
        <w:t xml:space="preserve"> </w:t>
      </w:r>
    </w:p>
    <w:p w14:paraId="0B12AC73" w14:textId="77777777" w:rsidR="00BC08E2" w:rsidRPr="00851105" w:rsidRDefault="00BC08E2" w:rsidP="00D85AAE">
      <w:r w:rsidRPr="00851105">
        <w:t>The following table shows the indicative key publication tabling dates for some of the State’s upcoming financial publications.</w:t>
      </w:r>
      <w:r w:rsidR="00782373">
        <w:t xml:space="preserve"> </w:t>
      </w:r>
    </w:p>
    <w:tbl>
      <w:tblPr>
        <w:tblStyle w:val="DTFtexttable"/>
        <w:tblW w:w="9118" w:type="dxa"/>
        <w:tblLook w:val="06A0" w:firstRow="1" w:lastRow="0" w:firstColumn="1" w:lastColumn="0" w:noHBand="1" w:noVBand="1"/>
      </w:tblPr>
      <w:tblGrid>
        <w:gridCol w:w="1137"/>
        <w:gridCol w:w="2953"/>
        <w:gridCol w:w="5028"/>
      </w:tblGrid>
      <w:tr w:rsidR="00BC08E2" w:rsidRPr="00D85AAE" w14:paraId="49F1673E" w14:textId="77777777" w:rsidTr="00D85A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7" w:type="dxa"/>
          </w:tcPr>
          <w:p w14:paraId="666E755E" w14:textId="77777777" w:rsidR="00BC08E2" w:rsidRPr="00D85AAE" w:rsidRDefault="00BC08E2" w:rsidP="00D85AAE">
            <w:pPr>
              <w:pStyle w:val="Tableheader"/>
              <w:rPr>
                <w:sz w:val="18"/>
                <w:szCs w:val="18"/>
              </w:rPr>
            </w:pPr>
            <w:r w:rsidRPr="00D85AAE">
              <w:rPr>
                <w:sz w:val="18"/>
                <w:szCs w:val="18"/>
              </w:rPr>
              <w:t>Reporting year</w:t>
            </w:r>
          </w:p>
        </w:tc>
        <w:tc>
          <w:tcPr>
            <w:tcW w:w="2953" w:type="dxa"/>
          </w:tcPr>
          <w:p w14:paraId="36997CD4" w14:textId="77777777" w:rsidR="00BC08E2" w:rsidRPr="00D85AAE" w:rsidRDefault="00BC08E2" w:rsidP="00D85AAE">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85AAE">
              <w:rPr>
                <w:sz w:val="18"/>
                <w:szCs w:val="18"/>
              </w:rPr>
              <w:t>Publication</w:t>
            </w:r>
          </w:p>
        </w:tc>
        <w:tc>
          <w:tcPr>
            <w:tcW w:w="5028" w:type="dxa"/>
          </w:tcPr>
          <w:p w14:paraId="39569726" w14:textId="77777777" w:rsidR="00BC08E2" w:rsidRPr="00D85AAE" w:rsidRDefault="00BC08E2" w:rsidP="00D85AAE">
            <w:pPr>
              <w:pStyle w:val="Tableheader"/>
              <w:cnfStyle w:val="100000000000" w:firstRow="1" w:lastRow="0" w:firstColumn="0" w:lastColumn="0" w:oddVBand="0" w:evenVBand="0" w:oddHBand="0" w:evenHBand="0" w:firstRowFirstColumn="0" w:firstRowLastColumn="0" w:lastRowFirstColumn="0" w:lastRowLastColumn="0"/>
              <w:rPr>
                <w:sz w:val="18"/>
                <w:szCs w:val="18"/>
              </w:rPr>
            </w:pPr>
            <w:r w:rsidRPr="00D85AAE">
              <w:rPr>
                <w:sz w:val="18"/>
                <w:szCs w:val="18"/>
              </w:rPr>
              <w:t xml:space="preserve">Anticipated release dates – </w:t>
            </w:r>
            <w:r w:rsidRPr="00D85AAE">
              <w:rPr>
                <w:sz w:val="18"/>
                <w:szCs w:val="18"/>
              </w:rPr>
              <w:br/>
              <w:t>actual dates to be confirmed</w:t>
            </w:r>
          </w:p>
        </w:tc>
      </w:tr>
      <w:tr w:rsidR="009D25E3" w:rsidRPr="00851105" w14:paraId="72DC395B" w14:textId="77777777" w:rsidTr="00D85AAE">
        <w:tc>
          <w:tcPr>
            <w:cnfStyle w:val="001000000000" w:firstRow="0" w:lastRow="0" w:firstColumn="1" w:lastColumn="0" w:oddVBand="0" w:evenVBand="0" w:oddHBand="0" w:evenHBand="0" w:firstRowFirstColumn="0" w:firstRowLastColumn="0" w:lastRowFirstColumn="0" w:lastRowLastColumn="0"/>
            <w:tcW w:w="1137" w:type="dxa"/>
          </w:tcPr>
          <w:p w14:paraId="4D129894" w14:textId="41ACE4F7" w:rsidR="009D25E3" w:rsidRPr="00D85AAE" w:rsidRDefault="00E55793" w:rsidP="00D85AAE">
            <w:pPr>
              <w:pStyle w:val="Tabletext"/>
            </w:pPr>
            <w:r w:rsidRPr="00D85AAE">
              <w:t>2019-20</w:t>
            </w:r>
          </w:p>
        </w:tc>
        <w:tc>
          <w:tcPr>
            <w:tcW w:w="2953" w:type="dxa"/>
          </w:tcPr>
          <w:p w14:paraId="5D74448C" w14:textId="77777777" w:rsidR="009D25E3" w:rsidRPr="00D85AAE" w:rsidRDefault="009D25E3" w:rsidP="00D85AAE">
            <w:pPr>
              <w:pStyle w:val="Tabletext"/>
              <w:cnfStyle w:val="000000000000" w:firstRow="0" w:lastRow="0" w:firstColumn="0" w:lastColumn="0" w:oddVBand="0" w:evenVBand="0" w:oddHBand="0" w:evenHBand="0" w:firstRowFirstColumn="0" w:firstRowLastColumn="0" w:lastRowFirstColumn="0" w:lastRowLastColumn="0"/>
            </w:pPr>
            <w:r w:rsidRPr="00D85AAE">
              <w:t xml:space="preserve">Mid-Year Financial Report </w:t>
            </w:r>
          </w:p>
        </w:tc>
        <w:tc>
          <w:tcPr>
            <w:tcW w:w="5028" w:type="dxa"/>
          </w:tcPr>
          <w:p w14:paraId="5076A672" w14:textId="73599F2F" w:rsidR="009D25E3" w:rsidRPr="00D85AAE" w:rsidRDefault="009D25E3" w:rsidP="00D85AAE">
            <w:pPr>
              <w:pStyle w:val="Tabletext"/>
              <w:cnfStyle w:val="000000000000" w:firstRow="0" w:lastRow="0" w:firstColumn="0" w:lastColumn="0" w:oddVBand="0" w:evenVBand="0" w:oddHBand="0" w:evenHBand="0" w:firstRowFirstColumn="0" w:firstRowLastColumn="0" w:lastRowFirstColumn="0" w:lastRowLastColumn="0"/>
            </w:pPr>
            <w:r w:rsidRPr="00D85AAE">
              <w:t>Legislative due date:</w:t>
            </w:r>
            <w:r w:rsidR="00D92740" w:rsidRPr="00D85AAE">
              <w:t xml:space="preserve"> 15 March </w:t>
            </w:r>
            <w:r w:rsidR="00E55793" w:rsidRPr="00D85AAE">
              <w:t>2020</w:t>
            </w:r>
          </w:p>
        </w:tc>
      </w:tr>
      <w:tr w:rsidR="009D25E3" w:rsidRPr="00851105" w14:paraId="67488C5B" w14:textId="77777777" w:rsidTr="00D85AAE">
        <w:tc>
          <w:tcPr>
            <w:cnfStyle w:val="001000000000" w:firstRow="0" w:lastRow="0" w:firstColumn="1" w:lastColumn="0" w:oddVBand="0" w:evenVBand="0" w:oddHBand="0" w:evenHBand="0" w:firstRowFirstColumn="0" w:firstRowLastColumn="0" w:lastRowFirstColumn="0" w:lastRowLastColumn="0"/>
            <w:tcW w:w="1137" w:type="dxa"/>
          </w:tcPr>
          <w:p w14:paraId="05913F04" w14:textId="7F3194C3" w:rsidR="009D25E3" w:rsidRPr="00D85AAE" w:rsidRDefault="00E55793" w:rsidP="00D85AAE">
            <w:pPr>
              <w:pStyle w:val="Tabletext"/>
            </w:pPr>
            <w:r w:rsidRPr="00D85AAE">
              <w:t>2020-21</w:t>
            </w:r>
            <w:r w:rsidR="009D25E3" w:rsidRPr="00D85AAE">
              <w:t xml:space="preserve"> </w:t>
            </w:r>
          </w:p>
        </w:tc>
        <w:tc>
          <w:tcPr>
            <w:tcW w:w="2953" w:type="dxa"/>
          </w:tcPr>
          <w:p w14:paraId="302B1FBF" w14:textId="3EDAD6B4" w:rsidR="009D25E3" w:rsidRPr="00D85AAE" w:rsidRDefault="00890E77" w:rsidP="00D85AAE">
            <w:pPr>
              <w:pStyle w:val="Tabletext"/>
              <w:cnfStyle w:val="000000000000" w:firstRow="0" w:lastRow="0" w:firstColumn="0" w:lastColumn="0" w:oddVBand="0" w:evenVBand="0" w:oddHBand="0" w:evenHBand="0" w:firstRowFirstColumn="0" w:firstRowLastColumn="0" w:lastRowFirstColumn="0" w:lastRowLastColumn="0"/>
            </w:pPr>
            <w:r w:rsidRPr="00D85AAE">
              <w:t>Budget p</w:t>
            </w:r>
            <w:r w:rsidR="009D25E3" w:rsidRPr="00D85AAE">
              <w:t xml:space="preserve">apers </w:t>
            </w:r>
          </w:p>
        </w:tc>
        <w:tc>
          <w:tcPr>
            <w:tcW w:w="5028" w:type="dxa"/>
          </w:tcPr>
          <w:p w14:paraId="016DAB12" w14:textId="681981F4" w:rsidR="009D25E3" w:rsidRPr="00D85AAE" w:rsidRDefault="009D25E3" w:rsidP="00D85AAE">
            <w:pPr>
              <w:pStyle w:val="Tabletext"/>
              <w:cnfStyle w:val="000000000000" w:firstRow="0" w:lastRow="0" w:firstColumn="0" w:lastColumn="0" w:oddVBand="0" w:evenVBand="0" w:oddHBand="0" w:evenHBand="0" w:firstRowFirstColumn="0" w:firstRowLastColumn="0" w:lastRowFirstColumn="0" w:lastRowLastColumn="0"/>
            </w:pPr>
            <w:r w:rsidRPr="00D85AAE">
              <w:t>Anticipated date:</w:t>
            </w:r>
            <w:r w:rsidR="00D85AAE">
              <w:t xml:space="preserve"> </w:t>
            </w:r>
            <w:r w:rsidR="00E55793" w:rsidRPr="00D85AAE">
              <w:t>5 May 2020</w:t>
            </w:r>
          </w:p>
        </w:tc>
      </w:tr>
      <w:tr w:rsidR="00573324" w:rsidRPr="00851105" w14:paraId="14353E67" w14:textId="77777777" w:rsidTr="00D85AAE">
        <w:tc>
          <w:tcPr>
            <w:cnfStyle w:val="001000000000" w:firstRow="0" w:lastRow="0" w:firstColumn="1" w:lastColumn="0" w:oddVBand="0" w:evenVBand="0" w:oddHBand="0" w:evenHBand="0" w:firstRowFirstColumn="0" w:firstRowLastColumn="0" w:lastRowFirstColumn="0" w:lastRowLastColumn="0"/>
            <w:tcW w:w="1137" w:type="dxa"/>
          </w:tcPr>
          <w:p w14:paraId="653D6F73" w14:textId="183CF54C" w:rsidR="00573324" w:rsidRPr="00D85AAE" w:rsidRDefault="00E55793" w:rsidP="00D85AAE">
            <w:pPr>
              <w:pStyle w:val="Tabletext"/>
            </w:pPr>
            <w:r w:rsidRPr="00D85AAE">
              <w:t>2020-21</w:t>
            </w:r>
          </w:p>
        </w:tc>
        <w:tc>
          <w:tcPr>
            <w:tcW w:w="2953" w:type="dxa"/>
          </w:tcPr>
          <w:p w14:paraId="00E985C5" w14:textId="77777777" w:rsidR="00573324" w:rsidRPr="00D85AAE" w:rsidRDefault="00573324" w:rsidP="00D85AAE">
            <w:pPr>
              <w:pStyle w:val="Tabletext"/>
              <w:cnfStyle w:val="000000000000" w:firstRow="0" w:lastRow="0" w:firstColumn="0" w:lastColumn="0" w:oddVBand="0" w:evenVBand="0" w:oddHBand="0" w:evenHBand="0" w:firstRowFirstColumn="0" w:firstRowLastColumn="0" w:lastRowFirstColumn="0" w:lastRowLastColumn="0"/>
            </w:pPr>
            <w:r w:rsidRPr="00D85AAE">
              <w:t xml:space="preserve">March Quarterly Financial Report </w:t>
            </w:r>
          </w:p>
        </w:tc>
        <w:tc>
          <w:tcPr>
            <w:tcW w:w="5028" w:type="dxa"/>
          </w:tcPr>
          <w:p w14:paraId="19BD74C4" w14:textId="260E51F0" w:rsidR="00573324" w:rsidRPr="00D85AAE" w:rsidRDefault="004568BD" w:rsidP="00D85AAE">
            <w:pPr>
              <w:pStyle w:val="Tabletext"/>
              <w:cnfStyle w:val="000000000000" w:firstRow="0" w:lastRow="0" w:firstColumn="0" w:lastColumn="0" w:oddVBand="0" w:evenVBand="0" w:oddHBand="0" w:evenHBand="0" w:firstRowFirstColumn="0" w:firstRowLastColumn="0" w:lastRowFirstColumn="0" w:lastRowLastColumn="0"/>
            </w:pPr>
            <w:r w:rsidRPr="00D85AAE">
              <w:t>Anticipated date</w:t>
            </w:r>
            <w:r w:rsidR="00573324" w:rsidRPr="00D85AAE">
              <w:t>:</w:t>
            </w:r>
            <w:r w:rsidR="00D85AAE">
              <w:t xml:space="preserve"> </w:t>
            </w:r>
            <w:r w:rsidR="00E55793" w:rsidRPr="00D85AAE">
              <w:t>5 May 2020</w:t>
            </w:r>
            <w:r w:rsidR="00573324" w:rsidRPr="00D85AAE">
              <w:t xml:space="preserve">. </w:t>
            </w:r>
            <w:r w:rsidR="004C3A2C" w:rsidRPr="00D85AAE">
              <w:t>I</w:t>
            </w:r>
            <w:r w:rsidR="00890E77" w:rsidRPr="00D85AAE">
              <w:t>ncluded in the Budget papers</w:t>
            </w:r>
          </w:p>
        </w:tc>
      </w:tr>
      <w:tr w:rsidR="009D25E3" w:rsidRPr="00851105" w14:paraId="6A7D42F2" w14:textId="77777777" w:rsidTr="00D85AAE">
        <w:tc>
          <w:tcPr>
            <w:cnfStyle w:val="001000000000" w:firstRow="0" w:lastRow="0" w:firstColumn="1" w:lastColumn="0" w:oddVBand="0" w:evenVBand="0" w:oddHBand="0" w:evenHBand="0" w:firstRowFirstColumn="0" w:firstRowLastColumn="0" w:lastRowFirstColumn="0" w:lastRowLastColumn="0"/>
            <w:tcW w:w="1137" w:type="dxa"/>
          </w:tcPr>
          <w:p w14:paraId="59A7A110" w14:textId="3C7420A9" w:rsidR="009D25E3" w:rsidRPr="00D85AAE" w:rsidRDefault="00E55793" w:rsidP="00D85AAE">
            <w:pPr>
              <w:pStyle w:val="Tabletext"/>
            </w:pPr>
            <w:r w:rsidRPr="00D85AAE">
              <w:t>2019-20</w:t>
            </w:r>
          </w:p>
        </w:tc>
        <w:tc>
          <w:tcPr>
            <w:tcW w:w="2953" w:type="dxa"/>
          </w:tcPr>
          <w:p w14:paraId="0EDAC862" w14:textId="77777777" w:rsidR="009D25E3" w:rsidRPr="00D85AAE" w:rsidRDefault="009D25E3" w:rsidP="00D85AAE">
            <w:pPr>
              <w:pStyle w:val="Tabletext"/>
              <w:cnfStyle w:val="000000000000" w:firstRow="0" w:lastRow="0" w:firstColumn="0" w:lastColumn="0" w:oddVBand="0" w:evenVBand="0" w:oddHBand="0" w:evenHBand="0" w:firstRowFirstColumn="0" w:firstRowLastColumn="0" w:lastRowFirstColumn="0" w:lastRowLastColumn="0"/>
            </w:pPr>
            <w:r w:rsidRPr="00D85AAE">
              <w:t xml:space="preserve">Annual Financial Report </w:t>
            </w:r>
          </w:p>
        </w:tc>
        <w:tc>
          <w:tcPr>
            <w:tcW w:w="5028" w:type="dxa"/>
          </w:tcPr>
          <w:p w14:paraId="7A46000F" w14:textId="47135498" w:rsidR="009D25E3" w:rsidRPr="00D85AAE" w:rsidRDefault="009D25E3" w:rsidP="00D85AAE">
            <w:pPr>
              <w:pStyle w:val="Tabletext"/>
              <w:cnfStyle w:val="000000000000" w:firstRow="0" w:lastRow="0" w:firstColumn="0" w:lastColumn="0" w:oddVBand="0" w:evenVBand="0" w:oddHBand="0" w:evenHBand="0" w:firstRowFirstColumn="0" w:firstRowLastColumn="0" w:lastRowFirstColumn="0" w:lastRowLastColumn="0"/>
            </w:pPr>
            <w:r w:rsidRPr="00D85AAE">
              <w:t>Legislative due date:</w:t>
            </w:r>
            <w:r w:rsidR="00D92740" w:rsidRPr="00D85AAE">
              <w:t xml:space="preserve">15 October </w:t>
            </w:r>
            <w:r w:rsidR="00E55793" w:rsidRPr="00D85AAE">
              <w:t>2020</w:t>
            </w:r>
          </w:p>
        </w:tc>
      </w:tr>
      <w:tr w:rsidR="00C4692E" w:rsidRPr="00851105" w14:paraId="3BD9CE41" w14:textId="77777777" w:rsidTr="00D85AAE">
        <w:tc>
          <w:tcPr>
            <w:cnfStyle w:val="001000000000" w:firstRow="0" w:lastRow="0" w:firstColumn="1" w:lastColumn="0" w:oddVBand="0" w:evenVBand="0" w:oddHBand="0" w:evenHBand="0" w:firstRowFirstColumn="0" w:firstRowLastColumn="0" w:lastRowFirstColumn="0" w:lastRowLastColumn="0"/>
            <w:tcW w:w="1137" w:type="dxa"/>
          </w:tcPr>
          <w:p w14:paraId="466C68D3" w14:textId="2924346B" w:rsidR="00C4692E" w:rsidRPr="00D85AAE" w:rsidDel="00E55793" w:rsidRDefault="00C4692E" w:rsidP="00D85AAE">
            <w:pPr>
              <w:pStyle w:val="Tabletext"/>
            </w:pPr>
            <w:r w:rsidRPr="00D85AAE">
              <w:t xml:space="preserve">2019-20 </w:t>
            </w:r>
          </w:p>
        </w:tc>
        <w:tc>
          <w:tcPr>
            <w:tcW w:w="2953" w:type="dxa"/>
          </w:tcPr>
          <w:p w14:paraId="47FE3C12" w14:textId="6CFBC642" w:rsidR="00C4692E" w:rsidRPr="00D85AAE" w:rsidRDefault="00C4692E" w:rsidP="00D85AAE">
            <w:pPr>
              <w:pStyle w:val="Tabletext"/>
              <w:cnfStyle w:val="000000000000" w:firstRow="0" w:lastRow="0" w:firstColumn="0" w:lastColumn="0" w:oddVBand="0" w:evenVBand="0" w:oddHBand="0" w:evenHBand="0" w:firstRowFirstColumn="0" w:firstRowLastColumn="0" w:lastRowFirstColumn="0" w:lastRowLastColumn="0"/>
            </w:pPr>
            <w:r w:rsidRPr="00D85AAE">
              <w:t>Department and entity reporting</w:t>
            </w:r>
          </w:p>
        </w:tc>
        <w:tc>
          <w:tcPr>
            <w:tcW w:w="5028" w:type="dxa"/>
          </w:tcPr>
          <w:p w14:paraId="7F535B12" w14:textId="11F1C691" w:rsidR="00C4692E" w:rsidRPr="00D85AAE" w:rsidRDefault="00C4692E" w:rsidP="00D85AAE">
            <w:pPr>
              <w:pStyle w:val="Tabletext"/>
              <w:cnfStyle w:val="000000000000" w:firstRow="0" w:lastRow="0" w:firstColumn="0" w:lastColumn="0" w:oddVBand="0" w:evenVBand="0" w:oddHBand="0" w:evenHBand="0" w:firstRowFirstColumn="0" w:firstRowLastColumn="0" w:lastRowFirstColumn="0" w:lastRowLastColumn="0"/>
            </w:pPr>
            <w:r w:rsidRPr="00D85AAE">
              <w:t>Legislated due date: 31 October 2020. Entities are encouraged to table their annual reports prior to the legislated due date.</w:t>
            </w:r>
          </w:p>
        </w:tc>
      </w:tr>
      <w:tr w:rsidR="00C4692E" w:rsidRPr="00851105" w14:paraId="0C82CB7B" w14:textId="77777777" w:rsidTr="00D85AAE">
        <w:tc>
          <w:tcPr>
            <w:cnfStyle w:val="001000000000" w:firstRow="0" w:lastRow="0" w:firstColumn="1" w:lastColumn="0" w:oddVBand="0" w:evenVBand="0" w:oddHBand="0" w:evenHBand="0" w:firstRowFirstColumn="0" w:firstRowLastColumn="0" w:lastRowFirstColumn="0" w:lastRowLastColumn="0"/>
            <w:tcW w:w="1137" w:type="dxa"/>
          </w:tcPr>
          <w:p w14:paraId="627E35B9" w14:textId="736D89F6" w:rsidR="00C4692E" w:rsidRPr="00D85AAE" w:rsidRDefault="00C4692E" w:rsidP="00D85AAE">
            <w:pPr>
              <w:pStyle w:val="Tabletext"/>
            </w:pPr>
            <w:r w:rsidRPr="00D85AAE">
              <w:t>2020-21</w:t>
            </w:r>
          </w:p>
        </w:tc>
        <w:tc>
          <w:tcPr>
            <w:tcW w:w="2953" w:type="dxa"/>
          </w:tcPr>
          <w:p w14:paraId="1EDFE50F" w14:textId="65C70BD5" w:rsidR="00C4692E" w:rsidRPr="00D85AAE" w:rsidRDefault="00C4692E" w:rsidP="00D85AAE">
            <w:pPr>
              <w:pStyle w:val="Tabletext"/>
              <w:cnfStyle w:val="000000000000" w:firstRow="0" w:lastRow="0" w:firstColumn="0" w:lastColumn="0" w:oddVBand="0" w:evenVBand="0" w:oddHBand="0" w:evenHBand="0" w:firstRowFirstColumn="0" w:firstRowLastColumn="0" w:lastRowFirstColumn="0" w:lastRowLastColumn="0"/>
            </w:pPr>
            <w:r w:rsidRPr="00D85AAE">
              <w:t>September Quarterly Financial Report</w:t>
            </w:r>
          </w:p>
        </w:tc>
        <w:tc>
          <w:tcPr>
            <w:tcW w:w="5028" w:type="dxa"/>
          </w:tcPr>
          <w:p w14:paraId="0E6324AD" w14:textId="20972E39" w:rsidR="00C4692E" w:rsidRPr="00D85AAE" w:rsidRDefault="00C4692E" w:rsidP="00D85AAE">
            <w:pPr>
              <w:pStyle w:val="Tabletext"/>
              <w:cnfStyle w:val="000000000000" w:firstRow="0" w:lastRow="0" w:firstColumn="0" w:lastColumn="0" w:oddVBand="0" w:evenVBand="0" w:oddHBand="0" w:evenHBand="0" w:firstRowFirstColumn="0" w:firstRowLastColumn="0" w:lastRowFirstColumn="0" w:lastRowLastColumn="0"/>
            </w:pPr>
            <w:r w:rsidRPr="00D85AAE">
              <w:t>Legislative due date:15 November 2020</w:t>
            </w:r>
            <w:r w:rsidR="004C3A2C" w:rsidRPr="00D85AAE">
              <w:t xml:space="preserve">. </w:t>
            </w:r>
          </w:p>
        </w:tc>
      </w:tr>
      <w:tr w:rsidR="00C4692E" w:rsidRPr="00851105" w14:paraId="3340487B" w14:textId="77777777" w:rsidTr="00D85AAE">
        <w:tc>
          <w:tcPr>
            <w:cnfStyle w:val="001000000000" w:firstRow="0" w:lastRow="0" w:firstColumn="1" w:lastColumn="0" w:oddVBand="0" w:evenVBand="0" w:oddHBand="0" w:evenHBand="0" w:firstRowFirstColumn="0" w:firstRowLastColumn="0" w:lastRowFirstColumn="0" w:lastRowLastColumn="0"/>
            <w:tcW w:w="1137" w:type="dxa"/>
          </w:tcPr>
          <w:p w14:paraId="01097587" w14:textId="6248B457" w:rsidR="00C4692E" w:rsidRPr="00D85AAE" w:rsidDel="00E55793" w:rsidRDefault="00C4692E" w:rsidP="00D85AAE">
            <w:pPr>
              <w:pStyle w:val="Tabletext"/>
            </w:pPr>
            <w:r w:rsidRPr="00D85AAE">
              <w:t>2020-21</w:t>
            </w:r>
          </w:p>
        </w:tc>
        <w:tc>
          <w:tcPr>
            <w:tcW w:w="2953" w:type="dxa"/>
          </w:tcPr>
          <w:p w14:paraId="62EE6CF8" w14:textId="1F1F26CE" w:rsidR="00C4692E" w:rsidRPr="00D85AAE" w:rsidRDefault="00C4692E" w:rsidP="00D85AAE">
            <w:pPr>
              <w:pStyle w:val="Tabletext"/>
              <w:cnfStyle w:val="000000000000" w:firstRow="0" w:lastRow="0" w:firstColumn="0" w:lastColumn="0" w:oddVBand="0" w:evenVBand="0" w:oddHBand="0" w:evenHBand="0" w:firstRowFirstColumn="0" w:firstRowLastColumn="0" w:lastRowFirstColumn="0" w:lastRowLastColumn="0"/>
            </w:pPr>
            <w:r w:rsidRPr="00D85AAE">
              <w:t xml:space="preserve">Budget Update </w:t>
            </w:r>
          </w:p>
        </w:tc>
        <w:tc>
          <w:tcPr>
            <w:tcW w:w="5028" w:type="dxa"/>
          </w:tcPr>
          <w:p w14:paraId="6FD75762" w14:textId="3B71EAE4" w:rsidR="00C4692E" w:rsidRPr="00D85AAE" w:rsidRDefault="00C4692E" w:rsidP="00D85AAE">
            <w:pPr>
              <w:pStyle w:val="Tabletext"/>
              <w:cnfStyle w:val="000000000000" w:firstRow="0" w:lastRow="0" w:firstColumn="0" w:lastColumn="0" w:oddVBand="0" w:evenVBand="0" w:oddHBand="0" w:evenHBand="0" w:firstRowFirstColumn="0" w:firstRowLastColumn="0" w:lastRowFirstColumn="0" w:lastRowLastColumn="0"/>
            </w:pPr>
            <w:r w:rsidRPr="00D85AAE">
              <w:t>Legislative due date:15 December 2020</w:t>
            </w:r>
          </w:p>
        </w:tc>
      </w:tr>
    </w:tbl>
    <w:p w14:paraId="715ACACB" w14:textId="77777777" w:rsidR="00E97DFC" w:rsidRDefault="00E97DFC" w:rsidP="00E97DFC">
      <w:bookmarkStart w:id="14" w:name="_Toc424822616"/>
      <w:bookmarkStart w:id="15" w:name="_Toc452724752"/>
    </w:p>
    <w:p w14:paraId="3E6719D6" w14:textId="049F287B" w:rsidR="00E97DFC" w:rsidRDefault="00E97DFC" w:rsidP="003C3DCB">
      <w:pPr>
        <w:pStyle w:val="Heading1"/>
      </w:pPr>
      <w:bookmarkStart w:id="16" w:name="_Toc33614833"/>
      <w:r w:rsidRPr="003B48DB">
        <w:lastRenderedPageBreak/>
        <w:t>Net debt impacts</w:t>
      </w:r>
      <w:r w:rsidR="001F2EA6">
        <w:t xml:space="preserve"> of new accounting standards</w:t>
      </w:r>
      <w:bookmarkEnd w:id="16"/>
      <w:r w:rsidR="001F2EA6">
        <w:t xml:space="preserve"> </w:t>
      </w:r>
    </w:p>
    <w:p w14:paraId="645E204C" w14:textId="054424E8" w:rsidR="004E13FA" w:rsidRPr="004E13FA" w:rsidRDefault="00826C3D" w:rsidP="00D85AAE">
      <w:pPr>
        <w:pStyle w:val="Heading2"/>
      </w:pPr>
      <w:r>
        <w:t xml:space="preserve">Lease </w:t>
      </w:r>
      <w:r w:rsidR="00D85AAE">
        <w:t>liabilities</w:t>
      </w:r>
    </w:p>
    <w:p w14:paraId="0D5A2B9B" w14:textId="646D9CCE" w:rsidR="00306938" w:rsidRPr="00306938" w:rsidRDefault="00306938" w:rsidP="00306938">
      <w:r>
        <w:t xml:space="preserve">The introduction of </w:t>
      </w:r>
      <w:r w:rsidR="00985A21">
        <w:t>AASB </w:t>
      </w:r>
      <w:r w:rsidRPr="00306938">
        <w:t>16</w:t>
      </w:r>
      <w:r>
        <w:t xml:space="preserve"> </w:t>
      </w:r>
      <w:r w:rsidRPr="00D85AAE">
        <w:rPr>
          <w:i/>
          <w:iCs/>
        </w:rPr>
        <w:t>Leases</w:t>
      </w:r>
      <w:r>
        <w:t xml:space="preserve"> resulted in </w:t>
      </w:r>
      <w:r w:rsidR="00C61F58">
        <w:t xml:space="preserve">most </w:t>
      </w:r>
      <w:r>
        <w:t xml:space="preserve">operating leases being recognised as borrowings on the State’s balance sheet, in turn impacting net debt. Net debt is a crucial key fiscal aggregate for the State. Due to this borrowing lease limits have been imposed to ensure monitoring and control in relation to key fiscal targets. These limits were set based on the </w:t>
      </w:r>
      <w:r w:rsidRPr="00D85AAE">
        <w:rPr>
          <w:i/>
          <w:iCs/>
        </w:rPr>
        <w:t>2019-20 Budget</w:t>
      </w:r>
      <w:r>
        <w:t xml:space="preserve"> and will be reviewed as part of the annual borrowing approval process.</w:t>
      </w:r>
    </w:p>
    <w:p w14:paraId="57479D0B" w14:textId="6DE88ED1" w:rsidR="00306938" w:rsidRDefault="00306938" w:rsidP="00306938">
      <w:r>
        <w:t xml:space="preserve">Entities need to closely monitor the value of their lease portfolio to ensure that borrowings are maintained within their total limit. Entities can enter new leases or change current lease arrangements provided that they both have a limit allocated to them and that the accounting value of total leases does not exceed the total </w:t>
      </w:r>
      <w:r w:rsidR="00C61F58">
        <w:t xml:space="preserve">portfolio </w:t>
      </w:r>
      <w:r>
        <w:t>limit over current and forward estimates.</w:t>
      </w:r>
    </w:p>
    <w:p w14:paraId="19FCAF6B" w14:textId="1BCEDA30" w:rsidR="00901746" w:rsidRDefault="00901746" w:rsidP="00306938">
      <w:r>
        <w:t>Any queries regarding the lease liability limit policy should be directed to Stephanie Braun in Balance Sheet Management on 7005 9266 or via email (</w:t>
      </w:r>
      <w:hyperlink r:id="rId29" w:history="1">
        <w:r w:rsidRPr="00306938">
          <w:t>stephanie.braun@dtf.vic.gov.au</w:t>
        </w:r>
      </w:hyperlink>
      <w:r>
        <w:t>)</w:t>
      </w:r>
      <w:r w:rsidR="00296E1B">
        <w:t xml:space="preserve"> and any queries on the estimates update process </w:t>
      </w:r>
      <w:r w:rsidR="00695775">
        <w:t>should be directed to t</w:t>
      </w:r>
      <w:r w:rsidR="003B48DB">
        <w:t xml:space="preserve">he relevant Portfolio Analysis Relationship </w:t>
      </w:r>
      <w:r w:rsidR="00D85AAE">
        <w:t>Manager</w:t>
      </w:r>
      <w:r w:rsidR="003B48DB">
        <w:t>.</w:t>
      </w:r>
    </w:p>
    <w:p w14:paraId="1456FBB7" w14:textId="640125EA" w:rsidR="00E97DFC" w:rsidRDefault="00826C3D" w:rsidP="00D85AAE">
      <w:pPr>
        <w:pStyle w:val="Heading2"/>
      </w:pPr>
      <w:r w:rsidRPr="00826C3D">
        <w:t xml:space="preserve">Service </w:t>
      </w:r>
      <w:r w:rsidR="00D85AAE" w:rsidRPr="00826C3D">
        <w:t>concession arrangements</w:t>
      </w:r>
    </w:p>
    <w:p w14:paraId="559D339C" w14:textId="45509304" w:rsidR="00077102" w:rsidRDefault="00077102" w:rsidP="00D85AAE">
      <w:r w:rsidRPr="00532B2D">
        <w:t xml:space="preserve">Prior to the issuance of </w:t>
      </w:r>
      <w:r w:rsidR="00985A21">
        <w:t>AASB </w:t>
      </w:r>
      <w:r w:rsidRPr="00532B2D">
        <w:t xml:space="preserve">1059, there was no definitive accounting guidance in Australia for service concession arrangements, which include several PPP arrangements. The </w:t>
      </w:r>
      <w:r w:rsidR="00985A21">
        <w:t>AASB </w:t>
      </w:r>
      <w:r w:rsidRPr="00532B2D">
        <w:t xml:space="preserve">issued the new </w:t>
      </w:r>
      <w:r w:rsidR="0009584F" w:rsidRPr="00532B2D">
        <w:t xml:space="preserve">standard </w:t>
      </w:r>
      <w:r w:rsidRPr="00532B2D">
        <w:t>to address the lack of specific accounting guidance.</w:t>
      </w:r>
    </w:p>
    <w:p w14:paraId="1352B54B" w14:textId="5113FB01" w:rsidR="00077102" w:rsidRPr="00532B2D" w:rsidRDefault="00077102" w:rsidP="00D85AAE">
      <w:r>
        <w:t xml:space="preserve">For arrangements that are assessed to be within the scope of </w:t>
      </w:r>
      <w:r w:rsidR="00985A21">
        <w:t>AASB </w:t>
      </w:r>
      <w:r>
        <w:t>1059, the impacts reflected in the Financial Statements are as follows:</w:t>
      </w:r>
    </w:p>
    <w:p w14:paraId="0AD1C689" w14:textId="7DE6A116" w:rsidR="00077102" w:rsidRPr="00532B2D" w:rsidRDefault="0009584F" w:rsidP="00D85AAE">
      <w:pPr>
        <w:pStyle w:val="Bullet1"/>
      </w:pPr>
      <w:r w:rsidRPr="00532B2D">
        <w:t xml:space="preserve">for </w:t>
      </w:r>
      <w:r w:rsidR="00077102">
        <w:t xml:space="preserve">certain </w:t>
      </w:r>
      <w:r w:rsidR="00077102" w:rsidRPr="00532B2D">
        <w:t>availability-based PPPs (predominantly social infrastructure), the new standard requires the recognition of a service concession asset and a financial liability progressively over its construction term. The financial liability recognition increases the net debt fiscal aggregate</w:t>
      </w:r>
      <w:r>
        <w:t>; and</w:t>
      </w:r>
    </w:p>
    <w:p w14:paraId="2CBA2799" w14:textId="20A6EFC2" w:rsidR="00077102" w:rsidRPr="00532B2D" w:rsidRDefault="0009584F" w:rsidP="00D85AAE">
      <w:pPr>
        <w:pStyle w:val="Bullet1"/>
      </w:pPr>
      <w:r w:rsidRPr="00532B2D">
        <w:t xml:space="preserve">for </w:t>
      </w:r>
      <w:r w:rsidR="00077102" w:rsidRPr="00532B2D">
        <w:t xml:space="preserve">economic PPP arrangements (i.e. user pays arrangements such as toll roads) that are currently not recognised on the State’s balance sheet, </w:t>
      </w:r>
      <w:r w:rsidR="00985A21">
        <w:t>AASB </w:t>
      </w:r>
      <w:r w:rsidR="00077102" w:rsidRPr="00532B2D">
        <w:t xml:space="preserve">1059 requires the recognition of the asset and a corresponding ‘accrued revenue’ liability (referred to as the ‘Grant of Right to </w:t>
      </w:r>
      <w:r w:rsidR="00077102">
        <w:t xml:space="preserve">the </w:t>
      </w:r>
      <w:r w:rsidR="00077102" w:rsidRPr="00532B2D">
        <w:t>Operat</w:t>
      </w:r>
      <w:r w:rsidR="00077102">
        <w:t>or’</w:t>
      </w:r>
      <w:r w:rsidR="00077102" w:rsidRPr="00532B2D">
        <w:t xml:space="preserve"> liability) that will not have an impact on the net debt aggregate. The accrued revenue is recognised over the remaining service concession term, whereas the assets are depreciated over their useful lives.</w:t>
      </w:r>
    </w:p>
    <w:p w14:paraId="0F698334" w14:textId="4CA401F7" w:rsidR="00E97DFC" w:rsidRPr="00D85AAE" w:rsidRDefault="00E97DFC" w:rsidP="00D85AAE">
      <w:pPr>
        <w:pStyle w:val="Heading2"/>
      </w:pPr>
      <w:bookmarkStart w:id="17" w:name="_Hlk28868802"/>
      <w:bookmarkStart w:id="18" w:name="_Hlk33428736"/>
      <w:r w:rsidRPr="00D85AAE">
        <w:t>C</w:t>
      </w:r>
      <w:r w:rsidR="008C4381" w:rsidRPr="00D85AAE">
        <w:t>entralised Accommodation Management</w:t>
      </w:r>
      <w:bookmarkEnd w:id="14"/>
      <w:bookmarkEnd w:id="15"/>
    </w:p>
    <w:p w14:paraId="56C552D6" w14:textId="659BC572" w:rsidR="00E70BF4" w:rsidRPr="001E5470" w:rsidRDefault="0088532E" w:rsidP="00D85AAE">
      <w:r w:rsidRPr="001E5470">
        <w:t>In October 2019, DTF’s Shared Service Provider (SSP) commenced a phased transition to the C</w:t>
      </w:r>
      <w:r w:rsidR="00747542" w:rsidRPr="001E5470">
        <w:t>entralised Accommodation Management (CA</w:t>
      </w:r>
      <w:r w:rsidRPr="001E5470">
        <w:t>M</w:t>
      </w:r>
      <w:r w:rsidR="00747542" w:rsidRPr="001E5470">
        <w:t>)</w:t>
      </w:r>
      <w:r w:rsidRPr="001E5470">
        <w:t xml:space="preserve"> model</w:t>
      </w:r>
      <w:r w:rsidR="00E70BF4" w:rsidRPr="001E5470">
        <w:t>. From this date all SSP clients are mandated to use SSP office accommodation management services (including real estate, facilities, projects and security) in all locations (CBD, metropolitan and regional areas).</w:t>
      </w:r>
    </w:p>
    <w:p w14:paraId="0DC4CA5A" w14:textId="272AB578" w:rsidR="0088532E" w:rsidRPr="001E5470" w:rsidRDefault="0059590A" w:rsidP="0088532E">
      <w:r w:rsidRPr="001E5470">
        <w:t>Since 1 July 2019, property leases have been recorded as both right of use asset</w:t>
      </w:r>
      <w:r w:rsidR="008C4381" w:rsidRPr="001E5470">
        <w:t xml:space="preserve"> (ROU)</w:t>
      </w:r>
      <w:r w:rsidRPr="001E5470">
        <w:t xml:space="preserve"> and an associated ROU liability by each CAM department or agency. With the transfer of control of these under CAM to DTF, these must be derecognised </w:t>
      </w:r>
      <w:r w:rsidR="009A5705" w:rsidRPr="001E5470">
        <w:t>by</w:t>
      </w:r>
      <w:r w:rsidRPr="001E5470">
        <w:t xml:space="preserve"> departments and recognise</w:t>
      </w:r>
      <w:r w:rsidR="009A5705" w:rsidRPr="001E5470">
        <w:t>d by</w:t>
      </w:r>
      <w:r w:rsidRPr="001E5470">
        <w:t xml:space="preserve"> DTF as at 1 November 2019. The transfer of these leased assets and associated liabilities have been approved to be designated as a transfer of capital contribution from 1 November 2019 under FRD 119 5(d).</w:t>
      </w:r>
    </w:p>
    <w:p w14:paraId="7F15A981" w14:textId="6751C476" w:rsidR="00747542" w:rsidRPr="001E5470" w:rsidRDefault="008C4381" w:rsidP="0088532E">
      <w:r w:rsidRPr="001E5470">
        <w:t xml:space="preserve">DTF have recorded these at the exact value departments de-recognised at 31 October 2019. SSP </w:t>
      </w:r>
      <w:r w:rsidR="00632A4B" w:rsidRPr="001E5470">
        <w:t>are following</w:t>
      </w:r>
      <w:r w:rsidRPr="001E5470">
        <w:t xml:space="preserve"> the same assumptions for the November movement journal under </w:t>
      </w:r>
      <w:r w:rsidR="00985A21">
        <w:t>AASB </w:t>
      </w:r>
      <w:r w:rsidRPr="001E5470">
        <w:t xml:space="preserve">16 as departments </w:t>
      </w:r>
      <w:r w:rsidR="00E54D20" w:rsidRPr="001E5470">
        <w:t>used and</w:t>
      </w:r>
      <w:r w:rsidR="00632A4B" w:rsidRPr="001E5470">
        <w:t xml:space="preserve"> are</w:t>
      </w:r>
      <w:r w:rsidRPr="001E5470">
        <w:t xml:space="preserve"> analys</w:t>
      </w:r>
      <w:r w:rsidR="00632A4B" w:rsidRPr="001E5470">
        <w:t>ing</w:t>
      </w:r>
      <w:r w:rsidRPr="001E5470">
        <w:t xml:space="preserve"> where entities have used differing assumptions on lease term/options/holdovers.</w:t>
      </w:r>
    </w:p>
    <w:p w14:paraId="1997EBED" w14:textId="3C919314" w:rsidR="008C4381" w:rsidRPr="001E5470" w:rsidRDefault="007D5F98" w:rsidP="0088532E">
      <w:r w:rsidRPr="001E5470">
        <w:t>DTF</w:t>
      </w:r>
      <w:r w:rsidR="00D1757C" w:rsidRPr="001E5470">
        <w:t xml:space="preserve"> are</w:t>
      </w:r>
      <w:r w:rsidR="00251085" w:rsidRPr="001E5470">
        <w:t xml:space="preserve"> currently </w:t>
      </w:r>
      <w:r w:rsidR="00D1757C" w:rsidRPr="001E5470">
        <w:t>working through the following:</w:t>
      </w:r>
    </w:p>
    <w:p w14:paraId="0CEBC0BB" w14:textId="7848AF46" w:rsidR="0059590A" w:rsidRDefault="005F777C" w:rsidP="00D85AAE">
      <w:pPr>
        <w:pStyle w:val="Bullet1"/>
      </w:pPr>
      <w:r w:rsidRPr="001E5470">
        <w:t xml:space="preserve">Department </w:t>
      </w:r>
      <w:r w:rsidR="00C61F58">
        <w:t xml:space="preserve">reporting implications re: </w:t>
      </w:r>
      <w:r w:rsidRPr="001E5470">
        <w:t>use of space –</w:t>
      </w:r>
      <w:r w:rsidR="00522937">
        <w:t xml:space="preserve"> t</w:t>
      </w:r>
      <w:r w:rsidRPr="001E5470">
        <w:t xml:space="preserve">hese </w:t>
      </w:r>
      <w:r w:rsidR="00C61F58">
        <w:t>will be</w:t>
      </w:r>
      <w:r w:rsidRPr="001E5470">
        <w:t xml:space="preserve"> dependent on the rights the occupant has under CAM and these will be specified in an occupancy agreement for the space that departments occupy.</w:t>
      </w:r>
      <w:r w:rsidR="00CF7E3A">
        <w:t xml:space="preserve"> </w:t>
      </w:r>
      <w:r w:rsidRPr="001E5470">
        <w:t xml:space="preserve">The occupancy agreement is </w:t>
      </w:r>
      <w:r w:rsidR="00A03788">
        <w:t>currently in the process of being finalised</w:t>
      </w:r>
      <w:r w:rsidRPr="001E5470">
        <w:t>.</w:t>
      </w:r>
      <w:bookmarkEnd w:id="17"/>
      <w:r w:rsidR="00C61F58">
        <w:t xml:space="preserve"> Further advice will follow in due course.</w:t>
      </w:r>
    </w:p>
    <w:p w14:paraId="0E83393A" w14:textId="5B7225F2" w:rsidR="005B66EA" w:rsidRPr="005B66EA" w:rsidRDefault="005B66EA" w:rsidP="00D85AAE">
      <w:pPr>
        <w:pStyle w:val="Bullet1"/>
      </w:pPr>
      <w:r>
        <w:lastRenderedPageBreak/>
        <w:t>F</w:t>
      </w:r>
      <w:r w:rsidRPr="005B66EA">
        <w:t>inalising a submission to ERC as part of this budget process which will confirm the departmental budgets that are to be transferred to the Shared Services Provider (SSP), the departments’ accommodation and FTE savings, and resolve some of the issues identified by departments as part of the early engagement with SSP and DTF Budget and Finance. DTF will provide further information once the ERC decision has been finalised, however we will engage earlier if we require estimate variation journals prior to the confirmation of the ERC decision.</w:t>
      </w:r>
    </w:p>
    <w:p w14:paraId="45C71145" w14:textId="15F24019" w:rsidR="004A02DC" w:rsidRPr="000468A6" w:rsidRDefault="005B66EA" w:rsidP="00D85AAE">
      <w:pPr>
        <w:pStyle w:val="Bullet1"/>
      </w:pPr>
      <w:r w:rsidRPr="000468A6">
        <w:t xml:space="preserve">2019-20 </w:t>
      </w:r>
      <w:r w:rsidR="004A02DC" w:rsidRPr="000468A6">
        <w:t xml:space="preserve">Invoicing arrangements: To meet the full cost of department’s rent and other associated costs incurred by DTF since 1 October 2019, SSP will issue invoices to all clients for their 2019-20 accommodation expenses (it will not be </w:t>
      </w:r>
      <w:r w:rsidR="006B0826" w:rsidRPr="000468A6">
        <w:t>affected</w:t>
      </w:r>
      <w:r w:rsidR="004A02DC" w:rsidRPr="000468A6">
        <w:t xml:space="preserve"> through a budget transfer). These expenses will be invoiced in two separate instalments calculated using actual costs for 2019-20. The 2019-20 SSP management fee will be waived for SSP clients to assist with the CAM transition. However, in contrast to the previous practice whereby the outsourced provider fee was paid by the Government Accommodation Trust (GAT), in 2019-20 there is insufficient capacity to absorb this obligation and therefore it will need to be recovered from SSP clients.</w:t>
      </w:r>
      <w:r w:rsidR="000468A6">
        <w:t xml:space="preserve"> Since 1 October, these costs have been recognised in DTF’s books, so this recovery mechanism will be eliminated at a whole of government level. </w:t>
      </w:r>
      <w:r w:rsidR="000468A6" w:rsidRPr="000468A6">
        <w:t>SSP won’t be sending invoices until clear advice can be provided on how each department accounts for these to ensure they are cost neutral.</w:t>
      </w:r>
      <w:r w:rsidR="00D85AAE">
        <w:t xml:space="preserve"> </w:t>
      </w:r>
      <w:r w:rsidR="000468A6" w:rsidRPr="000468A6">
        <w:t xml:space="preserve">DTF Budget and Finance and SSP are working together on the requirements for </w:t>
      </w:r>
      <w:r w:rsidR="006B0826" w:rsidRPr="000468A6">
        <w:t>this and</w:t>
      </w:r>
      <w:r w:rsidR="000468A6" w:rsidRPr="000468A6">
        <w:t xml:space="preserve"> will be in contact.</w:t>
      </w:r>
    </w:p>
    <w:p w14:paraId="12CF2053" w14:textId="1241DEC4" w:rsidR="00A03788" w:rsidRPr="00386F54" w:rsidRDefault="005B66EA" w:rsidP="00D85AAE">
      <w:pPr>
        <w:rPr>
          <w:rFonts w:eastAsia="Times New Roman"/>
          <w:highlight w:val="yellow"/>
        </w:rPr>
      </w:pPr>
      <w:r>
        <w:rPr>
          <w:rFonts w:eastAsia="Times New Roman"/>
        </w:rPr>
        <w:t xml:space="preserve">DTF Budget and Finance division and SSP are working together on the requirements for </w:t>
      </w:r>
      <w:r w:rsidR="006B0826">
        <w:rPr>
          <w:rFonts w:eastAsia="Times New Roman"/>
        </w:rPr>
        <w:t>this and</w:t>
      </w:r>
      <w:r>
        <w:rPr>
          <w:rFonts w:eastAsia="Times New Roman"/>
        </w:rPr>
        <w:t xml:space="preserve"> will be in contact</w:t>
      </w:r>
      <w:r w:rsidR="006B0826">
        <w:rPr>
          <w:rFonts w:eastAsia="Times New Roman"/>
        </w:rPr>
        <w:t xml:space="preserve"> with departmental representatives</w:t>
      </w:r>
      <w:r>
        <w:rPr>
          <w:rFonts w:eastAsia="Times New Roman"/>
        </w:rPr>
        <w:t xml:space="preserve">. </w:t>
      </w:r>
      <w:r w:rsidR="00A03788" w:rsidRPr="00A03788">
        <w:rPr>
          <w:rFonts w:eastAsia="Times New Roman"/>
        </w:rPr>
        <w:t xml:space="preserve">Any queries regarding CAM should be directed to </w:t>
      </w:r>
      <w:r w:rsidR="00522937">
        <w:t xml:space="preserve">your </w:t>
      </w:r>
      <w:r>
        <w:rPr>
          <w:rFonts w:eastAsia="Times New Roman"/>
        </w:rPr>
        <w:t>DTF relationship</w:t>
      </w:r>
      <w:r w:rsidR="003538BA">
        <w:rPr>
          <w:rFonts w:eastAsia="Times New Roman"/>
        </w:rPr>
        <w:t xml:space="preserve"> manager.</w:t>
      </w:r>
      <w:bookmarkEnd w:id="18"/>
    </w:p>
    <w:p w14:paraId="297989F2" w14:textId="46BA9547" w:rsidR="00E97DFC" w:rsidRDefault="00985A21" w:rsidP="00E97DFC">
      <w:pPr>
        <w:pStyle w:val="Heading1"/>
      </w:pPr>
      <w:bookmarkStart w:id="19" w:name="_Toc33614834"/>
      <w:r>
        <w:t>AASB</w:t>
      </w:r>
      <w:r w:rsidR="0009584F">
        <w:t xml:space="preserve"> </w:t>
      </w:r>
      <w:r w:rsidR="00E97DFC">
        <w:t>update</w:t>
      </w:r>
      <w:bookmarkEnd w:id="19"/>
    </w:p>
    <w:p w14:paraId="436BAB21" w14:textId="26896C7E" w:rsidR="00E97DFC" w:rsidRPr="004F78B1" w:rsidRDefault="00E97DFC" w:rsidP="00D85AAE">
      <w:pPr>
        <w:pStyle w:val="Heading2"/>
      </w:pPr>
      <w:r w:rsidRPr="004F78B1">
        <w:t xml:space="preserve">Key </w:t>
      </w:r>
      <w:r w:rsidR="00985A21">
        <w:t>AASB</w:t>
      </w:r>
      <w:r w:rsidR="00D85AAE">
        <w:t xml:space="preserve"> </w:t>
      </w:r>
      <w:r w:rsidR="00D85AAE" w:rsidRPr="004F78B1">
        <w:t xml:space="preserve">standards </w:t>
      </w:r>
      <w:r w:rsidRPr="004F78B1">
        <w:t>effective for 2019</w:t>
      </w:r>
      <w:r w:rsidRPr="004F78B1">
        <w:noBreakHyphen/>
        <w:t>20</w:t>
      </w:r>
      <w:r w:rsidRPr="00E554F1">
        <w:t xml:space="preserve"> </w:t>
      </w:r>
    </w:p>
    <w:p w14:paraId="6D8132A1" w14:textId="4123877D" w:rsidR="00823A3B" w:rsidRPr="00D85AAE" w:rsidRDefault="00985A21" w:rsidP="00D85AAE">
      <w:pPr>
        <w:pStyle w:val="Heading4"/>
      </w:pPr>
      <w:r w:rsidRPr="00D85AAE">
        <w:t>AASB </w:t>
      </w:r>
      <w:r w:rsidR="00823A3B" w:rsidRPr="00D85AAE">
        <w:t xml:space="preserve">15, </w:t>
      </w:r>
      <w:r w:rsidRPr="00D85AAE">
        <w:t>AASB </w:t>
      </w:r>
      <w:r w:rsidR="00823A3B" w:rsidRPr="00D85AAE">
        <w:t xml:space="preserve">1058 and </w:t>
      </w:r>
      <w:r w:rsidRPr="00D85AAE">
        <w:t>AASB </w:t>
      </w:r>
      <w:r w:rsidR="00823A3B" w:rsidRPr="00D85AAE">
        <w:t>16</w:t>
      </w:r>
    </w:p>
    <w:p w14:paraId="5A747A4D" w14:textId="54540076" w:rsidR="004F78B1" w:rsidRDefault="004F78B1" w:rsidP="00D85AAE">
      <w:r>
        <w:t xml:space="preserve">For </w:t>
      </w:r>
      <w:r w:rsidR="0009584F">
        <w:t xml:space="preserve">not-for-profit </w:t>
      </w:r>
      <w:r>
        <w:t>entities, the following accounting standards apply to reporting periods beginning on or after 1</w:t>
      </w:r>
      <w:r w:rsidR="0009584F">
        <w:t> </w:t>
      </w:r>
      <w:r>
        <w:t>January 2019:</w:t>
      </w:r>
    </w:p>
    <w:p w14:paraId="68742BE1" w14:textId="2FCAB502" w:rsidR="004F78B1" w:rsidRPr="004F78B1" w:rsidRDefault="00985A21" w:rsidP="0009584F">
      <w:pPr>
        <w:pStyle w:val="Bullet1"/>
      </w:pPr>
      <w:r>
        <w:t>AASB </w:t>
      </w:r>
      <w:r w:rsidR="004F78B1">
        <w:t xml:space="preserve">15 </w:t>
      </w:r>
      <w:r w:rsidR="004F78B1" w:rsidRPr="0009584F">
        <w:rPr>
          <w:i/>
          <w:iCs/>
        </w:rPr>
        <w:t>Revenue from Contracts with Customers</w:t>
      </w:r>
      <w:r w:rsidR="0009584F">
        <w:t>;</w:t>
      </w:r>
    </w:p>
    <w:p w14:paraId="1B2070B4" w14:textId="71FC855D" w:rsidR="004F78B1" w:rsidRPr="004F78B1" w:rsidRDefault="00985A21" w:rsidP="0009584F">
      <w:pPr>
        <w:pStyle w:val="Bullet1"/>
      </w:pPr>
      <w:r>
        <w:t>AASB </w:t>
      </w:r>
      <w:r w:rsidR="004F78B1">
        <w:t xml:space="preserve">1058 </w:t>
      </w:r>
      <w:r w:rsidR="004F78B1" w:rsidRPr="0009584F">
        <w:rPr>
          <w:i/>
          <w:iCs/>
        </w:rPr>
        <w:t>Income of Not-for-Profit Entities</w:t>
      </w:r>
      <w:r w:rsidR="003A2C5F">
        <w:t>; and</w:t>
      </w:r>
    </w:p>
    <w:p w14:paraId="5D79AD73" w14:textId="1AA90A25" w:rsidR="004F78B1" w:rsidRDefault="00985A21" w:rsidP="0009584F">
      <w:pPr>
        <w:pStyle w:val="Bullet1"/>
      </w:pPr>
      <w:r>
        <w:t>AASB </w:t>
      </w:r>
      <w:r w:rsidR="004F78B1">
        <w:t xml:space="preserve">16 </w:t>
      </w:r>
      <w:r w:rsidR="004F78B1">
        <w:rPr>
          <w:i/>
        </w:rPr>
        <w:t>Leases</w:t>
      </w:r>
      <w:r w:rsidR="004F78B1">
        <w:t>.</w:t>
      </w:r>
    </w:p>
    <w:p w14:paraId="7C662648" w14:textId="0C565C1E" w:rsidR="00823A3B" w:rsidRDefault="004F78B1" w:rsidP="00D85AAE">
      <w:r>
        <w:t xml:space="preserve">For Victorian Government entities with a 30 June year end, the initial application date was 1 July 2019. </w:t>
      </w:r>
    </w:p>
    <w:p w14:paraId="615DBB23" w14:textId="3FEB0E75" w:rsidR="00886521" w:rsidRDefault="00823A3B" w:rsidP="0009584F">
      <w:r>
        <w:t>Information about the standards have been included in previous newsletters and entities should refer to these for guidance. Entities can refer to F</w:t>
      </w:r>
      <w:r w:rsidRPr="00823A3B">
        <w:t>RD 121,</w:t>
      </w:r>
      <w:r>
        <w:t xml:space="preserve"> 122 and 123 which prescribe the transition requirements on the application of the new standards.</w:t>
      </w:r>
      <w:r w:rsidR="00D85AAE">
        <w:t xml:space="preserve"> </w:t>
      </w:r>
    </w:p>
    <w:p w14:paraId="5968CE30" w14:textId="16FF22EB" w:rsidR="00D94520" w:rsidRDefault="00D73C58" w:rsidP="00D85AAE">
      <w:r>
        <w:t>Amending standards have been recently issued to amend the application of these:</w:t>
      </w:r>
    </w:p>
    <w:p w14:paraId="7F493A5D" w14:textId="584A5B98" w:rsidR="00886521" w:rsidRPr="003A2C5F" w:rsidRDefault="00985A21" w:rsidP="0009584F">
      <w:pPr>
        <w:pStyle w:val="Heading4"/>
      </w:pPr>
      <w:r>
        <w:t>AASB </w:t>
      </w:r>
      <w:r w:rsidR="003A2C5F">
        <w:t xml:space="preserve">2019-6 </w:t>
      </w:r>
      <w:r w:rsidR="003A2C5F" w:rsidRPr="0009584F">
        <w:rPr>
          <w:i/>
          <w:iCs w:val="0"/>
        </w:rPr>
        <w:t>Amendments to Australian Accounting Standards – Research Grants and Not-for-Profit Entities</w:t>
      </w:r>
    </w:p>
    <w:p w14:paraId="08262E14" w14:textId="505BF0D5" w:rsidR="001E0A08" w:rsidRDefault="003A2C5F" w:rsidP="00D85AAE">
      <w:r>
        <w:t xml:space="preserve">This Standard makes amendments to </w:t>
      </w:r>
      <w:r w:rsidR="00985A21">
        <w:t>AASB </w:t>
      </w:r>
      <w:r>
        <w:t xml:space="preserve">15 and </w:t>
      </w:r>
      <w:r w:rsidR="00985A21">
        <w:t>AASB </w:t>
      </w:r>
      <w:r>
        <w:t xml:space="preserve">1058 to permit not-for-profit entities to apply the Standards to research grants for annual reporting periods beginning on or after 1 July 2019 instead of 1 January 2019. This provides for an extended implementation period for entities with December year-ends for research grants received, if an entity chooses to </w:t>
      </w:r>
      <w:r w:rsidR="001E0A08">
        <w:t>apply the extension. The option to extend applies at an entity level and is not available on an individual research grant basis.</w:t>
      </w:r>
    </w:p>
    <w:p w14:paraId="7B6EA782" w14:textId="57D9C0DD" w:rsidR="001E0A08" w:rsidRDefault="001E0A08" w:rsidP="00D85AAE">
      <w:r>
        <w:t xml:space="preserve">The application of </w:t>
      </w:r>
      <w:r w:rsidR="00985A21">
        <w:t>AASB </w:t>
      </w:r>
      <w:r>
        <w:t xml:space="preserve">15 and </w:t>
      </w:r>
      <w:r w:rsidR="00985A21">
        <w:t>AASB </w:t>
      </w:r>
      <w:r>
        <w:t>1058 to other sources of income is not extended</w:t>
      </w:r>
      <w:r w:rsidR="00011690">
        <w:t xml:space="preserve"> and this only applies to research grant </w:t>
      </w:r>
      <w:r w:rsidR="00E04648">
        <w:t>funding</w:t>
      </w:r>
      <w:r>
        <w:t>.</w:t>
      </w:r>
      <w:r w:rsidR="00E04648">
        <w:t xml:space="preserve"> </w:t>
      </w:r>
      <w:r w:rsidR="00011690">
        <w:t xml:space="preserve">FRD 121 </w:t>
      </w:r>
      <w:r w:rsidR="00E04648">
        <w:t xml:space="preserve">and 122 </w:t>
      </w:r>
      <w:r w:rsidR="00011690">
        <w:t>will mandate that this extension option not be used and therefore those with a December year-end will apply the standards</w:t>
      </w:r>
      <w:r w:rsidR="00E04648">
        <w:t xml:space="preserve"> to all </w:t>
      </w:r>
      <w:r w:rsidR="003C3DCB">
        <w:t>income</w:t>
      </w:r>
      <w:r w:rsidR="00E04648">
        <w:t xml:space="preserve"> sources</w:t>
      </w:r>
      <w:r w:rsidR="00011690">
        <w:t xml:space="preserve"> from 1 January 2019.</w:t>
      </w:r>
    </w:p>
    <w:p w14:paraId="7FF25C1B" w14:textId="4C351F50" w:rsidR="001E0A08" w:rsidRDefault="001E0A08" w:rsidP="00D85AAE">
      <w:r>
        <w:lastRenderedPageBreak/>
        <w:t xml:space="preserve">The Standard also makes amendments to Illustrative Examples 4A and 4B accompanying </w:t>
      </w:r>
      <w:r w:rsidR="00985A21">
        <w:t>AASB </w:t>
      </w:r>
      <w:r>
        <w:t>15 to clarify the analysis of how paragraph 35(a) applies in respect of research grants and the transfer of research findings. Paragraph 35(a) addresses whether a customer simultaneously receives and consumes the benefits provided by an entity’s performance as the entity performs</w:t>
      </w:r>
      <w:r w:rsidR="00FE3618">
        <w:t xml:space="preserve">, therefore allowing revenue to be recognised over time. </w:t>
      </w:r>
      <w:r>
        <w:t>The amendments do not change the requirements o</w:t>
      </w:r>
      <w:r w:rsidR="00FE3618">
        <w:t>f</w:t>
      </w:r>
      <w:r>
        <w:t xml:space="preserve"> paragraph 35(a) or the conclusions of the Illustrative Examples. </w:t>
      </w:r>
    </w:p>
    <w:p w14:paraId="1FA99C40" w14:textId="4B26F2F6" w:rsidR="001E0A08" w:rsidRDefault="001E0A08" w:rsidP="00D85AAE">
      <w:r>
        <w:t xml:space="preserve">Example 4D has also been added to illustrate a case with periodic performance obligations. </w:t>
      </w:r>
    </w:p>
    <w:p w14:paraId="111B758B" w14:textId="4FFF16B2" w:rsidR="00886521" w:rsidRPr="00FE3618" w:rsidRDefault="00985A21" w:rsidP="0009584F">
      <w:pPr>
        <w:pStyle w:val="Heading4"/>
      </w:pPr>
      <w:r>
        <w:t>AASB </w:t>
      </w:r>
      <w:r w:rsidR="00FE3618">
        <w:t xml:space="preserve">2019-8 </w:t>
      </w:r>
      <w:r w:rsidR="00FE3618" w:rsidRPr="0009584F">
        <w:rPr>
          <w:i/>
          <w:iCs w:val="0"/>
        </w:rPr>
        <w:t>Amendments to Australian Accounting Standards – Class of Right-of-Use Assets arising under Concessionary Leases</w:t>
      </w:r>
    </w:p>
    <w:p w14:paraId="0139DA82" w14:textId="06A1FCF6" w:rsidR="00FE3618" w:rsidRDefault="00FE3618" w:rsidP="00D85AAE">
      <w:r>
        <w:t xml:space="preserve">The Standard makes amendments to </w:t>
      </w:r>
      <w:r w:rsidR="00985A21">
        <w:t>AASB </w:t>
      </w:r>
      <w:r>
        <w:t xml:space="preserve">16 and </w:t>
      </w:r>
      <w:r w:rsidR="00985A21">
        <w:t>AASB </w:t>
      </w:r>
      <w:r>
        <w:t xml:space="preserve">1049 </w:t>
      </w:r>
      <w:r w:rsidRPr="0009584F">
        <w:rPr>
          <w:i/>
          <w:iCs/>
        </w:rPr>
        <w:t>Whole of Government and General</w:t>
      </w:r>
      <w:r w:rsidR="00F71123" w:rsidRPr="0009584F">
        <w:rPr>
          <w:i/>
          <w:iCs/>
        </w:rPr>
        <w:t xml:space="preserve"> Government Sector Financial Reporting</w:t>
      </w:r>
      <w:r w:rsidR="00F71123">
        <w:t xml:space="preserve"> to:</w:t>
      </w:r>
    </w:p>
    <w:p w14:paraId="7835F788" w14:textId="20739D15" w:rsidR="002B6249" w:rsidRDefault="00114CD2" w:rsidP="0009584F">
      <w:pPr>
        <w:pStyle w:val="Listnum"/>
      </w:pPr>
      <w:r>
        <w:t>specify</w:t>
      </w:r>
      <w:r w:rsidR="002B6249">
        <w:t xml:space="preserve"> that</w:t>
      </w:r>
      <w:r>
        <w:t xml:space="preserve"> not-for-profit entities right-of-use assets arising under concessionary leas</w:t>
      </w:r>
      <w:r w:rsidR="002B6249">
        <w:t>es can be treated as a separate class of right-of-use assets from right-of-use assets arising under other leases; and</w:t>
      </w:r>
    </w:p>
    <w:p w14:paraId="4CE293FA" w14:textId="308E29D1" w:rsidR="002B6249" w:rsidRDefault="002B6249" w:rsidP="0009584F">
      <w:pPr>
        <w:pStyle w:val="Listnum"/>
      </w:pPr>
      <w:r>
        <w:t xml:space="preserve">provide an option for </w:t>
      </w:r>
      <w:r w:rsidR="00496DCC">
        <w:t>the</w:t>
      </w:r>
      <w:r>
        <w:t xml:space="preserve"> </w:t>
      </w:r>
      <w:r w:rsidR="0009584F">
        <w:t xml:space="preserve">whole of government and general government sector </w:t>
      </w:r>
      <w:r>
        <w:t xml:space="preserve">to measure right-of-use assets arising under concessionary leases at cost or at fair value in subsequent measurements. </w:t>
      </w:r>
    </w:p>
    <w:p w14:paraId="3DF50E6A" w14:textId="7ACFF211" w:rsidR="002B6249" w:rsidRDefault="002B6249" w:rsidP="00D85AAE">
      <w:r>
        <w:t>The amendments will apply to annual reporting periods beginning on or after 1 January 2019</w:t>
      </w:r>
      <w:r w:rsidR="00644B8C">
        <w:t>.</w:t>
      </w:r>
      <w:r w:rsidR="00496DCC">
        <w:t xml:space="preserve"> </w:t>
      </w:r>
    </w:p>
    <w:p w14:paraId="74C26F93" w14:textId="29C9051F" w:rsidR="00E959B0" w:rsidRDefault="00744960" w:rsidP="00D85AAE">
      <w:r>
        <w:t xml:space="preserve">This </w:t>
      </w:r>
      <w:r w:rsidR="00E54D20">
        <w:t xml:space="preserve">followed from </w:t>
      </w:r>
      <w:r>
        <w:t xml:space="preserve">the temporary option granted </w:t>
      </w:r>
      <w:r w:rsidR="007A0F47">
        <w:t xml:space="preserve">in </w:t>
      </w:r>
      <w:r w:rsidR="00985A21">
        <w:t>AASB </w:t>
      </w:r>
      <w:r>
        <w:t xml:space="preserve">2018-8 </w:t>
      </w:r>
      <w:r>
        <w:rPr>
          <w:i/>
        </w:rPr>
        <w:t>Right-of-Use Assets of Not-for-Profit Entities</w:t>
      </w:r>
      <w:r>
        <w:t xml:space="preserve"> to not measure a class or classes of concessionary leases right-of-use assets at initial recognition at fair value</w:t>
      </w:r>
      <w:r w:rsidR="00E04648">
        <w:t xml:space="preserve">, therefore allowing </w:t>
      </w:r>
      <w:r w:rsidR="007A0F47">
        <w:t xml:space="preserve">these </w:t>
      </w:r>
      <w:r w:rsidR="00E04648">
        <w:t>to be measured at cost</w:t>
      </w:r>
      <w:r w:rsidR="007A0F47">
        <w:t>.</w:t>
      </w:r>
    </w:p>
    <w:p w14:paraId="2504A519" w14:textId="1484BCE9" w:rsidR="00E04648" w:rsidRPr="00E04648" w:rsidRDefault="00E04648" w:rsidP="00D85AAE">
      <w:r>
        <w:t xml:space="preserve">FRD 123 will mandate that </w:t>
      </w:r>
      <w:r w:rsidR="000D590D">
        <w:t xml:space="preserve">entities apply the temporary option and measure concessionary leases at cost. </w:t>
      </w:r>
    </w:p>
    <w:p w14:paraId="7A885B94" w14:textId="785FD953" w:rsidR="00D73C58" w:rsidRDefault="00D73C58" w:rsidP="00D85AAE">
      <w:r>
        <w:t xml:space="preserve">You should also refer to </w:t>
      </w:r>
      <w:r w:rsidR="00985A21">
        <w:t>AASB </w:t>
      </w:r>
      <w:r>
        <w:t xml:space="preserve">2019-2, in the </w:t>
      </w:r>
      <w:r w:rsidR="00985A21">
        <w:t>AASB </w:t>
      </w:r>
      <w:r>
        <w:t xml:space="preserve">1059 section below, for amendments affecting the application of </w:t>
      </w:r>
      <w:r w:rsidR="00985A21">
        <w:t>AASB </w:t>
      </w:r>
      <w:r>
        <w:t xml:space="preserve">16. </w:t>
      </w:r>
    </w:p>
    <w:p w14:paraId="31CAA424" w14:textId="66B3AE49" w:rsidR="00823A3B" w:rsidRPr="00477AC4" w:rsidRDefault="00985A21" w:rsidP="0009584F">
      <w:pPr>
        <w:pStyle w:val="Heading4"/>
      </w:pPr>
      <w:r>
        <w:t>AASB </w:t>
      </w:r>
      <w:r w:rsidR="00823A3B" w:rsidRPr="00477AC4">
        <w:t>1059 Service Concession Arrangements: Grantors</w:t>
      </w:r>
    </w:p>
    <w:p w14:paraId="5169B00B" w14:textId="4169B5D5" w:rsidR="00823A3B" w:rsidRDefault="00985A21" w:rsidP="00D85AAE">
      <w:r>
        <w:t>AASB </w:t>
      </w:r>
      <w:r w:rsidR="00823A3B">
        <w:t xml:space="preserve">1059 </w:t>
      </w:r>
      <w:r w:rsidR="00823A3B">
        <w:rPr>
          <w:i/>
        </w:rPr>
        <w:t>Service Concession Arrangements: Grantors</w:t>
      </w:r>
      <w:r w:rsidR="00823A3B">
        <w:t xml:space="preserve"> </w:t>
      </w:r>
      <w:r w:rsidR="009334EB">
        <w:t>applies to reporting periods beginning on or after 1</w:t>
      </w:r>
      <w:r w:rsidR="0009584F">
        <w:t> </w:t>
      </w:r>
      <w:r w:rsidR="009334EB">
        <w:t>January 20</w:t>
      </w:r>
      <w:r w:rsidR="00477AC4">
        <w:t>20</w:t>
      </w:r>
      <w:r w:rsidR="009334EB">
        <w:t xml:space="preserve"> however the State </w:t>
      </w:r>
      <w:r w:rsidR="001E4FE8">
        <w:t>has</w:t>
      </w:r>
      <w:r w:rsidR="009334EB">
        <w:t xml:space="preserve"> adopt</w:t>
      </w:r>
      <w:r w:rsidR="001E4FE8">
        <w:t>ed</w:t>
      </w:r>
      <w:r w:rsidR="009334EB">
        <w:t xml:space="preserve"> it one year earlier. This means that for entities with a 30 June year end, the initial application date was 1 July 2019.</w:t>
      </w:r>
    </w:p>
    <w:p w14:paraId="29FCEBF4" w14:textId="253CB012" w:rsidR="001E4FE8" w:rsidRDefault="00B875A2" w:rsidP="00D85AAE">
      <w:r>
        <w:t xml:space="preserve">Information about </w:t>
      </w:r>
      <w:r w:rsidR="00985A21">
        <w:t>AASB </w:t>
      </w:r>
      <w:r>
        <w:t>1059 has been included in previous newsletters and entities should refer to these for guidance.</w:t>
      </w:r>
    </w:p>
    <w:p w14:paraId="263B71C5" w14:textId="18C08B2E" w:rsidR="001E4FE8" w:rsidRPr="0009584F" w:rsidRDefault="001E4FE8" w:rsidP="0009584F">
      <w:pPr>
        <w:rPr>
          <w:b/>
          <w:bCs/>
        </w:rPr>
      </w:pPr>
      <w:r w:rsidRPr="0009584F">
        <w:rPr>
          <w:b/>
          <w:bCs/>
        </w:rPr>
        <w:t xml:space="preserve">Amendments to </w:t>
      </w:r>
      <w:r w:rsidR="00985A21" w:rsidRPr="0009584F">
        <w:rPr>
          <w:b/>
          <w:bCs/>
        </w:rPr>
        <w:t>AASB </w:t>
      </w:r>
      <w:r w:rsidRPr="0009584F">
        <w:rPr>
          <w:b/>
          <w:bCs/>
        </w:rPr>
        <w:t>1059 during the year are noted below:</w:t>
      </w:r>
    </w:p>
    <w:p w14:paraId="51BF7C51" w14:textId="6D84B6E4" w:rsidR="00D73C58" w:rsidRPr="003A2C5F" w:rsidRDefault="00985A21" w:rsidP="0009584F">
      <w:pPr>
        <w:pStyle w:val="Heading4"/>
      </w:pPr>
      <w:r>
        <w:t>AASB </w:t>
      </w:r>
      <w:r w:rsidR="00D73C58">
        <w:t xml:space="preserve">2019-2 </w:t>
      </w:r>
      <w:r w:rsidR="00D73C58" w:rsidRPr="0009584F">
        <w:rPr>
          <w:i/>
          <w:iCs w:val="0"/>
        </w:rPr>
        <w:t xml:space="preserve">Amendments to Australian Accounting Standards – Implementation of </w:t>
      </w:r>
      <w:r w:rsidRPr="0009584F">
        <w:rPr>
          <w:i/>
          <w:iCs w:val="0"/>
        </w:rPr>
        <w:t>AASB </w:t>
      </w:r>
      <w:r w:rsidR="00D73C58" w:rsidRPr="0009584F">
        <w:rPr>
          <w:i/>
          <w:iCs w:val="0"/>
        </w:rPr>
        <w:t>1059</w:t>
      </w:r>
    </w:p>
    <w:p w14:paraId="77535E96" w14:textId="4B994C5A" w:rsidR="00B875A2" w:rsidRDefault="009334EB" w:rsidP="00D85AAE">
      <w:r>
        <w:t xml:space="preserve">Since the last newsletter, </w:t>
      </w:r>
      <w:r w:rsidR="00D73C58">
        <w:t>this amending standard</w:t>
      </w:r>
      <w:r>
        <w:t xml:space="preserve"> has been issued. </w:t>
      </w:r>
      <w:r w:rsidR="00B875A2">
        <w:t xml:space="preserve">The standard makes amendments to </w:t>
      </w:r>
      <w:r w:rsidR="00985A21">
        <w:t>AASB </w:t>
      </w:r>
      <w:r w:rsidR="00B875A2">
        <w:t xml:space="preserve">16 and </w:t>
      </w:r>
      <w:r w:rsidR="00985A21">
        <w:t>AASB </w:t>
      </w:r>
      <w:r w:rsidR="00B875A2">
        <w:t>1059 to:</w:t>
      </w:r>
    </w:p>
    <w:p w14:paraId="421B3BC6" w14:textId="176B34E7" w:rsidR="00B875A2" w:rsidRPr="00B875A2" w:rsidRDefault="00B875A2" w:rsidP="0009584F">
      <w:pPr>
        <w:pStyle w:val="Listnum"/>
      </w:pPr>
      <w:r>
        <w:t xml:space="preserve">amend the modified retrospective method set out in paragraph C4 of </w:t>
      </w:r>
      <w:r w:rsidR="00985A21">
        <w:t>AASB </w:t>
      </w:r>
      <w:r>
        <w:t>1059</w:t>
      </w:r>
      <w:r w:rsidR="00496DCC">
        <w:t>;</w:t>
      </w:r>
    </w:p>
    <w:p w14:paraId="641A0FE3" w14:textId="23923487" w:rsidR="009334EB" w:rsidRDefault="00B875A2" w:rsidP="0009584F">
      <w:pPr>
        <w:pStyle w:val="Listnum"/>
      </w:pPr>
      <w:r>
        <w:t xml:space="preserve">modify </w:t>
      </w:r>
      <w:r w:rsidR="00985A21">
        <w:t>AASB </w:t>
      </w:r>
      <w:r>
        <w:t xml:space="preserve">16 to provide a practical expedient to grantors of service concession arrangements so that </w:t>
      </w:r>
      <w:r w:rsidR="00985A21">
        <w:t>AASB </w:t>
      </w:r>
      <w:r>
        <w:t xml:space="preserve">16 would not need to be applied to assets that would be recognised as service concession assets under </w:t>
      </w:r>
      <w:r w:rsidR="00985A21">
        <w:t>AASB </w:t>
      </w:r>
      <w:r>
        <w:t>1059; and</w:t>
      </w:r>
    </w:p>
    <w:p w14:paraId="7CCD8784" w14:textId="2EF92365" w:rsidR="009334EB" w:rsidRDefault="00B875A2" w:rsidP="0009584F">
      <w:pPr>
        <w:pStyle w:val="Listnum"/>
      </w:pPr>
      <w:r>
        <w:t xml:space="preserve">include editorial amendments to the application guidance and implementation guidance accompanying </w:t>
      </w:r>
      <w:r w:rsidR="00985A21">
        <w:t>AASB </w:t>
      </w:r>
      <w:r>
        <w:t>1059.</w:t>
      </w:r>
      <w:r w:rsidR="00D85AAE">
        <w:t xml:space="preserve"> </w:t>
      </w:r>
    </w:p>
    <w:p w14:paraId="048CDBD4" w14:textId="2D81D0A7" w:rsidR="000D590D" w:rsidRDefault="009334EB" w:rsidP="00D85AAE">
      <w:r>
        <w:t>Entities can refer to F</w:t>
      </w:r>
      <w:r w:rsidRPr="00823A3B">
        <w:t xml:space="preserve">RD </w:t>
      </w:r>
      <w:r>
        <w:t xml:space="preserve">124 which prescribes the transition requirements </w:t>
      </w:r>
      <w:r w:rsidR="000D590D">
        <w:t>for applying</w:t>
      </w:r>
      <w:r>
        <w:t xml:space="preserve"> the standard.</w:t>
      </w:r>
      <w:r w:rsidR="000D590D">
        <w:t xml:space="preserve"> These include the </w:t>
      </w:r>
      <w:r w:rsidR="007168F8">
        <w:t>app</w:t>
      </w:r>
      <w:r w:rsidR="000D590D">
        <w:t>lication of</w:t>
      </w:r>
      <w:r w:rsidR="007168F8">
        <w:t xml:space="preserve"> </w:t>
      </w:r>
      <w:r w:rsidR="00985A21">
        <w:t>AASB </w:t>
      </w:r>
      <w:r w:rsidR="004A5BC7">
        <w:t xml:space="preserve">1059 </w:t>
      </w:r>
      <w:r w:rsidR="007168F8">
        <w:t>retrospectively to each prior period and early adopt</w:t>
      </w:r>
      <w:r w:rsidR="000D590D">
        <w:t>ion</w:t>
      </w:r>
      <w:r w:rsidR="007168F8">
        <w:t xml:space="preserve"> at the same time </w:t>
      </w:r>
      <w:r w:rsidR="004A5BC7">
        <w:t xml:space="preserve">as </w:t>
      </w:r>
      <w:r w:rsidR="00985A21">
        <w:t>AASB </w:t>
      </w:r>
      <w:r w:rsidR="007168F8">
        <w:t>16</w:t>
      </w:r>
      <w:r w:rsidR="000D590D">
        <w:t>.</w:t>
      </w:r>
    </w:p>
    <w:p w14:paraId="08D93069" w14:textId="222EFE2B" w:rsidR="009334EB" w:rsidRDefault="000D590D" w:rsidP="00D85AAE">
      <w:r>
        <w:t xml:space="preserve">Due to the transition options the State has adopted, </w:t>
      </w:r>
      <w:r w:rsidR="007168F8">
        <w:t xml:space="preserve">the amendments in (a) and (b) above </w:t>
      </w:r>
      <w:r w:rsidR="004A5BC7">
        <w:t>are not relevant to Victorian public sector</w:t>
      </w:r>
      <w:r w:rsidR="00E61D17">
        <w:t xml:space="preserve"> reporting</w:t>
      </w:r>
      <w:r w:rsidR="004A5BC7">
        <w:t>.</w:t>
      </w:r>
      <w:r w:rsidR="00D85AAE">
        <w:t xml:space="preserve"> </w:t>
      </w:r>
    </w:p>
    <w:p w14:paraId="7E0C535E" w14:textId="57688ADD" w:rsidR="00CB5C97" w:rsidRPr="00FF77AF" w:rsidRDefault="00985A21" w:rsidP="0009584F">
      <w:pPr>
        <w:pStyle w:val="Heading4"/>
      </w:pPr>
      <w:r>
        <w:lastRenderedPageBreak/>
        <w:t>AASB </w:t>
      </w:r>
      <w:r w:rsidR="00CB5C97" w:rsidRPr="00FF77AF">
        <w:t xml:space="preserve">2019-7 </w:t>
      </w:r>
      <w:r w:rsidR="00CB5C97" w:rsidRPr="0009584F">
        <w:rPr>
          <w:i/>
          <w:iCs w:val="0"/>
        </w:rPr>
        <w:t>Amendments to Australian Accounting Standards – Disclosure of GFS Measures of Key Fiscal Aggregates and GAAP/GFS Reconciliations</w:t>
      </w:r>
    </w:p>
    <w:p w14:paraId="39E7461E" w14:textId="15EF283E" w:rsidR="00CB5C97" w:rsidRPr="00FF77AF" w:rsidRDefault="00CB5C97" w:rsidP="00D85AAE">
      <w:r w:rsidRPr="00FF77AF">
        <w:t xml:space="preserve">Following concerns raised by the Heads of Treasuries Accounting and Reporting Advisory Committee, this Standard makes amendments to </w:t>
      </w:r>
      <w:r w:rsidR="00985A21">
        <w:t>AASB </w:t>
      </w:r>
      <w:r w:rsidRPr="00FF77AF">
        <w:t>1049 to:</w:t>
      </w:r>
    </w:p>
    <w:p w14:paraId="7879C83C" w14:textId="467F504E" w:rsidR="00CB5C97" w:rsidRPr="00FF77AF" w:rsidRDefault="00CB5C97" w:rsidP="0009584F">
      <w:pPr>
        <w:pStyle w:val="Listnum"/>
        <w:numPr>
          <w:ilvl w:val="0"/>
          <w:numId w:val="29"/>
        </w:numPr>
      </w:pPr>
      <w:r w:rsidRPr="00FF77AF">
        <w:t xml:space="preserve">provide optional relief, for the </w:t>
      </w:r>
      <w:r w:rsidR="0009584F" w:rsidRPr="00FF77AF">
        <w:t xml:space="preserve">general government sector </w:t>
      </w:r>
      <w:r w:rsidRPr="00FF77AF">
        <w:t xml:space="preserve">financial statements and the whole of government financial statements (including the </w:t>
      </w:r>
      <w:r w:rsidR="0009584F" w:rsidRPr="00FF77AF">
        <w:t>public non-financial corporations and public financial corporations sectors</w:t>
      </w:r>
      <w:r w:rsidRPr="00FF77AF">
        <w:t>) from:</w:t>
      </w:r>
    </w:p>
    <w:p w14:paraId="73038FBE" w14:textId="5A315B76" w:rsidR="00CB5C97" w:rsidRPr="00FF77AF" w:rsidRDefault="00CB5C97" w:rsidP="0009584F">
      <w:pPr>
        <w:pStyle w:val="Listnum2"/>
      </w:pPr>
      <w:r w:rsidRPr="00FF77AF">
        <w:t xml:space="preserve">disclosure of the key fiscal aggregates measured in accordance with the ABS GFS Manual where they differ from the key fiscal aggregates measured consistently with Australian Accounting Standards, which are disclosed pursuant to paragraph 16 of </w:t>
      </w:r>
      <w:r w:rsidR="00985A21">
        <w:t>AASB </w:t>
      </w:r>
      <w:r w:rsidRPr="00FF77AF">
        <w:t>1049; and</w:t>
      </w:r>
    </w:p>
    <w:p w14:paraId="6AAE663B" w14:textId="77777777" w:rsidR="00CB5C97" w:rsidRPr="00FF77AF" w:rsidRDefault="00CB5C97" w:rsidP="0009584F">
      <w:pPr>
        <w:pStyle w:val="Listnum2"/>
      </w:pPr>
      <w:r w:rsidRPr="00FF77AF">
        <w:t>a reconciliation of the two measures of key fiscal aggregates; and</w:t>
      </w:r>
    </w:p>
    <w:p w14:paraId="3F94C92A" w14:textId="77777777" w:rsidR="00CB5C97" w:rsidRPr="00FF77AF" w:rsidRDefault="00CB5C97" w:rsidP="0009584F">
      <w:pPr>
        <w:pStyle w:val="Listnum"/>
      </w:pPr>
      <w:r w:rsidRPr="00FF77AF">
        <w:t xml:space="preserve">where the entity elects to adopt the optional relief – require additional disclosure to explain how each key fiscal aggregate is calculated and how it differs (not necessarily quantitatively) from its corresponding GFS measure. </w:t>
      </w:r>
    </w:p>
    <w:p w14:paraId="49F62108" w14:textId="77777777" w:rsidR="00CB5C97" w:rsidRDefault="00CB5C97" w:rsidP="00D85AAE">
      <w:r w:rsidRPr="00FF77AF">
        <w:t xml:space="preserve">The Standard applies to annual periods beginning on or after 1 January 2020, with earlier application permitted. The Victorian government </w:t>
      </w:r>
      <w:r>
        <w:t xml:space="preserve">will early </w:t>
      </w:r>
      <w:r w:rsidRPr="00FF77AF">
        <w:t>adopt the optional relief</w:t>
      </w:r>
      <w:r>
        <w:t xml:space="preserve"> in 2019-20</w:t>
      </w:r>
      <w:r w:rsidRPr="00FF77AF">
        <w:t>.</w:t>
      </w:r>
    </w:p>
    <w:p w14:paraId="209F3D89" w14:textId="22DA9260" w:rsidR="00E97DFC" w:rsidRDefault="00E97DFC" w:rsidP="00D85AAE">
      <w:pPr>
        <w:pStyle w:val="Heading2"/>
      </w:pPr>
      <w:r>
        <w:t xml:space="preserve">Key </w:t>
      </w:r>
      <w:r w:rsidR="00985A21">
        <w:t>AASB </w:t>
      </w:r>
      <w:r>
        <w:t>Standards issued but not effective for 2019</w:t>
      </w:r>
      <w:r>
        <w:noBreakHyphen/>
        <w:t>20</w:t>
      </w:r>
    </w:p>
    <w:p w14:paraId="4F9F6D7E" w14:textId="27F430CF" w:rsidR="00477AC4" w:rsidRPr="00477AC4" w:rsidRDefault="00985A21" w:rsidP="0009584F">
      <w:pPr>
        <w:pStyle w:val="Heading4"/>
      </w:pPr>
      <w:r>
        <w:t>AASB </w:t>
      </w:r>
      <w:r w:rsidR="00477AC4">
        <w:t>17 Insurance Contracts</w:t>
      </w:r>
    </w:p>
    <w:p w14:paraId="6913C07C" w14:textId="726D4DDF" w:rsidR="00934500" w:rsidRDefault="00985A21" w:rsidP="00D85AAE">
      <w:r>
        <w:t>AASB </w:t>
      </w:r>
      <w:r w:rsidR="00477AC4">
        <w:t xml:space="preserve">17 </w:t>
      </w:r>
      <w:r w:rsidR="00477AC4" w:rsidRPr="00D60FD9">
        <w:rPr>
          <w:i/>
        </w:rPr>
        <w:t>Insurance Contracts</w:t>
      </w:r>
      <w:r w:rsidR="00477AC4">
        <w:t xml:space="preserve"> </w:t>
      </w:r>
      <w:r w:rsidR="00D60FD9">
        <w:t xml:space="preserve">applies to reporting periods beginning on or after 1 January 2021. </w:t>
      </w:r>
    </w:p>
    <w:p w14:paraId="1AFA4E9D" w14:textId="01CD94F6" w:rsidR="00D60FD9" w:rsidRDefault="0024727F" w:rsidP="00D85AAE">
      <w:r>
        <w:t xml:space="preserve">Information about the standard, including implementation issues specific to the public sector, has been included in previous newsletters. Entities should refer to these for details. </w:t>
      </w:r>
    </w:p>
    <w:p w14:paraId="37660BE9" w14:textId="5B2267DD" w:rsidR="00FF3A34" w:rsidRDefault="00D60FD9" w:rsidP="00D85AAE">
      <w:r>
        <w:t xml:space="preserve">ED 292 </w:t>
      </w:r>
      <w:r w:rsidRPr="00D60FD9">
        <w:rPr>
          <w:i/>
        </w:rPr>
        <w:t xml:space="preserve">Amendments to </w:t>
      </w:r>
      <w:r w:rsidR="00985A21">
        <w:rPr>
          <w:i/>
        </w:rPr>
        <w:t>AASB </w:t>
      </w:r>
      <w:r w:rsidRPr="00D60FD9">
        <w:rPr>
          <w:i/>
        </w:rPr>
        <w:t>17</w:t>
      </w:r>
      <w:r>
        <w:t xml:space="preserve"> was issued for comment in July 2019. It was issued by the International Accounting Standards Board</w:t>
      </w:r>
      <w:r w:rsidR="00FF3A34">
        <w:t xml:space="preserve"> (IASB)</w:t>
      </w:r>
      <w:r>
        <w:t xml:space="preserve"> in response to concerns and challenges raised by stakeholders. The ED includes targeted amendments </w:t>
      </w:r>
      <w:r w:rsidR="00CA1C45">
        <w:t xml:space="preserve">including deferring the effective date of the standard to annual reporting periods beginning on or after 1 January 2022. </w:t>
      </w:r>
    </w:p>
    <w:p w14:paraId="44D1B1BE" w14:textId="1E208C14" w:rsidR="00CA1C45" w:rsidRDefault="00CA1C45" w:rsidP="00D85AAE">
      <w:r>
        <w:t xml:space="preserve">Comments </w:t>
      </w:r>
      <w:r w:rsidR="00FF3A34">
        <w:t xml:space="preserve">on the ED </w:t>
      </w:r>
      <w:r w:rsidR="006F3024">
        <w:t>have closed</w:t>
      </w:r>
      <w:r>
        <w:t xml:space="preserve"> </w:t>
      </w:r>
      <w:r w:rsidR="00FF3A34">
        <w:t xml:space="preserve">and the </w:t>
      </w:r>
      <w:r w:rsidR="00985A21">
        <w:t>AASB </w:t>
      </w:r>
      <w:r w:rsidR="006F3024">
        <w:t>have</w:t>
      </w:r>
      <w:r w:rsidR="00FF3A34">
        <w:t xml:space="preserve"> </w:t>
      </w:r>
      <w:r w:rsidR="006F3024">
        <w:t>communicated that</w:t>
      </w:r>
      <w:r w:rsidR="00FF3A34">
        <w:t xml:space="preserve"> the Board</w:t>
      </w:r>
      <w:r w:rsidR="006F3024">
        <w:t>, at its September meeting,</w:t>
      </w:r>
      <w:r w:rsidR="00FF3A34">
        <w:t xml:space="preserve"> agreed on key recommendations to feedback to the IASB. </w:t>
      </w:r>
    </w:p>
    <w:p w14:paraId="59AC20C9" w14:textId="6A889A49" w:rsidR="00FF3A34" w:rsidRPr="00D60FD9" w:rsidRDefault="00FF3A34" w:rsidP="00D85AAE">
      <w:r>
        <w:t xml:space="preserve">It is anticipated that </w:t>
      </w:r>
      <w:r w:rsidR="00985A21">
        <w:t>AASB </w:t>
      </w:r>
      <w:r>
        <w:t xml:space="preserve">17 will have limited impact on Victorian public sector reporting. </w:t>
      </w:r>
    </w:p>
    <w:p w14:paraId="668BD128" w14:textId="45E9FA82" w:rsidR="00E97DFC" w:rsidRDefault="00E97DFC" w:rsidP="00D85AAE">
      <w:pPr>
        <w:pStyle w:val="Heading2"/>
        <w:rPr>
          <w:i/>
        </w:rPr>
      </w:pPr>
      <w:r>
        <w:t xml:space="preserve">Other new </w:t>
      </w:r>
      <w:r w:rsidR="0009584F">
        <w:t xml:space="preserve">standards </w:t>
      </w:r>
      <w:r>
        <w:t>issued since 1 July 2019</w:t>
      </w:r>
      <w:r w:rsidR="00D85AAE">
        <w:t xml:space="preserve"> </w:t>
      </w:r>
    </w:p>
    <w:p w14:paraId="70757B3F" w14:textId="60298188" w:rsidR="000D590D" w:rsidRPr="000D590D" w:rsidRDefault="000D590D" w:rsidP="00D85AAE">
      <w:r>
        <w:t xml:space="preserve">We have only included amending standards below that may have an impact on Victorian public sector reporting. There have been other amending standards issued by the </w:t>
      </w:r>
      <w:r w:rsidR="00985A21">
        <w:t>AASB </w:t>
      </w:r>
      <w:r>
        <w:t xml:space="preserve">however information has not been included below because we </w:t>
      </w:r>
      <w:r w:rsidR="009B5D3C">
        <w:t>deem</w:t>
      </w:r>
      <w:r>
        <w:t xml:space="preserve"> them to have no impact. </w:t>
      </w:r>
    </w:p>
    <w:p w14:paraId="0F51BAB2" w14:textId="4ADD421E" w:rsidR="0047404F" w:rsidRDefault="00985A21" w:rsidP="0009584F">
      <w:pPr>
        <w:pStyle w:val="Heading4"/>
      </w:pPr>
      <w:r>
        <w:t>AASB </w:t>
      </w:r>
      <w:r w:rsidR="0047404F">
        <w:t xml:space="preserve">2019-3 </w:t>
      </w:r>
      <w:r w:rsidR="0047404F" w:rsidRPr="0009584F">
        <w:rPr>
          <w:i/>
          <w:iCs w:val="0"/>
        </w:rPr>
        <w:t>Amendments to Australian Accounting Standards – Interest Rate Benchmark Reform</w:t>
      </w:r>
    </w:p>
    <w:p w14:paraId="3F491EE3" w14:textId="4DF7460A" w:rsidR="0047404F" w:rsidRDefault="0047404F" w:rsidP="00D85AAE">
      <w:r>
        <w:t xml:space="preserve">This Standard </w:t>
      </w:r>
      <w:r w:rsidR="00156BD3">
        <w:t>amends</w:t>
      </w:r>
      <w:r>
        <w:t xml:space="preserve"> </w:t>
      </w:r>
      <w:r w:rsidR="00985A21">
        <w:t>AASB </w:t>
      </w:r>
      <w:r>
        <w:t xml:space="preserve">7 </w:t>
      </w:r>
      <w:r>
        <w:rPr>
          <w:i/>
        </w:rPr>
        <w:t>Financial Instruments: Disclosures</w:t>
      </w:r>
      <w:r>
        <w:t xml:space="preserve">, </w:t>
      </w:r>
      <w:r w:rsidR="00985A21">
        <w:t>AASB </w:t>
      </w:r>
      <w:r>
        <w:t xml:space="preserve">9 </w:t>
      </w:r>
      <w:r>
        <w:rPr>
          <w:i/>
        </w:rPr>
        <w:t xml:space="preserve">Financial Instruments </w:t>
      </w:r>
      <w:r>
        <w:t xml:space="preserve">and </w:t>
      </w:r>
      <w:r w:rsidR="00985A21">
        <w:t>AASB </w:t>
      </w:r>
      <w:r>
        <w:t xml:space="preserve">139 </w:t>
      </w:r>
      <w:r>
        <w:rPr>
          <w:i/>
        </w:rPr>
        <w:t>Financial Instruments: Recognition and Measurement</w:t>
      </w:r>
      <w:r>
        <w:t xml:space="preserve">. It </w:t>
      </w:r>
      <w:r w:rsidR="00156BD3">
        <w:t xml:space="preserve">modifies some specific hedge accounting requirements to provide relief from the potential effects of the uncertainty caused by the interest rate benchmark reform. It also requires entities to provide additional information about their hedging relationships that are directly affected by these uncertainties. </w:t>
      </w:r>
    </w:p>
    <w:p w14:paraId="3494FB11" w14:textId="354F2BBC" w:rsidR="0047404F" w:rsidRPr="0009584F" w:rsidRDefault="00156BD3" w:rsidP="00D85AAE">
      <w:r>
        <w:t>This will have limited impact on Victorian public sector reporting.</w:t>
      </w:r>
    </w:p>
    <w:p w14:paraId="6F48BFA7" w14:textId="3624F417" w:rsidR="00E97DFC" w:rsidRPr="0009584F" w:rsidRDefault="00E97DFC" w:rsidP="0009584F">
      <w:pPr>
        <w:pStyle w:val="Heading2"/>
        <w:rPr>
          <w:highlight w:val="yellow"/>
        </w:rPr>
      </w:pPr>
      <w:r w:rsidRPr="0009584F">
        <w:lastRenderedPageBreak/>
        <w:t xml:space="preserve">Exposure drafts issued for comment by the </w:t>
      </w:r>
      <w:r w:rsidR="00985A21" w:rsidRPr="0009584F">
        <w:t>AASB</w:t>
      </w:r>
    </w:p>
    <w:p w14:paraId="2625E53D" w14:textId="58CC52A4" w:rsidR="000D590D" w:rsidRPr="000D590D" w:rsidRDefault="000D590D" w:rsidP="0009584F">
      <w:pPr>
        <w:keepNext/>
      </w:pPr>
      <w:r>
        <w:t xml:space="preserve">We have only included exposure drafts below that may have an impact on Victorian public sector reporting. There have been other exposure drafts issued however information has not been included below because we </w:t>
      </w:r>
      <w:r w:rsidR="009B5D3C">
        <w:t>deem</w:t>
      </w:r>
      <w:r>
        <w:t xml:space="preserve"> them to have no impact. </w:t>
      </w:r>
    </w:p>
    <w:p w14:paraId="30859F02" w14:textId="32FAFB38" w:rsidR="003E1A9C" w:rsidRDefault="003E1A9C" w:rsidP="0009584F">
      <w:pPr>
        <w:pStyle w:val="Heading4"/>
      </w:pPr>
      <w:r>
        <w:t xml:space="preserve">ED 296 </w:t>
      </w:r>
      <w:r w:rsidRPr="0009584F">
        <w:rPr>
          <w:i/>
          <w:iCs w:val="0"/>
        </w:rPr>
        <w:t xml:space="preserve">Disclosure of </w:t>
      </w:r>
      <w:r w:rsidR="0009584F" w:rsidRPr="0009584F">
        <w:rPr>
          <w:i/>
          <w:iCs w:val="0"/>
        </w:rPr>
        <w:t>accounting policies</w:t>
      </w:r>
    </w:p>
    <w:p w14:paraId="28E0EFA7" w14:textId="0A869B98" w:rsidR="00EA4E8E" w:rsidRDefault="00B5552A" w:rsidP="00D85AAE">
      <w:r>
        <w:t xml:space="preserve">This ED was issued by the IASB and proposes amendments to IAS 1 </w:t>
      </w:r>
      <w:r>
        <w:rPr>
          <w:i/>
        </w:rPr>
        <w:t xml:space="preserve">Presentation of Financial Statements </w:t>
      </w:r>
      <w:r>
        <w:t>(</w:t>
      </w:r>
      <w:r w:rsidR="00985A21">
        <w:t>AASB </w:t>
      </w:r>
      <w:r>
        <w:t xml:space="preserve">101) and IFRS Practice Statement 2 </w:t>
      </w:r>
      <w:r>
        <w:rPr>
          <w:i/>
        </w:rPr>
        <w:t>Making Materiality Judgements</w:t>
      </w:r>
      <w:r>
        <w:t xml:space="preserve"> (</w:t>
      </w:r>
      <w:r w:rsidR="00985A21">
        <w:t>AASB </w:t>
      </w:r>
      <w:r>
        <w:t>Practice Statement 2) to help entities provide accounting policy disclosures that are more useful to primary users of financial statements.</w:t>
      </w:r>
      <w:r w:rsidR="00EA4E8E">
        <w:t xml:space="preserve"> Amendments are also intended to help entities apply the concept of materiality in making decisions about accounting policy disclosures.</w:t>
      </w:r>
    </w:p>
    <w:p w14:paraId="0D77AFDC" w14:textId="0359CDF2" w:rsidR="00B5552A" w:rsidRDefault="00B5552A" w:rsidP="00D85AAE">
      <w:r>
        <w:t>At present IAS 1/</w:t>
      </w:r>
      <w:r w:rsidR="00985A21">
        <w:t>AASB </w:t>
      </w:r>
      <w:r>
        <w:t xml:space="preserve">101 requires entities to disclose their ‘significant’ accounting policies. The ED proposes to replace this with a requirement to disclose ‘material’ accounting policies. </w:t>
      </w:r>
    </w:p>
    <w:p w14:paraId="06887F0C" w14:textId="37D66B24" w:rsidR="008828EC" w:rsidRDefault="008828EC" w:rsidP="00D85AAE">
      <w:r>
        <w:t xml:space="preserve">Comments on the ED have closed however an amending standard has not been issued. </w:t>
      </w:r>
    </w:p>
    <w:p w14:paraId="5FCE85F7" w14:textId="225F4BC2" w:rsidR="003E1A9C" w:rsidRDefault="003E1A9C" w:rsidP="0009584F">
      <w:pPr>
        <w:pStyle w:val="Heading4"/>
      </w:pPr>
      <w:r>
        <w:t xml:space="preserve">ED 294 </w:t>
      </w:r>
      <w:r w:rsidRPr="0009584F">
        <w:rPr>
          <w:i/>
          <w:iCs w:val="0"/>
        </w:rPr>
        <w:t xml:space="preserve">Deferred </w:t>
      </w:r>
      <w:r w:rsidR="0009584F" w:rsidRPr="0009584F">
        <w:rPr>
          <w:i/>
          <w:iCs w:val="0"/>
        </w:rPr>
        <w:t>tax related to assets and liabilities arising from a single transaction</w:t>
      </w:r>
    </w:p>
    <w:p w14:paraId="3B692EB3" w14:textId="203F8B74" w:rsidR="003E1A9C" w:rsidRDefault="00830F68" w:rsidP="00D85AAE">
      <w:r>
        <w:t xml:space="preserve">This ED proposes to amend IAS 12 </w:t>
      </w:r>
      <w:r>
        <w:rPr>
          <w:i/>
        </w:rPr>
        <w:t xml:space="preserve">Income Taxes </w:t>
      </w:r>
      <w:r>
        <w:t>(</w:t>
      </w:r>
      <w:r w:rsidR="00985A21">
        <w:t>AASB </w:t>
      </w:r>
      <w:r>
        <w:t xml:space="preserve">112) and would require an entity to recognise deferred tax on initial recognition of particular transactions to the extent the transaction gives rise to equal amounts of deferred tax assets and liabilities. These will apply to particular transactions for which an entity recognises both an asset and a liability, such as leases and decommissioning obligations. </w:t>
      </w:r>
    </w:p>
    <w:p w14:paraId="481BAAD4" w14:textId="1D2AD5A8" w:rsidR="00830F68" w:rsidRPr="00830F68" w:rsidRDefault="008828EC" w:rsidP="00D85AAE">
      <w:r>
        <w:t xml:space="preserve">Comments on the ED have closed however an amending standard has not been issued. </w:t>
      </w:r>
    </w:p>
    <w:p w14:paraId="1B005E07" w14:textId="0341C265" w:rsidR="003E1A9C" w:rsidRDefault="003E1A9C" w:rsidP="0009584F">
      <w:pPr>
        <w:pStyle w:val="Heading4"/>
      </w:pPr>
      <w:r>
        <w:t xml:space="preserve">ED 291 </w:t>
      </w:r>
      <w:r w:rsidRPr="0009584F">
        <w:rPr>
          <w:i/>
          <w:iCs w:val="0"/>
        </w:rPr>
        <w:t>Not-</w:t>
      </w:r>
      <w:r w:rsidR="0009584F" w:rsidRPr="0009584F">
        <w:rPr>
          <w:i/>
          <w:iCs w:val="0"/>
        </w:rPr>
        <w:t>for-profit entity definition and guidance</w:t>
      </w:r>
    </w:p>
    <w:p w14:paraId="4D971DA9" w14:textId="6B204350" w:rsidR="008F7F10" w:rsidRDefault="009634C6" w:rsidP="00D85AAE">
      <w:r>
        <w:t xml:space="preserve">As part of consultation undertaken in relation to the AASB’s standard-setting frameworks in 2017, respondents requested more guidance from the </w:t>
      </w:r>
      <w:r w:rsidR="00985A21">
        <w:t>AASB </w:t>
      </w:r>
      <w:r>
        <w:t>in determining whether an entity is for-profit or not-for-profit.</w:t>
      </w:r>
      <w:r w:rsidR="008F7F10">
        <w:t xml:space="preserve"> During this process, respondents supported the </w:t>
      </w:r>
      <w:r w:rsidR="00985A21">
        <w:t>AASB </w:t>
      </w:r>
      <w:r w:rsidR="008F7F10">
        <w:t xml:space="preserve">monitoring and working with the New Zealand Accounting Standards Board (NZASB) on its project to update the definition of a public benefit entity (PBE). </w:t>
      </w:r>
    </w:p>
    <w:p w14:paraId="1BF3E627" w14:textId="7C660485" w:rsidR="003E1A9C" w:rsidRDefault="008F7F10" w:rsidP="00D85AAE">
      <w:r>
        <w:t>Respondents also noted the potential usefulness of the definition of a PBE as having a greater focus on the nature and purpose of a not-for-profit. The PBE definition is a positive statement of what a PBE is whereas the current definition of a not-for-profit, applying Australian accounting standards, is a negative statement of what it is not.</w:t>
      </w:r>
      <w:r w:rsidR="00D85AAE">
        <w:t xml:space="preserve"> </w:t>
      </w:r>
    </w:p>
    <w:p w14:paraId="448FBDE0" w14:textId="3634C965" w:rsidR="00C72B0B" w:rsidRDefault="008F7F10" w:rsidP="00D85AAE">
      <w:r>
        <w:t>Noting the feedback received, the Board decided in February 2018 to retain the term ‘not-for-profit entity’ but to consider</w:t>
      </w:r>
      <w:r w:rsidR="00C72B0B">
        <w:t>,</w:t>
      </w:r>
      <w:r>
        <w:t xml:space="preserve"> at a later time</w:t>
      </w:r>
      <w:r w:rsidR="00C72B0B">
        <w:t>,</w:t>
      </w:r>
      <w:r>
        <w:t xml:space="preserve"> amending the definition and guidance through monitoring the NZASB’s project on improving the guidance on its definition of PBE. The NZASB have since issued and finalised guidance to assist an entity in determining whether it is a PBE or for-profit entity. </w:t>
      </w:r>
    </w:p>
    <w:p w14:paraId="36EDFAFA" w14:textId="0E6001AF" w:rsidR="00137F9C" w:rsidRDefault="008F7F10" w:rsidP="00D85AAE">
      <w:r>
        <w:t xml:space="preserve">The </w:t>
      </w:r>
      <w:r w:rsidR="00985A21">
        <w:t>AASB </w:t>
      </w:r>
      <w:r>
        <w:t>have reviewed this</w:t>
      </w:r>
      <w:r w:rsidR="00C72B0B">
        <w:t xml:space="preserve">, and with limited amendments to adapt it for the Australian context, issued the ED for comment. </w:t>
      </w:r>
      <w:r w:rsidR="008828EC">
        <w:t>Comments have closed and i</w:t>
      </w:r>
      <w:r w:rsidR="00C72B0B">
        <w:t xml:space="preserve">t is expected the Board will further consider the comments received at its next board meeting. </w:t>
      </w:r>
    </w:p>
    <w:p w14:paraId="507EAB04" w14:textId="02EBD11C" w:rsidR="00E97DFC" w:rsidRDefault="00E97DFC" w:rsidP="00E97DFC">
      <w:pPr>
        <w:pStyle w:val="Heading1"/>
      </w:pPr>
      <w:bookmarkStart w:id="20" w:name="_Toc33614835"/>
      <w:r>
        <w:t xml:space="preserve">Other </w:t>
      </w:r>
      <w:r w:rsidR="0009584F">
        <w:t>developments</w:t>
      </w:r>
      <w:bookmarkEnd w:id="20"/>
    </w:p>
    <w:p w14:paraId="588A2AEA" w14:textId="00BE3BF3" w:rsidR="002E42DE" w:rsidRPr="004F78B1" w:rsidRDefault="002E42DE" w:rsidP="00D85AAE">
      <w:pPr>
        <w:pStyle w:val="Heading2"/>
      </w:pPr>
      <w:r>
        <w:t>Climate-related and other emerging risks disclosures</w:t>
      </w:r>
    </w:p>
    <w:p w14:paraId="41E85758" w14:textId="1D7C688D" w:rsidR="002E42DE" w:rsidRDefault="002E42DE" w:rsidP="00D85AAE">
      <w:r>
        <w:t xml:space="preserve">Interest among </w:t>
      </w:r>
      <w:r w:rsidR="00F3654A">
        <w:t>users</w:t>
      </w:r>
      <w:r>
        <w:t xml:space="preserve"> in understanding climate-related risk from </w:t>
      </w:r>
      <w:r w:rsidR="00CA2989">
        <w:t>an entity’s</w:t>
      </w:r>
      <w:r>
        <w:t xml:space="preserve"> management is increasing. </w:t>
      </w:r>
      <w:r w:rsidR="001E4FE8">
        <w:t>These</w:t>
      </w:r>
      <w:r>
        <w:t xml:space="preserve"> risks are </w:t>
      </w:r>
      <w:r w:rsidR="001E4FE8">
        <w:t xml:space="preserve">currently </w:t>
      </w:r>
      <w:r>
        <w:t xml:space="preserve">not included in financial statements. </w:t>
      </w:r>
    </w:p>
    <w:p w14:paraId="742F9ACE" w14:textId="0814808C" w:rsidR="002E6663" w:rsidRDefault="002E6663" w:rsidP="00D85AAE">
      <w:r>
        <w:t xml:space="preserve">Climate-related risks include those from potential acute or chronic natural disasters, change in climate patterns and the related technology, market, legal and changes in government policies risks. </w:t>
      </w:r>
    </w:p>
    <w:p w14:paraId="28261532" w14:textId="2A9DEDF4" w:rsidR="002E42DE" w:rsidRDefault="000D253A" w:rsidP="00D85AAE">
      <w:r>
        <w:lastRenderedPageBreak/>
        <w:t xml:space="preserve">Although not mandatory, </w:t>
      </w:r>
      <w:r w:rsidR="002E42DE">
        <w:t>Making Materiality Judgements (</w:t>
      </w:r>
      <w:r w:rsidR="00985A21">
        <w:t>AASB </w:t>
      </w:r>
      <w:r w:rsidR="002E42DE">
        <w:t>Practice Statement 2)</w:t>
      </w:r>
      <w:r>
        <w:t xml:space="preserve"> is the AASB’s best practice guidance for making materiality judgements. It</w:t>
      </w:r>
      <w:r w:rsidR="002E42DE">
        <w:t xml:space="preserve"> sets out that qualitative external factors such as the industry in which an entity operates, and </w:t>
      </w:r>
      <w:r w:rsidR="00F3654A">
        <w:t>user</w:t>
      </w:r>
      <w:r w:rsidR="002E42DE">
        <w:t xml:space="preserve"> expectations may make such risks material and warrant disclosures when preparing financial statements, regardless of the numerical impact.</w:t>
      </w:r>
    </w:p>
    <w:p w14:paraId="61920311" w14:textId="47355EF2" w:rsidR="00CA2989" w:rsidRDefault="002E42DE" w:rsidP="00D85AAE">
      <w:r>
        <w:t xml:space="preserve">Given the growing importance </w:t>
      </w:r>
      <w:r w:rsidR="00CA2989">
        <w:t xml:space="preserve">of climate-related risks to </w:t>
      </w:r>
      <w:r w:rsidR="00F3654A">
        <w:t>user</w:t>
      </w:r>
      <w:r w:rsidR="00CA2989">
        <w:t xml:space="preserve"> decision making and Practice Statement 2, entities may need to consider whether disclosures should be included in their financial statements. </w:t>
      </w:r>
    </w:p>
    <w:p w14:paraId="3E9DB44F" w14:textId="30F80C2E" w:rsidR="009B1529" w:rsidRDefault="00CA2989" w:rsidP="00D85AAE">
      <w:r>
        <w:t xml:space="preserve">The </w:t>
      </w:r>
      <w:r w:rsidR="00985A21">
        <w:t>AASB </w:t>
      </w:r>
      <w:r>
        <w:t xml:space="preserve">and Auditing and Assurance Standards Board expect that </w:t>
      </w:r>
      <w:r w:rsidR="001E4FE8">
        <w:t xml:space="preserve">responsible </w:t>
      </w:r>
      <w:r w:rsidR="006F1C18">
        <w:t>officials</w:t>
      </w:r>
      <w:r w:rsidR="001E4FE8">
        <w:t xml:space="preserve"> </w:t>
      </w:r>
      <w:r>
        <w:t>, preparers and auditors will be considering Practice Statement 2 in the next year. Guidance has been issued covering what preparers should consider in relation to climate-related risks</w:t>
      </w:r>
      <w:r w:rsidR="009B1529">
        <w:t>, financial implications</w:t>
      </w:r>
      <w:r>
        <w:t xml:space="preserve"> and whether disclosures should be included in financial statements. </w:t>
      </w:r>
    </w:p>
    <w:p w14:paraId="4BAA653C" w14:textId="65928561" w:rsidR="00CA2989" w:rsidRDefault="009B1529" w:rsidP="00D85AAE">
      <w:r>
        <w:t xml:space="preserve">Further information can be found on the </w:t>
      </w:r>
      <w:r w:rsidR="00985A21">
        <w:t>AASB </w:t>
      </w:r>
      <w:r>
        <w:t>website and entities should consider whether this is applicable to them</w:t>
      </w:r>
      <w:r w:rsidR="006F1C18">
        <w:t xml:space="preserve"> (</w:t>
      </w:r>
      <w:hyperlink r:id="rId30" w:history="1">
        <w:r w:rsidR="0009584F" w:rsidRPr="00EA3B51">
          <w:rPr>
            <w:rStyle w:val="Hyperlink"/>
          </w:rPr>
          <w:t>https://www.aasb.gov.au</w:t>
        </w:r>
      </w:hyperlink>
      <w:r w:rsidR="006F1C18">
        <w:t>).</w:t>
      </w:r>
    </w:p>
    <w:p w14:paraId="6B9A4E34" w14:textId="751BF3F4" w:rsidR="009B1529" w:rsidRPr="004F78B1" w:rsidRDefault="009B1529" w:rsidP="00D85AAE">
      <w:pPr>
        <w:pStyle w:val="Heading2"/>
      </w:pPr>
      <w:r>
        <w:t>Environment protection legislation</w:t>
      </w:r>
    </w:p>
    <w:p w14:paraId="7FEBB006" w14:textId="77777777" w:rsidR="0049521F" w:rsidRPr="0049521F" w:rsidRDefault="0049521F" w:rsidP="00D85AAE">
      <w:pPr>
        <w:rPr>
          <w:spacing w:val="0"/>
          <w:sz w:val="22"/>
        </w:rPr>
      </w:pPr>
      <w:r>
        <w:t xml:space="preserve">New environment protection legislation will commence on 1 July 2020. It focuses on preventing the waste and </w:t>
      </w:r>
      <w:r w:rsidRPr="0049521F">
        <w:t xml:space="preserve">pollution impacts of human activities and holds duty holders more accountable for managing their effects, introducing criminal penalties for serious breaches and recovery of costs for remediation. </w:t>
      </w:r>
    </w:p>
    <w:p w14:paraId="41F58C01" w14:textId="295A370C" w:rsidR="0049521F" w:rsidRPr="0049521F" w:rsidRDefault="0049521F" w:rsidP="00D85AAE">
      <w:r w:rsidRPr="0049521F">
        <w:t>The legislation may impact some entities and more information can be accessed via a factsheet</w:t>
      </w:r>
      <w:r w:rsidR="0009584F">
        <w:t xml:space="preserve"> at </w:t>
      </w:r>
      <w:hyperlink r:id="rId31" w:history="1">
        <w:r w:rsidR="0009584F" w:rsidRPr="00EA3B51">
          <w:rPr>
            <w:rStyle w:val="Hyperlink"/>
          </w:rPr>
          <w:t>https://www.environment.vic.gov.au/__data/assets/pdf_file/0019/334450/Factsheet_Environment-Protection-Amendment-Act-2018.pdf</w:t>
        </w:r>
      </w:hyperlink>
      <w:r w:rsidR="0009584F">
        <w:t>.</w:t>
      </w:r>
      <w:r w:rsidRPr="0049521F">
        <w:t xml:space="preserve"> Further information is </w:t>
      </w:r>
      <w:r>
        <w:t xml:space="preserve">also </w:t>
      </w:r>
      <w:r w:rsidRPr="0049521F">
        <w:t xml:space="preserve">available on the </w:t>
      </w:r>
      <w:hyperlink r:id="rId32" w:history="1">
        <w:r w:rsidRPr="0049521F">
          <w:rPr>
            <w:rStyle w:val="Hyperlink"/>
            <w:color w:val="auto"/>
          </w:rPr>
          <w:t>EPA website</w:t>
        </w:r>
      </w:hyperlink>
      <w:r w:rsidRPr="0049521F">
        <w:t xml:space="preserve">, and will expand in the lead up to commencement. The changes will not affect the reporting obligations included in FRD 24D </w:t>
      </w:r>
      <w:r w:rsidRPr="0049521F">
        <w:rPr>
          <w:i/>
          <w:iCs/>
        </w:rPr>
        <w:t>Reporting of office-based environmental data by government.</w:t>
      </w:r>
      <w:r w:rsidR="00D85AAE">
        <w:rPr>
          <w:i/>
          <w:iCs/>
        </w:rPr>
        <w:t xml:space="preserve"> </w:t>
      </w:r>
    </w:p>
    <w:p w14:paraId="53456088" w14:textId="6D1CBF0A" w:rsidR="007209C0" w:rsidRPr="004F78B1" w:rsidRDefault="006665E7" w:rsidP="00D85AAE">
      <w:pPr>
        <w:pStyle w:val="Heading2"/>
      </w:pPr>
      <w:r>
        <w:t>Gender</w:t>
      </w:r>
      <w:r w:rsidR="00F35544">
        <w:t xml:space="preserve"> Equality</w:t>
      </w:r>
      <w:r>
        <w:t xml:space="preserve"> Bill</w:t>
      </w:r>
      <w:r w:rsidR="00CC3197">
        <w:t xml:space="preserve"> 2019</w:t>
      </w:r>
    </w:p>
    <w:p w14:paraId="667C6ABE" w14:textId="7D1E4E7C" w:rsidR="00D529BD" w:rsidRPr="0009584F" w:rsidRDefault="00CC3197" w:rsidP="0009584F">
      <w:pPr>
        <w:rPr>
          <w:iCs/>
        </w:rPr>
      </w:pPr>
      <w:r w:rsidRPr="0009584F">
        <w:rPr>
          <w:iCs/>
        </w:rPr>
        <w:t>The Gender Equality Bill 2019 was introduced to Parliament on 29 November 2019. It aims to</w:t>
      </w:r>
      <w:r w:rsidR="00D529BD" w:rsidRPr="0009584F">
        <w:rPr>
          <w:iCs/>
        </w:rPr>
        <w:t>:</w:t>
      </w:r>
    </w:p>
    <w:p w14:paraId="64BD5ED6" w14:textId="77777777" w:rsidR="00D529BD" w:rsidRDefault="00CC3197" w:rsidP="0009584F">
      <w:pPr>
        <w:pStyle w:val="Bullet1"/>
      </w:pPr>
      <w:r>
        <w:t>improve workplace gender equality across the Victorian public sector, universities and local councils</w:t>
      </w:r>
    </w:p>
    <w:p w14:paraId="156F89D7" w14:textId="77777777" w:rsidR="00D529BD" w:rsidRDefault="00D529BD" w:rsidP="0009584F">
      <w:pPr>
        <w:pStyle w:val="Bullet1"/>
      </w:pPr>
      <w:r>
        <w:t>level the playing field so that Victorians have equal rights, opportunities, responsibilities and outcomes.</w:t>
      </w:r>
      <w:r w:rsidR="00CC3197">
        <w:t xml:space="preserve"> </w:t>
      </w:r>
    </w:p>
    <w:p w14:paraId="6F1789AB" w14:textId="77777777" w:rsidR="00D529BD" w:rsidRDefault="00D529BD" w:rsidP="00D85AAE">
      <w:r>
        <w:t>The Bill will:</w:t>
      </w:r>
    </w:p>
    <w:p w14:paraId="1541FAB1" w14:textId="53346884" w:rsidR="00D529BD" w:rsidRDefault="00C20B01" w:rsidP="0009584F">
      <w:pPr>
        <w:pStyle w:val="Bullet1"/>
      </w:pPr>
      <w:r>
        <w:t>require</w:t>
      </w:r>
      <w:r w:rsidR="00D529BD">
        <w:t xml:space="preserve"> entities </w:t>
      </w:r>
      <w:r>
        <w:t>t</w:t>
      </w:r>
      <w:r w:rsidR="00D529BD">
        <w:t xml:space="preserve">o develop a Gender Equality Action </w:t>
      </w:r>
      <w:r>
        <w:t>Plan that includes:</w:t>
      </w:r>
    </w:p>
    <w:p w14:paraId="4410D402" w14:textId="77777777" w:rsidR="00C20B01" w:rsidRDefault="00C20B01" w:rsidP="0009584F">
      <w:pPr>
        <w:pStyle w:val="Bullet2"/>
      </w:pPr>
      <w:r>
        <w:t>activities to be undertaken by the entity to address gender equality internally</w:t>
      </w:r>
    </w:p>
    <w:p w14:paraId="1C9A6D77" w14:textId="5DE34F26" w:rsidR="00C20B01" w:rsidRDefault="00C20B01" w:rsidP="0009584F">
      <w:pPr>
        <w:pStyle w:val="Bullet2"/>
      </w:pPr>
      <w:r>
        <w:t xml:space="preserve">policies, programs and services they can adopt that further improves gender equality amongst their direct stakeholders and the wider community. </w:t>
      </w:r>
    </w:p>
    <w:p w14:paraId="54F6E37A" w14:textId="2B7209B2" w:rsidR="00DC3A8D" w:rsidRDefault="00C20B01" w:rsidP="0009584F">
      <w:pPr>
        <w:pStyle w:val="Bullet1"/>
      </w:pPr>
      <w:r>
        <w:t>require entities to make reasonable progress against any set targets and quotas. These will be set in future regulations and tailored to an industry or sector</w:t>
      </w:r>
    </w:p>
    <w:p w14:paraId="35B5468C" w14:textId="26015690" w:rsidR="00D529BD" w:rsidRDefault="00D529BD" w:rsidP="0009584F">
      <w:pPr>
        <w:pStyle w:val="Bullet1"/>
      </w:pPr>
      <w:r>
        <w:t xml:space="preserve">require </w:t>
      </w:r>
      <w:r w:rsidR="00DC3A8D">
        <w:t xml:space="preserve">entities to </w:t>
      </w:r>
      <w:r>
        <w:t>report public</w:t>
      </w:r>
      <w:r w:rsidR="00DC3A8D">
        <w:t>ly every two years on their progress</w:t>
      </w:r>
    </w:p>
    <w:p w14:paraId="1C629334" w14:textId="28288FE4" w:rsidR="00C20B01" w:rsidRDefault="00C20B01" w:rsidP="0009584F">
      <w:pPr>
        <w:pStyle w:val="Bullet1"/>
      </w:pPr>
      <w:r>
        <w:t xml:space="preserve">establish the Public Sector Gender Equality Commissioner. </w:t>
      </w:r>
    </w:p>
    <w:p w14:paraId="3724F63F" w14:textId="07499708" w:rsidR="00C20B01" w:rsidRDefault="00EC72B8" w:rsidP="0009584F">
      <w:r>
        <w:t>The Bill was</w:t>
      </w:r>
      <w:r w:rsidR="00C20B01">
        <w:t xml:space="preserve"> passed</w:t>
      </w:r>
      <w:r>
        <w:t xml:space="preserve"> on 6 February 2020 and the legislation</w:t>
      </w:r>
      <w:r w:rsidR="00C20B01">
        <w:t xml:space="preserve"> will commence on 31 March 2021. </w:t>
      </w:r>
      <w:r w:rsidR="00FE5526">
        <w:t xml:space="preserve">It is anticipated </w:t>
      </w:r>
      <w:r>
        <w:t xml:space="preserve">going forward that </w:t>
      </w:r>
      <w:r w:rsidR="00FE5526">
        <w:t xml:space="preserve">the Minister for Women will prescribe the reporting requirements which will be reflected in the FRDs relating to workforce data. </w:t>
      </w:r>
    </w:p>
    <w:p w14:paraId="2B1BBDA2" w14:textId="1B105E44" w:rsidR="00F12357" w:rsidRDefault="003E6C23" w:rsidP="003E6C23">
      <w:pPr>
        <w:pStyle w:val="Heading3"/>
      </w:pPr>
      <w:r>
        <w:t>Social Procurement Framework</w:t>
      </w:r>
    </w:p>
    <w:p w14:paraId="4FCDE066" w14:textId="1B51D034" w:rsidR="003E6C23" w:rsidRDefault="003E6C23" w:rsidP="00D85AAE">
      <w:r w:rsidRPr="003E6C23">
        <w:t xml:space="preserve">While the reporting framework for social procurement is currently in place, FRD 31 </w:t>
      </w:r>
      <w:r w:rsidRPr="003E6C23">
        <w:rPr>
          <w:i/>
          <w:iCs/>
        </w:rPr>
        <w:t>Social Procurement Framework Disclosures</w:t>
      </w:r>
      <w:r w:rsidRPr="003E6C23">
        <w:t xml:space="preserve"> is still in the process of being finalised and is not expected to be in place for reporting purposes </w:t>
      </w:r>
      <w:r>
        <w:t>i</w:t>
      </w:r>
      <w:r w:rsidRPr="003E6C23">
        <w:t xml:space="preserve">n </w:t>
      </w:r>
      <w:r>
        <w:t>2020-21</w:t>
      </w:r>
      <w:r w:rsidRPr="003E6C23">
        <w:t xml:space="preserve">. </w:t>
      </w:r>
    </w:p>
    <w:p w14:paraId="5DFD23A7" w14:textId="187B5DE5" w:rsidR="003E6C23" w:rsidRPr="003E6C23" w:rsidRDefault="003E6C23" w:rsidP="00D85AAE">
      <w:r w:rsidRPr="003E6C23">
        <w:t>Additional updates will be provided in future newsletters.</w:t>
      </w:r>
    </w:p>
    <w:p w14:paraId="38ACA131" w14:textId="7E8FFEDA" w:rsidR="00F12357" w:rsidRPr="00851105" w:rsidRDefault="00F12357" w:rsidP="00BC08E2">
      <w:pPr>
        <w:sectPr w:rsidR="00F12357" w:rsidRPr="00851105" w:rsidSect="00117C18">
          <w:headerReference w:type="even" r:id="rId33"/>
          <w:headerReference w:type="default" r:id="rId34"/>
          <w:footerReference w:type="even" r:id="rId35"/>
          <w:footerReference w:type="default" r:id="rId36"/>
          <w:headerReference w:type="first" r:id="rId37"/>
          <w:footerReference w:type="first" r:id="rId38"/>
          <w:pgSz w:w="11906" w:h="16838" w:code="9"/>
          <w:pgMar w:top="2160" w:right="1440" w:bottom="1354" w:left="1440" w:header="706" w:footer="461" w:gutter="0"/>
          <w:cols w:space="533"/>
          <w:docGrid w:linePitch="360"/>
        </w:sectPr>
      </w:pPr>
    </w:p>
    <w:p w14:paraId="51B0AA5E" w14:textId="77777777" w:rsidR="00BC08E2" w:rsidRPr="00851105" w:rsidRDefault="00BC08E2" w:rsidP="00CE1A05">
      <w:pPr>
        <w:pStyle w:val="Heading1"/>
      </w:pPr>
      <w:bookmarkStart w:id="21" w:name="_Toc33614836"/>
      <w:r w:rsidRPr="00851105">
        <w:lastRenderedPageBreak/>
        <w:t>How to contact us</w:t>
      </w:r>
      <w:bookmarkEnd w:id="21"/>
    </w:p>
    <w:p w14:paraId="0184C2A0" w14:textId="77777777" w:rsidR="00BC08E2" w:rsidRPr="00851105" w:rsidRDefault="00BC08E2" w:rsidP="00D85AAE">
      <w:pPr>
        <w:pStyle w:val="Heading2"/>
        <w:sectPr w:rsidR="00BC08E2" w:rsidRPr="00851105" w:rsidSect="00985A21">
          <w:headerReference w:type="even" r:id="rId39"/>
          <w:headerReference w:type="default" r:id="rId40"/>
          <w:footerReference w:type="even" r:id="rId41"/>
          <w:headerReference w:type="first" r:id="rId42"/>
          <w:footerReference w:type="first" r:id="rId43"/>
          <w:pgSz w:w="11906" w:h="16838" w:code="9"/>
          <w:pgMar w:top="2160" w:right="1440" w:bottom="1354" w:left="1440" w:header="706" w:footer="461" w:gutter="0"/>
          <w:cols w:num="2" w:space="533"/>
          <w:docGrid w:linePitch="360"/>
        </w:sectPr>
      </w:pPr>
    </w:p>
    <w:p w14:paraId="5D2B2BDF" w14:textId="77777777" w:rsidR="00BC08E2" w:rsidRPr="00851105" w:rsidRDefault="00BC08E2" w:rsidP="00D85AAE">
      <w:pPr>
        <w:pStyle w:val="Heading2"/>
      </w:pPr>
      <w:r w:rsidRPr="00851105">
        <w:t>AccPol mail box</w:t>
      </w:r>
    </w:p>
    <w:p w14:paraId="5C3EE93F" w14:textId="500678F8" w:rsidR="00BC08E2" w:rsidRPr="00851105" w:rsidRDefault="00BC08E2" w:rsidP="00BC08E2">
      <w:pPr>
        <w:rPr>
          <w:rFonts w:eastAsiaTheme="minorHAnsi"/>
          <w:lang w:eastAsia="en-US"/>
        </w:rPr>
      </w:pPr>
      <w:r w:rsidRPr="00851105">
        <w:rPr>
          <w:rFonts w:eastAsiaTheme="minorHAnsi"/>
          <w:lang w:eastAsia="en-US"/>
        </w:rPr>
        <w:t xml:space="preserve">When </w:t>
      </w:r>
      <w:r w:rsidRPr="00851105">
        <w:t>directing accounting policy enquiries to DTF at</w:t>
      </w:r>
      <w:r w:rsidR="00906FEA">
        <w:t xml:space="preserve"> </w:t>
      </w:r>
      <w:hyperlink r:id="rId44" w:history="1">
        <w:r w:rsidR="00906FEA" w:rsidRPr="00D5782B">
          <w:rPr>
            <w:rStyle w:val="Hyperlink"/>
          </w:rPr>
          <w:t>accpol@dtf.vic.gov.au</w:t>
        </w:r>
      </w:hyperlink>
      <w:r w:rsidRPr="00221A90">
        <w:rPr>
          <w:color w:val="000000" w:themeColor="text1"/>
        </w:rPr>
        <w:t>,</w:t>
      </w:r>
      <w:r w:rsidRPr="00221A90">
        <w:rPr>
          <w:rFonts w:eastAsiaTheme="minorHAnsi"/>
          <w:color w:val="000000" w:themeColor="text1"/>
          <w:lang w:eastAsia="en-US"/>
        </w:rPr>
        <w:t xml:space="preserve"> </w:t>
      </w:r>
      <w:r w:rsidRPr="00221A90">
        <w:rPr>
          <w:rFonts w:eastAsiaTheme="minorHAnsi"/>
          <w:b/>
          <w:bCs/>
          <w:color w:val="000000" w:themeColor="text1"/>
          <w:lang w:eastAsia="en-US"/>
        </w:rPr>
        <w:t>de</w:t>
      </w:r>
      <w:r w:rsidRPr="00851105">
        <w:rPr>
          <w:rFonts w:eastAsiaTheme="minorHAnsi"/>
          <w:b/>
          <w:bCs/>
          <w:lang w:eastAsia="en-US"/>
        </w:rPr>
        <w:t>partments</w:t>
      </w:r>
      <w:r w:rsidRPr="00851105">
        <w:rPr>
          <w:rFonts w:eastAsiaTheme="minorHAnsi"/>
          <w:lang w:eastAsia="en-US"/>
        </w:rPr>
        <w:t xml:space="preserve"> are requested to </w:t>
      </w:r>
      <w:r w:rsidRPr="00851105">
        <w:t>support</w:t>
      </w:r>
      <w:r w:rsidRPr="00851105">
        <w:rPr>
          <w:rFonts w:eastAsiaTheme="minorHAnsi"/>
          <w:lang w:eastAsia="en-US"/>
        </w:rPr>
        <w:t xml:space="preserve"> their questions with the facts and with clear referencing to Accounting Standards, FRDs and </w:t>
      </w:r>
      <w:r w:rsidRPr="00851105">
        <w:t>other</w:t>
      </w:r>
      <w:r w:rsidRPr="00851105">
        <w:rPr>
          <w:rFonts w:eastAsiaTheme="minorHAnsi"/>
          <w:lang w:eastAsia="en-US"/>
        </w:rPr>
        <w:t xml:space="preserve"> authoritative pronouncements related to their queries.</w:t>
      </w:r>
    </w:p>
    <w:p w14:paraId="7486F604" w14:textId="77777777" w:rsidR="00BC08E2" w:rsidRPr="00851105" w:rsidRDefault="00BC08E2" w:rsidP="00BC08E2">
      <w:pPr>
        <w:rPr>
          <w:rFonts w:eastAsiaTheme="minorHAnsi"/>
          <w:lang w:eastAsia="en-US"/>
        </w:rPr>
      </w:pPr>
      <w:r w:rsidRPr="00851105">
        <w:rPr>
          <w:rFonts w:eastAsiaTheme="minorHAnsi"/>
          <w:b/>
          <w:bCs/>
          <w:lang w:eastAsia="en-US"/>
        </w:rPr>
        <w:t>Other entities</w:t>
      </w:r>
      <w:r w:rsidRPr="00851105">
        <w:rPr>
          <w:rFonts w:eastAsiaTheme="minorHAnsi"/>
          <w:lang w:eastAsia="en-US"/>
        </w:rPr>
        <w:t xml:space="preserve"> are requested to contact their portfolio department in the first instance to resolve any accounting policy issues.</w:t>
      </w:r>
    </w:p>
    <w:p w14:paraId="7898F960" w14:textId="77777777" w:rsidR="00BC08E2" w:rsidRPr="00851105" w:rsidRDefault="00BC08E2" w:rsidP="00D85AAE">
      <w:pPr>
        <w:pStyle w:val="Heading2"/>
      </w:pPr>
      <w:r w:rsidRPr="00851105">
        <w:t>Useful websites</w:t>
      </w:r>
    </w:p>
    <w:p w14:paraId="1FA3D6E1" w14:textId="02C82AE2" w:rsidR="00BC08E2" w:rsidRPr="00851105" w:rsidRDefault="00985A21" w:rsidP="00BC08E2">
      <w:r>
        <w:rPr>
          <w:b/>
        </w:rPr>
        <w:t>AASB </w:t>
      </w:r>
      <w:r w:rsidR="00BC08E2" w:rsidRPr="00851105">
        <w:t xml:space="preserve">– </w:t>
      </w:r>
      <w:hyperlink r:id="rId45" w:history="1">
        <w:r w:rsidR="00BC08E2" w:rsidRPr="00851105">
          <w:rPr>
            <w:rStyle w:val="Hyperlink"/>
          </w:rPr>
          <w:t>www.aasb.com.au</w:t>
        </w:r>
      </w:hyperlink>
      <w:r w:rsidR="00BC08E2" w:rsidRPr="00851105">
        <w:t xml:space="preserve"> for information on </w:t>
      </w:r>
      <w:r>
        <w:t>AASB </w:t>
      </w:r>
      <w:r w:rsidR="00BC08E2" w:rsidRPr="00851105">
        <w:t>pronouncements, discussion papers and ED publications.</w:t>
      </w:r>
    </w:p>
    <w:p w14:paraId="6B774B14" w14:textId="48018301" w:rsidR="00BC08E2" w:rsidRPr="00851105" w:rsidRDefault="00BC08E2" w:rsidP="00BC08E2">
      <w:r w:rsidRPr="00851105">
        <w:rPr>
          <w:b/>
        </w:rPr>
        <w:t xml:space="preserve">International </w:t>
      </w:r>
      <w:r w:rsidR="00810CD2" w:rsidRPr="00851105">
        <w:rPr>
          <w:b/>
        </w:rPr>
        <w:t>Public-Sector</w:t>
      </w:r>
      <w:r w:rsidRPr="00851105">
        <w:rPr>
          <w:b/>
        </w:rPr>
        <w:t xml:space="preserve"> Accounting Standards Board</w:t>
      </w:r>
      <w:r w:rsidRPr="00851105">
        <w:t xml:space="preserve"> (IPSASB) – </w:t>
      </w:r>
      <w:hyperlink r:id="rId46" w:history="1">
        <w:r w:rsidR="00450799" w:rsidRPr="00851105">
          <w:rPr>
            <w:rStyle w:val="Hyperlink"/>
          </w:rPr>
          <w:t>www.ipsasb.org</w:t>
        </w:r>
      </w:hyperlink>
      <w:r w:rsidRPr="00851105">
        <w:t xml:space="preserve"> for information on IPSASB and </w:t>
      </w:r>
      <w:r w:rsidR="00450799" w:rsidRPr="00851105">
        <w:t>IPSAS-</w:t>
      </w:r>
      <w:r w:rsidRPr="00851105">
        <w:t>pronouncements.</w:t>
      </w:r>
    </w:p>
    <w:p w14:paraId="5A883A32" w14:textId="77777777" w:rsidR="00BC08E2" w:rsidRPr="00851105" w:rsidRDefault="00BC08E2" w:rsidP="00D85AAE">
      <w:pPr>
        <w:pStyle w:val="Heading2"/>
      </w:pPr>
      <w:r w:rsidRPr="00851105">
        <w:br w:type="column"/>
      </w:r>
      <w:r w:rsidRPr="00851105">
        <w:t>DTF website</w:t>
      </w:r>
    </w:p>
    <w:p w14:paraId="372D7ACA" w14:textId="5E152BB5" w:rsidR="00BC08E2" w:rsidRPr="00851105" w:rsidRDefault="00BC08E2" w:rsidP="00CE1A05">
      <w:r w:rsidRPr="00851105">
        <w:rPr>
          <w:b/>
        </w:rPr>
        <w:t>The DTF website (for all internet users)</w:t>
      </w:r>
      <w:r w:rsidRPr="00851105">
        <w:t xml:space="preserve"> – </w:t>
      </w:r>
      <w:hyperlink r:id="rId47" w:history="1">
        <w:r w:rsidRPr="00851105">
          <w:rPr>
            <w:rStyle w:val="Hyperlink"/>
          </w:rPr>
          <w:t>www.dtf.vic.gov.au</w:t>
        </w:r>
      </w:hyperlink>
      <w:r w:rsidRPr="00851105">
        <w:t xml:space="preserve">, covers FRDs and guidance, the Model Report, accounting policy updates, </w:t>
      </w:r>
      <w:r w:rsidR="009B64DE" w:rsidRPr="00851105">
        <w:t>long service leave models and related data input,</w:t>
      </w:r>
      <w:r w:rsidR="00EE0CD4">
        <w:t xml:space="preserve"> </w:t>
      </w:r>
      <w:r w:rsidR="009B64DE" w:rsidRPr="00851105">
        <w:t xml:space="preserve">including </w:t>
      </w:r>
      <w:r w:rsidRPr="00851105">
        <w:t>wage inflation and discount rates. From the menu on the top of the home page, users should select Financial Management</w:t>
      </w:r>
      <w:r w:rsidR="00DB04F4">
        <w:t xml:space="preserve"> of Government</w:t>
      </w:r>
      <w:r w:rsidRPr="00851105">
        <w:t>, then Financial Reporting Policy.</w:t>
      </w:r>
    </w:p>
    <w:p w14:paraId="66CC5D10" w14:textId="77777777" w:rsidR="00BC08E2" w:rsidRPr="00851105" w:rsidRDefault="00BC08E2" w:rsidP="00CE1A05">
      <w:r w:rsidRPr="00851105">
        <w:rPr>
          <w:b/>
        </w:rPr>
        <w:t>VPS users</w:t>
      </w:r>
      <w:r w:rsidRPr="00851105">
        <w:t xml:space="preserve"> should contact their portfolio </w:t>
      </w:r>
      <w:r w:rsidR="00052D9B">
        <w:t>d</w:t>
      </w:r>
      <w:r w:rsidRPr="00851105">
        <w:t>epartment in the first instance for the login details to access the information relating to the 2008 Long Service Leave Model</w:t>
      </w:r>
      <w:r w:rsidR="009B64DE" w:rsidRPr="00851105">
        <w:t xml:space="preserve"> and/or</w:t>
      </w:r>
      <w:r w:rsidRPr="00851105">
        <w:t>, the Valuer</w:t>
      </w:r>
      <w:r w:rsidR="00314CE6" w:rsidRPr="00851105">
        <w:noBreakHyphen/>
      </w:r>
      <w:r w:rsidRPr="00851105">
        <w:t>General building and land indices.</w:t>
      </w:r>
    </w:p>
    <w:p w14:paraId="491B2C2B" w14:textId="77777777" w:rsidR="00BC08E2" w:rsidRPr="00851105" w:rsidRDefault="00BC08E2" w:rsidP="00CE1A05">
      <w:pPr>
        <w:rPr>
          <w:rStyle w:val="Hyperlink"/>
        </w:rPr>
      </w:pPr>
      <w:r w:rsidRPr="00851105">
        <w:t>For as</w:t>
      </w:r>
      <w:r w:rsidRPr="00CE1A05">
        <w:t>s</w:t>
      </w:r>
      <w:r w:rsidRPr="00851105">
        <w:t xml:space="preserve">istance with technical difficulties using the DTF website, e.g. broken links, please contact the DTF web team via email at </w:t>
      </w:r>
      <w:hyperlink r:id="rId48" w:history="1">
        <w:r w:rsidRPr="00851105">
          <w:rPr>
            <w:rStyle w:val="Hyperlink"/>
          </w:rPr>
          <w:t>dtfweb@dtf.vic.gov.au</w:t>
        </w:r>
      </w:hyperlink>
    </w:p>
    <w:p w14:paraId="327A430A" w14:textId="77777777" w:rsidR="00BC08E2" w:rsidRPr="00851105" w:rsidRDefault="00BC08E2" w:rsidP="00D85AAE">
      <w:pPr>
        <w:pStyle w:val="Heading2"/>
      </w:pPr>
      <w:r w:rsidRPr="00851105">
        <w:t>About the Accounting Policy Update</w:t>
      </w:r>
    </w:p>
    <w:p w14:paraId="176AB32C" w14:textId="77777777" w:rsidR="00BC08E2" w:rsidRPr="00851105" w:rsidRDefault="00BC08E2" w:rsidP="00BC08E2">
      <w:r w:rsidRPr="00851105">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14:paraId="73685EF8" w14:textId="77777777" w:rsidR="00BC08E2" w:rsidRPr="00851105" w:rsidRDefault="00BC08E2" w:rsidP="00BC08E2"/>
    <w:p w14:paraId="061054F2" w14:textId="77777777" w:rsidR="00BC08E2" w:rsidRPr="00851105" w:rsidRDefault="00BC08E2" w:rsidP="00BC08E2">
      <w:pPr>
        <w:sectPr w:rsidR="00BC08E2" w:rsidRPr="00851105" w:rsidSect="00C51246">
          <w:headerReference w:type="even" r:id="rId49"/>
          <w:headerReference w:type="default" r:id="rId50"/>
          <w:type w:val="continuous"/>
          <w:pgSz w:w="11906" w:h="16838" w:code="9"/>
          <w:pgMar w:top="2160" w:right="1440" w:bottom="1350" w:left="1440" w:header="706" w:footer="461" w:gutter="0"/>
          <w:pgNumType w:start="1"/>
          <w:cols w:num="2" w:space="386"/>
          <w:titlePg/>
          <w:docGrid w:linePitch="360"/>
        </w:sectPr>
      </w:pPr>
    </w:p>
    <w:p w14:paraId="3B977D57" w14:textId="77777777" w:rsidR="00BC08E2" w:rsidRPr="00851105" w:rsidRDefault="00BC08E2" w:rsidP="00BC08E2">
      <w:pPr>
        <w:pStyle w:val="Disclaimertext"/>
      </w:pPr>
      <w:r w:rsidRPr="00851105">
        <w:rPr>
          <w:b/>
        </w:rPr>
        <w:t>Disclaimer:</w:t>
      </w:r>
      <w:r w:rsidRPr="00851105">
        <w:t xml:space="preserve"> No responsibility is taken for any action(s) taken on the basis of information contained in this Newsletter nor for any errors or omissions in that information.</w:t>
      </w:r>
    </w:p>
    <w:p w14:paraId="3DB039A3" w14:textId="77777777" w:rsidR="00BC08E2" w:rsidRPr="00851105" w:rsidRDefault="00BC08E2" w:rsidP="00BC08E2">
      <w:pPr>
        <w:pStyle w:val="NewsletterNote"/>
      </w:pPr>
    </w:p>
    <w:p w14:paraId="2CA0038C" w14:textId="77777777" w:rsidR="00BC08E2" w:rsidRPr="00851105" w:rsidRDefault="00BC08E2" w:rsidP="00BC08E2">
      <w:pPr>
        <w:pStyle w:val="NewsletterNote"/>
      </w:pPr>
      <w:r w:rsidRPr="00851105">
        <w:t xml:space="preserve">Accounting Policy Update </w:t>
      </w:r>
      <w:r w:rsidRPr="00851105">
        <w:br/>
        <w:t>ISSN 2205</w:t>
      </w:r>
      <w:r w:rsidR="00314CE6" w:rsidRPr="00851105">
        <w:noBreakHyphen/>
      </w:r>
      <w:r w:rsidRPr="00851105">
        <w:t>4014</w:t>
      </w:r>
    </w:p>
    <w:p w14:paraId="11B4E9D4" w14:textId="40D10AB3" w:rsidR="00BC08E2" w:rsidRPr="00851105" w:rsidRDefault="000E13EE" w:rsidP="00BC08E2">
      <w:pPr>
        <w:keepNext/>
        <w:rPr>
          <w:rFonts w:cstheme="minorHAnsi"/>
          <w:sz w:val="16"/>
          <w:szCs w:val="16"/>
        </w:rPr>
      </w:pPr>
      <w:r w:rsidRPr="00851105">
        <w:rPr>
          <w:rFonts w:cstheme="minorHAnsi"/>
          <w:sz w:val="16"/>
          <w:szCs w:val="16"/>
        </w:rPr>
        <w:t>© State of Victoria 201</w:t>
      </w:r>
      <w:r w:rsidR="000461B3">
        <w:rPr>
          <w:rFonts w:cstheme="minorHAnsi"/>
          <w:sz w:val="16"/>
          <w:szCs w:val="16"/>
        </w:rPr>
        <w:t>9</w:t>
      </w:r>
    </w:p>
    <w:p w14:paraId="647B26EE" w14:textId="77777777" w:rsidR="00BC08E2" w:rsidRPr="00851105" w:rsidRDefault="00BC08E2" w:rsidP="00BC08E2">
      <w:pPr>
        <w:keepNext/>
        <w:rPr>
          <w:rFonts w:cstheme="minorHAnsi"/>
          <w:sz w:val="16"/>
          <w:szCs w:val="16"/>
        </w:rPr>
      </w:pPr>
      <w:r w:rsidRPr="00851105">
        <w:rPr>
          <w:rFonts w:cstheme="minorHAnsi"/>
          <w:noProof/>
          <w:sz w:val="16"/>
          <w:szCs w:val="16"/>
        </w:rPr>
        <w:drawing>
          <wp:inline distT="0" distB="0" distL="0" distR="0" wp14:anchorId="5388DC3C" wp14:editId="4475CD27">
            <wp:extent cx="1117460" cy="393651"/>
            <wp:effectExtent l="0" t="0" r="6985" b="6985"/>
            <wp:docPr id="2" name="Picture 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5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14:paraId="63916C26" w14:textId="77777777" w:rsidR="00BC08E2" w:rsidRPr="00851105" w:rsidRDefault="00BC08E2" w:rsidP="00BC08E2">
      <w:pPr>
        <w:keepNext/>
        <w:rPr>
          <w:rFonts w:cstheme="minorHAnsi"/>
          <w:sz w:val="16"/>
          <w:szCs w:val="16"/>
        </w:rPr>
      </w:pPr>
      <w:r w:rsidRPr="00851105">
        <w:rPr>
          <w:rFonts w:cstheme="minorHAnsi"/>
          <w:sz w:val="16"/>
          <w:szCs w:val="16"/>
        </w:rPr>
        <w:t>You are free to re</w:t>
      </w:r>
      <w:r w:rsidR="00314CE6" w:rsidRPr="00851105">
        <w:rPr>
          <w:rFonts w:cstheme="minorHAnsi"/>
          <w:sz w:val="16"/>
          <w:szCs w:val="16"/>
        </w:rPr>
        <w:noBreakHyphen/>
      </w:r>
      <w:r w:rsidRPr="00851105">
        <w:rPr>
          <w:rFonts w:cstheme="minorHAnsi"/>
          <w:sz w:val="16"/>
          <w:szCs w:val="16"/>
        </w:rPr>
        <w:t xml:space="preserve">use this work under a </w:t>
      </w:r>
      <w:hyperlink r:id="rId53" w:history="1">
        <w:r w:rsidRPr="00851105">
          <w:rPr>
            <w:rStyle w:val="Hyperlink"/>
            <w:rFonts w:cstheme="minorHAnsi"/>
            <w:sz w:val="16"/>
            <w:szCs w:val="16"/>
          </w:rPr>
          <w:t>Creative Commons Attribution 4.0 licence</w:t>
        </w:r>
      </w:hyperlink>
      <w:r w:rsidRPr="00851105">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14:paraId="5CEED907" w14:textId="77777777" w:rsidR="00BC08E2" w:rsidRPr="000C21C3" w:rsidRDefault="00BC08E2" w:rsidP="00BC08E2">
      <w:pPr>
        <w:keepNext/>
        <w:rPr>
          <w:rFonts w:cstheme="minorHAnsi"/>
          <w:sz w:val="16"/>
          <w:szCs w:val="16"/>
        </w:rPr>
      </w:pPr>
      <w:r w:rsidRPr="00851105">
        <w:rPr>
          <w:rFonts w:cstheme="minorHAnsi"/>
          <w:sz w:val="16"/>
          <w:szCs w:val="16"/>
        </w:rPr>
        <w:t xml:space="preserve">Copyright queries may be directed to </w:t>
      </w:r>
      <w:hyperlink r:id="rId54" w:history="1">
        <w:r w:rsidRPr="00851105">
          <w:rPr>
            <w:rStyle w:val="Hyperlink"/>
            <w:rFonts w:cstheme="minorHAnsi"/>
            <w:sz w:val="16"/>
            <w:szCs w:val="16"/>
          </w:rPr>
          <w:t>IPpolicy@dtf.vic.gov.au</w:t>
        </w:r>
      </w:hyperlink>
      <w:r w:rsidRPr="00851105">
        <w:rPr>
          <w:rFonts w:cstheme="minorHAnsi"/>
          <w:sz w:val="16"/>
          <w:szCs w:val="16"/>
        </w:rPr>
        <w:t>.</w:t>
      </w:r>
      <w:r w:rsidRPr="000C21C3">
        <w:rPr>
          <w:rFonts w:cstheme="minorHAnsi"/>
          <w:sz w:val="16"/>
          <w:szCs w:val="16"/>
        </w:rPr>
        <w:t xml:space="preserve"> </w:t>
      </w:r>
      <w:bookmarkEnd w:id="0"/>
      <w:bookmarkEnd w:id="1"/>
    </w:p>
    <w:sectPr w:rsidR="00BC08E2" w:rsidRPr="000C21C3" w:rsidSect="00C51246">
      <w:headerReference w:type="even" r:id="rId55"/>
      <w:headerReference w:type="default" r:id="rId56"/>
      <w:footerReference w:type="even" r:id="rId57"/>
      <w:footerReference w:type="default" r:id="rId58"/>
      <w:headerReference w:type="first" r:id="rId59"/>
      <w:footerReference w:type="first" r:id="rId60"/>
      <w:type w:val="continuous"/>
      <w:pgSz w:w="11906" w:h="16838" w:code="9"/>
      <w:pgMar w:top="2160" w:right="1440" w:bottom="1350" w:left="1440" w:header="706" w:footer="461" w:gutter="0"/>
      <w:pgNumType w:start="1"/>
      <w:cols w:space="53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8606" w14:textId="77777777" w:rsidR="00460863" w:rsidRDefault="00460863" w:rsidP="002D711A">
      <w:pPr>
        <w:spacing w:after="0" w:line="240" w:lineRule="auto"/>
      </w:pPr>
      <w:r>
        <w:separator/>
      </w:r>
    </w:p>
  </w:endnote>
  <w:endnote w:type="continuationSeparator" w:id="0">
    <w:p w14:paraId="4BAD930E" w14:textId="77777777" w:rsidR="00460863" w:rsidRDefault="0046086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A43C" w14:textId="24B36697" w:rsidR="00985A21" w:rsidRDefault="00985A21" w:rsidP="00C51246">
    <w:pPr>
      <w:pStyle w:val="Spacer"/>
    </w:pPr>
    <w:r>
      <w:rPr>
        <w:noProof/>
      </w:rPr>
      <mc:AlternateContent>
        <mc:Choice Requires="wps">
          <w:drawing>
            <wp:anchor distT="0" distB="0" distL="114300" distR="114300" simplePos="1" relativeHeight="251643392" behindDoc="0" locked="0" layoutInCell="0" allowOverlap="1" wp14:anchorId="117374B1" wp14:editId="70EDBC56">
              <wp:simplePos x="0" y="10234930"/>
              <wp:positionH relativeFrom="page">
                <wp:posOffset>0</wp:posOffset>
              </wp:positionH>
              <wp:positionV relativeFrom="page">
                <wp:posOffset>10234930</wp:posOffset>
              </wp:positionV>
              <wp:extent cx="7560310" cy="266700"/>
              <wp:effectExtent l="0" t="0" r="0" b="0"/>
              <wp:wrapNone/>
              <wp:docPr id="25" name="MSIPCMec244a93a8c5e040c5b47a9f" descr="{&quot;HashCode&quot;:905516305,&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B26FEA" w14:textId="027FA791"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7374B1" id="_x0000_t202" coordsize="21600,21600" o:spt="202" path="m,l,21600r21600,l21600,xe">
              <v:stroke joinstyle="miter"/>
              <v:path gradientshapeok="t" o:connecttype="rect"/>
            </v:shapetype>
            <v:shape id="MSIPCMec244a93a8c5e040c5b47a9f" o:spid="_x0000_s1026" type="#_x0000_t202" alt="{&quot;HashCode&quot;:905516305,&quot;Height&quot;:841.0,&quot;Width&quot;:595.0,&quot;Placement&quot;:&quot;Footer&quot;,&quot;Index&quot;:&quot;OddAndEven&quot;,&quot;Section&quot;:1,&quot;Top&quot;:0.0,&quot;Left&quot;:0.0}" style="position:absolute;margin-left:0;margin-top:805.9pt;width:595.3pt;height:21pt;z-index:2516433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69LCfR8DAAA6BgAADgAAAAAA&#10;AAAAAAAAAAAuAgAAZHJzL2Uyb0RvYy54bWxQSwECLQAUAAYACAAAACEAYBHGJt4AAAALAQAADwAA&#10;AAAAAAAAAAAAAAB5BQAAZHJzL2Rvd25yZXYueG1sUEsFBgAAAAAEAAQA8wAAAIQGAAAAAA==&#10;" o:allowincell="f" filled="f" stroked="f" strokeweight=".5pt">
              <v:textbox inset="20pt,0,,0">
                <w:txbxContent>
                  <w:p w14:paraId="04B26FEA" w14:textId="027FA791"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59F48FFA" w14:textId="77777777" w:rsidR="00985A21" w:rsidRDefault="00985A21" w:rsidP="00C51246">
    <w:pPr>
      <w:pStyle w:val="Spacer"/>
    </w:pPr>
  </w:p>
  <w:p w14:paraId="16443F2B" w14:textId="207E3529" w:rsidR="00985A21" w:rsidRPr="00C022F9" w:rsidRDefault="00985A21"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DFFA" w14:textId="42D9685E" w:rsidR="00985A21" w:rsidRDefault="00985A21" w:rsidP="00C51246">
    <w:pPr>
      <w:pStyle w:val="Spacer"/>
    </w:pPr>
    <w:r>
      <w:rPr>
        <w:noProof/>
      </w:rPr>
      <mc:AlternateContent>
        <mc:Choice Requires="wps">
          <w:drawing>
            <wp:anchor distT="0" distB="0" distL="114300" distR="114300" simplePos="1" relativeHeight="251670016" behindDoc="0" locked="0" layoutInCell="0" allowOverlap="1" wp14:anchorId="2985C973" wp14:editId="2A73E058">
              <wp:simplePos x="0" y="10234930"/>
              <wp:positionH relativeFrom="page">
                <wp:posOffset>0</wp:posOffset>
              </wp:positionH>
              <wp:positionV relativeFrom="page">
                <wp:posOffset>10234930</wp:posOffset>
              </wp:positionV>
              <wp:extent cx="7560310" cy="266700"/>
              <wp:effectExtent l="0" t="0" r="0" b="0"/>
              <wp:wrapNone/>
              <wp:docPr id="42" name="MSIPCM637c4d09ad0b4ee13a2c1880" descr="{&quot;HashCode&quot;:905516305,&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02DF5" w14:textId="674FA53A"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85C973" id="_x0000_t202" coordsize="21600,21600" o:spt="202" path="m,l,21600r21600,l21600,xe">
              <v:stroke joinstyle="miter"/>
              <v:path gradientshapeok="t" o:connecttype="rect"/>
            </v:shapetype>
            <v:shape id="MSIPCM637c4d09ad0b4ee13a2c1880" o:spid="_x0000_s1035" type="#_x0000_t202" alt="{&quot;HashCode&quot;:905516305,&quot;Height&quot;:841.0,&quot;Width&quot;:595.0,&quot;Placement&quot;:&quot;Footer&quot;,&quot;Index&quot;:&quot;OddAndEven&quot;,&quot;Section&quot;:4,&quot;Top&quot;:0.0,&quot;Left&quot;:0.0}" style="position:absolute;margin-left:0;margin-top:805.9pt;width:595.3pt;height:21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8x08ACIDAABBBgAADgAA&#10;AAAAAAAAAAAAAAAuAgAAZHJzL2Uyb0RvYy54bWxQSwECLQAUAAYACAAAACEAYBHGJt4AAAALAQAA&#10;DwAAAAAAAAAAAAAAAAB8BQAAZHJzL2Rvd25yZXYueG1sUEsFBgAAAAAEAAQA8wAAAIcGAAAAAA==&#10;" o:allowincell="f" filled="f" stroked="f" strokeweight=".5pt">
              <v:textbox inset="20pt,0,,0">
                <w:txbxContent>
                  <w:p w14:paraId="47002DF5" w14:textId="674FA53A"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62142CD8" w14:textId="77777777" w:rsidR="00985A21" w:rsidRDefault="00985A21" w:rsidP="00C51246">
    <w:pPr>
      <w:pStyle w:val="Spacer"/>
    </w:pPr>
  </w:p>
  <w:p w14:paraId="3B094F0F" w14:textId="31F63A80" w:rsidR="00985A21" w:rsidRPr="00C022F9" w:rsidRDefault="00985A21"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8</w:t>
    </w:r>
    <w:r w:rsidRPr="008B69EC">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4DBF" w14:textId="6AB04F9E" w:rsidR="00985A21" w:rsidRDefault="00985A21" w:rsidP="00C51246">
    <w:pPr>
      <w:pStyle w:val="Spacer"/>
    </w:pPr>
    <w:r>
      <w:rPr>
        <w:noProof/>
      </w:rPr>
      <mc:AlternateContent>
        <mc:Choice Requires="wps">
          <w:drawing>
            <wp:anchor distT="0" distB="0" distL="114300" distR="114300" simplePos="0" relativeHeight="251666944" behindDoc="0" locked="0" layoutInCell="0" allowOverlap="1" wp14:anchorId="08EB4136" wp14:editId="6D59C896">
              <wp:simplePos x="0" y="0"/>
              <wp:positionH relativeFrom="page">
                <wp:posOffset>0</wp:posOffset>
              </wp:positionH>
              <wp:positionV relativeFrom="page">
                <wp:posOffset>10234930</wp:posOffset>
              </wp:positionV>
              <wp:extent cx="7560310" cy="266700"/>
              <wp:effectExtent l="0" t="0" r="0" b="0"/>
              <wp:wrapNone/>
              <wp:docPr id="41" name="MSIPCM05c346a490fc87c1871325c1" descr="{&quot;HashCode&quot;:905516305,&quot;Height&quot;:841.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E6CDC" w14:textId="69A1F31E"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EB4136" id="_x0000_t202" coordsize="21600,21600" o:spt="202" path="m,l,21600r21600,l21600,xe">
              <v:stroke joinstyle="miter"/>
              <v:path gradientshapeok="t" o:connecttype="rect"/>
            </v:shapetype>
            <v:shape id="MSIPCM05c346a490fc87c1871325c1" o:spid="_x0000_s1036" type="#_x0000_t202" alt="{&quot;HashCode&quot;:905516305,&quot;Height&quot;:841.0,&quot;Width&quot;:595.0,&quot;Placement&quot;:&quot;Footer&quot;,&quot;Index&quot;:&quot;FirstPage&quot;,&quot;Section&quot;:4,&quot;Top&quot;:0.0,&quot;Left&quot;:0.0}" style="position:absolute;margin-left:0;margin-top:805.9pt;width:595.3pt;height:21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X8FBYJAMAAEEGAAAO&#10;AAAAAAAAAAAAAAAAAC4CAABkcnMvZTJvRG9jLnhtbFBLAQItABQABgAIAAAAIQBgEcYm3gAAAAsB&#10;AAAPAAAAAAAAAAAAAAAAAH4FAABkcnMvZG93bnJldi54bWxQSwUGAAAAAAQABADzAAAAiQYAAAAA&#10;" o:allowincell="f" filled="f" stroked="f" strokeweight=".5pt">
              <v:textbox inset="20pt,0,,0">
                <w:txbxContent>
                  <w:p w14:paraId="54EE6CDC" w14:textId="69A1F31E"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01FE6D49" w14:textId="77777777" w:rsidR="00985A21" w:rsidRDefault="00985A21" w:rsidP="00C51246">
    <w:pPr>
      <w:pStyle w:val="Spacer"/>
    </w:pPr>
  </w:p>
  <w:p w14:paraId="18B33548" w14:textId="18749A2E" w:rsidR="00985A21" w:rsidRPr="00C022F9" w:rsidRDefault="00985A21"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15</w:t>
    </w:r>
    <w:r w:rsidRPr="008B69EC">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3C96" w14:textId="7CB80A6B" w:rsidR="00985A21" w:rsidRDefault="00985A21" w:rsidP="00C51246">
    <w:pPr>
      <w:pStyle w:val="Footer"/>
    </w:pPr>
    <w:r>
      <mc:AlternateContent>
        <mc:Choice Requires="wps">
          <w:drawing>
            <wp:anchor distT="0" distB="0" distL="114300" distR="114300" simplePos="1" relativeHeight="251668992" behindDoc="0" locked="0" layoutInCell="0" allowOverlap="1" wp14:anchorId="3B749DA9" wp14:editId="1898F44E">
              <wp:simplePos x="0" y="10234930"/>
              <wp:positionH relativeFrom="page">
                <wp:posOffset>0</wp:posOffset>
              </wp:positionH>
              <wp:positionV relativeFrom="page">
                <wp:posOffset>10234930</wp:posOffset>
              </wp:positionV>
              <wp:extent cx="7560310" cy="266700"/>
              <wp:effectExtent l="0" t="0" r="0" b="0"/>
              <wp:wrapNone/>
              <wp:docPr id="48" name="MSIPCM5703463595c4e381762830a5" descr="{&quot;HashCode&quot;:905516305,&quot;Height&quot;:841.0,&quot;Width&quot;:595.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4D341" w14:textId="02594D92"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749DA9" id="_x0000_t202" coordsize="21600,21600" o:spt="202" path="m,l,21600r21600,l21600,xe">
              <v:stroke joinstyle="miter"/>
              <v:path gradientshapeok="t" o:connecttype="rect"/>
            </v:shapetype>
            <v:shape id="MSIPCM5703463595c4e381762830a5" o:spid="_x0000_s1037" type="#_x0000_t202" alt="{&quot;HashCode&quot;:905516305,&quot;Height&quot;:841.0,&quot;Width&quot;:595.0,&quot;Placement&quot;:&quot;Footer&quot;,&quot;Index&quot;:&quot;OddAndEven&quot;,&quot;Section&quot;:6,&quot;Top&quot;:0.0,&quot;Left&quot;:0.0}" style="position:absolute;margin-left:0;margin-top:805.9pt;width:595.3pt;height:21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0ZKL6B8DAABCBgAADgAAAAAA&#10;AAAAAAAAAAAuAgAAZHJzL2Uyb0RvYy54bWxQSwECLQAUAAYACAAAACEAYBHGJt4AAAALAQAADwAA&#10;AAAAAAAAAAAAAAB5BQAAZHJzL2Rvd25yZXYueG1sUEsFBgAAAAAEAAQA8wAAAIQGAAAAAA==&#10;" o:allowincell="f" filled="f" stroked="f" strokeweight=".5pt">
              <v:textbox inset="20pt,0,,0">
                <w:txbxContent>
                  <w:p w14:paraId="4374D341" w14:textId="02594D92"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469B366F" w14:textId="77777777" w:rsidR="00985A21" w:rsidRDefault="00985A21" w:rsidP="00C51246">
    <w:pPr>
      <w:pStyle w:val="Footer"/>
    </w:pPr>
  </w:p>
  <w:p w14:paraId="4B842866" w14:textId="353DC1FC" w:rsidR="00985A21" w:rsidRPr="00C022F9" w:rsidRDefault="00985A21"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B113" w14:textId="13EBCF8C" w:rsidR="00985A21" w:rsidRDefault="00985A21" w:rsidP="00C51246">
    <w:pPr>
      <w:pStyle w:val="Footer"/>
    </w:pPr>
    <w:r>
      <mc:AlternateContent>
        <mc:Choice Requires="wps">
          <w:drawing>
            <wp:anchor distT="0" distB="0" distL="114300" distR="114300" simplePos="1" relativeHeight="251665920" behindDoc="0" locked="0" layoutInCell="0" allowOverlap="1" wp14:anchorId="5885E4C8" wp14:editId="3EE100B2">
              <wp:simplePos x="0" y="10234930"/>
              <wp:positionH relativeFrom="page">
                <wp:posOffset>0</wp:posOffset>
              </wp:positionH>
              <wp:positionV relativeFrom="page">
                <wp:posOffset>10234930</wp:posOffset>
              </wp:positionV>
              <wp:extent cx="7560310" cy="266700"/>
              <wp:effectExtent l="0" t="0" r="0" b="0"/>
              <wp:wrapNone/>
              <wp:docPr id="46" name="MSIPCM50184e6b9a61ff44922fd261" descr="{&quot;HashCode&quot;:905516305,&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5E754" w14:textId="6F4067E4"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85E4C8" id="_x0000_t202" coordsize="21600,21600" o:spt="202" path="m,l,21600r21600,l21600,xe">
              <v:stroke joinstyle="miter"/>
              <v:path gradientshapeok="t" o:connecttype="rect"/>
            </v:shapetype>
            <v:shape id="MSIPCM50184e6b9a61ff44922fd261" o:spid="_x0000_s1038" type="#_x0000_t202" alt="{&quot;HashCode&quot;:905516305,&quot;Height&quot;:841.0,&quot;Width&quot;:595.0,&quot;Placement&quot;:&quot;Footer&quot;,&quot;Index&quot;:&quot;Primary&quot;,&quot;Section&quot;:6,&quot;Top&quot;:0.0,&quot;Left&quot;:0.0}" style="position:absolute;margin-left:0;margin-top:805.9pt;width:595.3pt;height:21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AkeoREgAwAAPwYAAA4AAAAA&#10;AAAAAAAAAAAALgIAAGRycy9lMm9Eb2MueG1sUEsBAi0AFAAGAAgAAAAhAGARxibeAAAACwEAAA8A&#10;AAAAAAAAAAAAAAAAegUAAGRycy9kb3ducmV2LnhtbFBLBQYAAAAABAAEAPMAAACFBgAAAAA=&#10;" o:allowincell="f" filled="f" stroked="f" strokeweight=".5pt">
              <v:textbox inset="20pt,0,,0">
                <w:txbxContent>
                  <w:p w14:paraId="1F15E754" w14:textId="6F4067E4"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7F7414F1" w14:textId="77777777" w:rsidR="00985A21" w:rsidRDefault="00985A21" w:rsidP="00AA2BF4">
    <w:pPr>
      <w:pStyle w:val="Footer"/>
    </w:pPr>
  </w:p>
  <w:p w14:paraId="23546919" w14:textId="2FD1CF0A" w:rsidR="00985A21" w:rsidRPr="00C022F9" w:rsidRDefault="00985A21"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11</w:t>
    </w:r>
    <w:r w:rsidRPr="008B69EC">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86A1" w14:textId="46153354" w:rsidR="00985A21" w:rsidRDefault="000E57B1" w:rsidP="00C51246">
    <w:pPr>
      <w:pStyle w:val="Footer"/>
    </w:pPr>
    <w:r>
      <mc:AlternateContent>
        <mc:Choice Requires="wps">
          <w:drawing>
            <wp:anchor distT="0" distB="0" distL="114300" distR="114300" simplePos="1" relativeHeight="251682304" behindDoc="0" locked="0" layoutInCell="0" allowOverlap="1" wp14:anchorId="365EEFB6" wp14:editId="316C9AC4">
              <wp:simplePos x="0" y="10234930"/>
              <wp:positionH relativeFrom="page">
                <wp:posOffset>0</wp:posOffset>
              </wp:positionH>
              <wp:positionV relativeFrom="page">
                <wp:posOffset>10234930</wp:posOffset>
              </wp:positionV>
              <wp:extent cx="7560310" cy="266700"/>
              <wp:effectExtent l="0" t="0" r="0" b="0"/>
              <wp:wrapNone/>
              <wp:docPr id="1" name="MSIPCM5d8b4b808fccd93e6ab866f4" descr="{&quot;HashCode&quot;:905516305,&quot;Height&quot;:841.0,&quot;Width&quot;:595.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F2440" w14:textId="22B94E75" w:rsidR="000E57B1" w:rsidRPr="000E57B1" w:rsidRDefault="000E57B1" w:rsidP="000E57B1">
                          <w:pPr>
                            <w:spacing w:before="0" w:after="0"/>
                            <w:rPr>
                              <w:rFonts w:ascii="Calibri" w:hAnsi="Calibri" w:cs="Calibri"/>
                              <w:color w:val="000000"/>
                              <w:sz w:val="22"/>
                            </w:rPr>
                          </w:pPr>
                          <w:r w:rsidRPr="000E57B1">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5EEFB6" id="_x0000_t202" coordsize="21600,21600" o:spt="202" path="m,l,21600r21600,l21600,xe">
              <v:stroke joinstyle="miter"/>
              <v:path gradientshapeok="t" o:connecttype="rect"/>
            </v:shapetype>
            <v:shape id="MSIPCM5d8b4b808fccd93e6ab866f4" o:spid="_x0000_s1039" type="#_x0000_t202" alt="{&quot;HashCode&quot;:905516305,&quot;Height&quot;:841.0,&quot;Width&quot;:595.0,&quot;Placement&quot;:&quot;Footer&quot;,&quot;Index&quot;:&quot;FirstPage&quot;,&quot;Section&quot;:6,&quot;Top&quot;:0.0,&quot;Left&quot;:0.0}" style="position:absolute;margin-left:0;margin-top:805.9pt;width:595.3pt;height:21pt;z-index:251682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NQx3n4gAwAAQAYAAA4AAAAA&#10;AAAAAAAAAAAALgIAAGRycy9lMm9Eb2MueG1sUEsBAi0AFAAGAAgAAAAhAGARxibeAAAACwEAAA8A&#10;AAAAAAAAAAAAAAAAegUAAGRycy9kb3ducmV2LnhtbFBLBQYAAAAABAAEAPMAAACFBgAAAAA=&#10;" o:allowincell="f" filled="f" stroked="f" strokeweight=".5pt">
              <v:textbox inset="20pt,0,,0">
                <w:txbxContent>
                  <w:p w14:paraId="459F2440" w14:textId="22B94E75" w:rsidR="000E57B1" w:rsidRPr="000E57B1" w:rsidRDefault="000E57B1" w:rsidP="000E57B1">
                    <w:pPr>
                      <w:spacing w:before="0" w:after="0"/>
                      <w:rPr>
                        <w:rFonts w:ascii="Calibri" w:hAnsi="Calibri" w:cs="Calibri"/>
                        <w:color w:val="000000"/>
                        <w:sz w:val="22"/>
                      </w:rPr>
                    </w:pPr>
                    <w:r w:rsidRPr="000E57B1">
                      <w:rPr>
                        <w:rFonts w:ascii="Calibri" w:hAnsi="Calibri" w:cs="Calibri"/>
                        <w:color w:val="000000"/>
                        <w:sz w:val="22"/>
                      </w:rPr>
                      <w:t>Unofficial</w:t>
                    </w:r>
                  </w:p>
                </w:txbxContent>
              </v:textbox>
              <w10:wrap anchorx="page" anchory="page"/>
            </v:shape>
          </w:pict>
        </mc:Fallback>
      </mc:AlternateContent>
    </w:r>
  </w:p>
  <w:p w14:paraId="3A38A4E2" w14:textId="77777777" w:rsidR="00985A21" w:rsidRDefault="00985A21" w:rsidP="00C51246">
    <w:pPr>
      <w:pStyle w:val="Footer"/>
    </w:pPr>
  </w:p>
  <w:p w14:paraId="2A1A3623" w14:textId="491B02D5" w:rsidR="00985A21" w:rsidRPr="00C022F9" w:rsidRDefault="00985A21"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11</w:t>
    </w:r>
    <w:r w:rsidRPr="008B69E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A021" w14:textId="659E5130" w:rsidR="00985A21" w:rsidRDefault="00985A21" w:rsidP="00C51246">
    <w:pPr>
      <w:pStyle w:val="Spacer"/>
    </w:pPr>
    <w:r>
      <w:rPr>
        <w:noProof/>
      </w:rPr>
      <mc:AlternateContent>
        <mc:Choice Requires="wps">
          <w:drawing>
            <wp:anchor distT="0" distB="0" distL="114300" distR="114300" simplePos="1" relativeHeight="251638272" behindDoc="0" locked="0" layoutInCell="0" allowOverlap="1" wp14:anchorId="059D84CB" wp14:editId="6B5F1059">
              <wp:simplePos x="0" y="10234930"/>
              <wp:positionH relativeFrom="page">
                <wp:posOffset>0</wp:posOffset>
              </wp:positionH>
              <wp:positionV relativeFrom="page">
                <wp:posOffset>10234930</wp:posOffset>
              </wp:positionV>
              <wp:extent cx="7560310" cy="266700"/>
              <wp:effectExtent l="0" t="0" r="0" b="0"/>
              <wp:wrapNone/>
              <wp:docPr id="21" name="MSIPCM992b4d9bb38ffa1847e5e447"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83951" w14:textId="0854DEFB"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9D84CB" id="_x0000_t202" coordsize="21600,21600" o:spt="202" path="m,l,21600r21600,l21600,xe">
              <v:stroke joinstyle="miter"/>
              <v:path gradientshapeok="t" o:connecttype="rect"/>
            </v:shapetype>
            <v:shape id="MSIPCM992b4d9bb38ffa1847e5e447" o:spid="_x0000_s1027" type="#_x0000_t202" alt="{&quot;HashCode&quot;:905516305,&quot;Height&quot;:841.0,&quot;Width&quot;:595.0,&quot;Placement&quot;:&quot;Footer&quot;,&quot;Index&quot;:&quot;Primary&quot;,&quot;Section&quot;:1,&quot;Top&quot;:0.0,&quot;Left&quot;:0.0}" style="position:absolute;margin-left:0;margin-top:805.9pt;width:595.3pt;height:21pt;z-index:25163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NIi5yQgAwAAPgYAAA4AAAAA&#10;AAAAAAAAAAAALgIAAGRycy9lMm9Eb2MueG1sUEsBAi0AFAAGAAgAAAAhAGARxibeAAAACwEAAA8A&#10;AAAAAAAAAAAAAAAAegUAAGRycy9kb3ducmV2LnhtbFBLBQYAAAAABAAEAPMAAACFBgAAAAA=&#10;" o:allowincell="f" filled="f" stroked="f" strokeweight=".5pt">
              <v:textbox inset="20pt,0,,0">
                <w:txbxContent>
                  <w:p w14:paraId="21D83951" w14:textId="0854DEFB"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04C6C9BD" w14:textId="77777777" w:rsidR="00985A21" w:rsidRDefault="00985A21" w:rsidP="000C21C3">
    <w:pPr>
      <w:pStyle w:val="Spacer"/>
    </w:pPr>
  </w:p>
  <w:p w14:paraId="59361088" w14:textId="7A1F053D" w:rsidR="00985A21" w:rsidRPr="00C022F9" w:rsidRDefault="00985A21"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99CA" w14:textId="3DCDA9D7" w:rsidR="00985A21" w:rsidRDefault="00985A21" w:rsidP="00985A21">
    <w:pPr>
      <w:pStyle w:val="Footer"/>
      <w:rPr>
        <w:rStyle w:val="PageNumber"/>
      </w:rP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2277B">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2277B">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p w14:paraId="488B6E58" w14:textId="0845BB2C" w:rsidR="00985A21" w:rsidRPr="00C022F9" w:rsidRDefault="00985A21" w:rsidP="00985A21">
    <w:pPr>
      <w:pStyle w:val="Footer"/>
      <w:spacing w:after="180"/>
    </w:pPr>
    <w:r>
      <mc:AlternateContent>
        <mc:Choice Requires="wps">
          <w:drawing>
            <wp:anchor distT="0" distB="0" distL="114300" distR="114300" simplePos="0" relativeHeight="251641344" behindDoc="1" locked="0" layoutInCell="0" allowOverlap="1" wp14:anchorId="2FBBAA8E" wp14:editId="7D209771">
              <wp:simplePos x="0" y="0"/>
              <wp:positionH relativeFrom="page">
                <wp:posOffset>0</wp:posOffset>
              </wp:positionH>
              <wp:positionV relativeFrom="page">
                <wp:posOffset>10236835</wp:posOffset>
              </wp:positionV>
              <wp:extent cx="7562088" cy="265176"/>
              <wp:effectExtent l="0" t="0" r="0" b="1905"/>
              <wp:wrapNone/>
              <wp:docPr id="24" name="MSIPCM74254d48ab945ca4a80a4ee2" descr="{&quot;HashCode&quot;:9055163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F14BE" w14:textId="7760444D"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BAA8E" id="_x0000_t202" coordsize="21600,21600" o:spt="202" path="m,l,21600r21600,l21600,xe">
              <v:stroke joinstyle="miter"/>
              <v:path gradientshapeok="t" o:connecttype="rect"/>
            </v:shapetype>
            <v:shape id="MSIPCM74254d48ab945ca4a80a4ee2" o:spid="_x0000_s1028" type="#_x0000_t202" alt="{&quot;HashCode&quot;:905516305,&quot;Height&quot;:841.0,&quot;Width&quot;:595.0,&quot;Placement&quot;:&quot;Footer&quot;,&quot;Index&quot;:&quot;FirstPage&quot;,&quot;Section&quot;:1,&quot;Top&quot;:0.0,&quot;Left&quot;:0.0}" style="position:absolute;margin-left:0;margin-top:806.05pt;width:595.45pt;height:20.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" o:allowincell="f" filled="f" stroked="f" strokeweight=".5pt">
              <v:textbox inset="20pt,0,,0">
                <w:txbxContent>
                  <w:p w14:paraId="36CF14BE" w14:textId="7760444D"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084A" w14:textId="37437C3C" w:rsidR="00985A21" w:rsidRDefault="00985A21" w:rsidP="00C51246">
    <w:pPr>
      <w:pStyle w:val="Spacer"/>
    </w:pPr>
    <w:r>
      <w:rPr>
        <w:noProof/>
      </w:rPr>
      <mc:AlternateContent>
        <mc:Choice Requires="wps">
          <w:drawing>
            <wp:anchor distT="0" distB="0" distL="114300" distR="114300" simplePos="0" relativeHeight="251651584" behindDoc="0" locked="0" layoutInCell="0" allowOverlap="1" wp14:anchorId="3301CCB5" wp14:editId="0E0E1C42">
              <wp:simplePos x="0" y="0"/>
              <wp:positionH relativeFrom="page">
                <wp:posOffset>0</wp:posOffset>
              </wp:positionH>
              <wp:positionV relativeFrom="page">
                <wp:posOffset>10234930</wp:posOffset>
              </wp:positionV>
              <wp:extent cx="7560310" cy="266700"/>
              <wp:effectExtent l="0" t="0" r="0" b="0"/>
              <wp:wrapNone/>
              <wp:docPr id="32" name="MSIPCM26574bbebea8f6f13ff7fa66" descr="{&quot;HashCode&quot;:905516305,&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B314B6" w14:textId="70A1882F"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01CCB5" id="_x0000_t202" coordsize="21600,21600" o:spt="202" path="m,l,21600r21600,l21600,xe">
              <v:stroke joinstyle="miter"/>
              <v:path gradientshapeok="t" o:connecttype="rect"/>
            </v:shapetype>
            <v:shape id="MSIPCM26574bbebea8f6f13ff7fa66" o:spid="_x0000_s1029" type="#_x0000_t202" alt="{&quot;HashCode&quot;:905516305,&quot;Height&quot;:841.0,&quot;Width&quot;:595.0,&quot;Placement&quot;:&quot;Footer&quot;,&quot;Index&quot;:&quot;OddAndEven&quot;,&quot;Section&quot;:2,&quot;Top&quot;:0.0,&quot;Left&quot;:0.0}" style="position:absolute;margin-left:0;margin-top:805.9pt;width:595.3pt;height:21pt;z-index:2516515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RTK5TB8DAABBBgAADgAAAAAA&#10;AAAAAAAAAAAuAgAAZHJzL2Uyb0RvYy54bWxQSwECLQAUAAYACAAAACEAYBHGJt4AAAALAQAADwAA&#10;AAAAAAAAAAAAAAB5BQAAZHJzL2Rvd25yZXYueG1sUEsFBgAAAAAEAAQA8wAAAIQGAAAAAA==&#10;" o:allowincell="f" filled="f" stroked="f" strokeweight=".5pt">
              <v:textbox inset="20pt,0,,0">
                <w:txbxContent>
                  <w:p w14:paraId="58B314B6" w14:textId="70A1882F"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483FC7DD" w14:textId="77777777" w:rsidR="00985A21" w:rsidRDefault="00985A21" w:rsidP="00C51246">
    <w:pPr>
      <w:pStyle w:val="Spacer"/>
    </w:pPr>
  </w:p>
  <w:p w14:paraId="51E33FFA" w14:textId="0B2E481D" w:rsidR="00985A21" w:rsidRPr="00C022F9" w:rsidRDefault="00985A21"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8198" w14:textId="6033BE39" w:rsidR="00985A21" w:rsidRDefault="00985A21" w:rsidP="00C51246">
    <w:pPr>
      <w:pStyle w:val="Spacer"/>
    </w:pPr>
    <w:r>
      <w:rPr>
        <w:noProof/>
      </w:rPr>
      <mc:AlternateContent>
        <mc:Choice Requires="wps">
          <w:drawing>
            <wp:anchor distT="0" distB="0" distL="114300" distR="114300" simplePos="1" relativeHeight="251645440" behindDoc="0" locked="0" layoutInCell="0" allowOverlap="1" wp14:anchorId="3C1577F5" wp14:editId="4E5EBB22">
              <wp:simplePos x="0" y="10234930"/>
              <wp:positionH relativeFrom="page">
                <wp:posOffset>0</wp:posOffset>
              </wp:positionH>
              <wp:positionV relativeFrom="page">
                <wp:posOffset>10234930</wp:posOffset>
              </wp:positionV>
              <wp:extent cx="7560310" cy="266700"/>
              <wp:effectExtent l="0" t="0" r="0" b="0"/>
              <wp:wrapNone/>
              <wp:docPr id="26" name="MSIPCMa54f491fa0affa4d7c36ea73" descr="{&quot;HashCode&quot;:90551630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5DBE8" w14:textId="187BAC1F"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1577F5" id="_x0000_t202" coordsize="21600,21600" o:spt="202" path="m,l,21600r21600,l21600,xe">
              <v:stroke joinstyle="miter"/>
              <v:path gradientshapeok="t" o:connecttype="rect"/>
            </v:shapetype>
            <v:shape id="MSIPCMa54f491fa0affa4d7c36ea73" o:spid="_x0000_s1030" type="#_x0000_t202" alt="{&quot;HashCode&quot;:905516305,&quot;Height&quot;:841.0,&quot;Width&quot;:595.0,&quot;Placement&quot;:&quot;Footer&quot;,&quot;Index&quot;:&quot;Primary&quot;,&quot;Section&quot;:2,&quot;Top&quot;:0.0,&quot;Left&quot;:0.0}" style="position:absolute;margin-left:0;margin-top:805.9pt;width:595.3pt;height:21pt;z-index:2516454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OQK7BYdAwAAPgYAAA4AAAAAAAAA&#10;AAAAAAAALgIAAGRycy9lMm9Eb2MueG1sUEsBAi0AFAAGAAgAAAAhAGARxibeAAAACwEAAA8AAAAA&#10;AAAAAAAAAAAAdwUAAGRycy9kb3ducmV2LnhtbFBLBQYAAAAABAAEAPMAAACCBgAAAAA=&#10;" o:allowincell="f" filled="f" stroked="f" strokeweight=".5pt">
              <v:textbox inset="20pt,0,,0">
                <w:txbxContent>
                  <w:p w14:paraId="6E15DBE8" w14:textId="187BAC1F"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44E962B5" w14:textId="77777777" w:rsidR="00985A21" w:rsidRDefault="00985A21" w:rsidP="000C21C3">
    <w:pPr>
      <w:pStyle w:val="Spacer"/>
    </w:pPr>
  </w:p>
  <w:p w14:paraId="487CA653" w14:textId="609CBDC2" w:rsidR="00985A21" w:rsidRPr="00C022F9" w:rsidRDefault="00985A21"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27FC" w14:textId="1BDF66C3" w:rsidR="00985A21" w:rsidRDefault="00985A21" w:rsidP="00C51246">
    <w:pPr>
      <w:pStyle w:val="Spacer"/>
    </w:pPr>
    <w:r>
      <w:rPr>
        <w:noProof/>
      </w:rPr>
      <mc:AlternateContent>
        <mc:Choice Requires="wps">
          <w:drawing>
            <wp:anchor distT="0" distB="0" distL="114300" distR="114300" simplePos="1" relativeHeight="251647488" behindDoc="0" locked="0" layoutInCell="0" allowOverlap="1" wp14:anchorId="64760255" wp14:editId="013EE65D">
              <wp:simplePos x="0" y="10234930"/>
              <wp:positionH relativeFrom="page">
                <wp:posOffset>0</wp:posOffset>
              </wp:positionH>
              <wp:positionV relativeFrom="page">
                <wp:posOffset>10234930</wp:posOffset>
              </wp:positionV>
              <wp:extent cx="7560310" cy="266700"/>
              <wp:effectExtent l="0" t="0" r="0" b="0"/>
              <wp:wrapNone/>
              <wp:docPr id="29" name="MSIPCM0136482db6bc876059e85391" descr="{&quot;HashCode&quot;:905516305,&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9AF8C" w14:textId="7F84F8E8"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760255" id="_x0000_t202" coordsize="21600,21600" o:spt="202" path="m,l,21600r21600,l21600,xe">
              <v:stroke joinstyle="miter"/>
              <v:path gradientshapeok="t" o:connecttype="rect"/>
            </v:shapetype>
            <v:shape id="MSIPCM0136482db6bc876059e85391" o:spid="_x0000_s1031" type="#_x0000_t202" alt="{&quot;HashCode&quot;:905516305,&quot;Height&quot;:841.0,&quot;Width&quot;:595.0,&quot;Placement&quot;:&quot;Footer&quot;,&quot;Index&quot;:&quot;FirstPage&quot;,&quot;Section&quot;:2,&quot;Top&quot;:0.0,&quot;Left&quot;:0.0}" style="position:absolute;margin-left:0;margin-top:805.9pt;width:595.3pt;height:21pt;z-index:2516474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Ath94gIQMAAEAGAAAOAAAA&#10;AAAAAAAAAAAAAC4CAABkcnMvZTJvRG9jLnhtbFBLAQItABQABgAIAAAAIQBgEcYm3gAAAAsBAAAP&#10;AAAAAAAAAAAAAAAAAHsFAABkcnMvZG93bnJldi54bWxQSwUGAAAAAAQABADzAAAAhgYAAAAA&#10;" o:allowincell="f" filled="f" stroked="f" strokeweight=".5pt">
              <v:textbox inset="20pt,0,,0">
                <w:txbxContent>
                  <w:p w14:paraId="5D79AF8C" w14:textId="7F84F8E8"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008AD919" w14:textId="77777777" w:rsidR="00985A21" w:rsidRDefault="00985A21" w:rsidP="00C51246">
    <w:pPr>
      <w:pStyle w:val="Spacer"/>
    </w:pPr>
  </w:p>
  <w:p w14:paraId="69B752CB" w14:textId="6415DF24" w:rsidR="00985A21" w:rsidRPr="00C022F9" w:rsidRDefault="00985A21"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C209" w14:textId="43E68346" w:rsidR="00985A21" w:rsidRDefault="00985A21" w:rsidP="00C51246">
    <w:pPr>
      <w:pStyle w:val="Footer"/>
      <w:rPr>
        <w:rStyle w:val="PageNumber"/>
      </w:rPr>
    </w:pPr>
    <w:r>
      <mc:AlternateContent>
        <mc:Choice Requires="wps">
          <w:drawing>
            <wp:anchor distT="0" distB="0" distL="114300" distR="114300" simplePos="0" relativeHeight="251663872" behindDoc="0" locked="0" layoutInCell="0" allowOverlap="1" wp14:anchorId="741953BF" wp14:editId="2620EAA5">
              <wp:simplePos x="0" y="0"/>
              <wp:positionH relativeFrom="page">
                <wp:posOffset>-6824</wp:posOffset>
              </wp:positionH>
              <wp:positionV relativeFrom="page">
                <wp:posOffset>10412351</wp:posOffset>
              </wp:positionV>
              <wp:extent cx="7560310" cy="266700"/>
              <wp:effectExtent l="0" t="0" r="0" b="0"/>
              <wp:wrapNone/>
              <wp:docPr id="36" name="MSIPCM31c4480881be21a24946123d" descr="{&quot;HashCode&quot;:905516305,&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AF352" w14:textId="7C729985"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1953BF" id="_x0000_t202" coordsize="21600,21600" o:spt="202" path="m,l,21600r21600,l21600,xe">
              <v:stroke joinstyle="miter"/>
              <v:path gradientshapeok="t" o:connecttype="rect"/>
            </v:shapetype>
            <v:shape id="MSIPCM31c4480881be21a24946123d" o:spid="_x0000_s1032" type="#_x0000_t202" alt="{&quot;HashCode&quot;:905516305,&quot;Height&quot;:841.0,&quot;Width&quot;:595.0,&quot;Placement&quot;:&quot;Footer&quot;,&quot;Index&quot;:&quot;OddAndEven&quot;,&quot;Section&quot;:3,&quot;Top&quot;:0.0,&quot;Left&quot;:0.0}" style="position:absolute;margin-left:-.55pt;margin-top:819.85pt;width:595.3pt;height:21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" o:allowincell="f" filled="f" stroked="f" strokeweight=".5pt">
              <v:textbox inset="20pt,0,,0">
                <w:txbxContent>
                  <w:p w14:paraId="7DFAF352" w14:textId="7C729985"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4</w:t>
    </w:r>
    <w:r w:rsidRPr="008B69EC">
      <w:rPr>
        <w:rStyle w:val="PageNumber"/>
      </w:rPr>
      <w:fldChar w:fldCharType="end"/>
    </w:r>
  </w:p>
  <w:p w14:paraId="711FF5F1" w14:textId="77777777" w:rsidR="00985A21" w:rsidRPr="00C022F9" w:rsidRDefault="00985A21" w:rsidP="00C5124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E11C" w14:textId="6837D1FD" w:rsidR="00985A21" w:rsidRDefault="00985A21" w:rsidP="00985A21">
    <w:pPr>
      <w:pStyle w:val="Footer"/>
      <w:rPr>
        <w:rStyle w:val="PageNumber"/>
      </w:rPr>
    </w:pPr>
    <w:r>
      <mc:AlternateContent>
        <mc:Choice Requires="wps">
          <w:drawing>
            <wp:anchor distT="0" distB="0" distL="114300" distR="114300" simplePos="0" relativeHeight="251654656" behindDoc="1" locked="0" layoutInCell="0" allowOverlap="1" wp14:anchorId="11503B0A" wp14:editId="6A389452">
              <wp:simplePos x="0" y="0"/>
              <wp:positionH relativeFrom="page">
                <wp:posOffset>0</wp:posOffset>
              </wp:positionH>
              <wp:positionV relativeFrom="page">
                <wp:posOffset>10236835</wp:posOffset>
              </wp:positionV>
              <wp:extent cx="7562088" cy="265176"/>
              <wp:effectExtent l="0" t="0" r="0" b="1905"/>
              <wp:wrapNone/>
              <wp:docPr id="33" name="MSIPCM0a1d49bda63643dff7dac794" descr="{&quot;HashCode&quot;:905516305,&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0C085" w14:textId="288463F9"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03B0A" id="_x0000_t202" coordsize="21600,21600" o:spt="202" path="m,l,21600r21600,l21600,xe">
              <v:stroke joinstyle="miter"/>
              <v:path gradientshapeok="t" o:connecttype="rect"/>
            </v:shapetype>
            <v:shape id="MSIPCM0a1d49bda63643dff7dac794" o:spid="_x0000_s1033" type="#_x0000_t202" alt="{&quot;HashCode&quot;:905516305,&quot;Height&quot;:841.0,&quot;Width&quot;:595.0,&quot;Placement&quot;:&quot;Footer&quot;,&quot;Index&quot;:&quot;Primary&quot;,&quot;Section&quot;:3,&quot;Top&quot;:0.0,&quot;Left&quot;:0.0}" style="position:absolute;margin-left:0;margin-top:806.05pt;width:595.45pt;height:20.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" o:allowincell="f" filled="f" stroked="f" strokeweight=".5pt">
              <v:textbox inset="20pt,0,,0">
                <w:txbxContent>
                  <w:p w14:paraId="0780C085" w14:textId="288463F9"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2277B">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2277B">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3</w:t>
    </w:r>
    <w:r w:rsidRPr="008B69EC">
      <w:rPr>
        <w:rStyle w:val="PageNumber"/>
      </w:rPr>
      <w:fldChar w:fldCharType="end"/>
    </w:r>
  </w:p>
  <w:p w14:paraId="77743FEB" w14:textId="34D94657" w:rsidR="00985A21" w:rsidRDefault="00985A21" w:rsidP="00985A21">
    <w:pPr>
      <w:pStyle w:val="Footer"/>
      <w:spacing w:after="180"/>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5062" w14:textId="6E4C89DE" w:rsidR="00985A21" w:rsidRDefault="00985A21" w:rsidP="00C51246">
    <w:pPr>
      <w:pStyle w:val="Spacer"/>
    </w:pPr>
    <w:r>
      <w:rPr>
        <w:noProof/>
      </w:rPr>
      <mc:AlternateContent>
        <mc:Choice Requires="wps">
          <w:drawing>
            <wp:anchor distT="0" distB="0" distL="114300" distR="114300" simplePos="0" relativeHeight="251659776" behindDoc="0" locked="0" layoutInCell="0" allowOverlap="1" wp14:anchorId="0951F519" wp14:editId="5E8589DD">
              <wp:simplePos x="0" y="0"/>
              <wp:positionH relativeFrom="page">
                <wp:posOffset>0</wp:posOffset>
              </wp:positionH>
              <wp:positionV relativeFrom="page">
                <wp:posOffset>10234930</wp:posOffset>
              </wp:positionV>
              <wp:extent cx="7560310" cy="266700"/>
              <wp:effectExtent l="0" t="0" r="0" b="0"/>
              <wp:wrapNone/>
              <wp:docPr id="34" name="MSIPCM9fbe4ef2a95639f1ae1ef927" descr="{&quot;HashCode&quot;:905516305,&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3DD5F" w14:textId="7FB05413"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51F519" id="_x0000_t202" coordsize="21600,21600" o:spt="202" path="m,l,21600r21600,l21600,xe">
              <v:stroke joinstyle="miter"/>
              <v:path gradientshapeok="t" o:connecttype="rect"/>
            </v:shapetype>
            <v:shape id="MSIPCM9fbe4ef2a95639f1ae1ef927" o:spid="_x0000_s1034" type="#_x0000_t202" alt="{&quot;HashCode&quot;:905516305,&quot;Height&quot;:841.0,&quot;Width&quot;:595.0,&quot;Placement&quot;:&quot;Footer&quot;,&quot;Index&quot;:&quot;FirstPage&quot;,&quot;Section&quot;:3,&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dIyyox8DAABABgAADgAAAAAA&#10;AAAAAAAAAAAuAgAAZHJzL2Uyb0RvYy54bWxQSwECLQAUAAYACAAAACEAYBHGJt4AAAALAQAADwAA&#10;AAAAAAAAAAAAAAB5BQAAZHJzL2Rvd25yZXYueG1sUEsFBgAAAAAEAAQA8wAAAIQGAAAAAA==&#10;" o:allowincell="f" filled="f" stroked="f" strokeweight=".5pt">
              <v:textbox inset="20pt,0,,0">
                <w:txbxContent>
                  <w:p w14:paraId="35C3DD5F" w14:textId="7FB05413" w:rsidR="00985A21" w:rsidRPr="00644F54" w:rsidRDefault="00985A21" w:rsidP="00644F54">
                    <w:pPr>
                      <w:spacing w:before="0" w:after="0"/>
                      <w:rPr>
                        <w:rFonts w:ascii="Calibri" w:hAnsi="Calibri" w:cs="Calibri"/>
                        <w:color w:val="000000"/>
                        <w:sz w:val="22"/>
                      </w:rPr>
                    </w:pPr>
                    <w:r w:rsidRPr="00644F54">
                      <w:rPr>
                        <w:rFonts w:ascii="Calibri" w:hAnsi="Calibri" w:cs="Calibri"/>
                        <w:color w:val="000000"/>
                        <w:sz w:val="22"/>
                      </w:rPr>
                      <w:t>Unofficial</w:t>
                    </w:r>
                  </w:p>
                </w:txbxContent>
              </v:textbox>
              <w10:wrap anchorx="page" anchory="page"/>
            </v:shape>
          </w:pict>
        </mc:Fallback>
      </mc:AlternateContent>
    </w:r>
  </w:p>
  <w:p w14:paraId="7D31CB6A" w14:textId="77777777" w:rsidR="00985A21" w:rsidRDefault="00985A21" w:rsidP="00C51246">
    <w:pPr>
      <w:pStyle w:val="Spacer"/>
    </w:pPr>
  </w:p>
  <w:p w14:paraId="7A559F9C" w14:textId="0C95C33E" w:rsidR="00985A21" w:rsidRPr="00C022F9" w:rsidRDefault="00985A21" w:rsidP="00C5124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09584F">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09584F">
      <w:t>Newsletter – Edition No. 37, December 2019</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BA0A4" w14:textId="77777777" w:rsidR="00460863" w:rsidRDefault="00460863" w:rsidP="002D711A">
      <w:pPr>
        <w:spacing w:after="0" w:line="240" w:lineRule="auto"/>
      </w:pPr>
      <w:r>
        <w:separator/>
      </w:r>
    </w:p>
  </w:footnote>
  <w:footnote w:type="continuationSeparator" w:id="0">
    <w:p w14:paraId="68C7CB10" w14:textId="77777777" w:rsidR="00460863" w:rsidRDefault="00460863"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1E88" w14:textId="77777777" w:rsidR="00985A21" w:rsidRPr="0041689E" w:rsidRDefault="00985A21" w:rsidP="00C51246">
    <w:pPr>
      <w:pStyle w:val="Header"/>
    </w:pPr>
    <w:r>
      <w:rPr>
        <w:noProof/>
      </w:rPr>
      <w:drawing>
        <wp:anchor distT="0" distB="0" distL="114300" distR="114300" simplePos="0" relativeHeight="251646464" behindDoc="0" locked="0" layoutInCell="1" allowOverlap="1" wp14:anchorId="57E8D44D" wp14:editId="6A8662EA">
          <wp:simplePos x="0" y="0"/>
          <wp:positionH relativeFrom="column">
            <wp:posOffset>-309880</wp:posOffset>
          </wp:positionH>
          <wp:positionV relativeFrom="page">
            <wp:posOffset>299085</wp:posOffset>
          </wp:positionV>
          <wp:extent cx="1380490" cy="411480"/>
          <wp:effectExtent l="0" t="0" r="0" b="762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296" behindDoc="0" locked="0" layoutInCell="1" allowOverlap="1" wp14:anchorId="2A093158" wp14:editId="408DA298">
          <wp:simplePos x="0" y="0"/>
          <wp:positionH relativeFrom="column">
            <wp:posOffset>-914400</wp:posOffset>
          </wp:positionH>
          <wp:positionV relativeFrom="page">
            <wp:posOffset>125095</wp:posOffset>
          </wp:positionV>
          <wp:extent cx="7589520" cy="740410"/>
          <wp:effectExtent l="0" t="0" r="0" b="2540"/>
          <wp:wrapNone/>
          <wp:docPr id="8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2DC8" w14:textId="77777777" w:rsidR="00985A21" w:rsidRPr="0041689E" w:rsidRDefault="00985A21" w:rsidP="00C51246">
    <w:pPr>
      <w:pStyle w:val="Header"/>
    </w:pPr>
    <w:r>
      <w:rPr>
        <w:noProof/>
      </w:rPr>
      <w:drawing>
        <wp:anchor distT="0" distB="0" distL="114300" distR="114300" simplePos="0" relativeHeight="251656704" behindDoc="0" locked="0" layoutInCell="1" allowOverlap="1" wp14:anchorId="21C42DDA" wp14:editId="4406D76D">
          <wp:simplePos x="0" y="0"/>
          <wp:positionH relativeFrom="column">
            <wp:posOffset>-309880</wp:posOffset>
          </wp:positionH>
          <wp:positionV relativeFrom="page">
            <wp:posOffset>299085</wp:posOffset>
          </wp:positionV>
          <wp:extent cx="1380490" cy="411480"/>
          <wp:effectExtent l="0" t="0" r="0" b="762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560" behindDoc="0" locked="0" layoutInCell="1" allowOverlap="1" wp14:anchorId="26D259BD" wp14:editId="558338E7">
          <wp:simplePos x="0" y="0"/>
          <wp:positionH relativeFrom="column">
            <wp:posOffset>-914400</wp:posOffset>
          </wp:positionH>
          <wp:positionV relativeFrom="page">
            <wp:posOffset>125095</wp:posOffset>
          </wp:positionV>
          <wp:extent cx="7589520" cy="740410"/>
          <wp:effectExtent l="0" t="0" r="0" b="2540"/>
          <wp:wrapNone/>
          <wp:docPr id="9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A0B" w14:textId="77777777" w:rsidR="00985A21" w:rsidRPr="0041689E" w:rsidRDefault="00985A21">
    <w:pPr>
      <w:pStyle w:val="Header"/>
    </w:pPr>
    <w:r>
      <w:rPr>
        <w:noProof/>
      </w:rPr>
      <w:drawing>
        <wp:anchor distT="0" distB="0" distL="114300" distR="114300" simplePos="0" relativeHeight="251675136" behindDoc="0" locked="0" layoutInCell="1" allowOverlap="1" wp14:anchorId="3F6F0BBB" wp14:editId="262ADAA0">
          <wp:simplePos x="0" y="0"/>
          <wp:positionH relativeFrom="column">
            <wp:posOffset>-309880</wp:posOffset>
          </wp:positionH>
          <wp:positionV relativeFrom="page">
            <wp:posOffset>299085</wp:posOffset>
          </wp:positionV>
          <wp:extent cx="1380490" cy="411480"/>
          <wp:effectExtent l="0" t="0" r="0" b="762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040" behindDoc="0" locked="0" layoutInCell="1" allowOverlap="1" wp14:anchorId="067DB9D9" wp14:editId="5511E465">
          <wp:simplePos x="0" y="0"/>
          <wp:positionH relativeFrom="column">
            <wp:posOffset>-914400</wp:posOffset>
          </wp:positionH>
          <wp:positionV relativeFrom="page">
            <wp:posOffset>125095</wp:posOffset>
          </wp:positionV>
          <wp:extent cx="7589520" cy="740410"/>
          <wp:effectExtent l="0" t="0" r="0" b="2540"/>
          <wp:wrapNone/>
          <wp:docPr id="10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EB82" w14:textId="77777777" w:rsidR="00985A21" w:rsidRPr="0041689E" w:rsidRDefault="00985A21" w:rsidP="00C51246">
    <w:pPr>
      <w:pStyle w:val="Header"/>
    </w:pPr>
    <w:r>
      <w:rPr>
        <w:noProof/>
      </w:rPr>
      <w:drawing>
        <wp:anchor distT="0" distB="0" distL="114300" distR="114300" simplePos="0" relativeHeight="251674112" behindDoc="0" locked="0" layoutInCell="1" allowOverlap="1" wp14:anchorId="24CD6298" wp14:editId="4D38F696">
          <wp:simplePos x="0" y="0"/>
          <wp:positionH relativeFrom="column">
            <wp:posOffset>-309880</wp:posOffset>
          </wp:positionH>
          <wp:positionV relativeFrom="page">
            <wp:posOffset>299085</wp:posOffset>
          </wp:positionV>
          <wp:extent cx="1380490" cy="411480"/>
          <wp:effectExtent l="0" t="0" r="0" b="762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064" behindDoc="0" locked="0" layoutInCell="1" allowOverlap="1" wp14:anchorId="622FA666" wp14:editId="1D58A90B">
          <wp:simplePos x="0" y="0"/>
          <wp:positionH relativeFrom="column">
            <wp:posOffset>-914400</wp:posOffset>
          </wp:positionH>
          <wp:positionV relativeFrom="page">
            <wp:posOffset>125095</wp:posOffset>
          </wp:positionV>
          <wp:extent cx="7589520" cy="740410"/>
          <wp:effectExtent l="0" t="0" r="0" b="2540"/>
          <wp:wrapNone/>
          <wp:docPr id="10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305B" w14:textId="77777777" w:rsidR="00985A21" w:rsidRPr="0041689E" w:rsidRDefault="00985A21" w:rsidP="00C51246">
    <w:pPr>
      <w:pStyle w:val="Header"/>
    </w:pPr>
    <w:r>
      <w:rPr>
        <w:noProof/>
      </w:rPr>
      <w:drawing>
        <wp:anchor distT="0" distB="0" distL="114300" distR="114300" simplePos="0" relativeHeight="251676160" behindDoc="0" locked="0" layoutInCell="1" allowOverlap="1" wp14:anchorId="44F41E9E" wp14:editId="2871082C">
          <wp:simplePos x="0" y="0"/>
          <wp:positionH relativeFrom="column">
            <wp:posOffset>-309880</wp:posOffset>
          </wp:positionH>
          <wp:positionV relativeFrom="page">
            <wp:posOffset>299085</wp:posOffset>
          </wp:positionV>
          <wp:extent cx="1380490" cy="411480"/>
          <wp:effectExtent l="0" t="0" r="0" b="762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1" wp14:anchorId="20DAE9FE" wp14:editId="13534632">
          <wp:simplePos x="0" y="0"/>
          <wp:positionH relativeFrom="column">
            <wp:posOffset>-914400</wp:posOffset>
          </wp:positionH>
          <wp:positionV relativeFrom="page">
            <wp:posOffset>125095</wp:posOffset>
          </wp:positionV>
          <wp:extent cx="7589520" cy="740410"/>
          <wp:effectExtent l="0" t="0" r="0" b="2540"/>
          <wp:wrapNone/>
          <wp:docPr id="10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0950" w14:textId="77777777" w:rsidR="00985A21" w:rsidRPr="0041689E" w:rsidRDefault="00985A21">
    <w:pPr>
      <w:pStyle w:val="Header"/>
    </w:pPr>
    <w:r>
      <w:rPr>
        <w:noProof/>
      </w:rPr>
      <w:drawing>
        <wp:anchor distT="0" distB="0" distL="114300" distR="114300" simplePos="0" relativeHeight="251678208" behindDoc="0" locked="0" layoutInCell="1" allowOverlap="1" wp14:anchorId="49973B36" wp14:editId="7CB8A734">
          <wp:simplePos x="0" y="0"/>
          <wp:positionH relativeFrom="column">
            <wp:posOffset>-309880</wp:posOffset>
          </wp:positionH>
          <wp:positionV relativeFrom="page">
            <wp:posOffset>299085</wp:posOffset>
          </wp:positionV>
          <wp:extent cx="1380490" cy="411480"/>
          <wp:effectExtent l="0" t="0" r="0" b="762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184" behindDoc="0" locked="0" layoutInCell="1" allowOverlap="1" wp14:anchorId="00480021" wp14:editId="52F37B30">
          <wp:simplePos x="0" y="0"/>
          <wp:positionH relativeFrom="column">
            <wp:posOffset>-914400</wp:posOffset>
          </wp:positionH>
          <wp:positionV relativeFrom="page">
            <wp:posOffset>125095</wp:posOffset>
          </wp:positionV>
          <wp:extent cx="7589520" cy="740410"/>
          <wp:effectExtent l="0" t="0" r="0" b="2540"/>
          <wp:wrapNone/>
          <wp:docPr id="10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7791" w14:textId="77777777" w:rsidR="00985A21" w:rsidRPr="0041689E" w:rsidRDefault="00985A21" w:rsidP="00C51246">
    <w:pPr>
      <w:pStyle w:val="Header"/>
    </w:pPr>
    <w:r>
      <w:rPr>
        <w:noProof/>
      </w:rPr>
      <w:drawing>
        <wp:anchor distT="0" distB="0" distL="114300" distR="114300" simplePos="0" relativeHeight="251657728" behindDoc="0" locked="0" layoutInCell="1" allowOverlap="1" wp14:anchorId="5040B05D" wp14:editId="6D8501BF">
          <wp:simplePos x="0" y="0"/>
          <wp:positionH relativeFrom="column">
            <wp:posOffset>-309880</wp:posOffset>
          </wp:positionH>
          <wp:positionV relativeFrom="page">
            <wp:posOffset>299085</wp:posOffset>
          </wp:positionV>
          <wp:extent cx="1380490" cy="411480"/>
          <wp:effectExtent l="0" t="0" r="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01592D58" wp14:editId="22A0E597">
          <wp:simplePos x="0" y="0"/>
          <wp:positionH relativeFrom="column">
            <wp:posOffset>-914400</wp:posOffset>
          </wp:positionH>
          <wp:positionV relativeFrom="page">
            <wp:posOffset>125095</wp:posOffset>
          </wp:positionV>
          <wp:extent cx="7589520" cy="740410"/>
          <wp:effectExtent l="0" t="0" r="0" b="2540"/>
          <wp:wrapNone/>
          <wp:docPr id="5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7EDC" w14:textId="77777777" w:rsidR="00985A21" w:rsidRPr="0041689E" w:rsidRDefault="00985A21">
    <w:pPr>
      <w:pStyle w:val="Header"/>
    </w:pPr>
    <w:r>
      <w:rPr>
        <w:noProof/>
      </w:rPr>
      <w:drawing>
        <wp:anchor distT="0" distB="0" distL="114300" distR="114300" simplePos="0" relativeHeight="251661824" behindDoc="0" locked="0" layoutInCell="1" allowOverlap="1" wp14:anchorId="45CD780F" wp14:editId="1194863C">
          <wp:simplePos x="0" y="0"/>
          <wp:positionH relativeFrom="column">
            <wp:posOffset>-309880</wp:posOffset>
          </wp:positionH>
          <wp:positionV relativeFrom="page">
            <wp:posOffset>299085</wp:posOffset>
          </wp:positionV>
          <wp:extent cx="1380490" cy="411480"/>
          <wp:effectExtent l="0" t="0" r="0" b="76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3443C06B" wp14:editId="09EE5E01">
          <wp:simplePos x="0" y="0"/>
          <wp:positionH relativeFrom="column">
            <wp:posOffset>-914400</wp:posOffset>
          </wp:positionH>
          <wp:positionV relativeFrom="page">
            <wp:posOffset>125095</wp:posOffset>
          </wp:positionV>
          <wp:extent cx="7589520" cy="740410"/>
          <wp:effectExtent l="0" t="0" r="0" b="2540"/>
          <wp:wrapNone/>
          <wp:docPr id="4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3390" w14:textId="77777777" w:rsidR="00985A21" w:rsidRPr="0041689E" w:rsidRDefault="00985A21" w:rsidP="00C51246">
    <w:pPr>
      <w:pStyle w:val="Header"/>
    </w:pPr>
    <w:r>
      <w:rPr>
        <w:noProof/>
      </w:rPr>
      <w:drawing>
        <wp:anchor distT="0" distB="0" distL="114300" distR="114300" simplePos="0" relativeHeight="251652608" behindDoc="0" locked="0" layoutInCell="1" allowOverlap="1" wp14:anchorId="0C3AF0C2" wp14:editId="58E47485">
          <wp:simplePos x="0" y="0"/>
          <wp:positionH relativeFrom="column">
            <wp:posOffset>-309880</wp:posOffset>
          </wp:positionH>
          <wp:positionV relativeFrom="page">
            <wp:posOffset>299085</wp:posOffset>
          </wp:positionV>
          <wp:extent cx="1380490" cy="411480"/>
          <wp:effectExtent l="0" t="0" r="0" b="762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536" behindDoc="0" locked="0" layoutInCell="1" allowOverlap="1" wp14:anchorId="5AD01AC7" wp14:editId="4F56F393">
          <wp:simplePos x="0" y="0"/>
          <wp:positionH relativeFrom="column">
            <wp:posOffset>-914400</wp:posOffset>
          </wp:positionH>
          <wp:positionV relativeFrom="page">
            <wp:posOffset>125095</wp:posOffset>
          </wp:positionV>
          <wp:extent cx="7589520" cy="740410"/>
          <wp:effectExtent l="0" t="0" r="0" b="2540"/>
          <wp:wrapNone/>
          <wp:docPr id="6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8214" w14:textId="77777777" w:rsidR="00985A21" w:rsidRPr="0041689E" w:rsidRDefault="00985A21">
    <w:pPr>
      <w:pStyle w:val="Header"/>
    </w:pPr>
    <w:r>
      <w:rPr>
        <w:noProof/>
      </w:rPr>
      <w:drawing>
        <wp:anchor distT="0" distB="0" distL="114300" distR="114300" simplePos="0" relativeHeight="251635200" behindDoc="0" locked="0" layoutInCell="1" allowOverlap="1" wp14:anchorId="2A36368E" wp14:editId="14A3772A">
          <wp:simplePos x="0" y="0"/>
          <wp:positionH relativeFrom="column">
            <wp:posOffset>-309880</wp:posOffset>
          </wp:positionH>
          <wp:positionV relativeFrom="page">
            <wp:posOffset>299085</wp:posOffset>
          </wp:positionV>
          <wp:extent cx="1380490" cy="411480"/>
          <wp:effectExtent l="0" t="0" r="0" b="762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4176" behindDoc="0" locked="0" layoutInCell="1" allowOverlap="1" wp14:anchorId="784E1301" wp14:editId="5E1F46D8">
          <wp:simplePos x="0" y="0"/>
          <wp:positionH relativeFrom="column">
            <wp:posOffset>-914400</wp:posOffset>
          </wp:positionH>
          <wp:positionV relativeFrom="page">
            <wp:posOffset>125095</wp:posOffset>
          </wp:positionV>
          <wp:extent cx="7589520" cy="740410"/>
          <wp:effectExtent l="0" t="0" r="0" b="2540"/>
          <wp:wrapNone/>
          <wp:docPr id="8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6EA7B" w14:textId="77777777" w:rsidR="00985A21" w:rsidRPr="0041689E" w:rsidRDefault="00985A21" w:rsidP="00C51246">
    <w:pPr>
      <w:pStyle w:val="Header"/>
    </w:pPr>
    <w:r>
      <w:rPr>
        <w:noProof/>
      </w:rPr>
      <w:drawing>
        <wp:anchor distT="0" distB="0" distL="114300" distR="114300" simplePos="0" relativeHeight="251637248" behindDoc="0" locked="0" layoutInCell="1" allowOverlap="1" wp14:anchorId="27E450CE" wp14:editId="39030FC2">
          <wp:simplePos x="0" y="0"/>
          <wp:positionH relativeFrom="column">
            <wp:posOffset>-309880</wp:posOffset>
          </wp:positionH>
          <wp:positionV relativeFrom="page">
            <wp:posOffset>299085</wp:posOffset>
          </wp:positionV>
          <wp:extent cx="1380490" cy="411480"/>
          <wp:effectExtent l="0" t="0" r="0" b="762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6224" behindDoc="0" locked="0" layoutInCell="1" allowOverlap="1" wp14:anchorId="06809F7C" wp14:editId="45804ED5">
          <wp:simplePos x="0" y="0"/>
          <wp:positionH relativeFrom="column">
            <wp:posOffset>-914400</wp:posOffset>
          </wp:positionH>
          <wp:positionV relativeFrom="page">
            <wp:posOffset>125095</wp:posOffset>
          </wp:positionV>
          <wp:extent cx="7589520" cy="740410"/>
          <wp:effectExtent l="0" t="0" r="0" b="2540"/>
          <wp:wrapNone/>
          <wp:docPr id="8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CEC1" w14:textId="77777777" w:rsidR="00985A21" w:rsidRPr="0041689E" w:rsidRDefault="00985A21" w:rsidP="00C51246">
    <w:pPr>
      <w:pStyle w:val="Header"/>
    </w:pPr>
    <w:r>
      <w:rPr>
        <w:noProof/>
      </w:rPr>
      <w:drawing>
        <wp:anchor distT="0" distB="0" distL="114300" distR="114300" simplePos="0" relativeHeight="251658752" behindDoc="0" locked="0" layoutInCell="1" allowOverlap="1" wp14:anchorId="49F5B7B7" wp14:editId="1BEA3087">
          <wp:simplePos x="0" y="0"/>
          <wp:positionH relativeFrom="column">
            <wp:posOffset>-309880</wp:posOffset>
          </wp:positionH>
          <wp:positionV relativeFrom="page">
            <wp:posOffset>299085</wp:posOffset>
          </wp:positionV>
          <wp:extent cx="1380490" cy="411480"/>
          <wp:effectExtent l="0" t="0" r="0" b="762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4416" behindDoc="0" locked="0" layoutInCell="1" allowOverlap="1" wp14:anchorId="778AA86C" wp14:editId="02547394">
          <wp:simplePos x="0" y="0"/>
          <wp:positionH relativeFrom="column">
            <wp:posOffset>-914400</wp:posOffset>
          </wp:positionH>
          <wp:positionV relativeFrom="page">
            <wp:posOffset>125095</wp:posOffset>
          </wp:positionV>
          <wp:extent cx="7589520" cy="740410"/>
          <wp:effectExtent l="0" t="0" r="0" b="2540"/>
          <wp:wrapNone/>
          <wp:docPr id="8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6DD6" w14:textId="77777777" w:rsidR="00985A21" w:rsidRPr="0041689E" w:rsidRDefault="00985A21">
    <w:pPr>
      <w:pStyle w:val="Header"/>
    </w:pPr>
    <w:r>
      <w:rPr>
        <w:noProof/>
      </w:rPr>
      <w:drawing>
        <wp:anchor distT="0" distB="0" distL="114300" distR="114300" simplePos="0" relativeHeight="251679232" behindDoc="0" locked="0" layoutInCell="1" allowOverlap="1" wp14:anchorId="59B4AB29" wp14:editId="7CE2A1A5">
          <wp:simplePos x="0" y="0"/>
          <wp:positionH relativeFrom="column">
            <wp:posOffset>-309880</wp:posOffset>
          </wp:positionH>
          <wp:positionV relativeFrom="page">
            <wp:posOffset>299085</wp:posOffset>
          </wp:positionV>
          <wp:extent cx="1380490" cy="411480"/>
          <wp:effectExtent l="0" t="0" r="0" b="762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088" behindDoc="0" locked="0" layoutInCell="1" allowOverlap="1" wp14:anchorId="2A1B989D" wp14:editId="1D602F95">
          <wp:simplePos x="0" y="0"/>
          <wp:positionH relativeFrom="column">
            <wp:posOffset>-914400</wp:posOffset>
          </wp:positionH>
          <wp:positionV relativeFrom="page">
            <wp:posOffset>125095</wp:posOffset>
          </wp:positionV>
          <wp:extent cx="7589520" cy="740410"/>
          <wp:effectExtent l="0" t="0" r="0" b="2540"/>
          <wp:wrapNone/>
          <wp:docPr id="8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0FE1" w14:textId="77777777" w:rsidR="00985A21" w:rsidRPr="0041689E" w:rsidRDefault="00985A21" w:rsidP="00C51246">
    <w:pPr>
      <w:pStyle w:val="Header"/>
    </w:pPr>
    <w:r>
      <w:rPr>
        <w:noProof/>
      </w:rPr>
      <w:drawing>
        <wp:anchor distT="0" distB="0" distL="114300" distR="114300" simplePos="0" relativeHeight="251681280" behindDoc="0" locked="0" layoutInCell="1" allowOverlap="1" wp14:anchorId="34E68DC8" wp14:editId="233DF92B">
          <wp:simplePos x="0" y="0"/>
          <wp:positionH relativeFrom="column">
            <wp:posOffset>-309880</wp:posOffset>
          </wp:positionH>
          <wp:positionV relativeFrom="page">
            <wp:posOffset>299085</wp:posOffset>
          </wp:positionV>
          <wp:extent cx="1380490" cy="411480"/>
          <wp:effectExtent l="0" t="0" r="0" b="762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256" behindDoc="0" locked="0" layoutInCell="1" allowOverlap="1" wp14:anchorId="482E4AD7" wp14:editId="1B8CBD17">
          <wp:simplePos x="0" y="0"/>
          <wp:positionH relativeFrom="column">
            <wp:posOffset>-914400</wp:posOffset>
          </wp:positionH>
          <wp:positionV relativeFrom="page">
            <wp:posOffset>125095</wp:posOffset>
          </wp:positionV>
          <wp:extent cx="7589520" cy="740410"/>
          <wp:effectExtent l="0" t="0" r="0" b="2540"/>
          <wp:wrapNone/>
          <wp:docPr id="9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6636" w14:textId="77777777" w:rsidR="00985A21" w:rsidRPr="0041689E" w:rsidRDefault="00985A21" w:rsidP="00C51246">
    <w:pPr>
      <w:pStyle w:val="Header"/>
    </w:pPr>
    <w:r>
      <w:rPr>
        <w:noProof/>
      </w:rPr>
      <w:drawing>
        <wp:anchor distT="0" distB="0" distL="114300" distR="114300" simplePos="0" relativeHeight="251642368" behindDoc="0" locked="0" layoutInCell="1" allowOverlap="1" wp14:anchorId="3C4982FB" wp14:editId="65182A71">
          <wp:simplePos x="0" y="0"/>
          <wp:positionH relativeFrom="column">
            <wp:posOffset>-309880</wp:posOffset>
          </wp:positionH>
          <wp:positionV relativeFrom="page">
            <wp:posOffset>299085</wp:posOffset>
          </wp:positionV>
          <wp:extent cx="1380490" cy="411480"/>
          <wp:effectExtent l="0" t="0" r="0" b="762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0320" behindDoc="0" locked="0" layoutInCell="1" allowOverlap="1" wp14:anchorId="1120177A" wp14:editId="6B2114C7">
          <wp:simplePos x="0" y="0"/>
          <wp:positionH relativeFrom="column">
            <wp:posOffset>-914400</wp:posOffset>
          </wp:positionH>
          <wp:positionV relativeFrom="page">
            <wp:posOffset>125095</wp:posOffset>
          </wp:positionV>
          <wp:extent cx="7589520" cy="740410"/>
          <wp:effectExtent l="0" t="0" r="0" b="2540"/>
          <wp:wrapNone/>
          <wp:docPr id="9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BE24" w14:textId="69555902" w:rsidR="00985A21" w:rsidRPr="0041689E" w:rsidRDefault="00985A21">
    <w:pPr>
      <w:pStyle w:val="Header"/>
    </w:pPr>
    <w:r>
      <w:rPr>
        <w:noProof/>
      </w:rPr>
      <w:drawing>
        <wp:anchor distT="0" distB="0" distL="114300" distR="114300" simplePos="0" relativeHeight="251653632" behindDoc="0" locked="0" layoutInCell="1" allowOverlap="1" wp14:anchorId="5D820342" wp14:editId="02EB9CD5">
          <wp:simplePos x="0" y="0"/>
          <wp:positionH relativeFrom="column">
            <wp:posOffset>-309880</wp:posOffset>
          </wp:positionH>
          <wp:positionV relativeFrom="page">
            <wp:posOffset>299085</wp:posOffset>
          </wp:positionV>
          <wp:extent cx="1380490" cy="411480"/>
          <wp:effectExtent l="0" t="0" r="0" b="762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512" behindDoc="0" locked="0" layoutInCell="1" allowOverlap="1" wp14:anchorId="7A713D6F" wp14:editId="49F2D3BF">
          <wp:simplePos x="0" y="0"/>
          <wp:positionH relativeFrom="column">
            <wp:posOffset>-914400</wp:posOffset>
          </wp:positionH>
          <wp:positionV relativeFrom="page">
            <wp:posOffset>125095</wp:posOffset>
          </wp:positionV>
          <wp:extent cx="7589520" cy="740410"/>
          <wp:effectExtent l="0" t="0" r="0" b="2540"/>
          <wp:wrapNone/>
          <wp:docPr id="9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7A19" w14:textId="77777777" w:rsidR="00985A21" w:rsidRPr="0041689E" w:rsidRDefault="00985A21" w:rsidP="00C51246">
    <w:pPr>
      <w:pStyle w:val="Header"/>
    </w:pPr>
    <w:r>
      <w:rPr>
        <w:noProof/>
      </w:rPr>
      <w:drawing>
        <wp:anchor distT="0" distB="0" distL="114300" distR="114300" simplePos="0" relativeHeight="251667968" behindDoc="0" locked="0" layoutInCell="1" allowOverlap="1" wp14:anchorId="1AB4CDDD" wp14:editId="56586B48">
          <wp:simplePos x="0" y="0"/>
          <wp:positionH relativeFrom="column">
            <wp:posOffset>-309880</wp:posOffset>
          </wp:positionH>
          <wp:positionV relativeFrom="page">
            <wp:posOffset>299085</wp:posOffset>
          </wp:positionV>
          <wp:extent cx="1380490" cy="411480"/>
          <wp:effectExtent l="0" t="0" r="0" b="762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2D7F13E2" wp14:editId="19189129">
          <wp:simplePos x="0" y="0"/>
          <wp:positionH relativeFrom="column">
            <wp:posOffset>-914400</wp:posOffset>
          </wp:positionH>
          <wp:positionV relativeFrom="page">
            <wp:posOffset>125095</wp:posOffset>
          </wp:positionV>
          <wp:extent cx="7589520" cy="740410"/>
          <wp:effectExtent l="0" t="0" r="0" b="2540"/>
          <wp:wrapNone/>
          <wp:docPr id="9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192"/>
    <w:multiLevelType w:val="hybridMultilevel"/>
    <w:tmpl w:val="21ECE7B2"/>
    <w:lvl w:ilvl="0" w:tplc="25BE42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913D0"/>
    <w:multiLevelType w:val="hybridMultilevel"/>
    <w:tmpl w:val="921E1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DF44AE"/>
    <w:multiLevelType w:val="hybridMultilevel"/>
    <w:tmpl w:val="130C0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59228A"/>
    <w:multiLevelType w:val="hybridMultilevel"/>
    <w:tmpl w:val="A2F41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C124BE"/>
    <w:multiLevelType w:val="hybridMultilevel"/>
    <w:tmpl w:val="96EEA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6" w15:restartNumberingAfterBreak="0">
    <w:nsid w:val="252D6DE1"/>
    <w:multiLevelType w:val="hybridMultilevel"/>
    <w:tmpl w:val="26D66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554008"/>
    <w:multiLevelType w:val="hybridMultilevel"/>
    <w:tmpl w:val="5A1C41D8"/>
    <w:lvl w:ilvl="0" w:tplc="744E3896">
      <w:start w:val="2019"/>
      <w:numFmt w:val="bullet"/>
      <w:lvlText w:val="-"/>
      <w:lvlJc w:val="left"/>
      <w:pPr>
        <w:ind w:left="405"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FDB017F"/>
    <w:multiLevelType w:val="hybridMultilevel"/>
    <w:tmpl w:val="2FD68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B30E5"/>
    <w:multiLevelType w:val="hybridMultilevel"/>
    <w:tmpl w:val="C62E5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2913A4"/>
    <w:multiLevelType w:val="hybridMultilevel"/>
    <w:tmpl w:val="4B8EFFD2"/>
    <w:lvl w:ilvl="0" w:tplc="744E3896">
      <w:start w:val="2019"/>
      <w:numFmt w:val="bullet"/>
      <w:lvlText w:val="-"/>
      <w:lvlJc w:val="left"/>
      <w:pPr>
        <w:ind w:left="405"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6D3A6A"/>
    <w:multiLevelType w:val="multilevel"/>
    <w:tmpl w:val="63182028"/>
    <w:lvl w:ilvl="0">
      <w:start w:val="1"/>
      <w:numFmt w:val="bullet"/>
      <w:pStyle w:val="Bullet1"/>
      <w:lvlText w:val=""/>
      <w:lvlJc w:val="left"/>
      <w:pPr>
        <w:tabs>
          <w:tab w:val="num" w:pos="504"/>
        </w:tabs>
        <w:ind w:left="504" w:hanging="504"/>
      </w:pPr>
      <w:rPr>
        <w:rFonts w:ascii="Symbol" w:hAnsi="Symbol" w:hint="default"/>
        <w:b w:val="0"/>
        <w:i w:val="0"/>
        <w:vanish w:val="0"/>
        <w:color w:val="auto"/>
        <w:sz w:val="20"/>
        <w:szCs w:val="20"/>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5382F4C"/>
    <w:multiLevelType w:val="hybridMultilevel"/>
    <w:tmpl w:val="3C6EA3D6"/>
    <w:lvl w:ilvl="0" w:tplc="744E3896">
      <w:start w:val="2019"/>
      <w:numFmt w:val="bullet"/>
      <w:lvlText w:val="-"/>
      <w:lvlJc w:val="left"/>
      <w:pPr>
        <w:ind w:left="405" w:hanging="360"/>
      </w:pPr>
      <w:rPr>
        <w:rFonts w:ascii="Arial" w:eastAsiaTheme="minorEastAsia"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5" w15:restartNumberingAfterBreak="0">
    <w:nsid w:val="4B695180"/>
    <w:multiLevelType w:val="multilevel"/>
    <w:tmpl w:val="5E22C0F8"/>
    <w:numStyleLink w:val="Bullet"/>
  </w:abstractNum>
  <w:abstractNum w:abstractNumId="16" w15:restartNumberingAfterBreak="0">
    <w:nsid w:val="4E347064"/>
    <w:multiLevelType w:val="hybridMultilevel"/>
    <w:tmpl w:val="D844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E602D7"/>
    <w:multiLevelType w:val="hybridMultilevel"/>
    <w:tmpl w:val="7DC2E262"/>
    <w:lvl w:ilvl="0" w:tplc="540E2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800CB0"/>
    <w:multiLevelType w:val="hybridMultilevel"/>
    <w:tmpl w:val="C21E86A4"/>
    <w:lvl w:ilvl="0" w:tplc="F2680B3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72C052A"/>
    <w:multiLevelType w:val="hybridMultilevel"/>
    <w:tmpl w:val="9296F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4535FB"/>
    <w:multiLevelType w:val="hybridMultilevel"/>
    <w:tmpl w:val="346E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727E99"/>
    <w:multiLevelType w:val="hybridMultilevel"/>
    <w:tmpl w:val="AD922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AE75EBF"/>
    <w:multiLevelType w:val="hybridMultilevel"/>
    <w:tmpl w:val="230E2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7E2240"/>
    <w:multiLevelType w:val="hybridMultilevel"/>
    <w:tmpl w:val="42402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F92161"/>
    <w:multiLevelType w:val="hybridMultilevel"/>
    <w:tmpl w:val="486CA662"/>
    <w:lvl w:ilvl="0" w:tplc="78BC5EC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3"/>
  </w:num>
  <w:num w:numId="2">
    <w:abstractNumId w:val="25"/>
  </w:num>
  <w:num w:numId="3">
    <w:abstractNumId w:val="7"/>
  </w:num>
  <w:num w:numId="4">
    <w:abstractNumId w:val="5"/>
  </w:num>
  <w:num w:numId="5">
    <w:abstractNumId w:val="13"/>
  </w:num>
  <w:num w:numId="6">
    <w:abstractNumId w:val="20"/>
  </w:num>
  <w:num w:numId="7">
    <w:abstractNumId w:val="24"/>
  </w:num>
  <w:num w:numId="8">
    <w:abstractNumId w:val="17"/>
  </w:num>
  <w:num w:numId="9">
    <w:abstractNumId w:val="0"/>
  </w:num>
  <w:num w:numId="10">
    <w:abstractNumId w:val="18"/>
  </w:num>
  <w:num w:numId="11">
    <w:abstractNumId w:val="21"/>
  </w:num>
  <w:num w:numId="12">
    <w:abstractNumId w:val="23"/>
  </w:num>
  <w:num w:numId="13">
    <w:abstractNumId w:val="22"/>
  </w:num>
  <w:num w:numId="14">
    <w:abstractNumId w:val="4"/>
  </w:num>
  <w:num w:numId="15">
    <w:abstractNumId w:val="10"/>
  </w:num>
  <w:num w:numId="16">
    <w:abstractNumId w:val="1"/>
  </w:num>
  <w:num w:numId="17">
    <w:abstractNumId w:val="6"/>
  </w:num>
  <w:num w:numId="18">
    <w:abstractNumId w:val="11"/>
  </w:num>
  <w:num w:numId="19">
    <w:abstractNumId w:val="3"/>
  </w:num>
  <w:num w:numId="20">
    <w:abstractNumId w:val="2"/>
  </w:num>
  <w:num w:numId="21">
    <w:abstractNumId w:val="14"/>
  </w:num>
  <w:num w:numId="22">
    <w:abstractNumId w:val="12"/>
  </w:num>
  <w:num w:numId="23">
    <w:abstractNumId w:val="9"/>
  </w:num>
  <w:num w:numId="24">
    <w:abstractNumId w:val="15"/>
  </w:num>
  <w:num w:numId="25">
    <w:abstractNumId w:val="8"/>
  </w:num>
  <w:num w:numId="26">
    <w:abstractNumId w:val="16"/>
  </w:num>
  <w:num w:numId="27">
    <w:abstractNumId w:val="19"/>
  </w:num>
  <w:num w:numId="28">
    <w:abstractNumId w:val="2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3CC"/>
    <w:rsid w:val="00000304"/>
    <w:rsid w:val="00001008"/>
    <w:rsid w:val="000018C2"/>
    <w:rsid w:val="000029D8"/>
    <w:rsid w:val="0000324C"/>
    <w:rsid w:val="000056C4"/>
    <w:rsid w:val="0000577E"/>
    <w:rsid w:val="00006083"/>
    <w:rsid w:val="000066FF"/>
    <w:rsid w:val="00006E11"/>
    <w:rsid w:val="00010AEF"/>
    <w:rsid w:val="0001126C"/>
    <w:rsid w:val="000113E0"/>
    <w:rsid w:val="00011690"/>
    <w:rsid w:val="00011DCA"/>
    <w:rsid w:val="00012F6F"/>
    <w:rsid w:val="000133E9"/>
    <w:rsid w:val="000136CE"/>
    <w:rsid w:val="00013C20"/>
    <w:rsid w:val="00014213"/>
    <w:rsid w:val="0001436D"/>
    <w:rsid w:val="00014B55"/>
    <w:rsid w:val="0001655D"/>
    <w:rsid w:val="00016FD9"/>
    <w:rsid w:val="00017BF7"/>
    <w:rsid w:val="00017F92"/>
    <w:rsid w:val="00020E3E"/>
    <w:rsid w:val="0002277B"/>
    <w:rsid w:val="0002359D"/>
    <w:rsid w:val="000238D7"/>
    <w:rsid w:val="00023BF3"/>
    <w:rsid w:val="00026811"/>
    <w:rsid w:val="000270D4"/>
    <w:rsid w:val="00027932"/>
    <w:rsid w:val="00027F53"/>
    <w:rsid w:val="000302A5"/>
    <w:rsid w:val="000305D1"/>
    <w:rsid w:val="0003222E"/>
    <w:rsid w:val="0004085F"/>
    <w:rsid w:val="0004090A"/>
    <w:rsid w:val="0004356D"/>
    <w:rsid w:val="00043BBF"/>
    <w:rsid w:val="000441A1"/>
    <w:rsid w:val="0004437C"/>
    <w:rsid w:val="00044A0B"/>
    <w:rsid w:val="00045296"/>
    <w:rsid w:val="0004533B"/>
    <w:rsid w:val="00045AE9"/>
    <w:rsid w:val="000461B3"/>
    <w:rsid w:val="000468A6"/>
    <w:rsid w:val="000468DA"/>
    <w:rsid w:val="00046EAF"/>
    <w:rsid w:val="0004757C"/>
    <w:rsid w:val="000505C5"/>
    <w:rsid w:val="00050EF8"/>
    <w:rsid w:val="0005151E"/>
    <w:rsid w:val="00052D9B"/>
    <w:rsid w:val="00052EED"/>
    <w:rsid w:val="0005370C"/>
    <w:rsid w:val="000542E2"/>
    <w:rsid w:val="0005474D"/>
    <w:rsid w:val="00055915"/>
    <w:rsid w:val="0005653D"/>
    <w:rsid w:val="0005667B"/>
    <w:rsid w:val="0005797C"/>
    <w:rsid w:val="00057B21"/>
    <w:rsid w:val="00060942"/>
    <w:rsid w:val="0006424A"/>
    <w:rsid w:val="0006485D"/>
    <w:rsid w:val="000659B5"/>
    <w:rsid w:val="00067542"/>
    <w:rsid w:val="00067839"/>
    <w:rsid w:val="00070848"/>
    <w:rsid w:val="00071360"/>
    <w:rsid w:val="000717DA"/>
    <w:rsid w:val="000728E3"/>
    <w:rsid w:val="0007488D"/>
    <w:rsid w:val="000748BB"/>
    <w:rsid w:val="00074F79"/>
    <w:rsid w:val="0007513F"/>
    <w:rsid w:val="00075472"/>
    <w:rsid w:val="00075E6C"/>
    <w:rsid w:val="0007673A"/>
    <w:rsid w:val="00077102"/>
    <w:rsid w:val="00077892"/>
    <w:rsid w:val="00077CE4"/>
    <w:rsid w:val="00080343"/>
    <w:rsid w:val="00080882"/>
    <w:rsid w:val="0008125A"/>
    <w:rsid w:val="00081517"/>
    <w:rsid w:val="0008327A"/>
    <w:rsid w:val="0008405C"/>
    <w:rsid w:val="0008540F"/>
    <w:rsid w:val="00085F85"/>
    <w:rsid w:val="000861A0"/>
    <w:rsid w:val="000864DF"/>
    <w:rsid w:val="00090D84"/>
    <w:rsid w:val="0009584F"/>
    <w:rsid w:val="000964A0"/>
    <w:rsid w:val="00096D7C"/>
    <w:rsid w:val="000A3F4A"/>
    <w:rsid w:val="000A5760"/>
    <w:rsid w:val="000A6E63"/>
    <w:rsid w:val="000A7D9D"/>
    <w:rsid w:val="000B1E3E"/>
    <w:rsid w:val="000B2752"/>
    <w:rsid w:val="000B286B"/>
    <w:rsid w:val="000B29AD"/>
    <w:rsid w:val="000B2CAA"/>
    <w:rsid w:val="000B2E13"/>
    <w:rsid w:val="000B3007"/>
    <w:rsid w:val="000B4766"/>
    <w:rsid w:val="000B67CD"/>
    <w:rsid w:val="000B6E3F"/>
    <w:rsid w:val="000C06B0"/>
    <w:rsid w:val="000C0A83"/>
    <w:rsid w:val="000C21C3"/>
    <w:rsid w:val="000C4420"/>
    <w:rsid w:val="000C44EF"/>
    <w:rsid w:val="000C5DC0"/>
    <w:rsid w:val="000C6372"/>
    <w:rsid w:val="000C74BB"/>
    <w:rsid w:val="000D0097"/>
    <w:rsid w:val="000D0CB8"/>
    <w:rsid w:val="000D0DD1"/>
    <w:rsid w:val="000D1022"/>
    <w:rsid w:val="000D253A"/>
    <w:rsid w:val="000D2D61"/>
    <w:rsid w:val="000D31CD"/>
    <w:rsid w:val="000D3A5A"/>
    <w:rsid w:val="000D3A9C"/>
    <w:rsid w:val="000D590D"/>
    <w:rsid w:val="000D59B0"/>
    <w:rsid w:val="000D72EA"/>
    <w:rsid w:val="000D7F8F"/>
    <w:rsid w:val="000E0178"/>
    <w:rsid w:val="000E062E"/>
    <w:rsid w:val="000E13EE"/>
    <w:rsid w:val="000E1475"/>
    <w:rsid w:val="000E1D30"/>
    <w:rsid w:val="000E392D"/>
    <w:rsid w:val="000E3980"/>
    <w:rsid w:val="000E3994"/>
    <w:rsid w:val="000E3EBE"/>
    <w:rsid w:val="000E3EFB"/>
    <w:rsid w:val="000E44B5"/>
    <w:rsid w:val="000E4EEA"/>
    <w:rsid w:val="000E54D2"/>
    <w:rsid w:val="000E57B1"/>
    <w:rsid w:val="000E5A04"/>
    <w:rsid w:val="000E6216"/>
    <w:rsid w:val="000E6B93"/>
    <w:rsid w:val="000E7565"/>
    <w:rsid w:val="000E7F4B"/>
    <w:rsid w:val="000F0A09"/>
    <w:rsid w:val="000F1813"/>
    <w:rsid w:val="000F2995"/>
    <w:rsid w:val="000F2D03"/>
    <w:rsid w:val="000F41B9"/>
    <w:rsid w:val="000F4258"/>
    <w:rsid w:val="000F4288"/>
    <w:rsid w:val="000F4E61"/>
    <w:rsid w:val="000F50A6"/>
    <w:rsid w:val="000F5A54"/>
    <w:rsid w:val="000F7165"/>
    <w:rsid w:val="000F72EE"/>
    <w:rsid w:val="00100661"/>
    <w:rsid w:val="00100F49"/>
    <w:rsid w:val="001012CC"/>
    <w:rsid w:val="00102379"/>
    <w:rsid w:val="00102CEF"/>
    <w:rsid w:val="0010428A"/>
    <w:rsid w:val="001042A0"/>
    <w:rsid w:val="001065D6"/>
    <w:rsid w:val="00106DD4"/>
    <w:rsid w:val="001071BE"/>
    <w:rsid w:val="001074BE"/>
    <w:rsid w:val="0011130E"/>
    <w:rsid w:val="00112A24"/>
    <w:rsid w:val="00112BCF"/>
    <w:rsid w:val="001132A7"/>
    <w:rsid w:val="00114929"/>
    <w:rsid w:val="00114CD2"/>
    <w:rsid w:val="0011571C"/>
    <w:rsid w:val="00115A52"/>
    <w:rsid w:val="00117AFF"/>
    <w:rsid w:val="00117C18"/>
    <w:rsid w:val="00120169"/>
    <w:rsid w:val="001202BB"/>
    <w:rsid w:val="00120542"/>
    <w:rsid w:val="00121252"/>
    <w:rsid w:val="00121837"/>
    <w:rsid w:val="001218D7"/>
    <w:rsid w:val="00122A60"/>
    <w:rsid w:val="0012325C"/>
    <w:rsid w:val="00123DFE"/>
    <w:rsid w:val="00124609"/>
    <w:rsid w:val="00125181"/>
    <w:rsid w:val="001254CE"/>
    <w:rsid w:val="00125BBD"/>
    <w:rsid w:val="001274A7"/>
    <w:rsid w:val="00127777"/>
    <w:rsid w:val="00127A4E"/>
    <w:rsid w:val="00127FB9"/>
    <w:rsid w:val="00133603"/>
    <w:rsid w:val="00133F4B"/>
    <w:rsid w:val="00134CEA"/>
    <w:rsid w:val="0013502C"/>
    <w:rsid w:val="001361D4"/>
    <w:rsid w:val="00137DB3"/>
    <w:rsid w:val="00137F9C"/>
    <w:rsid w:val="00140441"/>
    <w:rsid w:val="00141B1B"/>
    <w:rsid w:val="001422CC"/>
    <w:rsid w:val="0014266D"/>
    <w:rsid w:val="001426F4"/>
    <w:rsid w:val="0014305C"/>
    <w:rsid w:val="0014397A"/>
    <w:rsid w:val="00145E8B"/>
    <w:rsid w:val="00146CF0"/>
    <w:rsid w:val="00147D3B"/>
    <w:rsid w:val="00151203"/>
    <w:rsid w:val="001514F5"/>
    <w:rsid w:val="001524DD"/>
    <w:rsid w:val="00152645"/>
    <w:rsid w:val="00152901"/>
    <w:rsid w:val="00153251"/>
    <w:rsid w:val="00154B57"/>
    <w:rsid w:val="00155687"/>
    <w:rsid w:val="00156767"/>
    <w:rsid w:val="00156BD3"/>
    <w:rsid w:val="00156FCB"/>
    <w:rsid w:val="00157028"/>
    <w:rsid w:val="00157700"/>
    <w:rsid w:val="001617B6"/>
    <w:rsid w:val="001649FF"/>
    <w:rsid w:val="001658A1"/>
    <w:rsid w:val="00165B46"/>
    <w:rsid w:val="00165E66"/>
    <w:rsid w:val="001661C8"/>
    <w:rsid w:val="0016657D"/>
    <w:rsid w:val="00166848"/>
    <w:rsid w:val="001668A1"/>
    <w:rsid w:val="00166F1A"/>
    <w:rsid w:val="001671BA"/>
    <w:rsid w:val="00170E9A"/>
    <w:rsid w:val="001713C0"/>
    <w:rsid w:val="00171D16"/>
    <w:rsid w:val="00171F20"/>
    <w:rsid w:val="001725F4"/>
    <w:rsid w:val="001746E8"/>
    <w:rsid w:val="00174F8A"/>
    <w:rsid w:val="001752FA"/>
    <w:rsid w:val="00175AB2"/>
    <w:rsid w:val="001762A1"/>
    <w:rsid w:val="0017672A"/>
    <w:rsid w:val="00180BDD"/>
    <w:rsid w:val="0018168D"/>
    <w:rsid w:val="00181952"/>
    <w:rsid w:val="00182513"/>
    <w:rsid w:val="00184DD0"/>
    <w:rsid w:val="00185B8C"/>
    <w:rsid w:val="001866D5"/>
    <w:rsid w:val="00190575"/>
    <w:rsid w:val="00191217"/>
    <w:rsid w:val="00191A3F"/>
    <w:rsid w:val="00191D59"/>
    <w:rsid w:val="00192047"/>
    <w:rsid w:val="0019300D"/>
    <w:rsid w:val="00194A6D"/>
    <w:rsid w:val="00194B88"/>
    <w:rsid w:val="001A0420"/>
    <w:rsid w:val="001A0ED5"/>
    <w:rsid w:val="001A13DD"/>
    <w:rsid w:val="001A155C"/>
    <w:rsid w:val="001A1C42"/>
    <w:rsid w:val="001A21F2"/>
    <w:rsid w:val="001A255B"/>
    <w:rsid w:val="001A26D4"/>
    <w:rsid w:val="001A2B3B"/>
    <w:rsid w:val="001A4006"/>
    <w:rsid w:val="001A43BC"/>
    <w:rsid w:val="001A4D39"/>
    <w:rsid w:val="001A6257"/>
    <w:rsid w:val="001A6498"/>
    <w:rsid w:val="001A6878"/>
    <w:rsid w:val="001B0E08"/>
    <w:rsid w:val="001B17E5"/>
    <w:rsid w:val="001B27D2"/>
    <w:rsid w:val="001B2853"/>
    <w:rsid w:val="001B2E5F"/>
    <w:rsid w:val="001B3BA1"/>
    <w:rsid w:val="001B3BFA"/>
    <w:rsid w:val="001B43FF"/>
    <w:rsid w:val="001B4456"/>
    <w:rsid w:val="001B7793"/>
    <w:rsid w:val="001B7BC3"/>
    <w:rsid w:val="001C1192"/>
    <w:rsid w:val="001C1BA6"/>
    <w:rsid w:val="001C325F"/>
    <w:rsid w:val="001C40FB"/>
    <w:rsid w:val="001C44E8"/>
    <w:rsid w:val="001C4802"/>
    <w:rsid w:val="001C5A5B"/>
    <w:rsid w:val="001C611E"/>
    <w:rsid w:val="001C7BAE"/>
    <w:rsid w:val="001D2718"/>
    <w:rsid w:val="001D2C64"/>
    <w:rsid w:val="001D503A"/>
    <w:rsid w:val="001D5BB1"/>
    <w:rsid w:val="001D607A"/>
    <w:rsid w:val="001D60BC"/>
    <w:rsid w:val="001D73E5"/>
    <w:rsid w:val="001D75D0"/>
    <w:rsid w:val="001E0196"/>
    <w:rsid w:val="001E0A08"/>
    <w:rsid w:val="001E0DE0"/>
    <w:rsid w:val="001E1CA9"/>
    <w:rsid w:val="001E2035"/>
    <w:rsid w:val="001E2604"/>
    <w:rsid w:val="001E28CC"/>
    <w:rsid w:val="001E31FA"/>
    <w:rsid w:val="001E4049"/>
    <w:rsid w:val="001E4FE8"/>
    <w:rsid w:val="001E5470"/>
    <w:rsid w:val="001E5DD1"/>
    <w:rsid w:val="001E64F6"/>
    <w:rsid w:val="001E6707"/>
    <w:rsid w:val="001E70D0"/>
    <w:rsid w:val="001E7230"/>
    <w:rsid w:val="001F048A"/>
    <w:rsid w:val="001F13BA"/>
    <w:rsid w:val="001F1A73"/>
    <w:rsid w:val="001F2194"/>
    <w:rsid w:val="001F25D1"/>
    <w:rsid w:val="001F290C"/>
    <w:rsid w:val="001F2D88"/>
    <w:rsid w:val="001F2EA6"/>
    <w:rsid w:val="001F39F4"/>
    <w:rsid w:val="001F64AC"/>
    <w:rsid w:val="001F6776"/>
    <w:rsid w:val="001F77A7"/>
    <w:rsid w:val="002004C7"/>
    <w:rsid w:val="002013C4"/>
    <w:rsid w:val="00201799"/>
    <w:rsid w:val="00204B52"/>
    <w:rsid w:val="00204BFA"/>
    <w:rsid w:val="0020567D"/>
    <w:rsid w:val="00205757"/>
    <w:rsid w:val="00206395"/>
    <w:rsid w:val="00206E82"/>
    <w:rsid w:val="002110A1"/>
    <w:rsid w:val="002128F8"/>
    <w:rsid w:val="00212FA2"/>
    <w:rsid w:val="00214550"/>
    <w:rsid w:val="00214600"/>
    <w:rsid w:val="00214B62"/>
    <w:rsid w:val="00215187"/>
    <w:rsid w:val="00215FBE"/>
    <w:rsid w:val="002164E9"/>
    <w:rsid w:val="00216FBD"/>
    <w:rsid w:val="00220DF7"/>
    <w:rsid w:val="00221A90"/>
    <w:rsid w:val="00222BEB"/>
    <w:rsid w:val="002250E2"/>
    <w:rsid w:val="00225E60"/>
    <w:rsid w:val="0022608F"/>
    <w:rsid w:val="0022613F"/>
    <w:rsid w:val="00227C6B"/>
    <w:rsid w:val="00230312"/>
    <w:rsid w:val="0023202C"/>
    <w:rsid w:val="00233170"/>
    <w:rsid w:val="0023499D"/>
    <w:rsid w:val="00234E76"/>
    <w:rsid w:val="00236203"/>
    <w:rsid w:val="0023790D"/>
    <w:rsid w:val="002401EA"/>
    <w:rsid w:val="0024040B"/>
    <w:rsid w:val="00240CF0"/>
    <w:rsid w:val="0024195A"/>
    <w:rsid w:val="00241DC1"/>
    <w:rsid w:val="00242252"/>
    <w:rsid w:val="00244971"/>
    <w:rsid w:val="00244F1E"/>
    <w:rsid w:val="00245043"/>
    <w:rsid w:val="0024557E"/>
    <w:rsid w:val="00245802"/>
    <w:rsid w:val="0024727F"/>
    <w:rsid w:val="00250141"/>
    <w:rsid w:val="00250358"/>
    <w:rsid w:val="00250ACB"/>
    <w:rsid w:val="00251085"/>
    <w:rsid w:val="00251A92"/>
    <w:rsid w:val="0025268C"/>
    <w:rsid w:val="00252944"/>
    <w:rsid w:val="002529A2"/>
    <w:rsid w:val="0025351A"/>
    <w:rsid w:val="00253C77"/>
    <w:rsid w:val="00254BE3"/>
    <w:rsid w:val="00254CCE"/>
    <w:rsid w:val="0025553C"/>
    <w:rsid w:val="0025617A"/>
    <w:rsid w:val="00256627"/>
    <w:rsid w:val="002567E9"/>
    <w:rsid w:val="00256E96"/>
    <w:rsid w:val="00256F2A"/>
    <w:rsid w:val="002573A1"/>
    <w:rsid w:val="0025749A"/>
    <w:rsid w:val="0025756F"/>
    <w:rsid w:val="00257760"/>
    <w:rsid w:val="00257B72"/>
    <w:rsid w:val="00257EC4"/>
    <w:rsid w:val="0026176D"/>
    <w:rsid w:val="00263546"/>
    <w:rsid w:val="002638EB"/>
    <w:rsid w:val="002642A0"/>
    <w:rsid w:val="00264333"/>
    <w:rsid w:val="00264CFF"/>
    <w:rsid w:val="00265212"/>
    <w:rsid w:val="00265489"/>
    <w:rsid w:val="002655FF"/>
    <w:rsid w:val="002660B3"/>
    <w:rsid w:val="00266A7E"/>
    <w:rsid w:val="002674A0"/>
    <w:rsid w:val="0026795A"/>
    <w:rsid w:val="0027056A"/>
    <w:rsid w:val="002714E7"/>
    <w:rsid w:val="00271E24"/>
    <w:rsid w:val="00272742"/>
    <w:rsid w:val="00272AE4"/>
    <w:rsid w:val="00272D3C"/>
    <w:rsid w:val="002730EA"/>
    <w:rsid w:val="002747E0"/>
    <w:rsid w:val="00274F51"/>
    <w:rsid w:val="00274FED"/>
    <w:rsid w:val="0027703E"/>
    <w:rsid w:val="002778A6"/>
    <w:rsid w:val="00282C4B"/>
    <w:rsid w:val="0028372A"/>
    <w:rsid w:val="002858B6"/>
    <w:rsid w:val="002858C4"/>
    <w:rsid w:val="002859B3"/>
    <w:rsid w:val="0028600F"/>
    <w:rsid w:val="002904C9"/>
    <w:rsid w:val="002911CE"/>
    <w:rsid w:val="00291C69"/>
    <w:rsid w:val="00291E23"/>
    <w:rsid w:val="002921DB"/>
    <w:rsid w:val="00292ABB"/>
    <w:rsid w:val="00292B4A"/>
    <w:rsid w:val="00292D36"/>
    <w:rsid w:val="002966ED"/>
    <w:rsid w:val="00296A20"/>
    <w:rsid w:val="00296D1A"/>
    <w:rsid w:val="00296E1B"/>
    <w:rsid w:val="00297281"/>
    <w:rsid w:val="002A02FA"/>
    <w:rsid w:val="002A05BE"/>
    <w:rsid w:val="002A0DCE"/>
    <w:rsid w:val="002A288D"/>
    <w:rsid w:val="002A3A9C"/>
    <w:rsid w:val="002A3D81"/>
    <w:rsid w:val="002A45A6"/>
    <w:rsid w:val="002A4F31"/>
    <w:rsid w:val="002A602A"/>
    <w:rsid w:val="002A7199"/>
    <w:rsid w:val="002B0133"/>
    <w:rsid w:val="002B1933"/>
    <w:rsid w:val="002B287A"/>
    <w:rsid w:val="002B3221"/>
    <w:rsid w:val="002B36A4"/>
    <w:rsid w:val="002B3F9B"/>
    <w:rsid w:val="002B4FC9"/>
    <w:rsid w:val="002B5178"/>
    <w:rsid w:val="002B5AC9"/>
    <w:rsid w:val="002B6249"/>
    <w:rsid w:val="002B63AD"/>
    <w:rsid w:val="002B6C30"/>
    <w:rsid w:val="002C13A1"/>
    <w:rsid w:val="002C338A"/>
    <w:rsid w:val="002C38A4"/>
    <w:rsid w:val="002C3CFF"/>
    <w:rsid w:val="002C4077"/>
    <w:rsid w:val="002C4355"/>
    <w:rsid w:val="002C456F"/>
    <w:rsid w:val="002C4783"/>
    <w:rsid w:val="002C54E0"/>
    <w:rsid w:val="002C5531"/>
    <w:rsid w:val="002C6C65"/>
    <w:rsid w:val="002C7485"/>
    <w:rsid w:val="002D0724"/>
    <w:rsid w:val="002D18E2"/>
    <w:rsid w:val="002D1A17"/>
    <w:rsid w:val="002D1DDD"/>
    <w:rsid w:val="002D24A9"/>
    <w:rsid w:val="002D320E"/>
    <w:rsid w:val="002D404A"/>
    <w:rsid w:val="002D4A38"/>
    <w:rsid w:val="002D5F25"/>
    <w:rsid w:val="002D60A6"/>
    <w:rsid w:val="002D6614"/>
    <w:rsid w:val="002D711A"/>
    <w:rsid w:val="002D7293"/>
    <w:rsid w:val="002D7336"/>
    <w:rsid w:val="002E08A5"/>
    <w:rsid w:val="002E09A3"/>
    <w:rsid w:val="002E0F67"/>
    <w:rsid w:val="002E12F7"/>
    <w:rsid w:val="002E166C"/>
    <w:rsid w:val="002E3396"/>
    <w:rsid w:val="002E3A78"/>
    <w:rsid w:val="002E402C"/>
    <w:rsid w:val="002E42DE"/>
    <w:rsid w:val="002E50FD"/>
    <w:rsid w:val="002E6663"/>
    <w:rsid w:val="002E7475"/>
    <w:rsid w:val="002F0050"/>
    <w:rsid w:val="002F05A6"/>
    <w:rsid w:val="002F16CF"/>
    <w:rsid w:val="002F1E36"/>
    <w:rsid w:val="002F2339"/>
    <w:rsid w:val="002F2727"/>
    <w:rsid w:val="002F288E"/>
    <w:rsid w:val="002F3FAD"/>
    <w:rsid w:val="002F5CAE"/>
    <w:rsid w:val="002F5FAF"/>
    <w:rsid w:val="00300DD7"/>
    <w:rsid w:val="00302838"/>
    <w:rsid w:val="00302B48"/>
    <w:rsid w:val="00303865"/>
    <w:rsid w:val="003050A2"/>
    <w:rsid w:val="003053A2"/>
    <w:rsid w:val="003053B2"/>
    <w:rsid w:val="00306938"/>
    <w:rsid w:val="00310C31"/>
    <w:rsid w:val="0031132B"/>
    <w:rsid w:val="0031149C"/>
    <w:rsid w:val="003123FC"/>
    <w:rsid w:val="003138DF"/>
    <w:rsid w:val="003141ED"/>
    <w:rsid w:val="00314A2E"/>
    <w:rsid w:val="00314CE6"/>
    <w:rsid w:val="0031647A"/>
    <w:rsid w:val="00316800"/>
    <w:rsid w:val="003175EA"/>
    <w:rsid w:val="003177CA"/>
    <w:rsid w:val="00320ED1"/>
    <w:rsid w:val="00321330"/>
    <w:rsid w:val="003232E7"/>
    <w:rsid w:val="00323444"/>
    <w:rsid w:val="003242EF"/>
    <w:rsid w:val="00324FCB"/>
    <w:rsid w:val="0032529F"/>
    <w:rsid w:val="00325BB2"/>
    <w:rsid w:val="00326BC9"/>
    <w:rsid w:val="00326BE5"/>
    <w:rsid w:val="00326D6E"/>
    <w:rsid w:val="00326E25"/>
    <w:rsid w:val="003324EF"/>
    <w:rsid w:val="003336C0"/>
    <w:rsid w:val="00336655"/>
    <w:rsid w:val="00336AD9"/>
    <w:rsid w:val="00336FD2"/>
    <w:rsid w:val="00337262"/>
    <w:rsid w:val="00337BDA"/>
    <w:rsid w:val="00337C52"/>
    <w:rsid w:val="00337F13"/>
    <w:rsid w:val="0034008B"/>
    <w:rsid w:val="0034023B"/>
    <w:rsid w:val="003423B4"/>
    <w:rsid w:val="00342ED8"/>
    <w:rsid w:val="0034599C"/>
    <w:rsid w:val="00345C0D"/>
    <w:rsid w:val="003522AD"/>
    <w:rsid w:val="00352C22"/>
    <w:rsid w:val="003538BA"/>
    <w:rsid w:val="0035497A"/>
    <w:rsid w:val="003549A5"/>
    <w:rsid w:val="0035528A"/>
    <w:rsid w:val="00355830"/>
    <w:rsid w:val="00356B9E"/>
    <w:rsid w:val="003571E4"/>
    <w:rsid w:val="00360073"/>
    <w:rsid w:val="0036042A"/>
    <w:rsid w:val="00360646"/>
    <w:rsid w:val="00361BB0"/>
    <w:rsid w:val="0036408C"/>
    <w:rsid w:val="0036414D"/>
    <w:rsid w:val="0036477A"/>
    <w:rsid w:val="0036618F"/>
    <w:rsid w:val="00366459"/>
    <w:rsid w:val="00366862"/>
    <w:rsid w:val="00367393"/>
    <w:rsid w:val="0036757E"/>
    <w:rsid w:val="00367CB3"/>
    <w:rsid w:val="003714DD"/>
    <w:rsid w:val="00371B15"/>
    <w:rsid w:val="00372180"/>
    <w:rsid w:val="00372E5D"/>
    <w:rsid w:val="00373AFF"/>
    <w:rsid w:val="003744F3"/>
    <w:rsid w:val="0037490A"/>
    <w:rsid w:val="00374EF4"/>
    <w:rsid w:val="00376336"/>
    <w:rsid w:val="003774C5"/>
    <w:rsid w:val="0038124B"/>
    <w:rsid w:val="00381438"/>
    <w:rsid w:val="0038205D"/>
    <w:rsid w:val="00382449"/>
    <w:rsid w:val="003827FA"/>
    <w:rsid w:val="0038349F"/>
    <w:rsid w:val="0038515B"/>
    <w:rsid w:val="00386450"/>
    <w:rsid w:val="003866DF"/>
    <w:rsid w:val="00386AA8"/>
    <w:rsid w:val="00386F54"/>
    <w:rsid w:val="003871E1"/>
    <w:rsid w:val="0038771C"/>
    <w:rsid w:val="00390C29"/>
    <w:rsid w:val="003912D2"/>
    <w:rsid w:val="0039236D"/>
    <w:rsid w:val="00392D98"/>
    <w:rsid w:val="00392EF1"/>
    <w:rsid w:val="00393799"/>
    <w:rsid w:val="00393956"/>
    <w:rsid w:val="00393EBC"/>
    <w:rsid w:val="0039405B"/>
    <w:rsid w:val="003941C9"/>
    <w:rsid w:val="00395322"/>
    <w:rsid w:val="003968F9"/>
    <w:rsid w:val="00396E36"/>
    <w:rsid w:val="00396EFE"/>
    <w:rsid w:val="003A0118"/>
    <w:rsid w:val="003A1C19"/>
    <w:rsid w:val="003A1C92"/>
    <w:rsid w:val="003A1CE9"/>
    <w:rsid w:val="003A2C5F"/>
    <w:rsid w:val="003A4896"/>
    <w:rsid w:val="003A48E8"/>
    <w:rsid w:val="003A541A"/>
    <w:rsid w:val="003A5C0B"/>
    <w:rsid w:val="003A6923"/>
    <w:rsid w:val="003B0473"/>
    <w:rsid w:val="003B2375"/>
    <w:rsid w:val="003B3285"/>
    <w:rsid w:val="003B45DF"/>
    <w:rsid w:val="003B48DB"/>
    <w:rsid w:val="003B4A55"/>
    <w:rsid w:val="003B4EC5"/>
    <w:rsid w:val="003B60CB"/>
    <w:rsid w:val="003B614B"/>
    <w:rsid w:val="003B7EFE"/>
    <w:rsid w:val="003C26E2"/>
    <w:rsid w:val="003C28C2"/>
    <w:rsid w:val="003C2C67"/>
    <w:rsid w:val="003C39D8"/>
    <w:rsid w:val="003C3DCB"/>
    <w:rsid w:val="003C5BA4"/>
    <w:rsid w:val="003C64BB"/>
    <w:rsid w:val="003C6F2B"/>
    <w:rsid w:val="003C7BBD"/>
    <w:rsid w:val="003D028E"/>
    <w:rsid w:val="003D0455"/>
    <w:rsid w:val="003D0645"/>
    <w:rsid w:val="003D0A92"/>
    <w:rsid w:val="003D2CE8"/>
    <w:rsid w:val="003D4BB8"/>
    <w:rsid w:val="003D4DE9"/>
    <w:rsid w:val="003D4E4F"/>
    <w:rsid w:val="003D7257"/>
    <w:rsid w:val="003E1A9C"/>
    <w:rsid w:val="003E24BF"/>
    <w:rsid w:val="003E33DE"/>
    <w:rsid w:val="003E3E26"/>
    <w:rsid w:val="003E3F8D"/>
    <w:rsid w:val="003E4AEE"/>
    <w:rsid w:val="003E5201"/>
    <w:rsid w:val="003E6C23"/>
    <w:rsid w:val="003E7AFA"/>
    <w:rsid w:val="003F0BB7"/>
    <w:rsid w:val="003F0F41"/>
    <w:rsid w:val="003F1295"/>
    <w:rsid w:val="003F1727"/>
    <w:rsid w:val="003F2566"/>
    <w:rsid w:val="003F2B80"/>
    <w:rsid w:val="003F47D3"/>
    <w:rsid w:val="003F7035"/>
    <w:rsid w:val="003F76F1"/>
    <w:rsid w:val="003F76FC"/>
    <w:rsid w:val="003F7A6D"/>
    <w:rsid w:val="004002EB"/>
    <w:rsid w:val="00400317"/>
    <w:rsid w:val="00400479"/>
    <w:rsid w:val="00400B28"/>
    <w:rsid w:val="00400D7C"/>
    <w:rsid w:val="004036EB"/>
    <w:rsid w:val="00405535"/>
    <w:rsid w:val="00412ED1"/>
    <w:rsid w:val="00413C61"/>
    <w:rsid w:val="00414B43"/>
    <w:rsid w:val="00414B6E"/>
    <w:rsid w:val="0041689E"/>
    <w:rsid w:val="00417E72"/>
    <w:rsid w:val="00420112"/>
    <w:rsid w:val="00420A7F"/>
    <w:rsid w:val="0042291A"/>
    <w:rsid w:val="004236C8"/>
    <w:rsid w:val="004247C4"/>
    <w:rsid w:val="00424888"/>
    <w:rsid w:val="00426EA8"/>
    <w:rsid w:val="00427201"/>
    <w:rsid w:val="00427681"/>
    <w:rsid w:val="00427C82"/>
    <w:rsid w:val="004302C5"/>
    <w:rsid w:val="004307C7"/>
    <w:rsid w:val="00430B35"/>
    <w:rsid w:val="004314AB"/>
    <w:rsid w:val="0043286E"/>
    <w:rsid w:val="00432BB3"/>
    <w:rsid w:val="004335A7"/>
    <w:rsid w:val="00433D81"/>
    <w:rsid w:val="00433DB7"/>
    <w:rsid w:val="00436E90"/>
    <w:rsid w:val="004379E9"/>
    <w:rsid w:val="00437EE8"/>
    <w:rsid w:val="0044099D"/>
    <w:rsid w:val="00441CE7"/>
    <w:rsid w:val="00443A24"/>
    <w:rsid w:val="004442DD"/>
    <w:rsid w:val="004451ED"/>
    <w:rsid w:val="0044667E"/>
    <w:rsid w:val="00447793"/>
    <w:rsid w:val="00447F98"/>
    <w:rsid w:val="004501D4"/>
    <w:rsid w:val="00450799"/>
    <w:rsid w:val="00451E5E"/>
    <w:rsid w:val="00453750"/>
    <w:rsid w:val="00453865"/>
    <w:rsid w:val="00453C6A"/>
    <w:rsid w:val="004544AB"/>
    <w:rsid w:val="00454F40"/>
    <w:rsid w:val="00455937"/>
    <w:rsid w:val="0045604D"/>
    <w:rsid w:val="00456639"/>
    <w:rsid w:val="004568BD"/>
    <w:rsid w:val="00456941"/>
    <w:rsid w:val="00456EF5"/>
    <w:rsid w:val="0045788E"/>
    <w:rsid w:val="004579F9"/>
    <w:rsid w:val="00460863"/>
    <w:rsid w:val="00461239"/>
    <w:rsid w:val="0046241C"/>
    <w:rsid w:val="00463EF6"/>
    <w:rsid w:val="00464B13"/>
    <w:rsid w:val="0046627D"/>
    <w:rsid w:val="00466E26"/>
    <w:rsid w:val="00467195"/>
    <w:rsid w:val="004702EA"/>
    <w:rsid w:val="0047030D"/>
    <w:rsid w:val="00471C7E"/>
    <w:rsid w:val="0047404F"/>
    <w:rsid w:val="004740B1"/>
    <w:rsid w:val="00474E6F"/>
    <w:rsid w:val="0047666A"/>
    <w:rsid w:val="00476D9D"/>
    <w:rsid w:val="00477612"/>
    <w:rsid w:val="00477AC4"/>
    <w:rsid w:val="00480051"/>
    <w:rsid w:val="00480697"/>
    <w:rsid w:val="00481204"/>
    <w:rsid w:val="00482243"/>
    <w:rsid w:val="00482D02"/>
    <w:rsid w:val="00482D96"/>
    <w:rsid w:val="00482FCC"/>
    <w:rsid w:val="004834E8"/>
    <w:rsid w:val="00484A07"/>
    <w:rsid w:val="00485698"/>
    <w:rsid w:val="00485A96"/>
    <w:rsid w:val="00487353"/>
    <w:rsid w:val="00487F76"/>
    <w:rsid w:val="00487F9D"/>
    <w:rsid w:val="0049095F"/>
    <w:rsid w:val="00491A13"/>
    <w:rsid w:val="00491ABA"/>
    <w:rsid w:val="00492B06"/>
    <w:rsid w:val="004937C4"/>
    <w:rsid w:val="00494AA2"/>
    <w:rsid w:val="004951E0"/>
    <w:rsid w:val="0049521F"/>
    <w:rsid w:val="00495F48"/>
    <w:rsid w:val="004963B7"/>
    <w:rsid w:val="004966BD"/>
    <w:rsid w:val="00496DCC"/>
    <w:rsid w:val="004A01B1"/>
    <w:rsid w:val="004A02DC"/>
    <w:rsid w:val="004A0E15"/>
    <w:rsid w:val="004A116E"/>
    <w:rsid w:val="004A2742"/>
    <w:rsid w:val="004A4652"/>
    <w:rsid w:val="004A53B0"/>
    <w:rsid w:val="004A5BC7"/>
    <w:rsid w:val="004A5D99"/>
    <w:rsid w:val="004A70A6"/>
    <w:rsid w:val="004A7519"/>
    <w:rsid w:val="004B21CD"/>
    <w:rsid w:val="004B29FD"/>
    <w:rsid w:val="004B31E2"/>
    <w:rsid w:val="004B3788"/>
    <w:rsid w:val="004B3F06"/>
    <w:rsid w:val="004B4274"/>
    <w:rsid w:val="004B4A4E"/>
    <w:rsid w:val="004B5375"/>
    <w:rsid w:val="004B5C8C"/>
    <w:rsid w:val="004B6DC6"/>
    <w:rsid w:val="004C062A"/>
    <w:rsid w:val="004C09A3"/>
    <w:rsid w:val="004C1D2A"/>
    <w:rsid w:val="004C2355"/>
    <w:rsid w:val="004C246F"/>
    <w:rsid w:val="004C3759"/>
    <w:rsid w:val="004C3A2C"/>
    <w:rsid w:val="004C4C72"/>
    <w:rsid w:val="004C5AE9"/>
    <w:rsid w:val="004C5F3A"/>
    <w:rsid w:val="004C6139"/>
    <w:rsid w:val="004C6806"/>
    <w:rsid w:val="004C6C14"/>
    <w:rsid w:val="004C7E70"/>
    <w:rsid w:val="004D2ECD"/>
    <w:rsid w:val="004D3518"/>
    <w:rsid w:val="004D3A00"/>
    <w:rsid w:val="004D3C82"/>
    <w:rsid w:val="004D5B31"/>
    <w:rsid w:val="004D6181"/>
    <w:rsid w:val="004D62D6"/>
    <w:rsid w:val="004D673A"/>
    <w:rsid w:val="004E0820"/>
    <w:rsid w:val="004E13FA"/>
    <w:rsid w:val="004E16BA"/>
    <w:rsid w:val="004E31E5"/>
    <w:rsid w:val="004E39FF"/>
    <w:rsid w:val="004E4A29"/>
    <w:rsid w:val="004E4BB5"/>
    <w:rsid w:val="004E5463"/>
    <w:rsid w:val="004E558A"/>
    <w:rsid w:val="004E5F87"/>
    <w:rsid w:val="004E75AE"/>
    <w:rsid w:val="004F0BA6"/>
    <w:rsid w:val="004F241E"/>
    <w:rsid w:val="004F3261"/>
    <w:rsid w:val="004F5DA0"/>
    <w:rsid w:val="004F61D9"/>
    <w:rsid w:val="004F6C89"/>
    <w:rsid w:val="004F7313"/>
    <w:rsid w:val="004F7760"/>
    <w:rsid w:val="004F78B1"/>
    <w:rsid w:val="00500997"/>
    <w:rsid w:val="00501142"/>
    <w:rsid w:val="0050176A"/>
    <w:rsid w:val="00502547"/>
    <w:rsid w:val="005025A6"/>
    <w:rsid w:val="005027C8"/>
    <w:rsid w:val="00502956"/>
    <w:rsid w:val="00502AC6"/>
    <w:rsid w:val="00503899"/>
    <w:rsid w:val="00504BD9"/>
    <w:rsid w:val="00505F3F"/>
    <w:rsid w:val="00506A37"/>
    <w:rsid w:val="005077E5"/>
    <w:rsid w:val="00510581"/>
    <w:rsid w:val="00510C2B"/>
    <w:rsid w:val="0051149C"/>
    <w:rsid w:val="005124CA"/>
    <w:rsid w:val="00512D8C"/>
    <w:rsid w:val="00514E4A"/>
    <w:rsid w:val="00515E2D"/>
    <w:rsid w:val="00516080"/>
    <w:rsid w:val="00520CE9"/>
    <w:rsid w:val="00522937"/>
    <w:rsid w:val="00523D3F"/>
    <w:rsid w:val="00523E4D"/>
    <w:rsid w:val="005242F9"/>
    <w:rsid w:val="00524B28"/>
    <w:rsid w:val="00524C0C"/>
    <w:rsid w:val="005253CA"/>
    <w:rsid w:val="00525924"/>
    <w:rsid w:val="0052650C"/>
    <w:rsid w:val="00531EAD"/>
    <w:rsid w:val="00532754"/>
    <w:rsid w:val="00533C5D"/>
    <w:rsid w:val="0053416C"/>
    <w:rsid w:val="00534B39"/>
    <w:rsid w:val="00536F75"/>
    <w:rsid w:val="00537CB4"/>
    <w:rsid w:val="00540ED9"/>
    <w:rsid w:val="00540F7B"/>
    <w:rsid w:val="00541C2F"/>
    <w:rsid w:val="00541CAE"/>
    <w:rsid w:val="00544145"/>
    <w:rsid w:val="0054427E"/>
    <w:rsid w:val="0054475A"/>
    <w:rsid w:val="00544AFE"/>
    <w:rsid w:val="00545348"/>
    <w:rsid w:val="00545E27"/>
    <w:rsid w:val="00546260"/>
    <w:rsid w:val="00546E00"/>
    <w:rsid w:val="005472A1"/>
    <w:rsid w:val="00547B6D"/>
    <w:rsid w:val="00550A0E"/>
    <w:rsid w:val="00551B82"/>
    <w:rsid w:val="00552B88"/>
    <w:rsid w:val="00552BF5"/>
    <w:rsid w:val="00552D7E"/>
    <w:rsid w:val="005530BB"/>
    <w:rsid w:val="005536B1"/>
    <w:rsid w:val="0055419B"/>
    <w:rsid w:val="00554E42"/>
    <w:rsid w:val="00555723"/>
    <w:rsid w:val="00555EA1"/>
    <w:rsid w:val="00556E44"/>
    <w:rsid w:val="0055727D"/>
    <w:rsid w:val="00560720"/>
    <w:rsid w:val="00560796"/>
    <w:rsid w:val="005618E0"/>
    <w:rsid w:val="00563527"/>
    <w:rsid w:val="00563CF7"/>
    <w:rsid w:val="00565EB2"/>
    <w:rsid w:val="00566C83"/>
    <w:rsid w:val="0056706D"/>
    <w:rsid w:val="00567A5E"/>
    <w:rsid w:val="00570B3A"/>
    <w:rsid w:val="005710D9"/>
    <w:rsid w:val="005715B5"/>
    <w:rsid w:val="005724B9"/>
    <w:rsid w:val="00573324"/>
    <w:rsid w:val="00573C66"/>
    <w:rsid w:val="005743E1"/>
    <w:rsid w:val="00574CA9"/>
    <w:rsid w:val="00575618"/>
    <w:rsid w:val="0057585B"/>
    <w:rsid w:val="005765D9"/>
    <w:rsid w:val="00577D9E"/>
    <w:rsid w:val="00580BA3"/>
    <w:rsid w:val="0058124E"/>
    <w:rsid w:val="0058191C"/>
    <w:rsid w:val="00582705"/>
    <w:rsid w:val="00582B51"/>
    <w:rsid w:val="005836AB"/>
    <w:rsid w:val="00583B0C"/>
    <w:rsid w:val="00586205"/>
    <w:rsid w:val="00587532"/>
    <w:rsid w:val="005875A3"/>
    <w:rsid w:val="0058775C"/>
    <w:rsid w:val="00590066"/>
    <w:rsid w:val="00592174"/>
    <w:rsid w:val="005924F1"/>
    <w:rsid w:val="005929D7"/>
    <w:rsid w:val="00593451"/>
    <w:rsid w:val="00593D50"/>
    <w:rsid w:val="005942D0"/>
    <w:rsid w:val="00594631"/>
    <w:rsid w:val="005948A1"/>
    <w:rsid w:val="00594BA7"/>
    <w:rsid w:val="00594E80"/>
    <w:rsid w:val="00594F97"/>
    <w:rsid w:val="0059590A"/>
    <w:rsid w:val="00595B3D"/>
    <w:rsid w:val="00597629"/>
    <w:rsid w:val="005A00BA"/>
    <w:rsid w:val="005A023E"/>
    <w:rsid w:val="005A0F86"/>
    <w:rsid w:val="005A24F3"/>
    <w:rsid w:val="005A2B8F"/>
    <w:rsid w:val="005A2FCF"/>
    <w:rsid w:val="005A3416"/>
    <w:rsid w:val="005A3B06"/>
    <w:rsid w:val="005A4808"/>
    <w:rsid w:val="005A4CE3"/>
    <w:rsid w:val="005A500D"/>
    <w:rsid w:val="005A758F"/>
    <w:rsid w:val="005B013F"/>
    <w:rsid w:val="005B0F1D"/>
    <w:rsid w:val="005B1679"/>
    <w:rsid w:val="005B27FE"/>
    <w:rsid w:val="005B442B"/>
    <w:rsid w:val="005B66EA"/>
    <w:rsid w:val="005B6BBD"/>
    <w:rsid w:val="005B78F2"/>
    <w:rsid w:val="005C07B9"/>
    <w:rsid w:val="005C123F"/>
    <w:rsid w:val="005C3E6D"/>
    <w:rsid w:val="005C50EC"/>
    <w:rsid w:val="005C7443"/>
    <w:rsid w:val="005C7A39"/>
    <w:rsid w:val="005D0029"/>
    <w:rsid w:val="005D1609"/>
    <w:rsid w:val="005D186E"/>
    <w:rsid w:val="005D22B9"/>
    <w:rsid w:val="005D2483"/>
    <w:rsid w:val="005D60BC"/>
    <w:rsid w:val="005D6EEA"/>
    <w:rsid w:val="005E0B8B"/>
    <w:rsid w:val="005E2514"/>
    <w:rsid w:val="005E2C27"/>
    <w:rsid w:val="005E3083"/>
    <w:rsid w:val="005E34E1"/>
    <w:rsid w:val="005E43AA"/>
    <w:rsid w:val="005E4751"/>
    <w:rsid w:val="005E4B6E"/>
    <w:rsid w:val="005E4BED"/>
    <w:rsid w:val="005E582D"/>
    <w:rsid w:val="005E6029"/>
    <w:rsid w:val="005E6FC1"/>
    <w:rsid w:val="005E76CF"/>
    <w:rsid w:val="005F0585"/>
    <w:rsid w:val="005F0A69"/>
    <w:rsid w:val="005F1737"/>
    <w:rsid w:val="005F1B3B"/>
    <w:rsid w:val="005F5055"/>
    <w:rsid w:val="005F5B0A"/>
    <w:rsid w:val="005F61DF"/>
    <w:rsid w:val="005F777C"/>
    <w:rsid w:val="006003E5"/>
    <w:rsid w:val="00600436"/>
    <w:rsid w:val="00601EF4"/>
    <w:rsid w:val="0060214A"/>
    <w:rsid w:val="006023F9"/>
    <w:rsid w:val="00602DFD"/>
    <w:rsid w:val="00603260"/>
    <w:rsid w:val="0060380B"/>
    <w:rsid w:val="00603A3B"/>
    <w:rsid w:val="0060499C"/>
    <w:rsid w:val="006052EC"/>
    <w:rsid w:val="00605EFE"/>
    <w:rsid w:val="00606742"/>
    <w:rsid w:val="00606BC9"/>
    <w:rsid w:val="00606E24"/>
    <w:rsid w:val="006076C4"/>
    <w:rsid w:val="006077D8"/>
    <w:rsid w:val="00610559"/>
    <w:rsid w:val="00610E90"/>
    <w:rsid w:val="0061231C"/>
    <w:rsid w:val="0061257E"/>
    <w:rsid w:val="00612997"/>
    <w:rsid w:val="0061360C"/>
    <w:rsid w:val="00614388"/>
    <w:rsid w:val="00617457"/>
    <w:rsid w:val="00617764"/>
    <w:rsid w:val="00617A43"/>
    <w:rsid w:val="00617F1F"/>
    <w:rsid w:val="00620C3A"/>
    <w:rsid w:val="00621D09"/>
    <w:rsid w:val="006226B4"/>
    <w:rsid w:val="00622ED3"/>
    <w:rsid w:val="00625A3D"/>
    <w:rsid w:val="00625C2F"/>
    <w:rsid w:val="00626FA1"/>
    <w:rsid w:val="006273BA"/>
    <w:rsid w:val="00627832"/>
    <w:rsid w:val="00630292"/>
    <w:rsid w:val="006310AA"/>
    <w:rsid w:val="00632627"/>
    <w:rsid w:val="00632A4B"/>
    <w:rsid w:val="006332F6"/>
    <w:rsid w:val="00633429"/>
    <w:rsid w:val="00633816"/>
    <w:rsid w:val="00633ED5"/>
    <w:rsid w:val="00634769"/>
    <w:rsid w:val="006375DA"/>
    <w:rsid w:val="00637AA9"/>
    <w:rsid w:val="006408F8"/>
    <w:rsid w:val="00641E8A"/>
    <w:rsid w:val="006430E1"/>
    <w:rsid w:val="00644B8C"/>
    <w:rsid w:val="00644F54"/>
    <w:rsid w:val="0064646D"/>
    <w:rsid w:val="006468C8"/>
    <w:rsid w:val="0064777D"/>
    <w:rsid w:val="00650E1F"/>
    <w:rsid w:val="00651CAF"/>
    <w:rsid w:val="0065227A"/>
    <w:rsid w:val="00652625"/>
    <w:rsid w:val="006528F2"/>
    <w:rsid w:val="006534B2"/>
    <w:rsid w:val="00654356"/>
    <w:rsid w:val="00654722"/>
    <w:rsid w:val="00655A16"/>
    <w:rsid w:val="0065615D"/>
    <w:rsid w:val="00657011"/>
    <w:rsid w:val="006579D2"/>
    <w:rsid w:val="006605B6"/>
    <w:rsid w:val="00661685"/>
    <w:rsid w:val="00663EE2"/>
    <w:rsid w:val="0066428E"/>
    <w:rsid w:val="00664ED4"/>
    <w:rsid w:val="006650B5"/>
    <w:rsid w:val="006651B1"/>
    <w:rsid w:val="00665778"/>
    <w:rsid w:val="006665E7"/>
    <w:rsid w:val="006703E8"/>
    <w:rsid w:val="00670D5B"/>
    <w:rsid w:val="00671183"/>
    <w:rsid w:val="00671E7A"/>
    <w:rsid w:val="00671FC5"/>
    <w:rsid w:val="00673330"/>
    <w:rsid w:val="0067396D"/>
    <w:rsid w:val="00673D25"/>
    <w:rsid w:val="00674151"/>
    <w:rsid w:val="00674BAC"/>
    <w:rsid w:val="00675DE4"/>
    <w:rsid w:val="0067682E"/>
    <w:rsid w:val="00677FF4"/>
    <w:rsid w:val="006800D1"/>
    <w:rsid w:val="006802F6"/>
    <w:rsid w:val="006814A5"/>
    <w:rsid w:val="006828E9"/>
    <w:rsid w:val="00682CF7"/>
    <w:rsid w:val="00683566"/>
    <w:rsid w:val="00683AA3"/>
    <w:rsid w:val="00683F4E"/>
    <w:rsid w:val="006855B3"/>
    <w:rsid w:val="006903FC"/>
    <w:rsid w:val="006908A2"/>
    <w:rsid w:val="00690F7B"/>
    <w:rsid w:val="006919AC"/>
    <w:rsid w:val="00691C69"/>
    <w:rsid w:val="006927B1"/>
    <w:rsid w:val="00692A21"/>
    <w:rsid w:val="00692B4B"/>
    <w:rsid w:val="00692C37"/>
    <w:rsid w:val="00692E7F"/>
    <w:rsid w:val="00693339"/>
    <w:rsid w:val="006953CA"/>
    <w:rsid w:val="00695775"/>
    <w:rsid w:val="00696F52"/>
    <w:rsid w:val="006A0212"/>
    <w:rsid w:val="006A09D1"/>
    <w:rsid w:val="006A102F"/>
    <w:rsid w:val="006A1106"/>
    <w:rsid w:val="006A14F6"/>
    <w:rsid w:val="006A16D3"/>
    <w:rsid w:val="006A25DD"/>
    <w:rsid w:val="006A2DCD"/>
    <w:rsid w:val="006A5639"/>
    <w:rsid w:val="006A5AF9"/>
    <w:rsid w:val="006A5B34"/>
    <w:rsid w:val="006A5B8B"/>
    <w:rsid w:val="006A5F5B"/>
    <w:rsid w:val="006A72F2"/>
    <w:rsid w:val="006A7865"/>
    <w:rsid w:val="006B0826"/>
    <w:rsid w:val="006B0840"/>
    <w:rsid w:val="006B33B0"/>
    <w:rsid w:val="006B56C3"/>
    <w:rsid w:val="006B5EDA"/>
    <w:rsid w:val="006B68C8"/>
    <w:rsid w:val="006B7247"/>
    <w:rsid w:val="006C064A"/>
    <w:rsid w:val="006C09F6"/>
    <w:rsid w:val="006C0B77"/>
    <w:rsid w:val="006C1530"/>
    <w:rsid w:val="006C1592"/>
    <w:rsid w:val="006C2483"/>
    <w:rsid w:val="006C26AA"/>
    <w:rsid w:val="006C39B0"/>
    <w:rsid w:val="006C5F42"/>
    <w:rsid w:val="006C7458"/>
    <w:rsid w:val="006C77A9"/>
    <w:rsid w:val="006C7924"/>
    <w:rsid w:val="006D1950"/>
    <w:rsid w:val="006D53D2"/>
    <w:rsid w:val="006D5812"/>
    <w:rsid w:val="006D7F50"/>
    <w:rsid w:val="006E007B"/>
    <w:rsid w:val="006E12D0"/>
    <w:rsid w:val="006E1454"/>
    <w:rsid w:val="006E1A58"/>
    <w:rsid w:val="006E1A5E"/>
    <w:rsid w:val="006E1D3A"/>
    <w:rsid w:val="006E1F18"/>
    <w:rsid w:val="006E2EC1"/>
    <w:rsid w:val="006E4666"/>
    <w:rsid w:val="006E5531"/>
    <w:rsid w:val="006E57A8"/>
    <w:rsid w:val="006E62B4"/>
    <w:rsid w:val="006E7BF5"/>
    <w:rsid w:val="006F05FF"/>
    <w:rsid w:val="006F0F13"/>
    <w:rsid w:val="006F1C18"/>
    <w:rsid w:val="006F3024"/>
    <w:rsid w:val="006F393D"/>
    <w:rsid w:val="006F3B8D"/>
    <w:rsid w:val="006F3C96"/>
    <w:rsid w:val="006F412C"/>
    <w:rsid w:val="006F4CA7"/>
    <w:rsid w:val="006F5E23"/>
    <w:rsid w:val="006F6693"/>
    <w:rsid w:val="006F68AA"/>
    <w:rsid w:val="006F6CF0"/>
    <w:rsid w:val="00700D18"/>
    <w:rsid w:val="0070125F"/>
    <w:rsid w:val="007013FF"/>
    <w:rsid w:val="0070144E"/>
    <w:rsid w:val="00702216"/>
    <w:rsid w:val="00702725"/>
    <w:rsid w:val="00703A17"/>
    <w:rsid w:val="0070414F"/>
    <w:rsid w:val="0070679B"/>
    <w:rsid w:val="007067A8"/>
    <w:rsid w:val="00706CE9"/>
    <w:rsid w:val="00707324"/>
    <w:rsid w:val="00707AB5"/>
    <w:rsid w:val="00707FE8"/>
    <w:rsid w:val="00710144"/>
    <w:rsid w:val="00710420"/>
    <w:rsid w:val="00710B4F"/>
    <w:rsid w:val="00711BEF"/>
    <w:rsid w:val="00711FE4"/>
    <w:rsid w:val="00713FB5"/>
    <w:rsid w:val="0071489B"/>
    <w:rsid w:val="00714A38"/>
    <w:rsid w:val="007168F8"/>
    <w:rsid w:val="00717608"/>
    <w:rsid w:val="007176CF"/>
    <w:rsid w:val="007177D6"/>
    <w:rsid w:val="007209C0"/>
    <w:rsid w:val="00720AD4"/>
    <w:rsid w:val="0072165A"/>
    <w:rsid w:val="00721AFF"/>
    <w:rsid w:val="00723634"/>
    <w:rsid w:val="00723D18"/>
    <w:rsid w:val="00724523"/>
    <w:rsid w:val="00724962"/>
    <w:rsid w:val="00724A0F"/>
    <w:rsid w:val="00725049"/>
    <w:rsid w:val="00725098"/>
    <w:rsid w:val="00725BB6"/>
    <w:rsid w:val="00730065"/>
    <w:rsid w:val="00731474"/>
    <w:rsid w:val="00732162"/>
    <w:rsid w:val="00733B41"/>
    <w:rsid w:val="00733E51"/>
    <w:rsid w:val="007342C9"/>
    <w:rsid w:val="007342CB"/>
    <w:rsid w:val="00734F7F"/>
    <w:rsid w:val="0073527F"/>
    <w:rsid w:val="00736732"/>
    <w:rsid w:val="007371D2"/>
    <w:rsid w:val="00740231"/>
    <w:rsid w:val="00740420"/>
    <w:rsid w:val="007429D1"/>
    <w:rsid w:val="007431E8"/>
    <w:rsid w:val="00743CA1"/>
    <w:rsid w:val="007444D8"/>
    <w:rsid w:val="00744960"/>
    <w:rsid w:val="00744F85"/>
    <w:rsid w:val="00745CE6"/>
    <w:rsid w:val="00747542"/>
    <w:rsid w:val="00747E50"/>
    <w:rsid w:val="00747F89"/>
    <w:rsid w:val="0075017F"/>
    <w:rsid w:val="00750CBE"/>
    <w:rsid w:val="00750D7B"/>
    <w:rsid w:val="007527F6"/>
    <w:rsid w:val="00753EAD"/>
    <w:rsid w:val="007552C4"/>
    <w:rsid w:val="00755403"/>
    <w:rsid w:val="007555B6"/>
    <w:rsid w:val="00755676"/>
    <w:rsid w:val="00755879"/>
    <w:rsid w:val="00755D02"/>
    <w:rsid w:val="007564E5"/>
    <w:rsid w:val="007573A0"/>
    <w:rsid w:val="007576F8"/>
    <w:rsid w:val="00757B94"/>
    <w:rsid w:val="007606F7"/>
    <w:rsid w:val="007618A0"/>
    <w:rsid w:val="007655E7"/>
    <w:rsid w:val="00765B10"/>
    <w:rsid w:val="007661F9"/>
    <w:rsid w:val="00766B5A"/>
    <w:rsid w:val="00767D29"/>
    <w:rsid w:val="0077045F"/>
    <w:rsid w:val="007709AF"/>
    <w:rsid w:val="00772B45"/>
    <w:rsid w:val="00772E91"/>
    <w:rsid w:val="00773872"/>
    <w:rsid w:val="00773887"/>
    <w:rsid w:val="00773E67"/>
    <w:rsid w:val="0077479B"/>
    <w:rsid w:val="00774950"/>
    <w:rsid w:val="00774BF8"/>
    <w:rsid w:val="007754E2"/>
    <w:rsid w:val="0077631E"/>
    <w:rsid w:val="007766C1"/>
    <w:rsid w:val="007767AA"/>
    <w:rsid w:val="00776EFF"/>
    <w:rsid w:val="00777DA4"/>
    <w:rsid w:val="0078078F"/>
    <w:rsid w:val="00781712"/>
    <w:rsid w:val="00782373"/>
    <w:rsid w:val="007834F2"/>
    <w:rsid w:val="0078434D"/>
    <w:rsid w:val="00785046"/>
    <w:rsid w:val="007854C2"/>
    <w:rsid w:val="00786B9A"/>
    <w:rsid w:val="0079011F"/>
    <w:rsid w:val="00790CAE"/>
    <w:rsid w:val="00790D40"/>
    <w:rsid w:val="00791020"/>
    <w:rsid w:val="00791970"/>
    <w:rsid w:val="007920D7"/>
    <w:rsid w:val="00793558"/>
    <w:rsid w:val="00793D44"/>
    <w:rsid w:val="007940F0"/>
    <w:rsid w:val="0079511F"/>
    <w:rsid w:val="007953DB"/>
    <w:rsid w:val="00796236"/>
    <w:rsid w:val="007A0621"/>
    <w:rsid w:val="007A0924"/>
    <w:rsid w:val="007A0F47"/>
    <w:rsid w:val="007A14E7"/>
    <w:rsid w:val="007A3DAE"/>
    <w:rsid w:val="007A4601"/>
    <w:rsid w:val="007A4644"/>
    <w:rsid w:val="007A5F82"/>
    <w:rsid w:val="007A7BE2"/>
    <w:rsid w:val="007A7C89"/>
    <w:rsid w:val="007B12D3"/>
    <w:rsid w:val="007B38D3"/>
    <w:rsid w:val="007B3DE8"/>
    <w:rsid w:val="007B4A89"/>
    <w:rsid w:val="007B52C8"/>
    <w:rsid w:val="007B53DB"/>
    <w:rsid w:val="007B588B"/>
    <w:rsid w:val="007B669E"/>
    <w:rsid w:val="007B6D42"/>
    <w:rsid w:val="007B7A19"/>
    <w:rsid w:val="007B7C1C"/>
    <w:rsid w:val="007C1CCE"/>
    <w:rsid w:val="007C2CD2"/>
    <w:rsid w:val="007C2F36"/>
    <w:rsid w:val="007C4172"/>
    <w:rsid w:val="007C4436"/>
    <w:rsid w:val="007C4490"/>
    <w:rsid w:val="007C50C2"/>
    <w:rsid w:val="007C51C3"/>
    <w:rsid w:val="007C5D44"/>
    <w:rsid w:val="007C6E38"/>
    <w:rsid w:val="007D03CC"/>
    <w:rsid w:val="007D08B0"/>
    <w:rsid w:val="007D0C34"/>
    <w:rsid w:val="007D10A8"/>
    <w:rsid w:val="007D10F9"/>
    <w:rsid w:val="007D1C65"/>
    <w:rsid w:val="007D2921"/>
    <w:rsid w:val="007D39F9"/>
    <w:rsid w:val="007D5F98"/>
    <w:rsid w:val="007E0770"/>
    <w:rsid w:val="007E07A7"/>
    <w:rsid w:val="007E19BE"/>
    <w:rsid w:val="007E2778"/>
    <w:rsid w:val="007E27AE"/>
    <w:rsid w:val="007E2E86"/>
    <w:rsid w:val="007E43F4"/>
    <w:rsid w:val="007E5CCE"/>
    <w:rsid w:val="007E6207"/>
    <w:rsid w:val="007E6840"/>
    <w:rsid w:val="007E6D9C"/>
    <w:rsid w:val="007E77C8"/>
    <w:rsid w:val="007F00DD"/>
    <w:rsid w:val="007F05FC"/>
    <w:rsid w:val="007F0B74"/>
    <w:rsid w:val="007F1A4C"/>
    <w:rsid w:val="007F1BC1"/>
    <w:rsid w:val="007F2339"/>
    <w:rsid w:val="007F3C89"/>
    <w:rsid w:val="007F3D86"/>
    <w:rsid w:val="007F3FBB"/>
    <w:rsid w:val="007F4007"/>
    <w:rsid w:val="007F4153"/>
    <w:rsid w:val="007F4EE9"/>
    <w:rsid w:val="007F7063"/>
    <w:rsid w:val="007F729F"/>
    <w:rsid w:val="007F76F8"/>
    <w:rsid w:val="007F7D41"/>
    <w:rsid w:val="00800DAA"/>
    <w:rsid w:val="00800F78"/>
    <w:rsid w:val="00801390"/>
    <w:rsid w:val="008015B2"/>
    <w:rsid w:val="00801B6D"/>
    <w:rsid w:val="008022C3"/>
    <w:rsid w:val="00803D0A"/>
    <w:rsid w:val="00803F54"/>
    <w:rsid w:val="008041E6"/>
    <w:rsid w:val="008041FB"/>
    <w:rsid w:val="008065D2"/>
    <w:rsid w:val="00810CD2"/>
    <w:rsid w:val="00811F18"/>
    <w:rsid w:val="00812BCA"/>
    <w:rsid w:val="00814115"/>
    <w:rsid w:val="00815BDB"/>
    <w:rsid w:val="00817831"/>
    <w:rsid w:val="0082194C"/>
    <w:rsid w:val="008220C4"/>
    <w:rsid w:val="008222FF"/>
    <w:rsid w:val="00822F9D"/>
    <w:rsid w:val="0082349F"/>
    <w:rsid w:val="00823A08"/>
    <w:rsid w:val="00823A3B"/>
    <w:rsid w:val="00823B06"/>
    <w:rsid w:val="008241FF"/>
    <w:rsid w:val="008245AD"/>
    <w:rsid w:val="00826457"/>
    <w:rsid w:val="00826543"/>
    <w:rsid w:val="00826C3D"/>
    <w:rsid w:val="0082710C"/>
    <w:rsid w:val="00830F68"/>
    <w:rsid w:val="008318C6"/>
    <w:rsid w:val="00831FA5"/>
    <w:rsid w:val="00833B52"/>
    <w:rsid w:val="00834AD3"/>
    <w:rsid w:val="00835053"/>
    <w:rsid w:val="008351C5"/>
    <w:rsid w:val="00836331"/>
    <w:rsid w:val="00836C92"/>
    <w:rsid w:val="00836ED5"/>
    <w:rsid w:val="008372D2"/>
    <w:rsid w:val="00840F48"/>
    <w:rsid w:val="008411E9"/>
    <w:rsid w:val="00841377"/>
    <w:rsid w:val="00841C86"/>
    <w:rsid w:val="0084200F"/>
    <w:rsid w:val="008428B0"/>
    <w:rsid w:val="0084394E"/>
    <w:rsid w:val="00843B2C"/>
    <w:rsid w:val="008467EC"/>
    <w:rsid w:val="00850272"/>
    <w:rsid w:val="00850A85"/>
    <w:rsid w:val="00851105"/>
    <w:rsid w:val="008518B0"/>
    <w:rsid w:val="0085257B"/>
    <w:rsid w:val="00852819"/>
    <w:rsid w:val="008530A9"/>
    <w:rsid w:val="008532AF"/>
    <w:rsid w:val="008535B5"/>
    <w:rsid w:val="0085483B"/>
    <w:rsid w:val="00855889"/>
    <w:rsid w:val="00855C7B"/>
    <w:rsid w:val="00855C8B"/>
    <w:rsid w:val="008632DA"/>
    <w:rsid w:val="00864EC9"/>
    <w:rsid w:val="0086622D"/>
    <w:rsid w:val="0086695D"/>
    <w:rsid w:val="008711D2"/>
    <w:rsid w:val="00871976"/>
    <w:rsid w:val="00872CD8"/>
    <w:rsid w:val="008732F4"/>
    <w:rsid w:val="00873B05"/>
    <w:rsid w:val="008740B3"/>
    <w:rsid w:val="00874F40"/>
    <w:rsid w:val="008750AD"/>
    <w:rsid w:val="00877721"/>
    <w:rsid w:val="00877DB8"/>
    <w:rsid w:val="00881358"/>
    <w:rsid w:val="00881675"/>
    <w:rsid w:val="00882027"/>
    <w:rsid w:val="008828EC"/>
    <w:rsid w:val="00884125"/>
    <w:rsid w:val="00885113"/>
    <w:rsid w:val="00885327"/>
    <w:rsid w:val="0088532E"/>
    <w:rsid w:val="00886521"/>
    <w:rsid w:val="008869E4"/>
    <w:rsid w:val="00886C24"/>
    <w:rsid w:val="00886FAA"/>
    <w:rsid w:val="00890E77"/>
    <w:rsid w:val="008927E0"/>
    <w:rsid w:val="00895B2A"/>
    <w:rsid w:val="008971F9"/>
    <w:rsid w:val="00897396"/>
    <w:rsid w:val="00897424"/>
    <w:rsid w:val="00897596"/>
    <w:rsid w:val="00897754"/>
    <w:rsid w:val="00897BA6"/>
    <w:rsid w:val="00897CF2"/>
    <w:rsid w:val="008A00E6"/>
    <w:rsid w:val="008A0551"/>
    <w:rsid w:val="008A3882"/>
    <w:rsid w:val="008A40C5"/>
    <w:rsid w:val="008A4436"/>
    <w:rsid w:val="008A4900"/>
    <w:rsid w:val="008A4F06"/>
    <w:rsid w:val="008A577A"/>
    <w:rsid w:val="008A5D3E"/>
    <w:rsid w:val="008A6001"/>
    <w:rsid w:val="008A6C31"/>
    <w:rsid w:val="008A70BF"/>
    <w:rsid w:val="008A7EDB"/>
    <w:rsid w:val="008B18D6"/>
    <w:rsid w:val="008B23D6"/>
    <w:rsid w:val="008B242A"/>
    <w:rsid w:val="008B34C2"/>
    <w:rsid w:val="008B3BA9"/>
    <w:rsid w:val="008B4D4A"/>
    <w:rsid w:val="008B4D78"/>
    <w:rsid w:val="008B58F7"/>
    <w:rsid w:val="008B66AA"/>
    <w:rsid w:val="008B69EC"/>
    <w:rsid w:val="008B6C48"/>
    <w:rsid w:val="008B6E60"/>
    <w:rsid w:val="008B72A8"/>
    <w:rsid w:val="008B73DA"/>
    <w:rsid w:val="008C0D16"/>
    <w:rsid w:val="008C1F3C"/>
    <w:rsid w:val="008C1FC4"/>
    <w:rsid w:val="008C4381"/>
    <w:rsid w:val="008C4405"/>
    <w:rsid w:val="008C50FA"/>
    <w:rsid w:val="008D0281"/>
    <w:rsid w:val="008D41B8"/>
    <w:rsid w:val="008D4A92"/>
    <w:rsid w:val="008D57E3"/>
    <w:rsid w:val="008D5CE3"/>
    <w:rsid w:val="008D60A8"/>
    <w:rsid w:val="008D70D3"/>
    <w:rsid w:val="008D7333"/>
    <w:rsid w:val="008D7613"/>
    <w:rsid w:val="008D7B3F"/>
    <w:rsid w:val="008E34B2"/>
    <w:rsid w:val="008E3C4E"/>
    <w:rsid w:val="008E5364"/>
    <w:rsid w:val="008E63A9"/>
    <w:rsid w:val="008E74A9"/>
    <w:rsid w:val="008E7654"/>
    <w:rsid w:val="008E7AA2"/>
    <w:rsid w:val="008F024D"/>
    <w:rsid w:val="008F07F4"/>
    <w:rsid w:val="008F07FE"/>
    <w:rsid w:val="008F0F73"/>
    <w:rsid w:val="008F1453"/>
    <w:rsid w:val="008F1B26"/>
    <w:rsid w:val="008F48B5"/>
    <w:rsid w:val="008F4C5C"/>
    <w:rsid w:val="008F5E8E"/>
    <w:rsid w:val="008F6105"/>
    <w:rsid w:val="008F68D0"/>
    <w:rsid w:val="008F6ACB"/>
    <w:rsid w:val="008F6D45"/>
    <w:rsid w:val="008F6D79"/>
    <w:rsid w:val="008F7F10"/>
    <w:rsid w:val="009000AA"/>
    <w:rsid w:val="00900D19"/>
    <w:rsid w:val="00901043"/>
    <w:rsid w:val="00901746"/>
    <w:rsid w:val="0090189D"/>
    <w:rsid w:val="00901A08"/>
    <w:rsid w:val="0090245C"/>
    <w:rsid w:val="00902BCA"/>
    <w:rsid w:val="009036C2"/>
    <w:rsid w:val="00904D30"/>
    <w:rsid w:val="00904D8D"/>
    <w:rsid w:val="00905457"/>
    <w:rsid w:val="00906F84"/>
    <w:rsid w:val="00906FEA"/>
    <w:rsid w:val="00907A71"/>
    <w:rsid w:val="00907E71"/>
    <w:rsid w:val="00910AE2"/>
    <w:rsid w:val="00911435"/>
    <w:rsid w:val="00911ECB"/>
    <w:rsid w:val="00912B1E"/>
    <w:rsid w:val="009135B5"/>
    <w:rsid w:val="009145B1"/>
    <w:rsid w:val="009149A7"/>
    <w:rsid w:val="00914DA4"/>
    <w:rsid w:val="00916BFF"/>
    <w:rsid w:val="00920193"/>
    <w:rsid w:val="00920C1E"/>
    <w:rsid w:val="00921A11"/>
    <w:rsid w:val="00922AB6"/>
    <w:rsid w:val="00922C54"/>
    <w:rsid w:val="00925D8C"/>
    <w:rsid w:val="00927351"/>
    <w:rsid w:val="00927596"/>
    <w:rsid w:val="0093131A"/>
    <w:rsid w:val="00932855"/>
    <w:rsid w:val="00932E98"/>
    <w:rsid w:val="009334EB"/>
    <w:rsid w:val="00933E03"/>
    <w:rsid w:val="00934500"/>
    <w:rsid w:val="00935BDD"/>
    <w:rsid w:val="00935F75"/>
    <w:rsid w:val="00935F9E"/>
    <w:rsid w:val="00936599"/>
    <w:rsid w:val="009376EB"/>
    <w:rsid w:val="00937982"/>
    <w:rsid w:val="00937BAF"/>
    <w:rsid w:val="00937EBE"/>
    <w:rsid w:val="009416A9"/>
    <w:rsid w:val="009423B8"/>
    <w:rsid w:val="0094284E"/>
    <w:rsid w:val="009434A0"/>
    <w:rsid w:val="00943F52"/>
    <w:rsid w:val="00944015"/>
    <w:rsid w:val="0094447F"/>
    <w:rsid w:val="00944F19"/>
    <w:rsid w:val="00945E8C"/>
    <w:rsid w:val="00946F81"/>
    <w:rsid w:val="0095024A"/>
    <w:rsid w:val="00950E62"/>
    <w:rsid w:val="009510A9"/>
    <w:rsid w:val="009511B2"/>
    <w:rsid w:val="00952D59"/>
    <w:rsid w:val="009539FC"/>
    <w:rsid w:val="009567FE"/>
    <w:rsid w:val="009574EF"/>
    <w:rsid w:val="009614C8"/>
    <w:rsid w:val="00961EEA"/>
    <w:rsid w:val="009625CF"/>
    <w:rsid w:val="009627A3"/>
    <w:rsid w:val="009634C6"/>
    <w:rsid w:val="00964799"/>
    <w:rsid w:val="00964C64"/>
    <w:rsid w:val="0096507F"/>
    <w:rsid w:val="00965557"/>
    <w:rsid w:val="00965A3E"/>
    <w:rsid w:val="00965E8D"/>
    <w:rsid w:val="00965EB2"/>
    <w:rsid w:val="0096613D"/>
    <w:rsid w:val="00966A8C"/>
    <w:rsid w:val="0096740D"/>
    <w:rsid w:val="00971705"/>
    <w:rsid w:val="009734B1"/>
    <w:rsid w:val="00975091"/>
    <w:rsid w:val="009767A0"/>
    <w:rsid w:val="00976B18"/>
    <w:rsid w:val="00977D2E"/>
    <w:rsid w:val="009813B8"/>
    <w:rsid w:val="009820B2"/>
    <w:rsid w:val="00982BAA"/>
    <w:rsid w:val="009834C0"/>
    <w:rsid w:val="00984053"/>
    <w:rsid w:val="00984DE0"/>
    <w:rsid w:val="00985A21"/>
    <w:rsid w:val="00986AAC"/>
    <w:rsid w:val="00987E37"/>
    <w:rsid w:val="00990F8A"/>
    <w:rsid w:val="009910E8"/>
    <w:rsid w:val="00991739"/>
    <w:rsid w:val="009917AB"/>
    <w:rsid w:val="00991C6F"/>
    <w:rsid w:val="0099238F"/>
    <w:rsid w:val="009927E3"/>
    <w:rsid w:val="009933F6"/>
    <w:rsid w:val="009944F5"/>
    <w:rsid w:val="00994A49"/>
    <w:rsid w:val="0099588E"/>
    <w:rsid w:val="00996470"/>
    <w:rsid w:val="009969B6"/>
    <w:rsid w:val="009973C7"/>
    <w:rsid w:val="009973ED"/>
    <w:rsid w:val="0099757F"/>
    <w:rsid w:val="00997740"/>
    <w:rsid w:val="00997F29"/>
    <w:rsid w:val="009A0C13"/>
    <w:rsid w:val="009A0C95"/>
    <w:rsid w:val="009A1DA2"/>
    <w:rsid w:val="009A2BB3"/>
    <w:rsid w:val="009A2FCB"/>
    <w:rsid w:val="009A3704"/>
    <w:rsid w:val="009A4073"/>
    <w:rsid w:val="009A41C7"/>
    <w:rsid w:val="009A4739"/>
    <w:rsid w:val="009A5458"/>
    <w:rsid w:val="009A5705"/>
    <w:rsid w:val="009A674F"/>
    <w:rsid w:val="009A7962"/>
    <w:rsid w:val="009B07B2"/>
    <w:rsid w:val="009B0A27"/>
    <w:rsid w:val="009B0E6B"/>
    <w:rsid w:val="009B14C3"/>
    <w:rsid w:val="009B1529"/>
    <w:rsid w:val="009B199C"/>
    <w:rsid w:val="009B1A25"/>
    <w:rsid w:val="009B283C"/>
    <w:rsid w:val="009B2877"/>
    <w:rsid w:val="009B2E5D"/>
    <w:rsid w:val="009B2FC8"/>
    <w:rsid w:val="009B2FDA"/>
    <w:rsid w:val="009B3F54"/>
    <w:rsid w:val="009B518E"/>
    <w:rsid w:val="009B54C8"/>
    <w:rsid w:val="009B5D3C"/>
    <w:rsid w:val="009B61F1"/>
    <w:rsid w:val="009B62E0"/>
    <w:rsid w:val="009B64DE"/>
    <w:rsid w:val="009B6551"/>
    <w:rsid w:val="009B78CE"/>
    <w:rsid w:val="009B7ACA"/>
    <w:rsid w:val="009C1530"/>
    <w:rsid w:val="009C1943"/>
    <w:rsid w:val="009C2711"/>
    <w:rsid w:val="009C3D88"/>
    <w:rsid w:val="009C43A1"/>
    <w:rsid w:val="009C4CA0"/>
    <w:rsid w:val="009C58E0"/>
    <w:rsid w:val="009C5B37"/>
    <w:rsid w:val="009C5CF6"/>
    <w:rsid w:val="009C5E32"/>
    <w:rsid w:val="009C66FB"/>
    <w:rsid w:val="009D0264"/>
    <w:rsid w:val="009D1077"/>
    <w:rsid w:val="009D1895"/>
    <w:rsid w:val="009D25E3"/>
    <w:rsid w:val="009D2E86"/>
    <w:rsid w:val="009D38DC"/>
    <w:rsid w:val="009D3D19"/>
    <w:rsid w:val="009D4A6D"/>
    <w:rsid w:val="009D4DDD"/>
    <w:rsid w:val="009D52BF"/>
    <w:rsid w:val="009D5336"/>
    <w:rsid w:val="009D5750"/>
    <w:rsid w:val="009D6997"/>
    <w:rsid w:val="009D69F6"/>
    <w:rsid w:val="009D6DE2"/>
    <w:rsid w:val="009E3858"/>
    <w:rsid w:val="009E62EA"/>
    <w:rsid w:val="009E6F7F"/>
    <w:rsid w:val="009E70DD"/>
    <w:rsid w:val="009E7B32"/>
    <w:rsid w:val="009F01E4"/>
    <w:rsid w:val="009F25CB"/>
    <w:rsid w:val="009F2ED9"/>
    <w:rsid w:val="009F3231"/>
    <w:rsid w:val="009F3B94"/>
    <w:rsid w:val="009F54B4"/>
    <w:rsid w:val="009F5C58"/>
    <w:rsid w:val="009F6007"/>
    <w:rsid w:val="009F64E9"/>
    <w:rsid w:val="009F6552"/>
    <w:rsid w:val="00A00728"/>
    <w:rsid w:val="00A01581"/>
    <w:rsid w:val="00A01975"/>
    <w:rsid w:val="00A01DA7"/>
    <w:rsid w:val="00A023A0"/>
    <w:rsid w:val="00A03370"/>
    <w:rsid w:val="00A03788"/>
    <w:rsid w:val="00A0385E"/>
    <w:rsid w:val="00A0699D"/>
    <w:rsid w:val="00A06E8A"/>
    <w:rsid w:val="00A07BA3"/>
    <w:rsid w:val="00A07C30"/>
    <w:rsid w:val="00A10603"/>
    <w:rsid w:val="00A107C2"/>
    <w:rsid w:val="00A11C6C"/>
    <w:rsid w:val="00A1222A"/>
    <w:rsid w:val="00A14464"/>
    <w:rsid w:val="00A14A9C"/>
    <w:rsid w:val="00A14C3E"/>
    <w:rsid w:val="00A1562B"/>
    <w:rsid w:val="00A1588A"/>
    <w:rsid w:val="00A170F4"/>
    <w:rsid w:val="00A17BC7"/>
    <w:rsid w:val="00A2017C"/>
    <w:rsid w:val="00A2116E"/>
    <w:rsid w:val="00A21D23"/>
    <w:rsid w:val="00A232B8"/>
    <w:rsid w:val="00A23EBF"/>
    <w:rsid w:val="00A2559E"/>
    <w:rsid w:val="00A25FD9"/>
    <w:rsid w:val="00A26145"/>
    <w:rsid w:val="00A261D2"/>
    <w:rsid w:val="00A26317"/>
    <w:rsid w:val="00A300DC"/>
    <w:rsid w:val="00A30938"/>
    <w:rsid w:val="00A3484B"/>
    <w:rsid w:val="00A35156"/>
    <w:rsid w:val="00A373FC"/>
    <w:rsid w:val="00A414CA"/>
    <w:rsid w:val="00A4175E"/>
    <w:rsid w:val="00A41D01"/>
    <w:rsid w:val="00A423D2"/>
    <w:rsid w:val="00A4242F"/>
    <w:rsid w:val="00A430A8"/>
    <w:rsid w:val="00A44E1E"/>
    <w:rsid w:val="00A46BA8"/>
    <w:rsid w:val="00A47208"/>
    <w:rsid w:val="00A47634"/>
    <w:rsid w:val="00A47746"/>
    <w:rsid w:val="00A52265"/>
    <w:rsid w:val="00A52879"/>
    <w:rsid w:val="00A52A33"/>
    <w:rsid w:val="00A5377D"/>
    <w:rsid w:val="00A542BF"/>
    <w:rsid w:val="00A5478C"/>
    <w:rsid w:val="00A5570A"/>
    <w:rsid w:val="00A5691F"/>
    <w:rsid w:val="00A5774F"/>
    <w:rsid w:val="00A60032"/>
    <w:rsid w:val="00A60641"/>
    <w:rsid w:val="00A60C2D"/>
    <w:rsid w:val="00A61225"/>
    <w:rsid w:val="00A612FE"/>
    <w:rsid w:val="00A61695"/>
    <w:rsid w:val="00A6235A"/>
    <w:rsid w:val="00A63878"/>
    <w:rsid w:val="00A63C98"/>
    <w:rsid w:val="00A66CD1"/>
    <w:rsid w:val="00A67503"/>
    <w:rsid w:val="00A725DC"/>
    <w:rsid w:val="00A74E46"/>
    <w:rsid w:val="00A76394"/>
    <w:rsid w:val="00A77A84"/>
    <w:rsid w:val="00A80691"/>
    <w:rsid w:val="00A8077F"/>
    <w:rsid w:val="00A81D9D"/>
    <w:rsid w:val="00A8267D"/>
    <w:rsid w:val="00A830F6"/>
    <w:rsid w:val="00A831F0"/>
    <w:rsid w:val="00A83DE9"/>
    <w:rsid w:val="00A84484"/>
    <w:rsid w:val="00A845CA"/>
    <w:rsid w:val="00A85489"/>
    <w:rsid w:val="00A862D0"/>
    <w:rsid w:val="00A86C77"/>
    <w:rsid w:val="00A907EA"/>
    <w:rsid w:val="00A90A4F"/>
    <w:rsid w:val="00A90B3C"/>
    <w:rsid w:val="00A91295"/>
    <w:rsid w:val="00A91B6F"/>
    <w:rsid w:val="00A92E8B"/>
    <w:rsid w:val="00A94164"/>
    <w:rsid w:val="00A94215"/>
    <w:rsid w:val="00A95938"/>
    <w:rsid w:val="00A96617"/>
    <w:rsid w:val="00AA06C1"/>
    <w:rsid w:val="00AA10AD"/>
    <w:rsid w:val="00AA26B8"/>
    <w:rsid w:val="00AA2BF4"/>
    <w:rsid w:val="00AA3044"/>
    <w:rsid w:val="00AA39DE"/>
    <w:rsid w:val="00AA40E7"/>
    <w:rsid w:val="00AA45BA"/>
    <w:rsid w:val="00AA5A64"/>
    <w:rsid w:val="00AA5F39"/>
    <w:rsid w:val="00AA72BF"/>
    <w:rsid w:val="00AB0B1F"/>
    <w:rsid w:val="00AB1B7A"/>
    <w:rsid w:val="00AB2B4E"/>
    <w:rsid w:val="00AB2F42"/>
    <w:rsid w:val="00AB331A"/>
    <w:rsid w:val="00AB337D"/>
    <w:rsid w:val="00AB3A63"/>
    <w:rsid w:val="00AB3B7D"/>
    <w:rsid w:val="00AB3FE2"/>
    <w:rsid w:val="00AB5D0C"/>
    <w:rsid w:val="00AB62B9"/>
    <w:rsid w:val="00AB6355"/>
    <w:rsid w:val="00AB687A"/>
    <w:rsid w:val="00AB774D"/>
    <w:rsid w:val="00AB78D9"/>
    <w:rsid w:val="00AB7DDC"/>
    <w:rsid w:val="00AC0711"/>
    <w:rsid w:val="00AC0DE7"/>
    <w:rsid w:val="00AC2674"/>
    <w:rsid w:val="00AC3171"/>
    <w:rsid w:val="00AC3226"/>
    <w:rsid w:val="00AC39A0"/>
    <w:rsid w:val="00AC418E"/>
    <w:rsid w:val="00AC4CD5"/>
    <w:rsid w:val="00AC4D88"/>
    <w:rsid w:val="00AC5B66"/>
    <w:rsid w:val="00AC7586"/>
    <w:rsid w:val="00AC77A8"/>
    <w:rsid w:val="00AD08A5"/>
    <w:rsid w:val="00AD256A"/>
    <w:rsid w:val="00AD285D"/>
    <w:rsid w:val="00AD3322"/>
    <w:rsid w:val="00AD4303"/>
    <w:rsid w:val="00AD550E"/>
    <w:rsid w:val="00AD5807"/>
    <w:rsid w:val="00AD582C"/>
    <w:rsid w:val="00AD5C49"/>
    <w:rsid w:val="00AD6BA0"/>
    <w:rsid w:val="00AD7B0B"/>
    <w:rsid w:val="00AD7CE5"/>
    <w:rsid w:val="00AD7E4E"/>
    <w:rsid w:val="00AE1855"/>
    <w:rsid w:val="00AE1A2F"/>
    <w:rsid w:val="00AE3B0B"/>
    <w:rsid w:val="00AE3C98"/>
    <w:rsid w:val="00AE417D"/>
    <w:rsid w:val="00AE4485"/>
    <w:rsid w:val="00AE4999"/>
    <w:rsid w:val="00AE4AA1"/>
    <w:rsid w:val="00AE4F5E"/>
    <w:rsid w:val="00AE559C"/>
    <w:rsid w:val="00AE6254"/>
    <w:rsid w:val="00AF0273"/>
    <w:rsid w:val="00AF1AB3"/>
    <w:rsid w:val="00AF1B58"/>
    <w:rsid w:val="00AF225F"/>
    <w:rsid w:val="00AF22FE"/>
    <w:rsid w:val="00AF27D3"/>
    <w:rsid w:val="00AF4D58"/>
    <w:rsid w:val="00AF5B4C"/>
    <w:rsid w:val="00AF6666"/>
    <w:rsid w:val="00AF689A"/>
    <w:rsid w:val="00B004A3"/>
    <w:rsid w:val="00B00D7F"/>
    <w:rsid w:val="00B01937"/>
    <w:rsid w:val="00B01F33"/>
    <w:rsid w:val="00B02271"/>
    <w:rsid w:val="00B049AC"/>
    <w:rsid w:val="00B04E71"/>
    <w:rsid w:val="00B05C5D"/>
    <w:rsid w:val="00B061D9"/>
    <w:rsid w:val="00B07D2D"/>
    <w:rsid w:val="00B10154"/>
    <w:rsid w:val="00B10545"/>
    <w:rsid w:val="00B10638"/>
    <w:rsid w:val="00B11120"/>
    <w:rsid w:val="00B118B5"/>
    <w:rsid w:val="00B12C3D"/>
    <w:rsid w:val="00B1361F"/>
    <w:rsid w:val="00B14279"/>
    <w:rsid w:val="00B16247"/>
    <w:rsid w:val="00B16912"/>
    <w:rsid w:val="00B21F15"/>
    <w:rsid w:val="00B22E99"/>
    <w:rsid w:val="00B25123"/>
    <w:rsid w:val="00B26573"/>
    <w:rsid w:val="00B30747"/>
    <w:rsid w:val="00B3081A"/>
    <w:rsid w:val="00B33794"/>
    <w:rsid w:val="00B35761"/>
    <w:rsid w:val="00B365DD"/>
    <w:rsid w:val="00B37347"/>
    <w:rsid w:val="00B374DE"/>
    <w:rsid w:val="00B3756A"/>
    <w:rsid w:val="00B37B04"/>
    <w:rsid w:val="00B40C86"/>
    <w:rsid w:val="00B41D2B"/>
    <w:rsid w:val="00B4272D"/>
    <w:rsid w:val="00B42D1E"/>
    <w:rsid w:val="00B43C1F"/>
    <w:rsid w:val="00B4408C"/>
    <w:rsid w:val="00B44539"/>
    <w:rsid w:val="00B45E96"/>
    <w:rsid w:val="00B51E3D"/>
    <w:rsid w:val="00B52A8C"/>
    <w:rsid w:val="00B53733"/>
    <w:rsid w:val="00B53D0E"/>
    <w:rsid w:val="00B53E2D"/>
    <w:rsid w:val="00B5552A"/>
    <w:rsid w:val="00B556D8"/>
    <w:rsid w:val="00B600DC"/>
    <w:rsid w:val="00B603DC"/>
    <w:rsid w:val="00B61CC9"/>
    <w:rsid w:val="00B62EB8"/>
    <w:rsid w:val="00B62ECA"/>
    <w:rsid w:val="00B63243"/>
    <w:rsid w:val="00B64EB6"/>
    <w:rsid w:val="00B67B87"/>
    <w:rsid w:val="00B70B23"/>
    <w:rsid w:val="00B71AE5"/>
    <w:rsid w:val="00B73207"/>
    <w:rsid w:val="00B73E1A"/>
    <w:rsid w:val="00B741FD"/>
    <w:rsid w:val="00B758B8"/>
    <w:rsid w:val="00B75A02"/>
    <w:rsid w:val="00B7623A"/>
    <w:rsid w:val="00B7666E"/>
    <w:rsid w:val="00B81B44"/>
    <w:rsid w:val="00B82832"/>
    <w:rsid w:val="00B82977"/>
    <w:rsid w:val="00B829C6"/>
    <w:rsid w:val="00B82F9B"/>
    <w:rsid w:val="00B83CF6"/>
    <w:rsid w:val="00B846E3"/>
    <w:rsid w:val="00B85C6B"/>
    <w:rsid w:val="00B875A2"/>
    <w:rsid w:val="00B879F0"/>
    <w:rsid w:val="00B901BE"/>
    <w:rsid w:val="00B9053B"/>
    <w:rsid w:val="00B92CF5"/>
    <w:rsid w:val="00B937A9"/>
    <w:rsid w:val="00B9452B"/>
    <w:rsid w:val="00B95010"/>
    <w:rsid w:val="00B956A1"/>
    <w:rsid w:val="00B959F6"/>
    <w:rsid w:val="00B95D9C"/>
    <w:rsid w:val="00B9600F"/>
    <w:rsid w:val="00BA04A2"/>
    <w:rsid w:val="00BA0863"/>
    <w:rsid w:val="00BA09ED"/>
    <w:rsid w:val="00BA0B17"/>
    <w:rsid w:val="00BA14D0"/>
    <w:rsid w:val="00BA17E1"/>
    <w:rsid w:val="00BA2405"/>
    <w:rsid w:val="00BA3107"/>
    <w:rsid w:val="00BA4700"/>
    <w:rsid w:val="00BA5E2A"/>
    <w:rsid w:val="00BA6129"/>
    <w:rsid w:val="00BA63E1"/>
    <w:rsid w:val="00BA664B"/>
    <w:rsid w:val="00BA6D5F"/>
    <w:rsid w:val="00BA7208"/>
    <w:rsid w:val="00BA77FB"/>
    <w:rsid w:val="00BA7B55"/>
    <w:rsid w:val="00BB0142"/>
    <w:rsid w:val="00BB0153"/>
    <w:rsid w:val="00BB2CB9"/>
    <w:rsid w:val="00BB37F8"/>
    <w:rsid w:val="00BB4A15"/>
    <w:rsid w:val="00BB522E"/>
    <w:rsid w:val="00BC003D"/>
    <w:rsid w:val="00BC08E2"/>
    <w:rsid w:val="00BC17AD"/>
    <w:rsid w:val="00BC23B4"/>
    <w:rsid w:val="00BC3422"/>
    <w:rsid w:val="00BC74CD"/>
    <w:rsid w:val="00BD001C"/>
    <w:rsid w:val="00BD0E3F"/>
    <w:rsid w:val="00BD24E7"/>
    <w:rsid w:val="00BD2B94"/>
    <w:rsid w:val="00BD3682"/>
    <w:rsid w:val="00BD3934"/>
    <w:rsid w:val="00BD49F7"/>
    <w:rsid w:val="00BD57DF"/>
    <w:rsid w:val="00BD5F0F"/>
    <w:rsid w:val="00BE089D"/>
    <w:rsid w:val="00BE1362"/>
    <w:rsid w:val="00BE18AD"/>
    <w:rsid w:val="00BE2004"/>
    <w:rsid w:val="00BE23E3"/>
    <w:rsid w:val="00BE3B09"/>
    <w:rsid w:val="00BE68BD"/>
    <w:rsid w:val="00BE68C7"/>
    <w:rsid w:val="00BE7989"/>
    <w:rsid w:val="00BE7EBF"/>
    <w:rsid w:val="00BF0266"/>
    <w:rsid w:val="00BF04C2"/>
    <w:rsid w:val="00BF0628"/>
    <w:rsid w:val="00BF0D67"/>
    <w:rsid w:val="00BF3A34"/>
    <w:rsid w:val="00BF412D"/>
    <w:rsid w:val="00BF42AA"/>
    <w:rsid w:val="00BF53D7"/>
    <w:rsid w:val="00BF63B2"/>
    <w:rsid w:val="00BF69F3"/>
    <w:rsid w:val="00BF6C17"/>
    <w:rsid w:val="00BF71AC"/>
    <w:rsid w:val="00BF7702"/>
    <w:rsid w:val="00C0049B"/>
    <w:rsid w:val="00C015B9"/>
    <w:rsid w:val="00C015C8"/>
    <w:rsid w:val="00C01CE5"/>
    <w:rsid w:val="00C022F9"/>
    <w:rsid w:val="00C0260A"/>
    <w:rsid w:val="00C032EA"/>
    <w:rsid w:val="00C03C68"/>
    <w:rsid w:val="00C04112"/>
    <w:rsid w:val="00C0430B"/>
    <w:rsid w:val="00C050CC"/>
    <w:rsid w:val="00C05C4C"/>
    <w:rsid w:val="00C06C1A"/>
    <w:rsid w:val="00C06EB5"/>
    <w:rsid w:val="00C10DF0"/>
    <w:rsid w:val="00C1145F"/>
    <w:rsid w:val="00C11620"/>
    <w:rsid w:val="00C13026"/>
    <w:rsid w:val="00C14A24"/>
    <w:rsid w:val="00C1561E"/>
    <w:rsid w:val="00C17CE1"/>
    <w:rsid w:val="00C2047D"/>
    <w:rsid w:val="00C209B8"/>
    <w:rsid w:val="00C20B01"/>
    <w:rsid w:val="00C21A0B"/>
    <w:rsid w:val="00C22531"/>
    <w:rsid w:val="00C22C11"/>
    <w:rsid w:val="00C23201"/>
    <w:rsid w:val="00C2389F"/>
    <w:rsid w:val="00C24581"/>
    <w:rsid w:val="00C24969"/>
    <w:rsid w:val="00C24A9C"/>
    <w:rsid w:val="00C24DA0"/>
    <w:rsid w:val="00C2643F"/>
    <w:rsid w:val="00C306A6"/>
    <w:rsid w:val="00C31D1F"/>
    <w:rsid w:val="00C32461"/>
    <w:rsid w:val="00C33AD1"/>
    <w:rsid w:val="00C34A9C"/>
    <w:rsid w:val="00C3506E"/>
    <w:rsid w:val="00C35845"/>
    <w:rsid w:val="00C35AE8"/>
    <w:rsid w:val="00C3686C"/>
    <w:rsid w:val="00C36FA4"/>
    <w:rsid w:val="00C40FC5"/>
    <w:rsid w:val="00C41E4B"/>
    <w:rsid w:val="00C41F16"/>
    <w:rsid w:val="00C4269F"/>
    <w:rsid w:val="00C426B0"/>
    <w:rsid w:val="00C432CD"/>
    <w:rsid w:val="00C444D9"/>
    <w:rsid w:val="00C4461E"/>
    <w:rsid w:val="00C45561"/>
    <w:rsid w:val="00C4594E"/>
    <w:rsid w:val="00C45B33"/>
    <w:rsid w:val="00C45E55"/>
    <w:rsid w:val="00C46455"/>
    <w:rsid w:val="00C4692E"/>
    <w:rsid w:val="00C4700F"/>
    <w:rsid w:val="00C47380"/>
    <w:rsid w:val="00C50524"/>
    <w:rsid w:val="00C5083F"/>
    <w:rsid w:val="00C51246"/>
    <w:rsid w:val="00C53BA6"/>
    <w:rsid w:val="00C54184"/>
    <w:rsid w:val="00C55194"/>
    <w:rsid w:val="00C554B6"/>
    <w:rsid w:val="00C56DE7"/>
    <w:rsid w:val="00C56F9B"/>
    <w:rsid w:val="00C57551"/>
    <w:rsid w:val="00C60EBC"/>
    <w:rsid w:val="00C612D0"/>
    <w:rsid w:val="00C615DD"/>
    <w:rsid w:val="00C61CA0"/>
    <w:rsid w:val="00C61F58"/>
    <w:rsid w:val="00C62C06"/>
    <w:rsid w:val="00C637E1"/>
    <w:rsid w:val="00C65206"/>
    <w:rsid w:val="00C652C8"/>
    <w:rsid w:val="00C65481"/>
    <w:rsid w:val="00C65BE7"/>
    <w:rsid w:val="00C7031C"/>
    <w:rsid w:val="00C70D50"/>
    <w:rsid w:val="00C71CC1"/>
    <w:rsid w:val="00C72087"/>
    <w:rsid w:val="00C72B0B"/>
    <w:rsid w:val="00C74692"/>
    <w:rsid w:val="00C757B5"/>
    <w:rsid w:val="00C75B40"/>
    <w:rsid w:val="00C76071"/>
    <w:rsid w:val="00C766CC"/>
    <w:rsid w:val="00C80A2A"/>
    <w:rsid w:val="00C82230"/>
    <w:rsid w:val="00C8354B"/>
    <w:rsid w:val="00C83743"/>
    <w:rsid w:val="00C84D69"/>
    <w:rsid w:val="00C8549E"/>
    <w:rsid w:val="00C85E2A"/>
    <w:rsid w:val="00C90293"/>
    <w:rsid w:val="00C907D7"/>
    <w:rsid w:val="00C92338"/>
    <w:rsid w:val="00C94D23"/>
    <w:rsid w:val="00C9654B"/>
    <w:rsid w:val="00C96F5F"/>
    <w:rsid w:val="00C97926"/>
    <w:rsid w:val="00CA0142"/>
    <w:rsid w:val="00CA03A6"/>
    <w:rsid w:val="00CA1267"/>
    <w:rsid w:val="00CA128A"/>
    <w:rsid w:val="00CA1C45"/>
    <w:rsid w:val="00CA2112"/>
    <w:rsid w:val="00CA2989"/>
    <w:rsid w:val="00CA29AE"/>
    <w:rsid w:val="00CA3FD4"/>
    <w:rsid w:val="00CA48C5"/>
    <w:rsid w:val="00CA522D"/>
    <w:rsid w:val="00CA5778"/>
    <w:rsid w:val="00CA6049"/>
    <w:rsid w:val="00CA6C9F"/>
    <w:rsid w:val="00CA7C3A"/>
    <w:rsid w:val="00CB01C2"/>
    <w:rsid w:val="00CB0777"/>
    <w:rsid w:val="00CB0B94"/>
    <w:rsid w:val="00CB0E7A"/>
    <w:rsid w:val="00CB23CC"/>
    <w:rsid w:val="00CB2BF8"/>
    <w:rsid w:val="00CB38E6"/>
    <w:rsid w:val="00CB5C97"/>
    <w:rsid w:val="00CB610B"/>
    <w:rsid w:val="00CB66E1"/>
    <w:rsid w:val="00CC144C"/>
    <w:rsid w:val="00CC2DB2"/>
    <w:rsid w:val="00CC3002"/>
    <w:rsid w:val="00CC3197"/>
    <w:rsid w:val="00CC542E"/>
    <w:rsid w:val="00CC5D53"/>
    <w:rsid w:val="00CC5F1C"/>
    <w:rsid w:val="00CC5FC9"/>
    <w:rsid w:val="00CC77E8"/>
    <w:rsid w:val="00CC77FF"/>
    <w:rsid w:val="00CC7A9D"/>
    <w:rsid w:val="00CD0307"/>
    <w:rsid w:val="00CD03A4"/>
    <w:rsid w:val="00CD069B"/>
    <w:rsid w:val="00CD0B47"/>
    <w:rsid w:val="00CD1D77"/>
    <w:rsid w:val="00CD1E80"/>
    <w:rsid w:val="00CD280B"/>
    <w:rsid w:val="00CD3526"/>
    <w:rsid w:val="00CD3B07"/>
    <w:rsid w:val="00CD3D1B"/>
    <w:rsid w:val="00CD5DC5"/>
    <w:rsid w:val="00CD610A"/>
    <w:rsid w:val="00CD72E5"/>
    <w:rsid w:val="00CE0533"/>
    <w:rsid w:val="00CE135A"/>
    <w:rsid w:val="00CE1A05"/>
    <w:rsid w:val="00CE3834"/>
    <w:rsid w:val="00CE3861"/>
    <w:rsid w:val="00CE4C87"/>
    <w:rsid w:val="00CE5B8F"/>
    <w:rsid w:val="00CF127E"/>
    <w:rsid w:val="00CF14D0"/>
    <w:rsid w:val="00CF1DD3"/>
    <w:rsid w:val="00CF461D"/>
    <w:rsid w:val="00CF466B"/>
    <w:rsid w:val="00CF46D0"/>
    <w:rsid w:val="00CF4AFE"/>
    <w:rsid w:val="00CF5538"/>
    <w:rsid w:val="00CF5DBC"/>
    <w:rsid w:val="00CF7DCA"/>
    <w:rsid w:val="00CF7E3A"/>
    <w:rsid w:val="00D00093"/>
    <w:rsid w:val="00D002AE"/>
    <w:rsid w:val="00D0153A"/>
    <w:rsid w:val="00D01A14"/>
    <w:rsid w:val="00D02883"/>
    <w:rsid w:val="00D02962"/>
    <w:rsid w:val="00D0343C"/>
    <w:rsid w:val="00D04E07"/>
    <w:rsid w:val="00D1055D"/>
    <w:rsid w:val="00D117A2"/>
    <w:rsid w:val="00D13E9F"/>
    <w:rsid w:val="00D14A79"/>
    <w:rsid w:val="00D14D2F"/>
    <w:rsid w:val="00D15282"/>
    <w:rsid w:val="00D1757C"/>
    <w:rsid w:val="00D17ED1"/>
    <w:rsid w:val="00D206CE"/>
    <w:rsid w:val="00D20A40"/>
    <w:rsid w:val="00D20F7C"/>
    <w:rsid w:val="00D211E9"/>
    <w:rsid w:val="00D22E7A"/>
    <w:rsid w:val="00D2312F"/>
    <w:rsid w:val="00D23F23"/>
    <w:rsid w:val="00D253FB"/>
    <w:rsid w:val="00D269C1"/>
    <w:rsid w:val="00D3027B"/>
    <w:rsid w:val="00D302E8"/>
    <w:rsid w:val="00D30DB3"/>
    <w:rsid w:val="00D30EF3"/>
    <w:rsid w:val="00D325F3"/>
    <w:rsid w:val="00D328D1"/>
    <w:rsid w:val="00D33668"/>
    <w:rsid w:val="00D36463"/>
    <w:rsid w:val="00D36D94"/>
    <w:rsid w:val="00D40C42"/>
    <w:rsid w:val="00D4149E"/>
    <w:rsid w:val="00D417CC"/>
    <w:rsid w:val="00D41F35"/>
    <w:rsid w:val="00D43060"/>
    <w:rsid w:val="00D43969"/>
    <w:rsid w:val="00D43C60"/>
    <w:rsid w:val="00D44953"/>
    <w:rsid w:val="00D44B1E"/>
    <w:rsid w:val="00D45509"/>
    <w:rsid w:val="00D45C31"/>
    <w:rsid w:val="00D4623F"/>
    <w:rsid w:val="00D4693B"/>
    <w:rsid w:val="00D46A6E"/>
    <w:rsid w:val="00D470CE"/>
    <w:rsid w:val="00D4720C"/>
    <w:rsid w:val="00D5212B"/>
    <w:rsid w:val="00D529BD"/>
    <w:rsid w:val="00D52AC0"/>
    <w:rsid w:val="00D539B8"/>
    <w:rsid w:val="00D539CF"/>
    <w:rsid w:val="00D542F3"/>
    <w:rsid w:val="00D54CE7"/>
    <w:rsid w:val="00D559AA"/>
    <w:rsid w:val="00D55A11"/>
    <w:rsid w:val="00D5644B"/>
    <w:rsid w:val="00D56E25"/>
    <w:rsid w:val="00D570D6"/>
    <w:rsid w:val="00D60E4B"/>
    <w:rsid w:val="00D60FD9"/>
    <w:rsid w:val="00D614D9"/>
    <w:rsid w:val="00D61A63"/>
    <w:rsid w:val="00D630A0"/>
    <w:rsid w:val="00D631CA"/>
    <w:rsid w:val="00D63A6A"/>
    <w:rsid w:val="00D63C58"/>
    <w:rsid w:val="00D6631D"/>
    <w:rsid w:val="00D66F15"/>
    <w:rsid w:val="00D70446"/>
    <w:rsid w:val="00D71052"/>
    <w:rsid w:val="00D717E3"/>
    <w:rsid w:val="00D718D7"/>
    <w:rsid w:val="00D71CBB"/>
    <w:rsid w:val="00D72984"/>
    <w:rsid w:val="00D731A6"/>
    <w:rsid w:val="00D73C58"/>
    <w:rsid w:val="00D75AEA"/>
    <w:rsid w:val="00D76C23"/>
    <w:rsid w:val="00D76E4D"/>
    <w:rsid w:val="00D7775C"/>
    <w:rsid w:val="00D80060"/>
    <w:rsid w:val="00D80D54"/>
    <w:rsid w:val="00D814B7"/>
    <w:rsid w:val="00D82F07"/>
    <w:rsid w:val="00D8366A"/>
    <w:rsid w:val="00D84295"/>
    <w:rsid w:val="00D84BCC"/>
    <w:rsid w:val="00D85AAE"/>
    <w:rsid w:val="00D86813"/>
    <w:rsid w:val="00D90206"/>
    <w:rsid w:val="00D90688"/>
    <w:rsid w:val="00D91282"/>
    <w:rsid w:val="00D9128A"/>
    <w:rsid w:val="00D91422"/>
    <w:rsid w:val="00D92740"/>
    <w:rsid w:val="00D93838"/>
    <w:rsid w:val="00D94496"/>
    <w:rsid w:val="00D94520"/>
    <w:rsid w:val="00D945A3"/>
    <w:rsid w:val="00D959C6"/>
    <w:rsid w:val="00D9623C"/>
    <w:rsid w:val="00D96486"/>
    <w:rsid w:val="00DA0F9C"/>
    <w:rsid w:val="00DA1E3D"/>
    <w:rsid w:val="00DA298D"/>
    <w:rsid w:val="00DA310F"/>
    <w:rsid w:val="00DA3AAD"/>
    <w:rsid w:val="00DA3C26"/>
    <w:rsid w:val="00DA4133"/>
    <w:rsid w:val="00DA46EF"/>
    <w:rsid w:val="00DA4810"/>
    <w:rsid w:val="00DA5911"/>
    <w:rsid w:val="00DA5BE1"/>
    <w:rsid w:val="00DA6C0F"/>
    <w:rsid w:val="00DA7D31"/>
    <w:rsid w:val="00DB04F4"/>
    <w:rsid w:val="00DB0656"/>
    <w:rsid w:val="00DB1007"/>
    <w:rsid w:val="00DB12A3"/>
    <w:rsid w:val="00DB1700"/>
    <w:rsid w:val="00DB1E2B"/>
    <w:rsid w:val="00DB1E3F"/>
    <w:rsid w:val="00DB2ED7"/>
    <w:rsid w:val="00DB2F5C"/>
    <w:rsid w:val="00DB312B"/>
    <w:rsid w:val="00DB37BC"/>
    <w:rsid w:val="00DB3FA9"/>
    <w:rsid w:val="00DB7C7C"/>
    <w:rsid w:val="00DC07AE"/>
    <w:rsid w:val="00DC0EE9"/>
    <w:rsid w:val="00DC115E"/>
    <w:rsid w:val="00DC11AB"/>
    <w:rsid w:val="00DC2036"/>
    <w:rsid w:val="00DC3A8D"/>
    <w:rsid w:val="00DC42C4"/>
    <w:rsid w:val="00DC5654"/>
    <w:rsid w:val="00DC658F"/>
    <w:rsid w:val="00DC72EA"/>
    <w:rsid w:val="00DC77DD"/>
    <w:rsid w:val="00DD0492"/>
    <w:rsid w:val="00DD24A5"/>
    <w:rsid w:val="00DD4350"/>
    <w:rsid w:val="00DD4F35"/>
    <w:rsid w:val="00DD6B59"/>
    <w:rsid w:val="00DD6F3F"/>
    <w:rsid w:val="00DE155B"/>
    <w:rsid w:val="00DE3AC4"/>
    <w:rsid w:val="00DE3E44"/>
    <w:rsid w:val="00DE4013"/>
    <w:rsid w:val="00DE40D6"/>
    <w:rsid w:val="00DE5CAA"/>
    <w:rsid w:val="00DE6049"/>
    <w:rsid w:val="00DE60CC"/>
    <w:rsid w:val="00DE701C"/>
    <w:rsid w:val="00DE7086"/>
    <w:rsid w:val="00DF1D02"/>
    <w:rsid w:val="00DF2EF6"/>
    <w:rsid w:val="00DF4741"/>
    <w:rsid w:val="00DF4830"/>
    <w:rsid w:val="00DF5159"/>
    <w:rsid w:val="00DF5AEC"/>
    <w:rsid w:val="00DF5CDC"/>
    <w:rsid w:val="00DF6166"/>
    <w:rsid w:val="00DF694B"/>
    <w:rsid w:val="00DF7A5F"/>
    <w:rsid w:val="00E00289"/>
    <w:rsid w:val="00E018C9"/>
    <w:rsid w:val="00E04648"/>
    <w:rsid w:val="00E047FC"/>
    <w:rsid w:val="00E04AFD"/>
    <w:rsid w:val="00E04D95"/>
    <w:rsid w:val="00E04E2E"/>
    <w:rsid w:val="00E059C9"/>
    <w:rsid w:val="00E0634B"/>
    <w:rsid w:val="00E070DD"/>
    <w:rsid w:val="00E108DB"/>
    <w:rsid w:val="00E123AC"/>
    <w:rsid w:val="00E137E2"/>
    <w:rsid w:val="00E14BB1"/>
    <w:rsid w:val="00E15EAB"/>
    <w:rsid w:val="00E17D08"/>
    <w:rsid w:val="00E20BA7"/>
    <w:rsid w:val="00E21EF3"/>
    <w:rsid w:val="00E23EC4"/>
    <w:rsid w:val="00E24C30"/>
    <w:rsid w:val="00E24D2F"/>
    <w:rsid w:val="00E24D30"/>
    <w:rsid w:val="00E26B32"/>
    <w:rsid w:val="00E26D3A"/>
    <w:rsid w:val="00E30C66"/>
    <w:rsid w:val="00E31072"/>
    <w:rsid w:val="00E3123B"/>
    <w:rsid w:val="00E31A1B"/>
    <w:rsid w:val="00E32001"/>
    <w:rsid w:val="00E330D0"/>
    <w:rsid w:val="00E3381F"/>
    <w:rsid w:val="00E3467B"/>
    <w:rsid w:val="00E34CC8"/>
    <w:rsid w:val="00E35463"/>
    <w:rsid w:val="00E366B3"/>
    <w:rsid w:val="00E401B9"/>
    <w:rsid w:val="00E407B6"/>
    <w:rsid w:val="00E41603"/>
    <w:rsid w:val="00E41EF1"/>
    <w:rsid w:val="00E42128"/>
    <w:rsid w:val="00E42942"/>
    <w:rsid w:val="00E43307"/>
    <w:rsid w:val="00E439DC"/>
    <w:rsid w:val="00E43DE4"/>
    <w:rsid w:val="00E44D1C"/>
    <w:rsid w:val="00E45662"/>
    <w:rsid w:val="00E468A6"/>
    <w:rsid w:val="00E473D7"/>
    <w:rsid w:val="00E5260F"/>
    <w:rsid w:val="00E528A6"/>
    <w:rsid w:val="00E54C4D"/>
    <w:rsid w:val="00E54D20"/>
    <w:rsid w:val="00E554F1"/>
    <w:rsid w:val="00E55793"/>
    <w:rsid w:val="00E55EE8"/>
    <w:rsid w:val="00E56EB3"/>
    <w:rsid w:val="00E60FDF"/>
    <w:rsid w:val="00E60FF2"/>
    <w:rsid w:val="00E6120D"/>
    <w:rsid w:val="00E61D17"/>
    <w:rsid w:val="00E61ED7"/>
    <w:rsid w:val="00E62A16"/>
    <w:rsid w:val="00E62ADF"/>
    <w:rsid w:val="00E64319"/>
    <w:rsid w:val="00E64CF8"/>
    <w:rsid w:val="00E666B0"/>
    <w:rsid w:val="00E66C74"/>
    <w:rsid w:val="00E70BF4"/>
    <w:rsid w:val="00E710D4"/>
    <w:rsid w:val="00E7114E"/>
    <w:rsid w:val="00E71875"/>
    <w:rsid w:val="00E71BDF"/>
    <w:rsid w:val="00E73A22"/>
    <w:rsid w:val="00E7437F"/>
    <w:rsid w:val="00E75560"/>
    <w:rsid w:val="00E765E8"/>
    <w:rsid w:val="00E76A2A"/>
    <w:rsid w:val="00E81215"/>
    <w:rsid w:val="00E81815"/>
    <w:rsid w:val="00E81B4E"/>
    <w:rsid w:val="00E81BDC"/>
    <w:rsid w:val="00E82B30"/>
    <w:rsid w:val="00E83261"/>
    <w:rsid w:val="00E83CA7"/>
    <w:rsid w:val="00E849AD"/>
    <w:rsid w:val="00E87F1E"/>
    <w:rsid w:val="00E909FC"/>
    <w:rsid w:val="00E90CCC"/>
    <w:rsid w:val="00E91467"/>
    <w:rsid w:val="00E91A13"/>
    <w:rsid w:val="00E92985"/>
    <w:rsid w:val="00E93062"/>
    <w:rsid w:val="00E93960"/>
    <w:rsid w:val="00E93CE3"/>
    <w:rsid w:val="00E94324"/>
    <w:rsid w:val="00E94FCA"/>
    <w:rsid w:val="00E9545E"/>
    <w:rsid w:val="00E959B0"/>
    <w:rsid w:val="00E95B26"/>
    <w:rsid w:val="00E95BD9"/>
    <w:rsid w:val="00E966B5"/>
    <w:rsid w:val="00E9714B"/>
    <w:rsid w:val="00E97DFC"/>
    <w:rsid w:val="00E97E85"/>
    <w:rsid w:val="00EA25F2"/>
    <w:rsid w:val="00EA4E8E"/>
    <w:rsid w:val="00EA56DF"/>
    <w:rsid w:val="00EA5E07"/>
    <w:rsid w:val="00EA6185"/>
    <w:rsid w:val="00EA6BBD"/>
    <w:rsid w:val="00EA7819"/>
    <w:rsid w:val="00EB2D51"/>
    <w:rsid w:val="00EB4020"/>
    <w:rsid w:val="00EB5453"/>
    <w:rsid w:val="00EB5C39"/>
    <w:rsid w:val="00EB60CA"/>
    <w:rsid w:val="00EB6D34"/>
    <w:rsid w:val="00EB6DF4"/>
    <w:rsid w:val="00EB770D"/>
    <w:rsid w:val="00EB79CB"/>
    <w:rsid w:val="00EC11AF"/>
    <w:rsid w:val="00EC13A6"/>
    <w:rsid w:val="00EC171D"/>
    <w:rsid w:val="00EC3508"/>
    <w:rsid w:val="00EC3DD1"/>
    <w:rsid w:val="00EC57AA"/>
    <w:rsid w:val="00EC72B8"/>
    <w:rsid w:val="00EC7349"/>
    <w:rsid w:val="00EC7593"/>
    <w:rsid w:val="00ED0DD3"/>
    <w:rsid w:val="00ED1C70"/>
    <w:rsid w:val="00ED1F7C"/>
    <w:rsid w:val="00ED254A"/>
    <w:rsid w:val="00ED2EE0"/>
    <w:rsid w:val="00ED487E"/>
    <w:rsid w:val="00ED4AB9"/>
    <w:rsid w:val="00ED5BB6"/>
    <w:rsid w:val="00ED6DF3"/>
    <w:rsid w:val="00ED72AC"/>
    <w:rsid w:val="00ED7D16"/>
    <w:rsid w:val="00EE0CD4"/>
    <w:rsid w:val="00EE0E59"/>
    <w:rsid w:val="00EE184D"/>
    <w:rsid w:val="00EE22EB"/>
    <w:rsid w:val="00EE2B86"/>
    <w:rsid w:val="00EE47DF"/>
    <w:rsid w:val="00EE4B57"/>
    <w:rsid w:val="00EE4DDF"/>
    <w:rsid w:val="00EE5107"/>
    <w:rsid w:val="00EE55D8"/>
    <w:rsid w:val="00EE6FF4"/>
    <w:rsid w:val="00EE7284"/>
    <w:rsid w:val="00EE7A0D"/>
    <w:rsid w:val="00EF0016"/>
    <w:rsid w:val="00EF073A"/>
    <w:rsid w:val="00EF0A2B"/>
    <w:rsid w:val="00EF15D6"/>
    <w:rsid w:val="00EF406E"/>
    <w:rsid w:val="00EF7579"/>
    <w:rsid w:val="00EF79B1"/>
    <w:rsid w:val="00EF7AE7"/>
    <w:rsid w:val="00F00304"/>
    <w:rsid w:val="00F016C6"/>
    <w:rsid w:val="00F023E5"/>
    <w:rsid w:val="00F029C2"/>
    <w:rsid w:val="00F031DC"/>
    <w:rsid w:val="00F0374B"/>
    <w:rsid w:val="00F03BF8"/>
    <w:rsid w:val="00F04686"/>
    <w:rsid w:val="00F04E0C"/>
    <w:rsid w:val="00F05BC2"/>
    <w:rsid w:val="00F05D03"/>
    <w:rsid w:val="00F07207"/>
    <w:rsid w:val="00F07B1C"/>
    <w:rsid w:val="00F07F41"/>
    <w:rsid w:val="00F07FB0"/>
    <w:rsid w:val="00F10711"/>
    <w:rsid w:val="00F10E6F"/>
    <w:rsid w:val="00F11A30"/>
    <w:rsid w:val="00F12357"/>
    <w:rsid w:val="00F1257E"/>
    <w:rsid w:val="00F13DDF"/>
    <w:rsid w:val="00F15469"/>
    <w:rsid w:val="00F1620B"/>
    <w:rsid w:val="00F16226"/>
    <w:rsid w:val="00F1630D"/>
    <w:rsid w:val="00F17CE1"/>
    <w:rsid w:val="00F2031F"/>
    <w:rsid w:val="00F2115C"/>
    <w:rsid w:val="00F21AE3"/>
    <w:rsid w:val="00F21C8B"/>
    <w:rsid w:val="00F21F37"/>
    <w:rsid w:val="00F22ABA"/>
    <w:rsid w:val="00F22B79"/>
    <w:rsid w:val="00F2369E"/>
    <w:rsid w:val="00F23B73"/>
    <w:rsid w:val="00F2420B"/>
    <w:rsid w:val="00F24364"/>
    <w:rsid w:val="00F25DD9"/>
    <w:rsid w:val="00F30709"/>
    <w:rsid w:val="00F30A53"/>
    <w:rsid w:val="00F30ABD"/>
    <w:rsid w:val="00F31533"/>
    <w:rsid w:val="00F32ACF"/>
    <w:rsid w:val="00F335B3"/>
    <w:rsid w:val="00F337FC"/>
    <w:rsid w:val="00F33884"/>
    <w:rsid w:val="00F35014"/>
    <w:rsid w:val="00F35544"/>
    <w:rsid w:val="00F35F7B"/>
    <w:rsid w:val="00F3654A"/>
    <w:rsid w:val="00F36B12"/>
    <w:rsid w:val="00F371BB"/>
    <w:rsid w:val="00F378A3"/>
    <w:rsid w:val="00F40AD2"/>
    <w:rsid w:val="00F41F70"/>
    <w:rsid w:val="00F420DD"/>
    <w:rsid w:val="00F44156"/>
    <w:rsid w:val="00F44EB3"/>
    <w:rsid w:val="00F44FCD"/>
    <w:rsid w:val="00F4599D"/>
    <w:rsid w:val="00F45B51"/>
    <w:rsid w:val="00F462A9"/>
    <w:rsid w:val="00F507AC"/>
    <w:rsid w:val="00F50A56"/>
    <w:rsid w:val="00F527EB"/>
    <w:rsid w:val="00F549E4"/>
    <w:rsid w:val="00F549E9"/>
    <w:rsid w:val="00F54BF9"/>
    <w:rsid w:val="00F57D07"/>
    <w:rsid w:val="00F60AF5"/>
    <w:rsid w:val="00F60F9F"/>
    <w:rsid w:val="00F6272B"/>
    <w:rsid w:val="00F62EE7"/>
    <w:rsid w:val="00F64F08"/>
    <w:rsid w:val="00F6507B"/>
    <w:rsid w:val="00F66391"/>
    <w:rsid w:val="00F703FC"/>
    <w:rsid w:val="00F706B6"/>
    <w:rsid w:val="00F708D6"/>
    <w:rsid w:val="00F70B50"/>
    <w:rsid w:val="00F71123"/>
    <w:rsid w:val="00F7144E"/>
    <w:rsid w:val="00F7154F"/>
    <w:rsid w:val="00F71CFC"/>
    <w:rsid w:val="00F734F5"/>
    <w:rsid w:val="00F745C6"/>
    <w:rsid w:val="00F74EC8"/>
    <w:rsid w:val="00F75FEE"/>
    <w:rsid w:val="00F76934"/>
    <w:rsid w:val="00F76FDD"/>
    <w:rsid w:val="00F77888"/>
    <w:rsid w:val="00F77EDF"/>
    <w:rsid w:val="00F80774"/>
    <w:rsid w:val="00F807C0"/>
    <w:rsid w:val="00F81958"/>
    <w:rsid w:val="00F81A0E"/>
    <w:rsid w:val="00F83862"/>
    <w:rsid w:val="00F8681A"/>
    <w:rsid w:val="00F91E41"/>
    <w:rsid w:val="00F92110"/>
    <w:rsid w:val="00F92B68"/>
    <w:rsid w:val="00F934AF"/>
    <w:rsid w:val="00F93F00"/>
    <w:rsid w:val="00F94E40"/>
    <w:rsid w:val="00F9594A"/>
    <w:rsid w:val="00F95B0A"/>
    <w:rsid w:val="00F966B1"/>
    <w:rsid w:val="00F96941"/>
    <w:rsid w:val="00F9699F"/>
    <w:rsid w:val="00F96C2A"/>
    <w:rsid w:val="00F9718B"/>
    <w:rsid w:val="00F97522"/>
    <w:rsid w:val="00F9790E"/>
    <w:rsid w:val="00F97D15"/>
    <w:rsid w:val="00F97D48"/>
    <w:rsid w:val="00F97EF9"/>
    <w:rsid w:val="00FA02E0"/>
    <w:rsid w:val="00FA0311"/>
    <w:rsid w:val="00FA09B5"/>
    <w:rsid w:val="00FA298D"/>
    <w:rsid w:val="00FA2B0F"/>
    <w:rsid w:val="00FA2B51"/>
    <w:rsid w:val="00FA2B5F"/>
    <w:rsid w:val="00FA36FF"/>
    <w:rsid w:val="00FA4FAA"/>
    <w:rsid w:val="00FA506A"/>
    <w:rsid w:val="00FA6104"/>
    <w:rsid w:val="00FA62A1"/>
    <w:rsid w:val="00FA735C"/>
    <w:rsid w:val="00FA79E7"/>
    <w:rsid w:val="00FB0008"/>
    <w:rsid w:val="00FB0B7E"/>
    <w:rsid w:val="00FB1563"/>
    <w:rsid w:val="00FB2397"/>
    <w:rsid w:val="00FB3CA6"/>
    <w:rsid w:val="00FB47E7"/>
    <w:rsid w:val="00FB4979"/>
    <w:rsid w:val="00FB6821"/>
    <w:rsid w:val="00FB7089"/>
    <w:rsid w:val="00FB73B4"/>
    <w:rsid w:val="00FC045D"/>
    <w:rsid w:val="00FC1BA3"/>
    <w:rsid w:val="00FC1D24"/>
    <w:rsid w:val="00FC3DD8"/>
    <w:rsid w:val="00FC42E5"/>
    <w:rsid w:val="00FC46A0"/>
    <w:rsid w:val="00FC4CF8"/>
    <w:rsid w:val="00FC54E8"/>
    <w:rsid w:val="00FC562F"/>
    <w:rsid w:val="00FC5E86"/>
    <w:rsid w:val="00FC795D"/>
    <w:rsid w:val="00FD0D96"/>
    <w:rsid w:val="00FD1EAE"/>
    <w:rsid w:val="00FD2924"/>
    <w:rsid w:val="00FD34E2"/>
    <w:rsid w:val="00FD3C7F"/>
    <w:rsid w:val="00FD4EF2"/>
    <w:rsid w:val="00FD640F"/>
    <w:rsid w:val="00FD6B4C"/>
    <w:rsid w:val="00FD7109"/>
    <w:rsid w:val="00FE0B84"/>
    <w:rsid w:val="00FE1F3B"/>
    <w:rsid w:val="00FE341D"/>
    <w:rsid w:val="00FE3618"/>
    <w:rsid w:val="00FE3B37"/>
    <w:rsid w:val="00FE4E20"/>
    <w:rsid w:val="00FE5526"/>
    <w:rsid w:val="00FE55C0"/>
    <w:rsid w:val="00FE62DA"/>
    <w:rsid w:val="00FF159C"/>
    <w:rsid w:val="00FF1C0D"/>
    <w:rsid w:val="00FF24EF"/>
    <w:rsid w:val="00FF28E9"/>
    <w:rsid w:val="00FF2F8B"/>
    <w:rsid w:val="00FF3283"/>
    <w:rsid w:val="00FF367C"/>
    <w:rsid w:val="00FF3A34"/>
    <w:rsid w:val="00FF3F79"/>
    <w:rsid w:val="00FF4E99"/>
    <w:rsid w:val="00FF50FD"/>
    <w:rsid w:val="00FF5BC2"/>
    <w:rsid w:val="00FF76CE"/>
    <w:rsid w:val="00FF7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E00261"/>
  <w15:docId w15:val="{F3A8DA6C-9C17-480B-9996-75A0A6B4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9"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5AAE"/>
    <w:pPr>
      <w:keepLines/>
      <w:spacing w:before="120" w:after="120"/>
    </w:pPr>
    <w:rPr>
      <w:spacing w:val="2"/>
      <w:sz w:val="18"/>
    </w:rPr>
  </w:style>
  <w:style w:type="paragraph" w:styleId="Heading1">
    <w:name w:val="heading 1"/>
    <w:next w:val="Normal"/>
    <w:link w:val="Heading1Char"/>
    <w:qFormat/>
    <w:rsid w:val="00985A21"/>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D85AAE"/>
    <w:pPr>
      <w:keepNext/>
      <w:spacing w:before="180"/>
      <w:outlineLvl w:val="1"/>
    </w:pPr>
    <w:rPr>
      <w:rFonts w:asciiTheme="majorHAnsi" w:eastAsiaTheme="majorEastAsia" w:hAnsiTheme="majorHAnsi" w:cstheme="majorBidi"/>
      <w:b/>
      <w:bCs/>
      <w:color w:val="0063A6" w:themeColor="accent1"/>
      <w:sz w:val="22"/>
      <w:szCs w:val="26"/>
    </w:rPr>
  </w:style>
  <w:style w:type="paragraph" w:styleId="Heading3">
    <w:name w:val="heading 3"/>
    <w:basedOn w:val="Normal"/>
    <w:next w:val="Normal"/>
    <w:link w:val="Heading3Char"/>
    <w:qFormat/>
    <w:rsid w:val="00985A21"/>
    <w:pPr>
      <w:keepNext/>
      <w:spacing w:before="24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985A21"/>
    <w:pPr>
      <w:keepNext/>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qFormat/>
    <w:rsid w:val="006C1592"/>
    <w:pPr>
      <w:keepNext/>
      <w:spacing w:after="0"/>
      <w:outlineLvl w:val="4"/>
    </w:pPr>
    <w:rPr>
      <w:rFonts w:asciiTheme="majorHAnsi" w:eastAsiaTheme="majorEastAsia" w:hAnsiTheme="majorHAnsi" w:cstheme="majorBidi"/>
      <w:i/>
      <w:color w:val="003152" w:themeColor="accent1" w:themeShade="7F"/>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85A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85A21"/>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985A21"/>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85A21"/>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85A21"/>
    <w:pPr>
      <w:tabs>
        <w:tab w:val="right" w:leader="dot" w:pos="2520"/>
      </w:tabs>
      <w:spacing w:before="20" w:after="20"/>
      <w:ind w:right="432"/>
    </w:pPr>
    <w:rPr>
      <w:sz w:val="16"/>
      <w:szCs w:val="24"/>
    </w:rPr>
  </w:style>
  <w:style w:type="paragraph" w:styleId="TOC2">
    <w:name w:val="toc 2"/>
    <w:next w:val="Normal"/>
    <w:uiPriority w:val="39"/>
    <w:rsid w:val="00985A21"/>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985A21"/>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985A21"/>
    <w:pPr>
      <w:spacing w:after="60" w:line="240" w:lineRule="auto"/>
    </w:pPr>
    <w:rPr>
      <w:sz w:val="16"/>
    </w:rPr>
  </w:style>
  <w:style w:type="paragraph" w:styleId="Index2">
    <w:name w:val="index 2"/>
    <w:basedOn w:val="Normal"/>
    <w:next w:val="Normal"/>
    <w:uiPriority w:val="99"/>
    <w:semiHidden/>
    <w:rsid w:val="00985A21"/>
    <w:pPr>
      <w:spacing w:after="0" w:line="240" w:lineRule="auto"/>
      <w:ind w:left="216"/>
    </w:pPr>
    <w:rPr>
      <w:sz w:val="16"/>
      <w:szCs w:val="16"/>
    </w:rPr>
  </w:style>
  <w:style w:type="character" w:styleId="Hyperlink">
    <w:name w:val="Hyperlink"/>
    <w:basedOn w:val="DefaultParagraphFont"/>
    <w:uiPriority w:val="99"/>
    <w:rsid w:val="00985A21"/>
    <w:rPr>
      <w:color w:val="53565A" w:themeColor="hyperlink"/>
      <w:u w:val="none"/>
    </w:rPr>
  </w:style>
  <w:style w:type="character" w:customStyle="1" w:styleId="Heading1Char">
    <w:name w:val="Heading 1 Char"/>
    <w:basedOn w:val="DefaultParagraphFont"/>
    <w:link w:val="Heading1"/>
    <w:rsid w:val="00985A21"/>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D85AAE"/>
    <w:rPr>
      <w:rFonts w:asciiTheme="majorHAnsi" w:eastAsiaTheme="majorEastAsia" w:hAnsiTheme="majorHAnsi" w:cstheme="majorBidi"/>
      <w:b/>
      <w:bCs/>
      <w:color w:val="0063A6" w:themeColor="accent1"/>
      <w:spacing w:val="2"/>
      <w:sz w:val="22"/>
      <w:szCs w:val="26"/>
    </w:rPr>
  </w:style>
  <w:style w:type="paragraph" w:customStyle="1" w:styleId="Bullet1">
    <w:name w:val="Bullet 1"/>
    <w:uiPriority w:val="1"/>
    <w:qFormat/>
    <w:rsid w:val="00985A21"/>
    <w:pPr>
      <w:numPr>
        <w:numId w:val="1"/>
      </w:numPr>
      <w:tabs>
        <w:tab w:val="clear" w:pos="504"/>
        <w:tab w:val="num" w:pos="360"/>
      </w:tabs>
      <w:spacing w:before="100" w:after="100" w:line="252" w:lineRule="auto"/>
      <w:ind w:left="360" w:hanging="360"/>
      <w:contextualSpacing/>
    </w:pPr>
    <w:rPr>
      <w:rFonts w:eastAsia="Times New Roman" w:cs="Calibri"/>
      <w:spacing w:val="2"/>
      <w:sz w:val="18"/>
    </w:rPr>
  </w:style>
  <w:style w:type="paragraph" w:customStyle="1" w:styleId="Bullet2">
    <w:name w:val="Bullet 2"/>
    <w:basedOn w:val="Bullet1"/>
    <w:uiPriority w:val="1"/>
    <w:qFormat/>
    <w:rsid w:val="00985A21"/>
    <w:pPr>
      <w:numPr>
        <w:ilvl w:val="1"/>
      </w:numPr>
    </w:pPr>
  </w:style>
  <w:style w:type="paragraph" w:customStyle="1" w:styleId="Bulletindent">
    <w:name w:val="Bullet indent"/>
    <w:basedOn w:val="Bullet2"/>
    <w:uiPriority w:val="5"/>
    <w:qFormat/>
    <w:rsid w:val="00985A21"/>
    <w:pPr>
      <w:numPr>
        <w:ilvl w:val="2"/>
      </w:numPr>
    </w:pPr>
  </w:style>
  <w:style w:type="paragraph" w:customStyle="1" w:styleId="Heading1numbered">
    <w:name w:val="Heading 1 numbered"/>
    <w:basedOn w:val="Heading1"/>
    <w:next w:val="NormalIndent"/>
    <w:uiPriority w:val="4"/>
    <w:semiHidden/>
    <w:qFormat/>
    <w:rsid w:val="00985A21"/>
    <w:pPr>
      <w:numPr>
        <w:ilvl w:val="2"/>
        <w:numId w:val="2"/>
      </w:numPr>
    </w:pPr>
  </w:style>
  <w:style w:type="paragraph" w:customStyle="1" w:styleId="Heading2numbered">
    <w:name w:val="Heading 2 numbered"/>
    <w:basedOn w:val="Heading2"/>
    <w:next w:val="NormalIndent"/>
    <w:uiPriority w:val="4"/>
    <w:semiHidden/>
    <w:qFormat/>
    <w:rsid w:val="00985A21"/>
    <w:pPr>
      <w:numPr>
        <w:ilvl w:val="3"/>
        <w:numId w:val="2"/>
      </w:numPr>
    </w:pPr>
  </w:style>
  <w:style w:type="paragraph" w:customStyle="1" w:styleId="Heading3numbered">
    <w:name w:val="Heading 3 numbered"/>
    <w:basedOn w:val="Heading3"/>
    <w:next w:val="NormalIndent"/>
    <w:uiPriority w:val="4"/>
    <w:semiHidden/>
    <w:qFormat/>
    <w:rsid w:val="00985A21"/>
    <w:pPr>
      <w:numPr>
        <w:ilvl w:val="4"/>
        <w:numId w:val="2"/>
      </w:numPr>
    </w:pPr>
  </w:style>
  <w:style w:type="character" w:customStyle="1" w:styleId="Heading3Char">
    <w:name w:val="Heading 3 Char"/>
    <w:basedOn w:val="DefaultParagraphFont"/>
    <w:link w:val="Heading3"/>
    <w:rsid w:val="00985A2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985A21"/>
    <w:pPr>
      <w:numPr>
        <w:ilvl w:val="5"/>
        <w:numId w:val="2"/>
      </w:numPr>
    </w:pPr>
  </w:style>
  <w:style w:type="character" w:customStyle="1" w:styleId="Heading4Char">
    <w:name w:val="Heading 4 Char"/>
    <w:basedOn w:val="DefaultParagraphFont"/>
    <w:link w:val="Heading4"/>
    <w:rsid w:val="00985A21"/>
    <w:rPr>
      <w:rFonts w:asciiTheme="majorHAnsi" w:eastAsiaTheme="majorEastAsia" w:hAnsiTheme="majorHAnsi" w:cstheme="majorBidi"/>
      <w:b/>
      <w:bCs/>
      <w:iCs/>
      <w:color w:val="53565A"/>
      <w:spacing w:val="2"/>
      <w:sz w:val="18"/>
    </w:rPr>
  </w:style>
  <w:style w:type="paragraph" w:styleId="NormalIndent">
    <w:name w:val="Normal Indent"/>
    <w:basedOn w:val="Normal"/>
    <w:uiPriority w:val="4"/>
    <w:qFormat/>
    <w:rsid w:val="00985A21"/>
    <w:pPr>
      <w:spacing w:line="252" w:lineRule="auto"/>
      <w:ind w:left="792"/>
    </w:pPr>
  </w:style>
  <w:style w:type="paragraph" w:customStyle="1" w:styleId="NoteNormal">
    <w:name w:val="Note Normal"/>
    <w:basedOn w:val="Normal"/>
    <w:uiPriority w:val="11"/>
    <w:rsid w:val="00985A21"/>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85A21"/>
    <w:pPr>
      <w:spacing w:before="0" w:after="0" w:line="120" w:lineRule="atLeast"/>
    </w:pPr>
    <w:rPr>
      <w:rFonts w:eastAsia="Times New Roman" w:cs="Calibri"/>
      <w:spacing w:val="0"/>
      <w:sz w:val="10"/>
      <w:szCs w:val="22"/>
    </w:rPr>
  </w:style>
  <w:style w:type="paragraph" w:styleId="Subtitle">
    <w:name w:val="Subtitle"/>
    <w:link w:val="SubtitleChar"/>
    <w:uiPriority w:val="99"/>
    <w:rsid w:val="00985A21"/>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85A2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985A21"/>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985A21"/>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985A21"/>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985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A21"/>
    <w:rPr>
      <w:rFonts w:ascii="Tahoma" w:hAnsi="Tahoma" w:cs="Tahoma"/>
      <w:spacing w:val="2"/>
      <w:sz w:val="16"/>
      <w:szCs w:val="16"/>
    </w:rPr>
  </w:style>
  <w:style w:type="paragraph" w:customStyle="1" w:styleId="Bulletindent2">
    <w:name w:val="Bullet indent 2"/>
    <w:basedOn w:val="Normal"/>
    <w:uiPriority w:val="5"/>
    <w:qFormat/>
    <w:rsid w:val="00985A21"/>
    <w:pPr>
      <w:numPr>
        <w:ilvl w:val="3"/>
        <w:numId w:val="1"/>
      </w:numPr>
      <w:spacing w:before="100"/>
      <w:contextualSpacing/>
    </w:pPr>
  </w:style>
  <w:style w:type="paragraph" w:styleId="IndexHeading">
    <w:name w:val="index heading"/>
    <w:basedOn w:val="Normal"/>
    <w:next w:val="Index1"/>
    <w:uiPriority w:val="99"/>
    <w:semiHidden/>
    <w:rsid w:val="00985A21"/>
    <w:rPr>
      <w:rFonts w:asciiTheme="majorHAnsi" w:eastAsiaTheme="majorEastAsia" w:hAnsiTheme="majorHAnsi" w:cstheme="majorBidi"/>
      <w:b/>
      <w:bCs/>
    </w:rPr>
  </w:style>
  <w:style w:type="paragraph" w:styleId="Header">
    <w:name w:val="header"/>
    <w:basedOn w:val="Normal"/>
    <w:link w:val="HeaderChar"/>
    <w:uiPriority w:val="99"/>
    <w:semiHidden/>
    <w:rsid w:val="00985A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5A21"/>
    <w:rPr>
      <w:spacing w:val="2"/>
      <w:sz w:val="18"/>
    </w:rPr>
  </w:style>
  <w:style w:type="paragraph" w:styleId="Footer">
    <w:name w:val="footer"/>
    <w:basedOn w:val="Normal"/>
    <w:link w:val="FooterChar"/>
    <w:uiPriority w:val="24"/>
    <w:semiHidden/>
    <w:rsid w:val="00985A21"/>
    <w:pPr>
      <w:tabs>
        <w:tab w:val="right" w:pos="9026"/>
      </w:tabs>
      <w:spacing w:before="0" w:after="0" w:line="240" w:lineRule="auto"/>
    </w:pPr>
    <w:rPr>
      <w:noProof/>
      <w:szCs w:val="18"/>
    </w:rPr>
  </w:style>
  <w:style w:type="character" w:customStyle="1" w:styleId="FooterChar">
    <w:name w:val="Footer Char"/>
    <w:basedOn w:val="DefaultParagraphFont"/>
    <w:link w:val="Footer"/>
    <w:uiPriority w:val="24"/>
    <w:semiHidden/>
    <w:rsid w:val="00985A21"/>
    <w:rPr>
      <w:noProof/>
      <w:spacing w:val="2"/>
      <w:sz w:val="18"/>
      <w:szCs w:val="18"/>
    </w:rPr>
  </w:style>
  <w:style w:type="character" w:styleId="PageNumber">
    <w:name w:val="page number"/>
    <w:uiPriority w:val="49"/>
    <w:semiHidden/>
    <w:rsid w:val="00985A21"/>
  </w:style>
  <w:style w:type="paragraph" w:styleId="TOCHeading">
    <w:name w:val="TOC Heading"/>
    <w:basedOn w:val="Heading1"/>
    <w:next w:val="Normal"/>
    <w:uiPriority w:val="39"/>
    <w:rsid w:val="00985A21"/>
    <w:pPr>
      <w:spacing w:before="480" w:after="720"/>
      <w:outlineLvl w:val="9"/>
    </w:pPr>
    <w:rPr>
      <w:spacing w:val="2"/>
    </w:rPr>
  </w:style>
  <w:style w:type="paragraph" w:customStyle="1" w:styleId="NormalTight">
    <w:name w:val="Normal Tight"/>
    <w:uiPriority w:val="99"/>
    <w:semiHidden/>
    <w:rsid w:val="00985A2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985A21"/>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985A21"/>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85A21"/>
    <w:pPr>
      <w:spacing w:before="5800"/>
      <w:ind w:right="1382"/>
    </w:pPr>
  </w:style>
  <w:style w:type="paragraph" w:styleId="TOC4">
    <w:name w:val="toc 4"/>
    <w:basedOn w:val="TOC1"/>
    <w:next w:val="Normal"/>
    <w:uiPriority w:val="39"/>
    <w:semiHidden/>
    <w:rsid w:val="00985A21"/>
    <w:pPr>
      <w:ind w:left="450" w:hanging="450"/>
    </w:pPr>
    <w:rPr>
      <w:noProof/>
      <w:lang w:eastAsia="en-US"/>
    </w:rPr>
  </w:style>
  <w:style w:type="paragraph" w:styleId="TOC5">
    <w:name w:val="toc 5"/>
    <w:basedOn w:val="TOC2"/>
    <w:next w:val="Normal"/>
    <w:uiPriority w:val="39"/>
    <w:semiHidden/>
    <w:rsid w:val="00985A21"/>
    <w:pPr>
      <w:ind w:left="1080" w:hanging="634"/>
    </w:pPr>
    <w:rPr>
      <w:lang w:eastAsia="en-US"/>
    </w:rPr>
  </w:style>
  <w:style w:type="paragraph" w:styleId="TOC6">
    <w:name w:val="toc 6"/>
    <w:basedOn w:val="TOC3"/>
    <w:next w:val="Normal"/>
    <w:uiPriority w:val="39"/>
    <w:semiHidden/>
    <w:rsid w:val="00985A21"/>
    <w:pPr>
      <w:ind w:left="1800" w:hanging="720"/>
    </w:pPr>
    <w:rPr>
      <w:lang w:eastAsia="en-US"/>
    </w:rPr>
  </w:style>
  <w:style w:type="table" w:customStyle="1" w:styleId="DTFtexttable">
    <w:name w:val="DTF text table"/>
    <w:basedOn w:val="TableGrid"/>
    <w:uiPriority w:val="99"/>
    <w:rsid w:val="00985A2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85A2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985A21"/>
    <w:pPr>
      <w:spacing w:before="60" w:after="60" w:line="264" w:lineRule="auto"/>
    </w:pPr>
    <w:rPr>
      <w:sz w:val="17"/>
    </w:rPr>
  </w:style>
  <w:style w:type="paragraph" w:customStyle="1" w:styleId="Tabletextright">
    <w:name w:val="Table text right"/>
    <w:basedOn w:val="Tabletext"/>
    <w:uiPriority w:val="6"/>
    <w:qFormat/>
    <w:rsid w:val="00985A21"/>
    <w:pPr>
      <w:jc w:val="right"/>
    </w:pPr>
  </w:style>
  <w:style w:type="paragraph" w:customStyle="1" w:styleId="Listnumindent2">
    <w:name w:val="List num indent 2"/>
    <w:basedOn w:val="Normal"/>
    <w:uiPriority w:val="5"/>
    <w:semiHidden/>
    <w:qFormat/>
    <w:rsid w:val="00985A21"/>
    <w:pPr>
      <w:numPr>
        <w:ilvl w:val="7"/>
        <w:numId w:val="2"/>
      </w:numPr>
      <w:spacing w:before="100"/>
      <w:contextualSpacing/>
    </w:pPr>
  </w:style>
  <w:style w:type="paragraph" w:customStyle="1" w:styleId="Listnumindent">
    <w:name w:val="List num indent"/>
    <w:basedOn w:val="Normal"/>
    <w:uiPriority w:val="5"/>
    <w:semiHidden/>
    <w:qFormat/>
    <w:rsid w:val="00985A21"/>
    <w:pPr>
      <w:numPr>
        <w:ilvl w:val="6"/>
        <w:numId w:val="2"/>
      </w:numPr>
      <w:spacing w:before="100"/>
    </w:pPr>
  </w:style>
  <w:style w:type="paragraph" w:customStyle="1" w:styleId="Listnum">
    <w:name w:val="List num"/>
    <w:basedOn w:val="Normal"/>
    <w:uiPriority w:val="1"/>
    <w:qFormat/>
    <w:rsid w:val="00985A21"/>
    <w:pPr>
      <w:numPr>
        <w:numId w:val="2"/>
      </w:numPr>
    </w:pPr>
  </w:style>
  <w:style w:type="paragraph" w:customStyle="1" w:styleId="Listnum2">
    <w:name w:val="List num 2"/>
    <w:basedOn w:val="Normal"/>
    <w:uiPriority w:val="1"/>
    <w:qFormat/>
    <w:rsid w:val="00985A21"/>
    <w:pPr>
      <w:numPr>
        <w:ilvl w:val="1"/>
        <w:numId w:val="2"/>
      </w:numPr>
    </w:pPr>
  </w:style>
  <w:style w:type="paragraph" w:customStyle="1" w:styleId="Tabletextcentred">
    <w:name w:val="Table text centred"/>
    <w:basedOn w:val="Tabletext"/>
    <w:uiPriority w:val="6"/>
    <w:qFormat/>
    <w:rsid w:val="00985A21"/>
    <w:pPr>
      <w:jc w:val="center"/>
    </w:pPr>
  </w:style>
  <w:style w:type="paragraph" w:customStyle="1" w:styleId="Tableheader">
    <w:name w:val="Table header"/>
    <w:basedOn w:val="Tabletext"/>
    <w:uiPriority w:val="6"/>
    <w:qFormat/>
    <w:rsid w:val="00985A21"/>
    <w:pPr>
      <w:keepNext/>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985A21"/>
    <w:pPr>
      <w:numPr>
        <w:numId w:val="3"/>
      </w:numPr>
    </w:pPr>
  </w:style>
  <w:style w:type="paragraph" w:customStyle="1" w:styleId="Tabledash">
    <w:name w:val="Table dash"/>
    <w:basedOn w:val="Tablebullet"/>
    <w:uiPriority w:val="7"/>
    <w:rsid w:val="00985A21"/>
    <w:pPr>
      <w:numPr>
        <w:ilvl w:val="1"/>
      </w:numPr>
    </w:pPr>
  </w:style>
  <w:style w:type="paragraph" w:customStyle="1" w:styleId="Tabletextindent">
    <w:name w:val="Table text indent"/>
    <w:basedOn w:val="Tabletext"/>
    <w:uiPriority w:val="6"/>
    <w:qFormat/>
    <w:rsid w:val="00985A21"/>
    <w:pPr>
      <w:ind w:left="288"/>
    </w:pPr>
  </w:style>
  <w:style w:type="paragraph" w:customStyle="1" w:styleId="Disclaimertext">
    <w:name w:val="Disclaimer text"/>
    <w:basedOn w:val="Normal"/>
    <w:uiPriority w:val="12"/>
    <w:qFormat/>
    <w:rsid w:val="00985A21"/>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4"/>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qFormat/>
    <w:rsid w:val="005E6FC1"/>
    <w:pPr>
      <w:ind w:left="720"/>
      <w:contextualSpacing/>
    </w:p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 w:type="character" w:styleId="Strong">
    <w:name w:val="Strong"/>
    <w:basedOn w:val="DefaultParagraphFont"/>
    <w:uiPriority w:val="22"/>
    <w:qFormat/>
    <w:rsid w:val="009B78CE"/>
    <w:rPr>
      <w:b/>
      <w:bCs/>
    </w:rPr>
  </w:style>
  <w:style w:type="character" w:styleId="Emphasis">
    <w:name w:val="Emphasis"/>
    <w:basedOn w:val="DefaultParagraphFont"/>
    <w:uiPriority w:val="20"/>
    <w:qFormat/>
    <w:rsid w:val="009B78CE"/>
    <w:rPr>
      <w:i/>
      <w:iCs/>
    </w:rPr>
  </w:style>
  <w:style w:type="character" w:customStyle="1" w:styleId="Heading5Char">
    <w:name w:val="Heading 5 Char"/>
    <w:basedOn w:val="DefaultParagraphFont"/>
    <w:link w:val="Heading5"/>
    <w:rsid w:val="006C1592"/>
    <w:rPr>
      <w:rFonts w:asciiTheme="majorHAnsi" w:eastAsiaTheme="majorEastAsia" w:hAnsiTheme="majorHAnsi" w:cstheme="majorBidi"/>
      <w:i/>
      <w:color w:val="003152" w:themeColor="accent1" w:themeShade="7F"/>
      <w:spacing w:val="2"/>
      <w:sz w:val="19"/>
      <w:szCs w:val="19"/>
    </w:rPr>
  </w:style>
  <w:style w:type="character" w:customStyle="1" w:styleId="UnresolvedMention1">
    <w:name w:val="Unresolved Mention1"/>
    <w:basedOn w:val="DefaultParagraphFont"/>
    <w:uiPriority w:val="99"/>
    <w:semiHidden/>
    <w:unhideWhenUsed/>
    <w:rsid w:val="003B45DF"/>
    <w:rPr>
      <w:color w:val="808080"/>
      <w:shd w:val="clear" w:color="auto" w:fill="E6E6E6"/>
    </w:rPr>
  </w:style>
  <w:style w:type="character" w:styleId="UnresolvedMention">
    <w:name w:val="Unresolved Mention"/>
    <w:basedOn w:val="DefaultParagraphFont"/>
    <w:uiPriority w:val="99"/>
    <w:semiHidden/>
    <w:unhideWhenUsed/>
    <w:rsid w:val="002F3FAD"/>
    <w:rPr>
      <w:color w:val="808080"/>
      <w:shd w:val="clear" w:color="auto" w:fill="E6E6E6"/>
    </w:rPr>
  </w:style>
  <w:style w:type="numbering" w:customStyle="1" w:styleId="Bullet">
    <w:name w:val="Bullet"/>
    <w:uiPriority w:val="99"/>
    <w:rsid w:val="00077102"/>
    <w:pPr>
      <w:numPr>
        <w:numId w:val="23"/>
      </w:numPr>
    </w:pPr>
  </w:style>
  <w:style w:type="paragraph" w:styleId="ListBullet2">
    <w:name w:val="List Bullet 2"/>
    <w:basedOn w:val="ListBullet"/>
    <w:uiPriority w:val="19"/>
    <w:rsid w:val="00077102"/>
    <w:pPr>
      <w:numPr>
        <w:ilvl w:val="1"/>
      </w:numPr>
      <w:tabs>
        <w:tab w:val="num" w:pos="360"/>
        <w:tab w:val="num" w:pos="1008"/>
      </w:tabs>
      <w:ind w:left="1008" w:hanging="504"/>
    </w:pPr>
  </w:style>
  <w:style w:type="paragraph" w:styleId="ListBullet">
    <w:name w:val="List Bullet"/>
    <w:basedOn w:val="Normal"/>
    <w:link w:val="ListBulletChar"/>
    <w:uiPriority w:val="19"/>
    <w:qFormat/>
    <w:rsid w:val="00077102"/>
    <w:pPr>
      <w:numPr>
        <w:numId w:val="24"/>
      </w:numPr>
      <w:spacing w:before="60" w:after="0" w:line="240" w:lineRule="auto"/>
    </w:pPr>
    <w:rPr>
      <w:rFonts w:eastAsiaTheme="minorHAnsi"/>
      <w:spacing w:val="0"/>
      <w:sz w:val="22"/>
      <w:szCs w:val="22"/>
      <w:lang w:eastAsia="en-US"/>
    </w:rPr>
  </w:style>
  <w:style w:type="paragraph" w:styleId="ListBullet3">
    <w:name w:val="List Bullet 3"/>
    <w:basedOn w:val="ListBullet2"/>
    <w:uiPriority w:val="19"/>
    <w:unhideWhenUsed/>
    <w:rsid w:val="00077102"/>
    <w:pPr>
      <w:numPr>
        <w:ilvl w:val="2"/>
      </w:numPr>
      <w:tabs>
        <w:tab w:val="num" w:pos="360"/>
        <w:tab w:val="num" w:pos="792"/>
        <w:tab w:val="num" w:pos="1008"/>
      </w:tabs>
      <w:ind w:left="792" w:hanging="792"/>
    </w:pPr>
  </w:style>
  <w:style w:type="character" w:customStyle="1" w:styleId="ListBulletChar">
    <w:name w:val="List Bullet Char"/>
    <w:basedOn w:val="DefaultParagraphFont"/>
    <w:link w:val="ListBullet"/>
    <w:uiPriority w:val="19"/>
    <w:rsid w:val="00077102"/>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958">
      <w:bodyDiv w:val="1"/>
      <w:marLeft w:val="0"/>
      <w:marRight w:val="0"/>
      <w:marTop w:val="0"/>
      <w:marBottom w:val="0"/>
      <w:divBdr>
        <w:top w:val="none" w:sz="0" w:space="0" w:color="auto"/>
        <w:left w:val="none" w:sz="0" w:space="0" w:color="auto"/>
        <w:bottom w:val="none" w:sz="0" w:space="0" w:color="auto"/>
        <w:right w:val="none" w:sz="0" w:space="0" w:color="auto"/>
      </w:divBdr>
    </w:div>
    <w:div w:id="57869672">
      <w:bodyDiv w:val="1"/>
      <w:marLeft w:val="0"/>
      <w:marRight w:val="0"/>
      <w:marTop w:val="0"/>
      <w:marBottom w:val="0"/>
      <w:divBdr>
        <w:top w:val="none" w:sz="0" w:space="0" w:color="auto"/>
        <w:left w:val="none" w:sz="0" w:space="0" w:color="auto"/>
        <w:bottom w:val="none" w:sz="0" w:space="0" w:color="auto"/>
        <w:right w:val="none" w:sz="0" w:space="0" w:color="auto"/>
      </w:divBdr>
    </w:div>
    <w:div w:id="136730619">
      <w:bodyDiv w:val="1"/>
      <w:marLeft w:val="0"/>
      <w:marRight w:val="0"/>
      <w:marTop w:val="0"/>
      <w:marBottom w:val="0"/>
      <w:divBdr>
        <w:top w:val="none" w:sz="0" w:space="0" w:color="auto"/>
        <w:left w:val="none" w:sz="0" w:space="0" w:color="auto"/>
        <w:bottom w:val="none" w:sz="0" w:space="0" w:color="auto"/>
        <w:right w:val="none" w:sz="0" w:space="0" w:color="auto"/>
      </w:divBdr>
    </w:div>
    <w:div w:id="220295076">
      <w:bodyDiv w:val="1"/>
      <w:marLeft w:val="0"/>
      <w:marRight w:val="0"/>
      <w:marTop w:val="0"/>
      <w:marBottom w:val="0"/>
      <w:divBdr>
        <w:top w:val="none" w:sz="0" w:space="0" w:color="auto"/>
        <w:left w:val="none" w:sz="0" w:space="0" w:color="auto"/>
        <w:bottom w:val="none" w:sz="0" w:space="0" w:color="auto"/>
        <w:right w:val="none" w:sz="0" w:space="0" w:color="auto"/>
      </w:divBdr>
    </w:div>
    <w:div w:id="270475544">
      <w:bodyDiv w:val="1"/>
      <w:marLeft w:val="0"/>
      <w:marRight w:val="0"/>
      <w:marTop w:val="0"/>
      <w:marBottom w:val="0"/>
      <w:divBdr>
        <w:top w:val="none" w:sz="0" w:space="0" w:color="auto"/>
        <w:left w:val="none" w:sz="0" w:space="0" w:color="auto"/>
        <w:bottom w:val="none" w:sz="0" w:space="0" w:color="auto"/>
        <w:right w:val="none" w:sz="0" w:space="0" w:color="auto"/>
      </w:divBdr>
    </w:div>
    <w:div w:id="407847005">
      <w:bodyDiv w:val="1"/>
      <w:marLeft w:val="0"/>
      <w:marRight w:val="0"/>
      <w:marTop w:val="0"/>
      <w:marBottom w:val="0"/>
      <w:divBdr>
        <w:top w:val="none" w:sz="0" w:space="0" w:color="auto"/>
        <w:left w:val="none" w:sz="0" w:space="0" w:color="auto"/>
        <w:bottom w:val="none" w:sz="0" w:space="0" w:color="auto"/>
        <w:right w:val="none" w:sz="0" w:space="0" w:color="auto"/>
      </w:divBdr>
    </w:div>
    <w:div w:id="412703507">
      <w:bodyDiv w:val="1"/>
      <w:marLeft w:val="0"/>
      <w:marRight w:val="0"/>
      <w:marTop w:val="0"/>
      <w:marBottom w:val="0"/>
      <w:divBdr>
        <w:top w:val="none" w:sz="0" w:space="0" w:color="auto"/>
        <w:left w:val="none" w:sz="0" w:space="0" w:color="auto"/>
        <w:bottom w:val="none" w:sz="0" w:space="0" w:color="auto"/>
        <w:right w:val="none" w:sz="0" w:space="0" w:color="auto"/>
      </w:divBdr>
    </w:div>
    <w:div w:id="447510771">
      <w:bodyDiv w:val="1"/>
      <w:marLeft w:val="0"/>
      <w:marRight w:val="0"/>
      <w:marTop w:val="0"/>
      <w:marBottom w:val="0"/>
      <w:divBdr>
        <w:top w:val="none" w:sz="0" w:space="0" w:color="auto"/>
        <w:left w:val="none" w:sz="0" w:space="0" w:color="auto"/>
        <w:bottom w:val="none" w:sz="0" w:space="0" w:color="auto"/>
        <w:right w:val="none" w:sz="0" w:space="0" w:color="auto"/>
      </w:divBdr>
    </w:div>
    <w:div w:id="469710349">
      <w:bodyDiv w:val="1"/>
      <w:marLeft w:val="0"/>
      <w:marRight w:val="0"/>
      <w:marTop w:val="0"/>
      <w:marBottom w:val="0"/>
      <w:divBdr>
        <w:top w:val="none" w:sz="0" w:space="0" w:color="auto"/>
        <w:left w:val="none" w:sz="0" w:space="0" w:color="auto"/>
        <w:bottom w:val="none" w:sz="0" w:space="0" w:color="auto"/>
        <w:right w:val="none" w:sz="0" w:space="0" w:color="auto"/>
      </w:divBdr>
    </w:div>
    <w:div w:id="576286813">
      <w:bodyDiv w:val="1"/>
      <w:marLeft w:val="0"/>
      <w:marRight w:val="0"/>
      <w:marTop w:val="0"/>
      <w:marBottom w:val="0"/>
      <w:divBdr>
        <w:top w:val="none" w:sz="0" w:space="0" w:color="auto"/>
        <w:left w:val="none" w:sz="0" w:space="0" w:color="auto"/>
        <w:bottom w:val="none" w:sz="0" w:space="0" w:color="auto"/>
        <w:right w:val="none" w:sz="0" w:space="0" w:color="auto"/>
      </w:divBdr>
    </w:div>
    <w:div w:id="593172401">
      <w:bodyDiv w:val="1"/>
      <w:marLeft w:val="0"/>
      <w:marRight w:val="0"/>
      <w:marTop w:val="0"/>
      <w:marBottom w:val="0"/>
      <w:divBdr>
        <w:top w:val="none" w:sz="0" w:space="0" w:color="auto"/>
        <w:left w:val="none" w:sz="0" w:space="0" w:color="auto"/>
        <w:bottom w:val="none" w:sz="0" w:space="0" w:color="auto"/>
        <w:right w:val="none" w:sz="0" w:space="0" w:color="auto"/>
      </w:divBdr>
    </w:div>
    <w:div w:id="734668611">
      <w:bodyDiv w:val="1"/>
      <w:marLeft w:val="0"/>
      <w:marRight w:val="0"/>
      <w:marTop w:val="0"/>
      <w:marBottom w:val="0"/>
      <w:divBdr>
        <w:top w:val="none" w:sz="0" w:space="0" w:color="auto"/>
        <w:left w:val="none" w:sz="0" w:space="0" w:color="auto"/>
        <w:bottom w:val="none" w:sz="0" w:space="0" w:color="auto"/>
        <w:right w:val="none" w:sz="0" w:space="0" w:color="auto"/>
      </w:divBdr>
    </w:div>
    <w:div w:id="739447991">
      <w:bodyDiv w:val="1"/>
      <w:marLeft w:val="0"/>
      <w:marRight w:val="0"/>
      <w:marTop w:val="0"/>
      <w:marBottom w:val="0"/>
      <w:divBdr>
        <w:top w:val="none" w:sz="0" w:space="0" w:color="auto"/>
        <w:left w:val="none" w:sz="0" w:space="0" w:color="auto"/>
        <w:bottom w:val="none" w:sz="0" w:space="0" w:color="auto"/>
        <w:right w:val="none" w:sz="0" w:space="0" w:color="auto"/>
      </w:divBdr>
      <w:divsChild>
        <w:div w:id="37442333">
          <w:marLeft w:val="274"/>
          <w:marRight w:val="0"/>
          <w:marTop w:val="0"/>
          <w:marBottom w:val="0"/>
          <w:divBdr>
            <w:top w:val="none" w:sz="0" w:space="0" w:color="auto"/>
            <w:left w:val="none" w:sz="0" w:space="0" w:color="auto"/>
            <w:bottom w:val="none" w:sz="0" w:space="0" w:color="auto"/>
            <w:right w:val="none" w:sz="0" w:space="0" w:color="auto"/>
          </w:divBdr>
        </w:div>
      </w:divsChild>
    </w:div>
    <w:div w:id="842819913">
      <w:bodyDiv w:val="1"/>
      <w:marLeft w:val="0"/>
      <w:marRight w:val="0"/>
      <w:marTop w:val="0"/>
      <w:marBottom w:val="0"/>
      <w:divBdr>
        <w:top w:val="none" w:sz="0" w:space="0" w:color="auto"/>
        <w:left w:val="none" w:sz="0" w:space="0" w:color="auto"/>
        <w:bottom w:val="none" w:sz="0" w:space="0" w:color="auto"/>
        <w:right w:val="none" w:sz="0" w:space="0" w:color="auto"/>
      </w:divBdr>
    </w:div>
    <w:div w:id="890337964">
      <w:bodyDiv w:val="1"/>
      <w:marLeft w:val="0"/>
      <w:marRight w:val="0"/>
      <w:marTop w:val="0"/>
      <w:marBottom w:val="0"/>
      <w:divBdr>
        <w:top w:val="none" w:sz="0" w:space="0" w:color="auto"/>
        <w:left w:val="none" w:sz="0" w:space="0" w:color="auto"/>
        <w:bottom w:val="none" w:sz="0" w:space="0" w:color="auto"/>
        <w:right w:val="none" w:sz="0" w:space="0" w:color="auto"/>
      </w:divBdr>
    </w:div>
    <w:div w:id="996416404">
      <w:bodyDiv w:val="1"/>
      <w:marLeft w:val="0"/>
      <w:marRight w:val="0"/>
      <w:marTop w:val="0"/>
      <w:marBottom w:val="0"/>
      <w:divBdr>
        <w:top w:val="none" w:sz="0" w:space="0" w:color="auto"/>
        <w:left w:val="none" w:sz="0" w:space="0" w:color="auto"/>
        <w:bottom w:val="none" w:sz="0" w:space="0" w:color="auto"/>
        <w:right w:val="none" w:sz="0" w:space="0" w:color="auto"/>
      </w:divBdr>
    </w:div>
    <w:div w:id="1073626560">
      <w:bodyDiv w:val="1"/>
      <w:marLeft w:val="0"/>
      <w:marRight w:val="0"/>
      <w:marTop w:val="0"/>
      <w:marBottom w:val="0"/>
      <w:divBdr>
        <w:top w:val="none" w:sz="0" w:space="0" w:color="auto"/>
        <w:left w:val="none" w:sz="0" w:space="0" w:color="auto"/>
        <w:bottom w:val="none" w:sz="0" w:space="0" w:color="auto"/>
        <w:right w:val="none" w:sz="0" w:space="0" w:color="auto"/>
      </w:divBdr>
      <w:divsChild>
        <w:div w:id="726729506">
          <w:marLeft w:val="0"/>
          <w:marRight w:val="0"/>
          <w:marTop w:val="105"/>
          <w:marBottom w:val="105"/>
          <w:divBdr>
            <w:top w:val="none" w:sz="0" w:space="0" w:color="auto"/>
            <w:left w:val="none" w:sz="0" w:space="0" w:color="auto"/>
            <w:bottom w:val="none" w:sz="0" w:space="0" w:color="auto"/>
            <w:right w:val="none" w:sz="0" w:space="0" w:color="auto"/>
          </w:divBdr>
        </w:div>
      </w:divsChild>
    </w:div>
    <w:div w:id="1143810489">
      <w:bodyDiv w:val="1"/>
      <w:marLeft w:val="0"/>
      <w:marRight w:val="0"/>
      <w:marTop w:val="0"/>
      <w:marBottom w:val="0"/>
      <w:divBdr>
        <w:top w:val="none" w:sz="0" w:space="0" w:color="auto"/>
        <w:left w:val="none" w:sz="0" w:space="0" w:color="auto"/>
        <w:bottom w:val="none" w:sz="0" w:space="0" w:color="auto"/>
        <w:right w:val="none" w:sz="0" w:space="0" w:color="auto"/>
      </w:divBdr>
    </w:div>
    <w:div w:id="1172991782">
      <w:bodyDiv w:val="1"/>
      <w:marLeft w:val="0"/>
      <w:marRight w:val="0"/>
      <w:marTop w:val="0"/>
      <w:marBottom w:val="0"/>
      <w:divBdr>
        <w:top w:val="none" w:sz="0" w:space="0" w:color="auto"/>
        <w:left w:val="none" w:sz="0" w:space="0" w:color="auto"/>
        <w:bottom w:val="none" w:sz="0" w:space="0" w:color="auto"/>
        <w:right w:val="none" w:sz="0" w:space="0" w:color="auto"/>
      </w:divBdr>
    </w:div>
    <w:div w:id="1269853859">
      <w:bodyDiv w:val="1"/>
      <w:marLeft w:val="0"/>
      <w:marRight w:val="0"/>
      <w:marTop w:val="0"/>
      <w:marBottom w:val="0"/>
      <w:divBdr>
        <w:top w:val="none" w:sz="0" w:space="0" w:color="auto"/>
        <w:left w:val="none" w:sz="0" w:space="0" w:color="auto"/>
        <w:bottom w:val="none" w:sz="0" w:space="0" w:color="auto"/>
        <w:right w:val="none" w:sz="0" w:space="0" w:color="auto"/>
      </w:divBdr>
    </w:div>
    <w:div w:id="1312372159">
      <w:bodyDiv w:val="1"/>
      <w:marLeft w:val="0"/>
      <w:marRight w:val="0"/>
      <w:marTop w:val="0"/>
      <w:marBottom w:val="0"/>
      <w:divBdr>
        <w:top w:val="none" w:sz="0" w:space="0" w:color="auto"/>
        <w:left w:val="none" w:sz="0" w:space="0" w:color="auto"/>
        <w:bottom w:val="none" w:sz="0" w:space="0" w:color="auto"/>
        <w:right w:val="none" w:sz="0" w:space="0" w:color="auto"/>
      </w:divBdr>
    </w:div>
    <w:div w:id="1385563976">
      <w:bodyDiv w:val="1"/>
      <w:marLeft w:val="0"/>
      <w:marRight w:val="0"/>
      <w:marTop w:val="0"/>
      <w:marBottom w:val="0"/>
      <w:divBdr>
        <w:top w:val="none" w:sz="0" w:space="0" w:color="auto"/>
        <w:left w:val="none" w:sz="0" w:space="0" w:color="auto"/>
        <w:bottom w:val="none" w:sz="0" w:space="0" w:color="auto"/>
        <w:right w:val="none" w:sz="0" w:space="0" w:color="auto"/>
      </w:divBdr>
    </w:div>
    <w:div w:id="1386640807">
      <w:bodyDiv w:val="1"/>
      <w:marLeft w:val="0"/>
      <w:marRight w:val="0"/>
      <w:marTop w:val="0"/>
      <w:marBottom w:val="0"/>
      <w:divBdr>
        <w:top w:val="none" w:sz="0" w:space="0" w:color="auto"/>
        <w:left w:val="none" w:sz="0" w:space="0" w:color="auto"/>
        <w:bottom w:val="none" w:sz="0" w:space="0" w:color="auto"/>
        <w:right w:val="none" w:sz="0" w:space="0" w:color="auto"/>
      </w:divBdr>
    </w:div>
    <w:div w:id="1486051648">
      <w:bodyDiv w:val="1"/>
      <w:marLeft w:val="0"/>
      <w:marRight w:val="0"/>
      <w:marTop w:val="0"/>
      <w:marBottom w:val="0"/>
      <w:divBdr>
        <w:top w:val="none" w:sz="0" w:space="0" w:color="auto"/>
        <w:left w:val="none" w:sz="0" w:space="0" w:color="auto"/>
        <w:bottom w:val="none" w:sz="0" w:space="0" w:color="auto"/>
        <w:right w:val="none" w:sz="0" w:space="0" w:color="auto"/>
      </w:divBdr>
      <w:divsChild>
        <w:div w:id="51661618">
          <w:marLeft w:val="0"/>
          <w:marRight w:val="0"/>
          <w:marTop w:val="0"/>
          <w:marBottom w:val="0"/>
          <w:divBdr>
            <w:top w:val="none" w:sz="0" w:space="0" w:color="auto"/>
            <w:left w:val="none" w:sz="0" w:space="0" w:color="auto"/>
            <w:bottom w:val="none" w:sz="0" w:space="0" w:color="auto"/>
            <w:right w:val="none" w:sz="0" w:space="0" w:color="auto"/>
          </w:divBdr>
          <w:divsChild>
            <w:div w:id="962883468">
              <w:marLeft w:val="0"/>
              <w:marRight w:val="0"/>
              <w:marTop w:val="105"/>
              <w:marBottom w:val="105"/>
              <w:divBdr>
                <w:top w:val="none" w:sz="0" w:space="0" w:color="auto"/>
                <w:left w:val="none" w:sz="0" w:space="0" w:color="auto"/>
                <w:bottom w:val="none" w:sz="0" w:space="0" w:color="auto"/>
                <w:right w:val="none" w:sz="0" w:space="0" w:color="auto"/>
              </w:divBdr>
            </w:div>
          </w:divsChild>
        </w:div>
        <w:div w:id="1500804046">
          <w:marLeft w:val="0"/>
          <w:marRight w:val="0"/>
          <w:marTop w:val="0"/>
          <w:marBottom w:val="0"/>
          <w:divBdr>
            <w:top w:val="none" w:sz="0" w:space="0" w:color="auto"/>
            <w:left w:val="none" w:sz="0" w:space="0" w:color="auto"/>
            <w:bottom w:val="none" w:sz="0" w:space="0" w:color="auto"/>
            <w:right w:val="none" w:sz="0" w:space="0" w:color="auto"/>
          </w:divBdr>
          <w:divsChild>
            <w:div w:id="1805730222">
              <w:marLeft w:val="0"/>
              <w:marRight w:val="0"/>
              <w:marTop w:val="105"/>
              <w:marBottom w:val="105"/>
              <w:divBdr>
                <w:top w:val="none" w:sz="0" w:space="0" w:color="auto"/>
                <w:left w:val="none" w:sz="0" w:space="0" w:color="auto"/>
                <w:bottom w:val="none" w:sz="0" w:space="0" w:color="auto"/>
                <w:right w:val="none" w:sz="0" w:space="0" w:color="auto"/>
              </w:divBdr>
            </w:div>
          </w:divsChild>
        </w:div>
        <w:div w:id="2009946127">
          <w:marLeft w:val="0"/>
          <w:marRight w:val="0"/>
          <w:marTop w:val="0"/>
          <w:marBottom w:val="0"/>
          <w:divBdr>
            <w:top w:val="none" w:sz="0" w:space="0" w:color="auto"/>
            <w:left w:val="none" w:sz="0" w:space="0" w:color="auto"/>
            <w:bottom w:val="none" w:sz="0" w:space="0" w:color="auto"/>
            <w:right w:val="none" w:sz="0" w:space="0" w:color="auto"/>
          </w:divBdr>
          <w:divsChild>
            <w:div w:id="1126898463">
              <w:marLeft w:val="0"/>
              <w:marRight w:val="0"/>
              <w:marTop w:val="0"/>
              <w:marBottom w:val="0"/>
              <w:divBdr>
                <w:top w:val="none" w:sz="0" w:space="0" w:color="auto"/>
                <w:left w:val="none" w:sz="0" w:space="0" w:color="auto"/>
                <w:bottom w:val="none" w:sz="0" w:space="0" w:color="auto"/>
                <w:right w:val="none" w:sz="0" w:space="0" w:color="auto"/>
              </w:divBdr>
            </w:div>
          </w:divsChild>
        </w:div>
        <w:div w:id="177501895">
          <w:marLeft w:val="0"/>
          <w:marRight w:val="0"/>
          <w:marTop w:val="0"/>
          <w:marBottom w:val="0"/>
          <w:divBdr>
            <w:top w:val="none" w:sz="0" w:space="0" w:color="auto"/>
            <w:left w:val="none" w:sz="0" w:space="0" w:color="auto"/>
            <w:bottom w:val="none" w:sz="0" w:space="0" w:color="auto"/>
            <w:right w:val="none" w:sz="0" w:space="0" w:color="auto"/>
          </w:divBdr>
          <w:divsChild>
            <w:div w:id="1670599256">
              <w:marLeft w:val="0"/>
              <w:marRight w:val="0"/>
              <w:marTop w:val="105"/>
              <w:marBottom w:val="105"/>
              <w:divBdr>
                <w:top w:val="none" w:sz="0" w:space="0" w:color="auto"/>
                <w:left w:val="none" w:sz="0" w:space="0" w:color="auto"/>
                <w:bottom w:val="none" w:sz="0" w:space="0" w:color="auto"/>
                <w:right w:val="none" w:sz="0" w:space="0" w:color="auto"/>
              </w:divBdr>
            </w:div>
          </w:divsChild>
        </w:div>
        <w:div w:id="379939399">
          <w:marLeft w:val="0"/>
          <w:marRight w:val="0"/>
          <w:marTop w:val="0"/>
          <w:marBottom w:val="0"/>
          <w:divBdr>
            <w:top w:val="none" w:sz="0" w:space="0" w:color="auto"/>
            <w:left w:val="none" w:sz="0" w:space="0" w:color="auto"/>
            <w:bottom w:val="none" w:sz="0" w:space="0" w:color="auto"/>
            <w:right w:val="none" w:sz="0" w:space="0" w:color="auto"/>
          </w:divBdr>
          <w:divsChild>
            <w:div w:id="152798518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539857423">
      <w:bodyDiv w:val="1"/>
      <w:marLeft w:val="0"/>
      <w:marRight w:val="0"/>
      <w:marTop w:val="0"/>
      <w:marBottom w:val="0"/>
      <w:divBdr>
        <w:top w:val="none" w:sz="0" w:space="0" w:color="auto"/>
        <w:left w:val="none" w:sz="0" w:space="0" w:color="auto"/>
        <w:bottom w:val="none" w:sz="0" w:space="0" w:color="auto"/>
        <w:right w:val="none" w:sz="0" w:space="0" w:color="auto"/>
      </w:divBdr>
    </w:div>
    <w:div w:id="1554849256">
      <w:bodyDiv w:val="1"/>
      <w:marLeft w:val="0"/>
      <w:marRight w:val="0"/>
      <w:marTop w:val="0"/>
      <w:marBottom w:val="0"/>
      <w:divBdr>
        <w:top w:val="none" w:sz="0" w:space="0" w:color="auto"/>
        <w:left w:val="none" w:sz="0" w:space="0" w:color="auto"/>
        <w:bottom w:val="none" w:sz="0" w:space="0" w:color="auto"/>
        <w:right w:val="none" w:sz="0" w:space="0" w:color="auto"/>
      </w:divBdr>
    </w:div>
    <w:div w:id="1559629193">
      <w:bodyDiv w:val="1"/>
      <w:marLeft w:val="0"/>
      <w:marRight w:val="0"/>
      <w:marTop w:val="0"/>
      <w:marBottom w:val="0"/>
      <w:divBdr>
        <w:top w:val="none" w:sz="0" w:space="0" w:color="auto"/>
        <w:left w:val="none" w:sz="0" w:space="0" w:color="auto"/>
        <w:bottom w:val="none" w:sz="0" w:space="0" w:color="auto"/>
        <w:right w:val="none" w:sz="0" w:space="0" w:color="auto"/>
      </w:divBdr>
    </w:div>
    <w:div w:id="1661468861">
      <w:bodyDiv w:val="1"/>
      <w:marLeft w:val="0"/>
      <w:marRight w:val="0"/>
      <w:marTop w:val="0"/>
      <w:marBottom w:val="0"/>
      <w:divBdr>
        <w:top w:val="none" w:sz="0" w:space="0" w:color="auto"/>
        <w:left w:val="none" w:sz="0" w:space="0" w:color="auto"/>
        <w:bottom w:val="none" w:sz="0" w:space="0" w:color="auto"/>
        <w:right w:val="none" w:sz="0" w:space="0" w:color="auto"/>
      </w:divBdr>
    </w:div>
    <w:div w:id="1736855396">
      <w:bodyDiv w:val="1"/>
      <w:marLeft w:val="0"/>
      <w:marRight w:val="0"/>
      <w:marTop w:val="0"/>
      <w:marBottom w:val="0"/>
      <w:divBdr>
        <w:top w:val="none" w:sz="0" w:space="0" w:color="auto"/>
        <w:left w:val="none" w:sz="0" w:space="0" w:color="auto"/>
        <w:bottom w:val="none" w:sz="0" w:space="0" w:color="auto"/>
        <w:right w:val="none" w:sz="0" w:space="0" w:color="auto"/>
      </w:divBdr>
    </w:div>
    <w:div w:id="1773818326">
      <w:bodyDiv w:val="1"/>
      <w:marLeft w:val="0"/>
      <w:marRight w:val="0"/>
      <w:marTop w:val="0"/>
      <w:marBottom w:val="0"/>
      <w:divBdr>
        <w:top w:val="none" w:sz="0" w:space="0" w:color="auto"/>
        <w:left w:val="none" w:sz="0" w:space="0" w:color="auto"/>
        <w:bottom w:val="none" w:sz="0" w:space="0" w:color="auto"/>
        <w:right w:val="none" w:sz="0" w:space="0" w:color="auto"/>
      </w:divBdr>
    </w:div>
    <w:div w:id="1816336762">
      <w:bodyDiv w:val="1"/>
      <w:marLeft w:val="0"/>
      <w:marRight w:val="0"/>
      <w:marTop w:val="0"/>
      <w:marBottom w:val="0"/>
      <w:divBdr>
        <w:top w:val="none" w:sz="0" w:space="0" w:color="auto"/>
        <w:left w:val="none" w:sz="0" w:space="0" w:color="auto"/>
        <w:bottom w:val="none" w:sz="0" w:space="0" w:color="auto"/>
        <w:right w:val="none" w:sz="0" w:space="0" w:color="auto"/>
      </w:divBdr>
    </w:div>
    <w:div w:id="1850562331">
      <w:bodyDiv w:val="1"/>
      <w:marLeft w:val="0"/>
      <w:marRight w:val="0"/>
      <w:marTop w:val="0"/>
      <w:marBottom w:val="0"/>
      <w:divBdr>
        <w:top w:val="none" w:sz="0" w:space="0" w:color="auto"/>
        <w:left w:val="none" w:sz="0" w:space="0" w:color="auto"/>
        <w:bottom w:val="none" w:sz="0" w:space="0" w:color="auto"/>
        <w:right w:val="none" w:sz="0" w:space="0" w:color="auto"/>
      </w:divBdr>
    </w:div>
    <w:div w:id="1870678394">
      <w:bodyDiv w:val="1"/>
      <w:marLeft w:val="0"/>
      <w:marRight w:val="0"/>
      <w:marTop w:val="0"/>
      <w:marBottom w:val="0"/>
      <w:divBdr>
        <w:top w:val="none" w:sz="0" w:space="0" w:color="auto"/>
        <w:left w:val="none" w:sz="0" w:space="0" w:color="auto"/>
        <w:bottom w:val="none" w:sz="0" w:space="0" w:color="auto"/>
        <w:right w:val="none" w:sz="0" w:space="0" w:color="auto"/>
      </w:divBdr>
    </w:div>
    <w:div w:id="1982542697">
      <w:bodyDiv w:val="1"/>
      <w:marLeft w:val="0"/>
      <w:marRight w:val="0"/>
      <w:marTop w:val="0"/>
      <w:marBottom w:val="0"/>
      <w:divBdr>
        <w:top w:val="none" w:sz="0" w:space="0" w:color="auto"/>
        <w:left w:val="none" w:sz="0" w:space="0" w:color="auto"/>
        <w:bottom w:val="none" w:sz="0" w:space="0" w:color="auto"/>
        <w:right w:val="none" w:sz="0" w:space="0" w:color="auto"/>
      </w:divBdr>
    </w:div>
    <w:div w:id="2056394480">
      <w:bodyDiv w:val="1"/>
      <w:marLeft w:val="0"/>
      <w:marRight w:val="0"/>
      <w:marTop w:val="0"/>
      <w:marBottom w:val="0"/>
      <w:divBdr>
        <w:top w:val="none" w:sz="0" w:space="0" w:color="auto"/>
        <w:left w:val="none" w:sz="0" w:space="0" w:color="auto"/>
        <w:bottom w:val="none" w:sz="0" w:space="0" w:color="auto"/>
        <w:right w:val="none" w:sz="0" w:space="0" w:color="auto"/>
      </w:divBdr>
    </w:div>
    <w:div w:id="2062559853">
      <w:bodyDiv w:val="1"/>
      <w:marLeft w:val="0"/>
      <w:marRight w:val="0"/>
      <w:marTop w:val="0"/>
      <w:marBottom w:val="0"/>
      <w:divBdr>
        <w:top w:val="none" w:sz="0" w:space="0" w:color="auto"/>
        <w:left w:val="none" w:sz="0" w:space="0" w:color="auto"/>
        <w:bottom w:val="none" w:sz="0" w:space="0" w:color="auto"/>
        <w:right w:val="none" w:sz="0" w:space="0" w:color="auto"/>
      </w:divBdr>
      <w:divsChild>
        <w:div w:id="1671641635">
          <w:marLeft w:val="0"/>
          <w:marRight w:val="0"/>
          <w:marTop w:val="0"/>
          <w:marBottom w:val="0"/>
          <w:divBdr>
            <w:top w:val="none" w:sz="0" w:space="0" w:color="auto"/>
            <w:left w:val="none" w:sz="0" w:space="0" w:color="auto"/>
            <w:bottom w:val="none" w:sz="0" w:space="0" w:color="auto"/>
            <w:right w:val="none" w:sz="0" w:space="0" w:color="auto"/>
          </w:divBdr>
          <w:divsChild>
            <w:div w:id="1567106226">
              <w:marLeft w:val="0"/>
              <w:marRight w:val="0"/>
              <w:marTop w:val="0"/>
              <w:marBottom w:val="0"/>
              <w:divBdr>
                <w:top w:val="none" w:sz="0" w:space="0" w:color="auto"/>
                <w:left w:val="none" w:sz="0" w:space="0" w:color="auto"/>
                <w:bottom w:val="none" w:sz="0" w:space="0" w:color="auto"/>
                <w:right w:val="none" w:sz="0" w:space="0" w:color="auto"/>
              </w:divBdr>
              <w:divsChild>
                <w:div w:id="2121022914">
                  <w:marLeft w:val="0"/>
                  <w:marRight w:val="0"/>
                  <w:marTop w:val="0"/>
                  <w:marBottom w:val="0"/>
                  <w:divBdr>
                    <w:top w:val="none" w:sz="0" w:space="0" w:color="auto"/>
                    <w:left w:val="none" w:sz="0" w:space="0" w:color="auto"/>
                    <w:bottom w:val="none" w:sz="0" w:space="0" w:color="auto"/>
                    <w:right w:val="none" w:sz="0" w:space="0" w:color="auto"/>
                  </w:divBdr>
                  <w:divsChild>
                    <w:div w:id="1870680243">
                      <w:marLeft w:val="0"/>
                      <w:marRight w:val="0"/>
                      <w:marTop w:val="0"/>
                      <w:marBottom w:val="0"/>
                      <w:divBdr>
                        <w:top w:val="none" w:sz="0" w:space="0" w:color="auto"/>
                        <w:left w:val="none" w:sz="0" w:space="0" w:color="auto"/>
                        <w:bottom w:val="none" w:sz="0" w:space="0" w:color="auto"/>
                        <w:right w:val="none" w:sz="0" w:space="0" w:color="auto"/>
                      </w:divBdr>
                      <w:divsChild>
                        <w:div w:id="1223905061">
                          <w:marLeft w:val="0"/>
                          <w:marRight w:val="0"/>
                          <w:marTop w:val="0"/>
                          <w:marBottom w:val="0"/>
                          <w:divBdr>
                            <w:top w:val="none" w:sz="0" w:space="0" w:color="auto"/>
                            <w:left w:val="none" w:sz="0" w:space="0" w:color="auto"/>
                            <w:bottom w:val="none" w:sz="0" w:space="0" w:color="auto"/>
                            <w:right w:val="none" w:sz="0" w:space="0" w:color="auto"/>
                          </w:divBdr>
                          <w:divsChild>
                            <w:div w:id="1594163218">
                              <w:marLeft w:val="-225"/>
                              <w:marRight w:val="-225"/>
                              <w:marTop w:val="0"/>
                              <w:marBottom w:val="0"/>
                              <w:divBdr>
                                <w:top w:val="none" w:sz="0" w:space="0" w:color="auto"/>
                                <w:left w:val="none" w:sz="0" w:space="0" w:color="auto"/>
                                <w:bottom w:val="none" w:sz="0" w:space="0" w:color="auto"/>
                                <w:right w:val="none" w:sz="0" w:space="0" w:color="auto"/>
                              </w:divBdr>
                              <w:divsChild>
                                <w:div w:id="1774015937">
                                  <w:marLeft w:val="0"/>
                                  <w:marRight w:val="0"/>
                                  <w:marTop w:val="0"/>
                                  <w:marBottom w:val="0"/>
                                  <w:divBdr>
                                    <w:top w:val="none" w:sz="0" w:space="0" w:color="auto"/>
                                    <w:left w:val="none" w:sz="0" w:space="0" w:color="auto"/>
                                    <w:bottom w:val="none" w:sz="0" w:space="0" w:color="auto"/>
                                    <w:right w:val="none" w:sz="0" w:space="0" w:color="auto"/>
                                  </w:divBdr>
                                  <w:divsChild>
                                    <w:div w:id="347027159">
                                      <w:marLeft w:val="0"/>
                                      <w:marRight w:val="0"/>
                                      <w:marTop w:val="0"/>
                                      <w:marBottom w:val="0"/>
                                      <w:divBdr>
                                        <w:top w:val="none" w:sz="0" w:space="0" w:color="auto"/>
                                        <w:left w:val="none" w:sz="0" w:space="0" w:color="auto"/>
                                        <w:bottom w:val="none" w:sz="0" w:space="0" w:color="auto"/>
                                        <w:right w:val="none" w:sz="0" w:space="0" w:color="auto"/>
                                      </w:divBdr>
                                      <w:divsChild>
                                        <w:div w:id="1129930159">
                                          <w:marLeft w:val="0"/>
                                          <w:marRight w:val="0"/>
                                          <w:marTop w:val="0"/>
                                          <w:marBottom w:val="0"/>
                                          <w:divBdr>
                                            <w:top w:val="none" w:sz="0" w:space="0" w:color="auto"/>
                                            <w:left w:val="none" w:sz="0" w:space="0" w:color="auto"/>
                                            <w:bottom w:val="none" w:sz="0" w:space="0" w:color="auto"/>
                                            <w:right w:val="none" w:sz="0" w:space="0" w:color="auto"/>
                                          </w:divBdr>
                                          <w:divsChild>
                                            <w:div w:id="1829393762">
                                              <w:marLeft w:val="0"/>
                                              <w:marRight w:val="0"/>
                                              <w:marTop w:val="0"/>
                                              <w:marBottom w:val="0"/>
                                              <w:divBdr>
                                                <w:top w:val="none" w:sz="0" w:space="0" w:color="auto"/>
                                                <w:left w:val="none" w:sz="0" w:space="0" w:color="auto"/>
                                                <w:bottom w:val="none" w:sz="0" w:space="0" w:color="auto"/>
                                                <w:right w:val="none" w:sz="0" w:space="0" w:color="auto"/>
                                              </w:divBdr>
                                              <w:divsChild>
                                                <w:div w:id="152305957">
                                                  <w:marLeft w:val="0"/>
                                                  <w:marRight w:val="0"/>
                                                  <w:marTop w:val="0"/>
                                                  <w:marBottom w:val="0"/>
                                                  <w:divBdr>
                                                    <w:top w:val="none" w:sz="0" w:space="0" w:color="auto"/>
                                                    <w:left w:val="none" w:sz="0" w:space="0" w:color="auto"/>
                                                    <w:bottom w:val="none" w:sz="0" w:space="0" w:color="auto"/>
                                                    <w:right w:val="none" w:sz="0" w:space="0" w:color="auto"/>
                                                  </w:divBdr>
                                                  <w:divsChild>
                                                    <w:div w:id="14873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dtf.vic.gov.au/files/0b43b325-68cc-4285-9055-a5a6010a5a01/Standing-Directions-Instructions-2016.docx" TargetMode="External"/><Relationship Id="rId39" Type="http://schemas.openxmlformats.org/officeDocument/2006/relationships/header" Target="header10.xml"/><Relationship Id="rId21" Type="http://schemas.openxmlformats.org/officeDocument/2006/relationships/hyperlink" Target="https://www.dtf.vic.gov.au/financial-reporting-policy/accounting-standards-checklists" TargetMode="Externa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hyperlink" Target="http://www.dtf.vic.gov.au/Government-Financial-Management/Financial-reporting-policy" TargetMode="External"/><Relationship Id="rId50" Type="http://schemas.openxmlformats.org/officeDocument/2006/relationships/header" Target="header14.xml"/><Relationship Id="rId55" Type="http://schemas.openxmlformats.org/officeDocument/2006/relationships/header" Target="head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mailto:stephanie.braun@dtf.vic.gov.au" TargetMode="External"/><Relationship Id="rId41" Type="http://schemas.openxmlformats.org/officeDocument/2006/relationships/footer" Target="footer10.xml"/><Relationship Id="rId54" Type="http://schemas.openxmlformats.org/officeDocument/2006/relationships/hyperlink" Target="mailto:IPpolicy@dtf.vic.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tf.vic.gov.au/financial-reporting-policy/accounting-standards-checklists" TargetMode="External"/><Relationship Id="rId32" Type="http://schemas.openxmlformats.org/officeDocument/2006/relationships/hyperlink" Target="https://www.epa.vic.gov.au/"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aasb.com.au" TargetMode="External"/><Relationship Id="rId53" Type="http://schemas.openxmlformats.org/officeDocument/2006/relationships/hyperlink" Target="http://creativecommons.org/licenses/by/4.0/" TargetMode="External"/><Relationship Id="rId58"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dtf.vic.gov.au/Publications/Government-Financial-Management-publications/Financial-Reporting-Policy/Accounting-policy-update-newsletters" TargetMode="External"/><Relationship Id="rId28" Type="http://schemas.openxmlformats.org/officeDocument/2006/relationships/chart" Target="charts/chart1.xml"/><Relationship Id="rId36" Type="http://schemas.openxmlformats.org/officeDocument/2006/relationships/footer" Target="footer8.xml"/><Relationship Id="rId49" Type="http://schemas.openxmlformats.org/officeDocument/2006/relationships/header" Target="header13.xml"/><Relationship Id="rId57" Type="http://schemas.openxmlformats.org/officeDocument/2006/relationships/footer" Target="footer12.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environment.vic.gov.au/__data/assets/pdf_file/0019/334450/Factsheet_Environment-Protection-Amendment-Act-2018.pdf" TargetMode="External"/><Relationship Id="rId44" Type="http://schemas.openxmlformats.org/officeDocument/2006/relationships/hyperlink" Target="mailto:accpol@dtf.vic.gov.au" TargetMode="External"/><Relationship Id="rId52" Type="http://schemas.openxmlformats.org/officeDocument/2006/relationships/image" Target="media/image3.png"/><Relationship Id="rId60" Type="http://schemas.openxmlformats.org/officeDocument/2006/relationships/footer" Target="foot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tf.vic.gov.au/financial-reporting-policy/valuer-general-land-indices" TargetMode="External"/><Relationship Id="rId27" Type="http://schemas.openxmlformats.org/officeDocument/2006/relationships/hyperlink" Target="mailto:standing.directions@dtf.vic.gov.au" TargetMode="External"/><Relationship Id="rId30" Type="http://schemas.openxmlformats.org/officeDocument/2006/relationships/hyperlink" Target="https://www.aasb.gov.au" TargetMode="Externa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yperlink" Target="mailto:dtfweb@dtf.vic.gov.au" TargetMode="External"/><Relationship Id="rId56"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yperlink" Target="http://creativecommons.org/licenses/by/3.0/au/"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dtf.vic.gov.au/financial-reporting-policy/financial-reporting-directions-and-guidance"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yperlink" Target="http://www.ipsasb.org" TargetMode="External"/><Relationship Id="rId59" Type="http://schemas.openxmlformats.org/officeDocument/2006/relationships/header" Target="header1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vfdtf001\DTF_DATA02$\TRIM\Accounting%20Policy_BFM\STATE%20BUDGET%20(WoVG)\ACCOUNTING%20(WoVG)\Newsletter\36%20June%202019\Trend%20Analysis%20include%20wage%20inflation%20June%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sz="800"/>
            </a:pPr>
            <a:r>
              <a:rPr lang="en-AU" sz="800"/>
              <a:t>Wage inflation and annual effective discount rate for </a:t>
            </a:r>
            <a:br>
              <a:rPr lang="en-AU" sz="800"/>
            </a:br>
            <a:r>
              <a:rPr lang="en-AU" sz="800"/>
              <a:t>employee benefits calculations</a:t>
            </a:r>
          </a:p>
        </c:rich>
      </c:tx>
      <c:layout>
        <c:manualLayout>
          <c:xMode val="edge"/>
          <c:yMode val="edge"/>
          <c:x val="0.29575368715760847"/>
          <c:y val="6.2995202372510628E-3"/>
        </c:manualLayout>
      </c:layout>
      <c:overlay val="1"/>
    </c:title>
    <c:autoTitleDeleted val="0"/>
    <c:plotArea>
      <c:layout>
        <c:manualLayout>
          <c:layoutTarget val="inner"/>
          <c:xMode val="edge"/>
          <c:yMode val="edge"/>
          <c:x val="0.11347546672944951"/>
          <c:y val="0.13990275500342067"/>
          <c:w val="0.82730225713432037"/>
          <c:h val="0.71814376885249176"/>
        </c:manualLayout>
      </c:layout>
      <c:lineChart>
        <c:grouping val="standard"/>
        <c:varyColors val="0"/>
        <c:ser>
          <c:idx val="0"/>
          <c:order val="0"/>
          <c:tx>
            <c:strRef>
              <c:f>'Sheet1 (2)'!$C$3</c:f>
              <c:strCache>
                <c:ptCount val="1"/>
                <c:pt idx="0">
                  <c:v>Annual discount rate</c:v>
                </c:pt>
              </c:strCache>
            </c:strRef>
          </c:tx>
          <c:spPr>
            <a:ln w="19050"/>
          </c:spPr>
          <c:marker>
            <c:spPr>
              <a:ln w="19050"/>
            </c:spPr>
          </c:marker>
          <c:dLbls>
            <c:delete val="1"/>
          </c:dLbls>
          <c:cat>
            <c:numRef>
              <c:f>'Sheet1 (2)'!$B$4:$B$38</c:f>
              <c:numCache>
                <c:formatCode>mmm\-yy</c:formatCode>
                <c:ptCount val="15"/>
                <c:pt idx="0">
                  <c:v>42643</c:v>
                </c:pt>
                <c:pt idx="1">
                  <c:v>42735</c:v>
                </c:pt>
                <c:pt idx="2">
                  <c:v>42825</c:v>
                </c:pt>
                <c:pt idx="3">
                  <c:v>42887</c:v>
                </c:pt>
                <c:pt idx="4">
                  <c:v>42979</c:v>
                </c:pt>
                <c:pt idx="5">
                  <c:v>43070</c:v>
                </c:pt>
                <c:pt idx="6">
                  <c:v>43160</c:v>
                </c:pt>
                <c:pt idx="7">
                  <c:v>43252</c:v>
                </c:pt>
                <c:pt idx="8">
                  <c:v>43344</c:v>
                </c:pt>
                <c:pt idx="9">
                  <c:v>43435</c:v>
                </c:pt>
                <c:pt idx="10">
                  <c:v>43556</c:v>
                </c:pt>
                <c:pt idx="11">
                  <c:v>43586</c:v>
                </c:pt>
                <c:pt idx="12">
                  <c:v>43617</c:v>
                </c:pt>
                <c:pt idx="13">
                  <c:v>43709</c:v>
                </c:pt>
                <c:pt idx="14">
                  <c:v>43800</c:v>
                </c:pt>
              </c:numCache>
            </c:numRef>
          </c:cat>
          <c:val>
            <c:numRef>
              <c:f>'Sheet1 (2)'!$C$4:$C$38</c:f>
              <c:numCache>
                <c:formatCode>0.000</c:formatCode>
                <c:ptCount val="15"/>
                <c:pt idx="0">
                  <c:v>1.9139999999999999</c:v>
                </c:pt>
                <c:pt idx="1">
                  <c:v>2.7229999999999999</c:v>
                </c:pt>
                <c:pt idx="2">
                  <c:v>2.5920000000000001</c:v>
                </c:pt>
                <c:pt idx="3" formatCode="General">
                  <c:v>2.6120000000000001</c:v>
                </c:pt>
                <c:pt idx="4" formatCode="General">
                  <c:v>2.8039999999999998</c:v>
                </c:pt>
                <c:pt idx="5" formatCode="General">
                  <c:v>2.6829999999999998</c:v>
                </c:pt>
                <c:pt idx="6" formatCode="General">
                  <c:v>2.617</c:v>
                </c:pt>
                <c:pt idx="7" formatCode="General">
                  <c:v>2.6469999999999998</c:v>
                </c:pt>
                <c:pt idx="8" formatCode="General">
                  <c:v>2.6880000000000002</c:v>
                </c:pt>
                <c:pt idx="9" formatCode="General">
                  <c:v>2.3330000000000002</c:v>
                </c:pt>
                <c:pt idx="10" formatCode="General">
                  <c:v>1.7929999999999999</c:v>
                </c:pt>
                <c:pt idx="11">
                  <c:v>1.46</c:v>
                </c:pt>
                <c:pt idx="12" formatCode="General">
                  <c:v>1.3240000000000001</c:v>
                </c:pt>
                <c:pt idx="13" formatCode="General">
                  <c:v>1.028</c:v>
                </c:pt>
                <c:pt idx="14" formatCode="General">
                  <c:v>1.39</c:v>
                </c:pt>
              </c:numCache>
            </c:numRef>
          </c:val>
          <c:smooth val="0"/>
          <c:extLst>
            <c:ext xmlns:c16="http://schemas.microsoft.com/office/drawing/2014/chart" uri="{C3380CC4-5D6E-409C-BE32-E72D297353CC}">
              <c16:uniqueId val="{00000000-7F79-47CA-A327-B7706C0A7770}"/>
            </c:ext>
          </c:extLst>
        </c:ser>
        <c:ser>
          <c:idx val="1"/>
          <c:order val="1"/>
          <c:tx>
            <c:strRef>
              <c:f>'Sheet1 (2)'!$D$3</c:f>
              <c:strCache>
                <c:ptCount val="1"/>
                <c:pt idx="0">
                  <c:v>Wage inflation rate</c:v>
                </c:pt>
              </c:strCache>
            </c:strRef>
          </c:tx>
          <c:spPr>
            <a:ln w="19050"/>
          </c:spPr>
          <c:marker>
            <c:symbol val="square"/>
            <c:size val="4"/>
            <c:spPr>
              <a:ln w="19050"/>
            </c:spPr>
          </c:marker>
          <c:dLbls>
            <c:delete val="1"/>
          </c:dLbls>
          <c:cat>
            <c:numRef>
              <c:f>'Sheet1 (2)'!$B$4:$B$38</c:f>
              <c:numCache>
                <c:formatCode>mmm\-yy</c:formatCode>
                <c:ptCount val="15"/>
                <c:pt idx="0">
                  <c:v>42643</c:v>
                </c:pt>
                <c:pt idx="1">
                  <c:v>42735</c:v>
                </c:pt>
                <c:pt idx="2">
                  <c:v>42825</c:v>
                </c:pt>
                <c:pt idx="3">
                  <c:v>42887</c:v>
                </c:pt>
                <c:pt idx="4">
                  <c:v>42979</c:v>
                </c:pt>
                <c:pt idx="5">
                  <c:v>43070</c:v>
                </c:pt>
                <c:pt idx="6">
                  <c:v>43160</c:v>
                </c:pt>
                <c:pt idx="7">
                  <c:v>43252</c:v>
                </c:pt>
                <c:pt idx="8">
                  <c:v>43344</c:v>
                </c:pt>
                <c:pt idx="9">
                  <c:v>43435</c:v>
                </c:pt>
                <c:pt idx="10">
                  <c:v>43556</c:v>
                </c:pt>
                <c:pt idx="11">
                  <c:v>43586</c:v>
                </c:pt>
                <c:pt idx="12">
                  <c:v>43617</c:v>
                </c:pt>
                <c:pt idx="13">
                  <c:v>43709</c:v>
                </c:pt>
                <c:pt idx="14">
                  <c:v>43800</c:v>
                </c:pt>
              </c:numCache>
            </c:numRef>
          </c:cat>
          <c:val>
            <c:numRef>
              <c:f>'Sheet1 (2)'!$D$4:$D$38</c:f>
              <c:numCache>
                <c:formatCode>0.000</c:formatCode>
                <c:ptCount val="15"/>
                <c:pt idx="0">
                  <c:v>4.125</c:v>
                </c:pt>
                <c:pt idx="1">
                  <c:v>3.8130000000000002</c:v>
                </c:pt>
                <c:pt idx="2">
                  <c:v>3.8130000000000002</c:v>
                </c:pt>
                <c:pt idx="3" formatCode="General">
                  <c:v>3.8130000000000002</c:v>
                </c:pt>
                <c:pt idx="4" formatCode="General">
                  <c:v>3.8130000000000002</c:v>
                </c:pt>
                <c:pt idx="5" formatCode="General">
                  <c:v>3.625</c:v>
                </c:pt>
                <c:pt idx="6" formatCode="General">
                  <c:v>3.625</c:v>
                </c:pt>
                <c:pt idx="7" formatCode="General">
                  <c:v>3.875</c:v>
                </c:pt>
                <c:pt idx="8" formatCode="General">
                  <c:v>3.875</c:v>
                </c:pt>
                <c:pt idx="9" formatCode="General">
                  <c:v>4.125</c:v>
                </c:pt>
                <c:pt idx="10" formatCode="General">
                  <c:v>4.125</c:v>
                </c:pt>
                <c:pt idx="11" formatCode="General">
                  <c:v>4.3129999999999997</c:v>
                </c:pt>
                <c:pt idx="12" formatCode="General">
                  <c:v>4.3129999999999997</c:v>
                </c:pt>
                <c:pt idx="13" formatCode="General">
                  <c:v>4.3129999999999997</c:v>
                </c:pt>
                <c:pt idx="14" formatCode="General">
                  <c:v>4.25</c:v>
                </c:pt>
              </c:numCache>
            </c:numRef>
          </c:val>
          <c:smooth val="0"/>
          <c:extLst>
            <c:ext xmlns:c16="http://schemas.microsoft.com/office/drawing/2014/chart" uri="{C3380CC4-5D6E-409C-BE32-E72D297353CC}">
              <c16:uniqueId val="{00000001-7F79-47CA-A327-B7706C0A7770}"/>
            </c:ext>
          </c:extLst>
        </c:ser>
        <c:dLbls>
          <c:dLblPos val="t"/>
          <c:showLegendKey val="0"/>
          <c:showVal val="1"/>
          <c:showCatName val="0"/>
          <c:showSerName val="0"/>
          <c:showPercent val="0"/>
          <c:showBubbleSize val="0"/>
        </c:dLbls>
        <c:marker val="1"/>
        <c:smooth val="0"/>
        <c:axId val="80713600"/>
        <c:axId val="80719872"/>
      </c:lineChart>
      <c:catAx>
        <c:axId val="80713600"/>
        <c:scaling>
          <c:orientation val="minMax"/>
        </c:scaling>
        <c:delete val="0"/>
        <c:axPos val="b"/>
        <c:numFmt formatCode="mmm\-yy" sourceLinked="1"/>
        <c:majorTickMark val="out"/>
        <c:minorTickMark val="none"/>
        <c:tickLblPos val="nextTo"/>
        <c:txPr>
          <a:bodyPr rot="0" vert="horz"/>
          <a:lstStyle/>
          <a:p>
            <a:pPr>
              <a:defRPr sz="750"/>
            </a:pPr>
            <a:endParaRPr lang="en-US"/>
          </a:p>
        </c:txPr>
        <c:crossAx val="80719872"/>
        <c:crosses val="autoZero"/>
        <c:auto val="0"/>
        <c:lblAlgn val="ctr"/>
        <c:lblOffset val="100"/>
        <c:noMultiLvlLbl val="0"/>
      </c:catAx>
      <c:valAx>
        <c:axId val="80719872"/>
        <c:scaling>
          <c:orientation val="minMax"/>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sz="800"/>
            </a:pPr>
            <a:endParaRPr lang="en-US"/>
          </a:p>
        </c:txPr>
        <c:crossAx val="80713600"/>
        <c:crosses val="autoZero"/>
        <c:crossBetween val="midCat"/>
      </c:valAx>
    </c:plotArea>
    <c:legend>
      <c:legendPos val="r"/>
      <c:layout>
        <c:manualLayout>
          <c:xMode val="edge"/>
          <c:yMode val="edge"/>
          <c:x val="0.16632826372946966"/>
          <c:y val="0.93183894181901972"/>
          <c:w val="0.68411215774026457"/>
          <c:h val="5.765296517402875E-2"/>
        </c:manualLayout>
      </c:layout>
      <c:overlay val="0"/>
      <c:txPr>
        <a:bodyPr/>
        <a:lstStyle/>
        <a:p>
          <a:pPr>
            <a:defRPr sz="800"/>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0.01107</cdr:x>
      <cdr:y>0.40899</cdr:y>
    </cdr:from>
    <cdr:to>
      <cdr:x>0.0421</cdr:x>
      <cdr:y>0.59208</cdr:y>
    </cdr:to>
    <cdr:sp macro="" textlink="">
      <cdr:nvSpPr>
        <cdr:cNvPr id="2" name="TextBox 1"/>
        <cdr:cNvSpPr txBox="1"/>
      </cdr:nvSpPr>
      <cdr:spPr>
        <a:xfrm xmlns:a="http://schemas.openxmlformats.org/drawingml/2006/main" rot="16200000">
          <a:off x="-185304" y="1757717"/>
          <a:ext cx="675491" cy="177880"/>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r>
            <a:rPr lang="en-AU" sz="800" b="0" i="1"/>
            <a:t>per cent</a:t>
          </a:r>
        </a:p>
      </cdr:txBody>
    </cdr:sp>
  </cdr:relSizeAnchor>
</c:userShape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48292-89B8-4F0A-A3B1-1BDD3C3B067B}">
  <ds:schemaRefs>
    <ds:schemaRef ds:uri="http://www.w3.org/2001/XMLSchema"/>
  </ds:schemaRefs>
</ds:datastoreItem>
</file>

<file path=customXml/itemProps2.xml><?xml version="1.0" encoding="utf-8"?>
<ds:datastoreItem xmlns:ds="http://schemas.openxmlformats.org/officeDocument/2006/customXml" ds:itemID="{1866163A-8F99-4CF8-834C-AC23B2E9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1</TotalTime>
  <Pages>12</Pages>
  <Words>5824</Words>
  <Characters>33202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lastModifiedBy>Thomas McGowan (DTF)</cp:lastModifiedBy>
  <cp:revision>3</cp:revision>
  <cp:lastPrinted>2019-12-11T00:04:00Z</cp:lastPrinted>
  <dcterms:created xsi:type="dcterms:W3CDTF">2020-02-26T23:59:00Z</dcterms:created>
  <dcterms:modified xsi:type="dcterms:W3CDTF">2020-02-27T00:03:00Z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18faa5ad-1197-47c4-8cca-3caa9ee7dadd</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a0c8a985-0a2b-4d80-962b-fbab263ca2b4_Enabled">
    <vt:lpwstr>True</vt:lpwstr>
  </property>
  <property fmtid="{D5CDD505-2E9C-101B-9397-08002B2CF9AE}" pid="6" name="MSIP_Label_a0c8a985-0a2b-4d80-962b-fbab263ca2b4_SiteId">
    <vt:lpwstr>722ea0be-3e1c-4b11-ad6f-9401d6856e24</vt:lpwstr>
  </property>
  <property fmtid="{D5CDD505-2E9C-101B-9397-08002B2CF9AE}" pid="7" name="MSIP_Label_a0c8a985-0a2b-4d80-962b-fbab263ca2b4_Owner">
    <vt:lpwstr>zain.kazmi@dtf.vic.gov.au</vt:lpwstr>
  </property>
  <property fmtid="{D5CDD505-2E9C-101B-9397-08002B2CF9AE}" pid="8" name="MSIP_Label_a0c8a985-0a2b-4d80-962b-fbab263ca2b4_SetDate">
    <vt:lpwstr>2019-10-24T00:22:50.5385204Z</vt:lpwstr>
  </property>
  <property fmtid="{D5CDD505-2E9C-101B-9397-08002B2CF9AE}" pid="9" name="MSIP_Label_a0c8a985-0a2b-4d80-962b-fbab263ca2b4_Name">
    <vt:lpwstr>Unofficial</vt:lpwstr>
  </property>
  <property fmtid="{D5CDD505-2E9C-101B-9397-08002B2CF9AE}" pid="10" name="MSIP_Label_a0c8a985-0a2b-4d80-962b-fbab263ca2b4_Application">
    <vt:lpwstr>Microsoft Azure Information Protection</vt:lpwstr>
  </property>
  <property fmtid="{D5CDD505-2E9C-101B-9397-08002B2CF9AE}" pid="11" name="MSIP_Label_a0c8a985-0a2b-4d80-962b-fbab263ca2b4_Extended_MSFT_Method">
    <vt:lpwstr>Manual</vt:lpwstr>
  </property>
  <property fmtid="{D5CDD505-2E9C-101B-9397-08002B2CF9AE}" pid="12" name="Sensitivity">
    <vt:lpwstr>Unofficial</vt:lpwstr>
  </property>
</Properties>
</file>