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19746" w14:textId="347B355C" w:rsidR="009255F4" w:rsidRPr="000665EA" w:rsidRDefault="00101796" w:rsidP="000665EA">
      <w:pPr>
        <w:pStyle w:val="Titlemainorange"/>
        <w:ind w:left="-360" w:right="209"/>
        <w:rPr>
          <w:b w:val="0"/>
          <w:bCs/>
          <w:color w:val="E35205"/>
          <w:sz w:val="40"/>
          <w:szCs w:val="40"/>
        </w:rPr>
      </w:pPr>
      <w:r w:rsidRPr="000665EA">
        <w:rPr>
          <w:b w:val="0"/>
          <w:bCs/>
          <w:color w:val="E35205"/>
          <w:sz w:val="40"/>
          <w:szCs w:val="40"/>
        </w:rPr>
        <w:t>DEPARTMENT</w:t>
      </w:r>
      <w:r w:rsidR="00E761C6" w:rsidRPr="000665EA">
        <w:rPr>
          <w:b w:val="0"/>
          <w:bCs/>
          <w:color w:val="E35205"/>
          <w:sz w:val="40"/>
          <w:szCs w:val="40"/>
        </w:rPr>
        <w:t xml:space="preserve"> OF TREASURY</w:t>
      </w:r>
      <w:r w:rsidR="00FE696C" w:rsidRPr="000665EA">
        <w:rPr>
          <w:b w:val="0"/>
          <w:bCs/>
          <w:color w:val="E35205"/>
          <w:sz w:val="40"/>
          <w:szCs w:val="40"/>
        </w:rPr>
        <w:t xml:space="preserve"> </w:t>
      </w:r>
      <w:r w:rsidRPr="000665EA">
        <w:rPr>
          <w:b w:val="0"/>
          <w:bCs/>
          <w:color w:val="E35205"/>
          <w:sz w:val="40"/>
          <w:szCs w:val="40"/>
        </w:rPr>
        <w:t>AND FINANCE</w:t>
      </w:r>
    </w:p>
    <w:p w14:paraId="3B1C9499" w14:textId="77777777" w:rsidR="00D250EC" w:rsidRPr="000665EA" w:rsidRDefault="00D250EC" w:rsidP="000665EA">
      <w:pPr>
        <w:pStyle w:val="Titlemain"/>
        <w:spacing w:line="192" w:lineRule="auto"/>
        <w:ind w:left="-360" w:right="-601"/>
        <w:rPr>
          <w:b w:val="0"/>
          <w:bCs/>
          <w:caps/>
          <w:sz w:val="68"/>
          <w:szCs w:val="68"/>
        </w:rPr>
      </w:pPr>
      <w:r w:rsidRPr="000665EA">
        <w:rPr>
          <w:b w:val="0"/>
          <w:bCs/>
          <w:caps/>
          <w:sz w:val="68"/>
          <w:szCs w:val="68"/>
        </w:rPr>
        <w:t xml:space="preserve">Self-determination plan </w:t>
      </w:r>
    </w:p>
    <w:p w14:paraId="1565381E" w14:textId="1DCEF2E6" w:rsidR="009255F4" w:rsidRPr="000665EA" w:rsidRDefault="00D250EC" w:rsidP="000665EA">
      <w:pPr>
        <w:pStyle w:val="Titlemain"/>
        <w:spacing w:line="192" w:lineRule="auto"/>
        <w:ind w:left="-360" w:right="479"/>
        <w:rPr>
          <w:b w:val="0"/>
          <w:bCs/>
          <w:caps/>
          <w:color w:val="E35205"/>
        </w:rPr>
      </w:pPr>
      <w:r w:rsidRPr="000665EA">
        <w:rPr>
          <w:b w:val="0"/>
          <w:bCs/>
          <w:caps/>
          <w:color w:val="E35205"/>
        </w:rPr>
        <w:t>Advancing self</w:t>
      </w:r>
      <w:r w:rsidR="006E299A" w:rsidRPr="000665EA">
        <w:rPr>
          <w:b w:val="0"/>
          <w:bCs/>
          <w:caps/>
          <w:color w:val="E35205"/>
        </w:rPr>
        <w:noBreakHyphen/>
      </w:r>
      <w:r w:rsidRPr="000665EA">
        <w:rPr>
          <w:b w:val="0"/>
          <w:bCs/>
          <w:caps/>
          <w:color w:val="E35205"/>
        </w:rPr>
        <w:t>determination in DTF</w:t>
      </w:r>
    </w:p>
    <w:p w14:paraId="6FC49791" w14:textId="77777777" w:rsidR="00AC05AF" w:rsidRDefault="00AC05AF" w:rsidP="006E299A">
      <w:pPr>
        <w:pStyle w:val="Copyrighttext"/>
        <w:pageBreakBefore/>
      </w:pPr>
    </w:p>
    <w:p w14:paraId="103F6189" w14:textId="77777777" w:rsidR="00734F40" w:rsidRDefault="00734F40" w:rsidP="00734F40">
      <w:pPr>
        <w:pStyle w:val="Copyrighttext"/>
        <w:rPr>
          <w:rFonts w:asciiTheme="minorHAnsi" w:hAnsiTheme="minorHAnsi"/>
          <w:b/>
          <w:bCs/>
        </w:rPr>
      </w:pPr>
    </w:p>
    <w:p w14:paraId="4FDABF9A" w14:textId="77777777" w:rsidR="00734F40" w:rsidRDefault="00734F40" w:rsidP="00734F40">
      <w:pPr>
        <w:pStyle w:val="Copyrighttext"/>
        <w:rPr>
          <w:rFonts w:asciiTheme="minorHAnsi" w:hAnsiTheme="minorHAnsi"/>
          <w:b/>
          <w:bCs/>
        </w:rPr>
      </w:pPr>
    </w:p>
    <w:p w14:paraId="40E7409D" w14:textId="77777777" w:rsidR="00734F40" w:rsidRDefault="00734F40" w:rsidP="00734F40">
      <w:r w:rsidRPr="008B1965">
        <w:rPr>
          <w:b/>
          <w:bCs/>
        </w:rPr>
        <w:t>Artwork</w:t>
      </w:r>
      <w:r>
        <w:rPr>
          <w:b/>
          <w:bCs/>
        </w:rPr>
        <w:t xml:space="preserve"> Acknowledgement</w:t>
      </w:r>
    </w:p>
    <w:p w14:paraId="4DCC18C0" w14:textId="77777777" w:rsidR="00734F40" w:rsidRPr="008B1965" w:rsidRDefault="00734F40" w:rsidP="00734F40">
      <w:pPr>
        <w:pStyle w:val="Copyrighttext"/>
        <w:rPr>
          <w:rFonts w:asciiTheme="minorHAnsi" w:hAnsiTheme="minorHAnsi"/>
        </w:rPr>
      </w:pPr>
      <w:r w:rsidRPr="008B1965">
        <w:rPr>
          <w:rFonts w:asciiTheme="minorHAnsi" w:hAnsiTheme="minorHAnsi"/>
        </w:rPr>
        <w:t>Dixon Patten Jnr</w:t>
      </w:r>
    </w:p>
    <w:p w14:paraId="29DE53B2" w14:textId="77777777" w:rsidR="00734F40" w:rsidRPr="008B1965" w:rsidRDefault="00734F40" w:rsidP="00734F40">
      <w:pPr>
        <w:pStyle w:val="Copyrighttext"/>
        <w:rPr>
          <w:rFonts w:asciiTheme="minorHAnsi" w:hAnsiTheme="minorHAnsi"/>
        </w:rPr>
      </w:pPr>
      <w:r w:rsidRPr="008B1965">
        <w:rPr>
          <w:rFonts w:asciiTheme="minorHAnsi" w:hAnsiTheme="minorHAnsi"/>
        </w:rPr>
        <w:t xml:space="preserve">Yorta </w:t>
      </w:r>
      <w:proofErr w:type="spellStart"/>
      <w:r w:rsidRPr="008B1965">
        <w:rPr>
          <w:rFonts w:asciiTheme="minorHAnsi" w:hAnsiTheme="minorHAnsi"/>
        </w:rPr>
        <w:t>Yorta</w:t>
      </w:r>
      <w:proofErr w:type="spellEnd"/>
      <w:r w:rsidRPr="008B1965">
        <w:rPr>
          <w:rFonts w:asciiTheme="minorHAnsi" w:hAnsiTheme="minorHAnsi"/>
        </w:rPr>
        <w:t xml:space="preserve">, </w:t>
      </w:r>
      <w:proofErr w:type="spellStart"/>
      <w:r w:rsidRPr="008B1965">
        <w:rPr>
          <w:rFonts w:asciiTheme="minorHAnsi" w:hAnsiTheme="minorHAnsi"/>
        </w:rPr>
        <w:t>Gunnai</w:t>
      </w:r>
      <w:proofErr w:type="spellEnd"/>
      <w:r w:rsidRPr="008B1965">
        <w:rPr>
          <w:rFonts w:asciiTheme="minorHAnsi" w:hAnsiTheme="minorHAnsi"/>
        </w:rPr>
        <w:t xml:space="preserve">, </w:t>
      </w:r>
      <w:proofErr w:type="spellStart"/>
      <w:r w:rsidRPr="008B1965">
        <w:rPr>
          <w:rFonts w:asciiTheme="minorHAnsi" w:hAnsiTheme="minorHAnsi"/>
        </w:rPr>
        <w:t>Gunditjmara</w:t>
      </w:r>
      <w:proofErr w:type="spellEnd"/>
      <w:r w:rsidRPr="008B1965">
        <w:rPr>
          <w:rFonts w:asciiTheme="minorHAnsi" w:hAnsiTheme="minorHAnsi"/>
        </w:rPr>
        <w:t xml:space="preserve"> and </w:t>
      </w:r>
      <w:proofErr w:type="spellStart"/>
      <w:r w:rsidRPr="008B1965">
        <w:rPr>
          <w:rFonts w:asciiTheme="minorHAnsi" w:hAnsiTheme="minorHAnsi"/>
        </w:rPr>
        <w:t>Dhudhuroa</w:t>
      </w:r>
      <w:proofErr w:type="spellEnd"/>
    </w:p>
    <w:p w14:paraId="513D9440" w14:textId="77777777" w:rsidR="00734F40" w:rsidRPr="008B1965" w:rsidRDefault="00734F40" w:rsidP="00734F40">
      <w:pPr>
        <w:pStyle w:val="Copyrighttext"/>
        <w:rPr>
          <w:rFonts w:asciiTheme="minorHAnsi" w:hAnsiTheme="minorHAnsi"/>
        </w:rPr>
      </w:pPr>
      <w:r w:rsidRPr="008B1965">
        <w:rPr>
          <w:rFonts w:asciiTheme="minorHAnsi" w:hAnsiTheme="minorHAnsi"/>
        </w:rPr>
        <w:t xml:space="preserve">of </w:t>
      </w:r>
      <w:proofErr w:type="spellStart"/>
      <w:r w:rsidRPr="008B1965">
        <w:rPr>
          <w:rFonts w:asciiTheme="minorHAnsi" w:hAnsiTheme="minorHAnsi"/>
        </w:rPr>
        <w:t>Bayila</w:t>
      </w:r>
      <w:proofErr w:type="spellEnd"/>
      <w:r w:rsidRPr="008B1965">
        <w:rPr>
          <w:rFonts w:asciiTheme="minorHAnsi" w:hAnsiTheme="minorHAnsi"/>
        </w:rPr>
        <w:t xml:space="preserve"> Creative</w:t>
      </w:r>
    </w:p>
    <w:p w14:paraId="426D4B1E" w14:textId="0B5DA7C3" w:rsidR="00734F40" w:rsidRDefault="00734F40" w:rsidP="00734F40">
      <w:pPr>
        <w:pStyle w:val="Copyrighttext"/>
        <w:rPr>
          <w:rFonts w:asciiTheme="minorHAnsi" w:hAnsiTheme="minorHAnsi"/>
        </w:rPr>
      </w:pPr>
    </w:p>
    <w:p w14:paraId="595BACBF" w14:textId="77777777" w:rsidR="00734F40" w:rsidRDefault="00734F40" w:rsidP="00734F40">
      <w:r>
        <w:rPr>
          <w:b/>
          <w:bCs/>
        </w:rPr>
        <w:t>Art narrative</w:t>
      </w:r>
    </w:p>
    <w:p w14:paraId="75E79F01" w14:textId="5E609A0C" w:rsidR="00734F40" w:rsidRPr="008B1965" w:rsidRDefault="00734F40" w:rsidP="00734F40">
      <w:pPr>
        <w:spacing w:line="240" w:lineRule="auto"/>
        <w:rPr>
          <w:sz w:val="18"/>
          <w:szCs w:val="18"/>
        </w:rPr>
      </w:pPr>
      <w:r w:rsidRPr="008B1965">
        <w:rPr>
          <w:sz w:val="18"/>
          <w:szCs w:val="18"/>
        </w:rPr>
        <w:t xml:space="preserve">The artwork represents </w:t>
      </w:r>
      <w:r>
        <w:rPr>
          <w:sz w:val="18"/>
          <w:szCs w:val="18"/>
        </w:rPr>
        <w:t>the</w:t>
      </w:r>
      <w:r w:rsidRPr="008B1965">
        <w:rPr>
          <w:sz w:val="18"/>
          <w:szCs w:val="18"/>
        </w:rPr>
        <w:t xml:space="preserve"> Department of Treasury</w:t>
      </w:r>
      <w:r w:rsidR="00591623">
        <w:rPr>
          <w:sz w:val="18"/>
          <w:szCs w:val="18"/>
        </w:rPr>
        <w:t xml:space="preserve"> and Finance</w:t>
      </w:r>
      <w:r w:rsidRPr="008B1965">
        <w:rPr>
          <w:sz w:val="18"/>
          <w:szCs w:val="18"/>
        </w:rPr>
        <w:t xml:space="preserve">'s commitment to </w:t>
      </w:r>
      <w:r>
        <w:rPr>
          <w:sz w:val="18"/>
          <w:szCs w:val="18"/>
        </w:rPr>
        <w:t>C</w:t>
      </w:r>
      <w:r w:rsidRPr="008B1965">
        <w:rPr>
          <w:sz w:val="18"/>
          <w:szCs w:val="18"/>
        </w:rPr>
        <w:t xml:space="preserve">ultural </w:t>
      </w:r>
      <w:r>
        <w:rPr>
          <w:sz w:val="18"/>
          <w:szCs w:val="18"/>
        </w:rPr>
        <w:t>S</w:t>
      </w:r>
      <w:r w:rsidRPr="008B1965">
        <w:rPr>
          <w:sz w:val="18"/>
          <w:szCs w:val="18"/>
        </w:rPr>
        <w:t xml:space="preserve">afety, </w:t>
      </w:r>
      <w:r>
        <w:rPr>
          <w:sz w:val="18"/>
          <w:szCs w:val="18"/>
        </w:rPr>
        <w:t>A</w:t>
      </w:r>
      <w:r w:rsidRPr="008B1965">
        <w:rPr>
          <w:sz w:val="18"/>
          <w:szCs w:val="18"/>
        </w:rPr>
        <w:t xml:space="preserve">ccountability, </w:t>
      </w:r>
      <w:r>
        <w:rPr>
          <w:sz w:val="18"/>
          <w:szCs w:val="18"/>
        </w:rPr>
        <w:t>R</w:t>
      </w:r>
      <w:r w:rsidRPr="008B1965">
        <w:rPr>
          <w:sz w:val="18"/>
          <w:szCs w:val="18"/>
        </w:rPr>
        <w:t xml:space="preserve">espect and </w:t>
      </w:r>
      <w:r>
        <w:rPr>
          <w:sz w:val="18"/>
          <w:szCs w:val="18"/>
        </w:rPr>
        <w:t>C</w:t>
      </w:r>
      <w:r w:rsidRPr="008B1965">
        <w:rPr>
          <w:sz w:val="18"/>
          <w:szCs w:val="18"/>
        </w:rPr>
        <w:t xml:space="preserve">ollaboration. </w:t>
      </w:r>
    </w:p>
    <w:p w14:paraId="51CBD2C9" w14:textId="33D7BA0E" w:rsidR="00734F40" w:rsidRPr="008B1965" w:rsidRDefault="00734F40" w:rsidP="00734F40">
      <w:pPr>
        <w:spacing w:line="240" w:lineRule="auto"/>
        <w:rPr>
          <w:sz w:val="18"/>
          <w:szCs w:val="18"/>
        </w:rPr>
      </w:pPr>
      <w:r w:rsidRPr="008B1965">
        <w:rPr>
          <w:sz w:val="18"/>
          <w:szCs w:val="18"/>
        </w:rPr>
        <w:t>The various pathways depict our connection to one another and represents the Department of Treasury</w:t>
      </w:r>
      <w:r w:rsidR="00BB5645">
        <w:rPr>
          <w:sz w:val="18"/>
          <w:szCs w:val="18"/>
        </w:rPr>
        <w:t xml:space="preserve"> and Finance</w:t>
      </w:r>
      <w:r w:rsidR="00591623">
        <w:rPr>
          <w:sz w:val="18"/>
          <w:szCs w:val="18"/>
        </w:rPr>
        <w:t>’s</w:t>
      </w:r>
      <w:r w:rsidRPr="008B1965">
        <w:rPr>
          <w:sz w:val="18"/>
          <w:szCs w:val="18"/>
        </w:rPr>
        <w:t xml:space="preserve"> commitment to ensuring it promotes cultural safety and is an inclusive environment that is respectful and considerate of Aboriginal people. </w:t>
      </w:r>
    </w:p>
    <w:p w14:paraId="136258BE" w14:textId="27BBE075" w:rsidR="00734F40" w:rsidRPr="008B1965" w:rsidRDefault="00734F40" w:rsidP="00734F40">
      <w:pPr>
        <w:spacing w:line="240" w:lineRule="auto"/>
        <w:rPr>
          <w:sz w:val="18"/>
          <w:szCs w:val="18"/>
        </w:rPr>
      </w:pPr>
      <w:r w:rsidRPr="008B1965">
        <w:rPr>
          <w:sz w:val="18"/>
          <w:szCs w:val="18"/>
        </w:rPr>
        <w:t xml:space="preserve">The central circle represents the Department of Treasury </w:t>
      </w:r>
      <w:r w:rsidR="00BB5645">
        <w:rPr>
          <w:sz w:val="18"/>
          <w:szCs w:val="18"/>
        </w:rPr>
        <w:t xml:space="preserve">and Finance </w:t>
      </w:r>
      <w:r w:rsidRPr="008B1965">
        <w:rPr>
          <w:sz w:val="18"/>
          <w:szCs w:val="18"/>
        </w:rPr>
        <w:t>and the outer circles represent the diverse communities across the State of Victoria. The hands depict accountability and the feet represent being guided by Aboriginal cultural principles.</w:t>
      </w:r>
    </w:p>
    <w:p w14:paraId="5CE016FC" w14:textId="571EB256" w:rsidR="00FC28B9" w:rsidRDefault="00FC28B9" w:rsidP="00A45D7D">
      <w:pPr>
        <w:pStyle w:val="Copyrighttext"/>
        <w:rPr>
          <w:rFonts w:asciiTheme="minorHAnsi" w:hAnsiTheme="minorHAnsi"/>
        </w:rPr>
      </w:pPr>
    </w:p>
    <w:p w14:paraId="4FAC8367" w14:textId="2839F16B" w:rsidR="00734F40" w:rsidRDefault="00734F40" w:rsidP="00A45D7D">
      <w:pPr>
        <w:pStyle w:val="Copyrighttext"/>
        <w:rPr>
          <w:rFonts w:asciiTheme="minorHAnsi" w:hAnsiTheme="minorHAnsi"/>
        </w:rPr>
      </w:pPr>
    </w:p>
    <w:p w14:paraId="51EF5808" w14:textId="661113A7" w:rsidR="00734F40" w:rsidRDefault="00734F40" w:rsidP="00A45D7D">
      <w:pPr>
        <w:pStyle w:val="Copyrighttext"/>
        <w:rPr>
          <w:rFonts w:asciiTheme="minorHAnsi" w:hAnsiTheme="minorHAnsi"/>
        </w:rPr>
      </w:pPr>
    </w:p>
    <w:p w14:paraId="08EA52C7" w14:textId="77777777" w:rsidR="00734F40" w:rsidRDefault="00734F40" w:rsidP="00A45D7D">
      <w:pPr>
        <w:pStyle w:val="Copyrighttext"/>
        <w:rPr>
          <w:rFonts w:asciiTheme="minorHAnsi" w:hAnsiTheme="minorHAnsi"/>
        </w:rPr>
      </w:pPr>
    </w:p>
    <w:p w14:paraId="0DF6E3AF" w14:textId="77777777" w:rsidR="00734F40" w:rsidRDefault="00734F40" w:rsidP="00A45D7D">
      <w:pPr>
        <w:pStyle w:val="Copyrighttext"/>
        <w:rPr>
          <w:rFonts w:asciiTheme="minorHAnsi" w:hAnsiTheme="minorHAnsi"/>
        </w:rPr>
      </w:pPr>
    </w:p>
    <w:p w14:paraId="7C28D73C" w14:textId="77777777" w:rsidR="00734F40" w:rsidRDefault="00734F40" w:rsidP="00734F40">
      <w:pPr>
        <w:pStyle w:val="Copyrighttext"/>
        <w:rPr>
          <w:rFonts w:asciiTheme="minorHAnsi" w:hAnsiTheme="minorHAnsi"/>
        </w:rPr>
      </w:pPr>
      <w:r w:rsidRPr="00734F40">
        <w:rPr>
          <w:rFonts w:asciiTheme="minorHAnsi" w:hAnsiTheme="minorHAnsi"/>
        </w:rPr>
        <w:t xml:space="preserve">The Secretary </w:t>
      </w:r>
    </w:p>
    <w:p w14:paraId="06ACE2E3" w14:textId="4202B00E" w:rsidR="00734F40" w:rsidRPr="00734F40" w:rsidRDefault="00734F40" w:rsidP="00734F40">
      <w:pPr>
        <w:pStyle w:val="Copyrighttext"/>
        <w:rPr>
          <w:rFonts w:asciiTheme="minorHAnsi" w:hAnsiTheme="minorHAnsi"/>
        </w:rPr>
      </w:pPr>
      <w:r w:rsidRPr="00734F40">
        <w:rPr>
          <w:rFonts w:asciiTheme="minorHAnsi" w:hAnsiTheme="minorHAnsi"/>
        </w:rPr>
        <w:t xml:space="preserve">Department of Treasury and Finance </w:t>
      </w:r>
    </w:p>
    <w:p w14:paraId="3188D131" w14:textId="77777777" w:rsidR="00734F40" w:rsidRPr="00B45B51" w:rsidRDefault="00734F40" w:rsidP="00734F40">
      <w:pPr>
        <w:pStyle w:val="Copyrighttext"/>
        <w:rPr>
          <w:rFonts w:asciiTheme="minorHAnsi" w:hAnsiTheme="minorHAnsi"/>
        </w:rPr>
      </w:pPr>
      <w:r w:rsidRPr="00B45B51">
        <w:rPr>
          <w:rFonts w:asciiTheme="minorHAnsi" w:hAnsiTheme="minorHAnsi"/>
        </w:rPr>
        <w:t xml:space="preserve">1 Treasury Place </w:t>
      </w:r>
    </w:p>
    <w:p w14:paraId="68CE1D84" w14:textId="55956AC6" w:rsidR="00734F40" w:rsidRPr="00734F40" w:rsidRDefault="00734F40" w:rsidP="00734F40">
      <w:pPr>
        <w:pStyle w:val="Copyrighttext"/>
        <w:rPr>
          <w:rFonts w:asciiTheme="minorHAnsi" w:hAnsiTheme="minorHAnsi"/>
        </w:rPr>
      </w:pPr>
      <w:r w:rsidRPr="00B45B51">
        <w:rPr>
          <w:rFonts w:asciiTheme="minorHAnsi" w:hAnsiTheme="minorHAnsi"/>
        </w:rPr>
        <w:t>Melbourne</w:t>
      </w:r>
      <w:r w:rsidR="00B45B51" w:rsidRPr="00ED61FD">
        <w:rPr>
          <w:rFonts w:asciiTheme="minorHAnsi" w:hAnsiTheme="minorHAnsi"/>
        </w:rPr>
        <w:t>,</w:t>
      </w:r>
      <w:r w:rsidRPr="00B45B51">
        <w:rPr>
          <w:rFonts w:asciiTheme="minorHAnsi" w:hAnsiTheme="minorHAnsi"/>
        </w:rPr>
        <w:t xml:space="preserve"> Victoria, 3002</w:t>
      </w:r>
      <w:r w:rsidR="00B45B51" w:rsidRPr="00ED61FD">
        <w:rPr>
          <w:rFonts w:asciiTheme="minorHAnsi" w:hAnsiTheme="minorHAnsi"/>
        </w:rPr>
        <w:t>,</w:t>
      </w:r>
      <w:r w:rsidRPr="00B45B51">
        <w:rPr>
          <w:rFonts w:asciiTheme="minorHAnsi" w:hAnsiTheme="minorHAnsi"/>
        </w:rPr>
        <w:t xml:space="preserve"> Australia</w:t>
      </w:r>
    </w:p>
    <w:p w14:paraId="464F2D31" w14:textId="77777777" w:rsidR="00734F40" w:rsidRPr="00ED61FD" w:rsidRDefault="00734F40" w:rsidP="00734F40">
      <w:pPr>
        <w:pStyle w:val="Copyrighttext"/>
        <w:rPr>
          <w:rFonts w:asciiTheme="minorHAnsi" w:hAnsiTheme="minorHAnsi"/>
        </w:rPr>
      </w:pPr>
      <w:r w:rsidRPr="00ED61FD">
        <w:rPr>
          <w:rFonts w:asciiTheme="minorHAnsi" w:hAnsiTheme="minorHAnsi"/>
        </w:rPr>
        <w:t xml:space="preserve">Telephone: +61 3 9651 5111 </w:t>
      </w:r>
    </w:p>
    <w:p w14:paraId="66857B47" w14:textId="77777777" w:rsidR="00734F40" w:rsidRPr="00734F40" w:rsidRDefault="00734F40" w:rsidP="00734F40">
      <w:pPr>
        <w:pStyle w:val="Copyrighttext"/>
        <w:rPr>
          <w:rFonts w:asciiTheme="minorHAnsi" w:hAnsiTheme="minorHAnsi"/>
        </w:rPr>
      </w:pPr>
      <w:r w:rsidRPr="00ED61FD">
        <w:rPr>
          <w:rFonts w:asciiTheme="minorHAnsi" w:hAnsiTheme="minorHAnsi"/>
        </w:rPr>
        <w:t>Facsimile: +61 3 9651 2062</w:t>
      </w:r>
      <w:r w:rsidRPr="00734F40">
        <w:rPr>
          <w:rFonts w:asciiTheme="minorHAnsi" w:hAnsiTheme="minorHAnsi"/>
        </w:rPr>
        <w:t xml:space="preserve"> </w:t>
      </w:r>
    </w:p>
    <w:p w14:paraId="122A85B2" w14:textId="45D603F2" w:rsidR="00734F40" w:rsidRDefault="00734F40" w:rsidP="00734F40">
      <w:pPr>
        <w:pStyle w:val="Copyrighttext"/>
        <w:rPr>
          <w:rFonts w:asciiTheme="minorHAnsi" w:hAnsiTheme="minorHAnsi"/>
        </w:rPr>
      </w:pPr>
      <w:r w:rsidRPr="00734F40">
        <w:rPr>
          <w:rFonts w:asciiTheme="minorHAnsi" w:hAnsiTheme="minorHAnsi"/>
        </w:rPr>
        <w:t>dtf.vic.gov.au</w:t>
      </w:r>
    </w:p>
    <w:p w14:paraId="3E622B2A" w14:textId="77777777" w:rsidR="00734F40" w:rsidRPr="00D250EC" w:rsidRDefault="00734F40" w:rsidP="00734F40">
      <w:pPr>
        <w:pStyle w:val="Copyrighttext"/>
        <w:rPr>
          <w:rFonts w:asciiTheme="minorHAnsi" w:hAnsiTheme="minorHAnsi"/>
        </w:rPr>
      </w:pPr>
    </w:p>
    <w:p w14:paraId="7E5653E7" w14:textId="03C4038D" w:rsidR="009255F4" w:rsidRPr="00D250EC" w:rsidRDefault="009255F4" w:rsidP="00A45D7D">
      <w:pPr>
        <w:pStyle w:val="Copyrighttext"/>
        <w:rPr>
          <w:rFonts w:asciiTheme="minorHAnsi" w:hAnsiTheme="minorHAnsi"/>
        </w:rPr>
      </w:pPr>
      <w:r w:rsidRPr="00D250EC">
        <w:rPr>
          <w:rFonts w:asciiTheme="minorHAnsi" w:hAnsiTheme="minorHAnsi"/>
        </w:rPr>
        <w:t xml:space="preserve">Authorised by the Victorian Government </w:t>
      </w:r>
      <w:r w:rsidR="00FE696C" w:rsidRPr="00D250EC">
        <w:rPr>
          <w:rFonts w:asciiTheme="minorHAnsi" w:hAnsiTheme="minorHAnsi"/>
        </w:rPr>
        <w:t xml:space="preserve"> </w:t>
      </w:r>
      <w:r w:rsidR="00D250EC" w:rsidRPr="00D250EC">
        <w:rPr>
          <w:rFonts w:asciiTheme="minorHAnsi" w:hAnsiTheme="minorHAnsi"/>
        </w:rPr>
        <w:br/>
      </w:r>
      <w:r w:rsidRPr="00D250EC">
        <w:rPr>
          <w:rFonts w:asciiTheme="minorHAnsi" w:hAnsiTheme="minorHAnsi"/>
        </w:rPr>
        <w:t xml:space="preserve">1 Treasury Place, Melbourne, 3002 </w:t>
      </w:r>
    </w:p>
    <w:p w14:paraId="65121A4E" w14:textId="77777777" w:rsidR="007C5DF1" w:rsidRPr="00D250EC" w:rsidRDefault="007C5DF1" w:rsidP="00A45D7D">
      <w:pPr>
        <w:pStyle w:val="Copyrighttext"/>
        <w:rPr>
          <w:rFonts w:asciiTheme="minorHAnsi" w:hAnsiTheme="minorHAnsi"/>
        </w:rPr>
      </w:pPr>
    </w:p>
    <w:p w14:paraId="7BACE115" w14:textId="77777777" w:rsidR="00D250EC" w:rsidRPr="00D250EC" w:rsidRDefault="00D250EC" w:rsidP="00D250EC">
      <w:pPr>
        <w:ind w:right="1826"/>
        <w:rPr>
          <w:rFonts w:cstheme="minorHAnsi"/>
          <w:sz w:val="19"/>
          <w:szCs w:val="19"/>
        </w:rPr>
      </w:pPr>
      <w:r w:rsidRPr="00D250EC">
        <w:rPr>
          <w:rFonts w:cstheme="minorHAnsi"/>
          <w:sz w:val="19"/>
          <w:szCs w:val="19"/>
        </w:rPr>
        <w:t>© State of Victoria 2020</w:t>
      </w:r>
    </w:p>
    <w:p w14:paraId="3243D20C" w14:textId="74EA50DA" w:rsidR="00D250EC" w:rsidRDefault="00D250EC" w:rsidP="00D250EC">
      <w:pPr>
        <w:ind w:right="1826"/>
        <w:rPr>
          <w:rFonts w:cstheme="minorHAnsi"/>
          <w:sz w:val="19"/>
          <w:szCs w:val="19"/>
        </w:rPr>
      </w:pPr>
      <w:r>
        <w:rPr>
          <w:rFonts w:cstheme="minorHAnsi"/>
          <w:noProof/>
          <w:sz w:val="19"/>
          <w:szCs w:val="19"/>
        </w:rPr>
        <w:drawing>
          <wp:inline distT="0" distB="0" distL="0" distR="0" wp14:anchorId="1EF016F1" wp14:editId="496A2783">
            <wp:extent cx="1108920" cy="387985"/>
            <wp:effectExtent l="0" t="0" r="0" b="0"/>
            <wp:docPr id="18" name="Picture 18">
              <a:hlinkClick xmlns:a="http://schemas.openxmlformats.org/drawingml/2006/main" r:id="rId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9"/>
                    </pic:cNvPr>
                    <pic:cNvPicPr>
                      <a:picLocks noChangeAspect="1" noChangeArrowheads="1"/>
                    </pic:cNvPicPr>
                  </pic:nvPicPr>
                  <pic:blipFill>
                    <a:blip r:embed="rId10"/>
                    <a:stretch>
                      <a:fillRect/>
                    </a:stretch>
                  </pic:blipFill>
                  <pic:spPr bwMode="auto">
                    <a:xfrm>
                      <a:off x="0" y="0"/>
                      <a:ext cx="1108920" cy="387985"/>
                    </a:xfrm>
                    <a:prstGeom prst="rect">
                      <a:avLst/>
                    </a:prstGeom>
                    <a:noFill/>
                    <a:ln>
                      <a:noFill/>
                    </a:ln>
                  </pic:spPr>
                </pic:pic>
              </a:graphicData>
            </a:graphic>
          </wp:inline>
        </w:drawing>
      </w:r>
      <w:r>
        <w:rPr>
          <w:rFonts w:cstheme="minorHAnsi"/>
          <w:sz w:val="19"/>
          <w:szCs w:val="19"/>
        </w:rPr>
        <w:t xml:space="preserve"> </w:t>
      </w:r>
    </w:p>
    <w:p w14:paraId="6EDDF418" w14:textId="77777777" w:rsidR="00D250EC" w:rsidRPr="00D250EC" w:rsidRDefault="00D250EC" w:rsidP="00D250EC">
      <w:pPr>
        <w:pStyle w:val="NormalTight"/>
      </w:pPr>
      <w:r w:rsidRPr="00D250EC">
        <w:t xml:space="preserve">You are free to re-use this work under a </w:t>
      </w:r>
      <w:hyperlink r:id="rId11" w:history="1">
        <w:r w:rsidRPr="00D250EC">
          <w:rPr>
            <w:rStyle w:val="Hyperlink"/>
            <w:rFonts w:asciiTheme="minorHAnsi" w:hAnsiTheme="minorHAnsi"/>
          </w:rPr>
          <w:t>Creative Commons Attribution 4.0 licence</w:t>
        </w:r>
      </w:hyperlink>
      <w:r w:rsidRPr="00D250EC">
        <w:rPr>
          <w:rStyle w:val="Hyperlink"/>
          <w:rFonts w:asciiTheme="minorHAnsi" w:hAnsiTheme="minorHAnsi"/>
        </w:rPr>
        <w:t>,</w:t>
      </w:r>
      <w:r w:rsidRPr="00D250EC">
        <w:t xml:space="preserve"> provided you credit the State of Victoria (Department of Treasury and Finance) as author, indicate if changes were made and comply with the other licence terms. The licence does not apply to any branding, including Government logos.</w:t>
      </w:r>
    </w:p>
    <w:p w14:paraId="53EA1F79" w14:textId="77777777" w:rsidR="00D250EC" w:rsidRPr="00D250EC" w:rsidRDefault="00D250EC" w:rsidP="00D250EC">
      <w:pPr>
        <w:pStyle w:val="NormalTight"/>
      </w:pPr>
    </w:p>
    <w:p w14:paraId="57C64E61" w14:textId="77777777" w:rsidR="00D250EC" w:rsidRPr="00D250EC" w:rsidRDefault="00D250EC" w:rsidP="00D250EC">
      <w:pPr>
        <w:pStyle w:val="NormalTight"/>
      </w:pPr>
      <w:r w:rsidRPr="00D250EC">
        <w:t xml:space="preserve">Copyright queries may be directed to </w:t>
      </w:r>
      <w:hyperlink r:id="rId12" w:history="1">
        <w:r w:rsidRPr="00D250EC">
          <w:rPr>
            <w:rStyle w:val="Hyperlink"/>
            <w:rFonts w:asciiTheme="minorHAnsi" w:hAnsiTheme="minorHAnsi" w:cstheme="minorHAnsi"/>
          </w:rPr>
          <w:t>IPpolicy@dtf.vic.gov.au</w:t>
        </w:r>
      </w:hyperlink>
    </w:p>
    <w:p w14:paraId="6DB9CEE1" w14:textId="77777777" w:rsidR="00D250EC" w:rsidRDefault="00D250EC" w:rsidP="00D250EC">
      <w:pPr>
        <w:pStyle w:val="NormalTight"/>
      </w:pPr>
    </w:p>
    <w:p w14:paraId="0C42804F" w14:textId="388F5448" w:rsidR="00D250EC" w:rsidRPr="006E299A" w:rsidRDefault="002115BC" w:rsidP="00D250EC">
      <w:pPr>
        <w:pStyle w:val="NormalTight"/>
        <w:rPr>
          <w:highlight w:val="yellow"/>
        </w:rPr>
      </w:pPr>
      <w:r w:rsidRPr="002115BC">
        <w:t>ISBN 978-1-925551-61-7 (</w:t>
      </w:r>
      <w:r w:rsidR="00070545">
        <w:t>PDF</w:t>
      </w:r>
      <w:r w:rsidRPr="002115BC">
        <w:t>/online/M</w:t>
      </w:r>
      <w:r w:rsidR="00070545">
        <w:t>icrosoft</w:t>
      </w:r>
      <w:r w:rsidRPr="002115BC">
        <w:t xml:space="preserve"> </w:t>
      </w:r>
      <w:r w:rsidR="00070545">
        <w:t>W</w:t>
      </w:r>
      <w:r w:rsidRPr="002115BC">
        <w:t>ord)</w:t>
      </w:r>
    </w:p>
    <w:p w14:paraId="6E40FFD5" w14:textId="49E0B0EE" w:rsidR="00D250EC" w:rsidRDefault="00D250EC" w:rsidP="00D250EC">
      <w:pPr>
        <w:pStyle w:val="NormalTight"/>
      </w:pPr>
      <w:r w:rsidRPr="002115BC">
        <w:t xml:space="preserve">Published </w:t>
      </w:r>
      <w:r w:rsidR="002115BC" w:rsidRPr="002115BC">
        <w:t xml:space="preserve">May </w:t>
      </w:r>
      <w:r w:rsidRPr="002115BC">
        <w:t>2020</w:t>
      </w:r>
    </w:p>
    <w:p w14:paraId="4EA383DE" w14:textId="77777777" w:rsidR="00D250EC" w:rsidRPr="00D250EC" w:rsidRDefault="00D250EC" w:rsidP="00D250EC">
      <w:pPr>
        <w:pStyle w:val="NormalTight"/>
      </w:pPr>
    </w:p>
    <w:p w14:paraId="7206AE4B" w14:textId="77777777" w:rsidR="00D250EC" w:rsidRPr="00D250EC" w:rsidRDefault="00D250EC" w:rsidP="00D250EC">
      <w:pPr>
        <w:pStyle w:val="NormalTight"/>
      </w:pPr>
      <w:r w:rsidRPr="00D250EC">
        <w:t xml:space="preserve">If you would like to receive this publication in an accessible format please email </w:t>
      </w:r>
      <w:hyperlink r:id="rId13" w:history="1">
        <w:r w:rsidRPr="00D250EC">
          <w:rPr>
            <w:rStyle w:val="Hyperlink"/>
            <w:rFonts w:asciiTheme="minorHAnsi" w:hAnsiTheme="minorHAnsi"/>
          </w:rPr>
          <w:t>information@dtf.vic.gov.au</w:t>
        </w:r>
      </w:hyperlink>
      <w:r w:rsidRPr="00D250EC">
        <w:t xml:space="preserve"> </w:t>
      </w:r>
    </w:p>
    <w:p w14:paraId="05595A80" w14:textId="77777777" w:rsidR="00D250EC" w:rsidRPr="00D250EC" w:rsidRDefault="00D250EC" w:rsidP="00D250EC">
      <w:pPr>
        <w:pStyle w:val="NormalTight"/>
      </w:pPr>
    </w:p>
    <w:p w14:paraId="19200474" w14:textId="4FF19FAA" w:rsidR="00FE696C" w:rsidRDefault="00D250EC" w:rsidP="00D250EC">
      <w:pPr>
        <w:pStyle w:val="Copyrighttext"/>
        <w:tabs>
          <w:tab w:val="left" w:pos="7560"/>
        </w:tabs>
        <w:ind w:right="2576"/>
        <w:rPr>
          <w:rStyle w:val="Hyperlink"/>
        </w:rPr>
      </w:pPr>
      <w:r w:rsidRPr="00D250EC">
        <w:rPr>
          <w:rFonts w:asciiTheme="minorHAnsi" w:hAnsiTheme="minorHAnsi"/>
        </w:rPr>
        <w:t xml:space="preserve">This document is also available in Word and PDF format at </w:t>
      </w:r>
      <w:hyperlink r:id="rId14" w:history="1">
        <w:r w:rsidRPr="00D250EC">
          <w:rPr>
            <w:rStyle w:val="Hyperlink"/>
            <w:rFonts w:asciiTheme="minorHAnsi" w:hAnsiTheme="minorHAnsi"/>
          </w:rPr>
          <w:t>dtf.vic.gov.au</w:t>
        </w:r>
      </w:hyperlink>
      <w:r w:rsidR="00B63BD7" w:rsidRPr="00D250EC">
        <w:rPr>
          <w:rStyle w:val="Hyperlink"/>
          <w:rFonts w:asciiTheme="minorHAnsi" w:hAnsiTheme="minorHAnsi"/>
        </w:rPr>
        <w:t xml:space="preserve"> </w:t>
      </w:r>
    </w:p>
    <w:p w14:paraId="0A90C8F8" w14:textId="77777777" w:rsidR="00F70034" w:rsidRDefault="00F70034" w:rsidP="00FE696C">
      <w:pPr>
        <w:pStyle w:val="TOCHeading"/>
        <w:pageBreakBefore/>
        <w:sectPr w:rsidR="00F70034" w:rsidSect="000665EA">
          <w:headerReference w:type="first" r:id="rId15"/>
          <w:footerReference w:type="first" r:id="rId16"/>
          <w:pgSz w:w="11909" w:h="16834" w:code="9"/>
          <w:pgMar w:top="1440" w:right="1440" w:bottom="1728" w:left="1440" w:header="706" w:footer="605" w:gutter="0"/>
          <w:pgNumType w:fmt="lowerRoman" w:start="1"/>
          <w:cols w:space="708"/>
          <w:titlePg/>
          <w:docGrid w:linePitch="360"/>
        </w:sectPr>
      </w:pPr>
    </w:p>
    <w:p w14:paraId="4360A8C6" w14:textId="706C6CA4" w:rsidR="00FE696C" w:rsidRDefault="00FE696C" w:rsidP="00FE696C">
      <w:pPr>
        <w:pStyle w:val="TOCHeading"/>
        <w:pageBreakBefore/>
      </w:pPr>
      <w:r w:rsidRPr="00DE3329">
        <w:lastRenderedPageBreak/>
        <w:t>CONTENTS</w:t>
      </w:r>
    </w:p>
    <w:p w14:paraId="19D56044" w14:textId="4BBC26BE" w:rsidR="00DE5F14" w:rsidRDefault="00F3506D">
      <w:pPr>
        <w:pStyle w:val="TOC1"/>
        <w:rPr>
          <w:rFonts w:asciiTheme="minorHAnsi" w:hAnsiTheme="minorHAnsi"/>
          <w:color w:val="auto"/>
          <w:sz w:val="22"/>
          <w:szCs w:val="22"/>
          <w:lang w:eastAsia="en-AU"/>
        </w:rPr>
      </w:pPr>
      <w:r>
        <w:rPr>
          <w:color w:val="007DBE"/>
        </w:rPr>
        <w:fldChar w:fldCharType="begin"/>
      </w:r>
      <w:r>
        <w:rPr>
          <w:lang w:val="en-US"/>
        </w:rPr>
        <w:instrText xml:space="preserve"> TOC \o “</w:instrText>
      </w:r>
      <w:r>
        <w:instrText>Heading 1,1</w:instrText>
      </w:r>
      <w:r>
        <w:rPr>
          <w:lang w:val="en-US"/>
        </w:rPr>
        <w:instrText xml:space="preserve">” </w:instrText>
      </w:r>
      <w:r>
        <w:instrText xml:space="preserve">\t "Heading 2,2" \t "Heading 2 small,2" </w:instrText>
      </w:r>
      <w:r>
        <w:rPr>
          <w:lang w:val="en-US"/>
        </w:rPr>
        <w:instrText xml:space="preserve">\n 2-2 </w:instrText>
      </w:r>
      <w:r>
        <w:rPr>
          <w:color w:val="007DBE"/>
        </w:rPr>
        <w:fldChar w:fldCharType="separate"/>
      </w:r>
      <w:r w:rsidR="00DE5F14">
        <w:t>Acknowledgment</w:t>
      </w:r>
      <w:r w:rsidR="00DE5F14">
        <w:tab/>
      </w:r>
      <w:r w:rsidR="00DE5F14">
        <w:fldChar w:fldCharType="begin"/>
      </w:r>
      <w:r w:rsidR="00DE5F14">
        <w:instrText xml:space="preserve"> PAGEREF _Toc41653088 \h </w:instrText>
      </w:r>
      <w:r w:rsidR="00DE5F14">
        <w:fldChar w:fldCharType="separate"/>
      </w:r>
      <w:r w:rsidR="003C21F4">
        <w:t>1</w:t>
      </w:r>
      <w:r w:rsidR="00DE5F14">
        <w:fldChar w:fldCharType="end"/>
      </w:r>
    </w:p>
    <w:p w14:paraId="29DADD22" w14:textId="77777777" w:rsidR="00DE5F14" w:rsidRDefault="00DE5F14">
      <w:pPr>
        <w:pStyle w:val="TOC2"/>
        <w:rPr>
          <w:rFonts w:asciiTheme="minorHAnsi" w:hAnsiTheme="minorHAnsi"/>
          <w:color w:val="auto"/>
          <w:lang w:eastAsia="en-AU"/>
        </w:rPr>
      </w:pPr>
      <w:r>
        <w:t>Language statement</w:t>
      </w:r>
    </w:p>
    <w:p w14:paraId="4C621F51" w14:textId="5391F68D" w:rsidR="00DE5F14" w:rsidRDefault="00DE5F14">
      <w:pPr>
        <w:pStyle w:val="TOC1"/>
        <w:rPr>
          <w:rFonts w:asciiTheme="minorHAnsi" w:hAnsiTheme="minorHAnsi"/>
          <w:color w:val="auto"/>
          <w:sz w:val="22"/>
          <w:szCs w:val="22"/>
          <w:lang w:eastAsia="en-AU"/>
        </w:rPr>
      </w:pPr>
      <w:r>
        <w:t>Message from the Secretary</w:t>
      </w:r>
      <w:r>
        <w:tab/>
      </w:r>
      <w:r>
        <w:fldChar w:fldCharType="begin"/>
      </w:r>
      <w:r>
        <w:instrText xml:space="preserve"> PAGEREF _Toc41653090 \h </w:instrText>
      </w:r>
      <w:r>
        <w:fldChar w:fldCharType="separate"/>
      </w:r>
      <w:r w:rsidR="003C21F4">
        <w:t>3</w:t>
      </w:r>
      <w:r>
        <w:fldChar w:fldCharType="end"/>
      </w:r>
    </w:p>
    <w:p w14:paraId="6B584894" w14:textId="6E908D93" w:rsidR="00DE5F14" w:rsidRDefault="00DE5F14">
      <w:pPr>
        <w:pStyle w:val="TOC1"/>
        <w:rPr>
          <w:rFonts w:asciiTheme="minorHAnsi" w:hAnsiTheme="minorHAnsi"/>
          <w:color w:val="auto"/>
          <w:sz w:val="22"/>
          <w:szCs w:val="22"/>
          <w:lang w:eastAsia="en-AU"/>
        </w:rPr>
      </w:pPr>
      <w:r>
        <w:t>Government’s commitment to advancing self-determination</w:t>
      </w:r>
      <w:r>
        <w:tab/>
      </w:r>
      <w:r>
        <w:fldChar w:fldCharType="begin"/>
      </w:r>
      <w:r>
        <w:instrText xml:space="preserve"> PAGEREF _Toc41653091 \h </w:instrText>
      </w:r>
      <w:r>
        <w:fldChar w:fldCharType="separate"/>
      </w:r>
      <w:r w:rsidR="003C21F4">
        <w:t>4</w:t>
      </w:r>
      <w:r>
        <w:fldChar w:fldCharType="end"/>
      </w:r>
    </w:p>
    <w:p w14:paraId="34E55405" w14:textId="77777777" w:rsidR="00DE5F14" w:rsidRDefault="00DE5F14">
      <w:pPr>
        <w:pStyle w:val="TOC2"/>
        <w:rPr>
          <w:rFonts w:asciiTheme="minorHAnsi" w:hAnsiTheme="minorHAnsi"/>
          <w:color w:val="auto"/>
          <w:lang w:eastAsia="en-AU"/>
        </w:rPr>
      </w:pPr>
      <w:r>
        <w:t>What is self-determination?</w:t>
      </w:r>
    </w:p>
    <w:p w14:paraId="5CD52034" w14:textId="77777777" w:rsidR="00DE5F14" w:rsidRDefault="00DE5F14">
      <w:pPr>
        <w:pStyle w:val="TOC2"/>
        <w:rPr>
          <w:rFonts w:asciiTheme="minorHAnsi" w:hAnsiTheme="minorHAnsi"/>
          <w:color w:val="auto"/>
          <w:lang w:eastAsia="en-AU"/>
        </w:rPr>
      </w:pPr>
      <w:r>
        <w:t>The Self-Determination Reform Framework</w:t>
      </w:r>
    </w:p>
    <w:p w14:paraId="7741434E" w14:textId="77777777" w:rsidR="00DE5F14" w:rsidRDefault="00DE5F14">
      <w:pPr>
        <w:pStyle w:val="TOC2"/>
        <w:rPr>
          <w:rFonts w:asciiTheme="minorHAnsi" w:hAnsiTheme="minorHAnsi"/>
          <w:color w:val="auto"/>
          <w:lang w:eastAsia="en-AU"/>
        </w:rPr>
      </w:pPr>
      <w:r>
        <w:t>Purpose</w:t>
      </w:r>
    </w:p>
    <w:p w14:paraId="1DBFEE11" w14:textId="77777777" w:rsidR="00DE5F14" w:rsidRDefault="00DE5F14">
      <w:pPr>
        <w:pStyle w:val="TOC2"/>
        <w:rPr>
          <w:rFonts w:asciiTheme="minorHAnsi" w:hAnsiTheme="minorHAnsi"/>
          <w:color w:val="auto"/>
          <w:lang w:eastAsia="en-AU"/>
        </w:rPr>
      </w:pPr>
      <w:r>
        <w:t>About DTF</w:t>
      </w:r>
    </w:p>
    <w:p w14:paraId="671CB6D9" w14:textId="77777777" w:rsidR="00DE5F14" w:rsidRDefault="00DE5F14">
      <w:pPr>
        <w:pStyle w:val="TOC2"/>
        <w:rPr>
          <w:rFonts w:asciiTheme="minorHAnsi" w:hAnsiTheme="minorHAnsi"/>
          <w:color w:val="auto"/>
          <w:lang w:eastAsia="en-AU"/>
        </w:rPr>
      </w:pPr>
      <w:r>
        <w:t>Our objectives with regard to self-determination</w:t>
      </w:r>
    </w:p>
    <w:p w14:paraId="539F9745" w14:textId="608E595F" w:rsidR="00DE5F14" w:rsidRDefault="00DE5F14">
      <w:pPr>
        <w:pStyle w:val="TOC1"/>
        <w:rPr>
          <w:rFonts w:asciiTheme="minorHAnsi" w:hAnsiTheme="minorHAnsi"/>
          <w:color w:val="auto"/>
          <w:sz w:val="22"/>
          <w:szCs w:val="22"/>
          <w:lang w:eastAsia="en-AU"/>
        </w:rPr>
      </w:pPr>
      <w:r>
        <w:t>How DTF is meeting its commitments</w:t>
      </w:r>
      <w:r>
        <w:tab/>
      </w:r>
      <w:r>
        <w:fldChar w:fldCharType="begin"/>
      </w:r>
      <w:r>
        <w:instrText xml:space="preserve"> PAGEREF _Toc41653097 \h </w:instrText>
      </w:r>
      <w:r>
        <w:fldChar w:fldCharType="separate"/>
      </w:r>
      <w:r w:rsidR="003C21F4">
        <w:t>8</w:t>
      </w:r>
      <w:r>
        <w:fldChar w:fldCharType="end"/>
      </w:r>
    </w:p>
    <w:p w14:paraId="2C7B163F" w14:textId="4BAA9F75" w:rsidR="00DE5F14" w:rsidRDefault="00DE5F14">
      <w:pPr>
        <w:pStyle w:val="TOC1"/>
        <w:rPr>
          <w:rFonts w:asciiTheme="minorHAnsi" w:hAnsiTheme="minorHAnsi"/>
          <w:color w:val="auto"/>
          <w:sz w:val="22"/>
          <w:szCs w:val="22"/>
          <w:lang w:eastAsia="en-AU"/>
        </w:rPr>
      </w:pPr>
      <w:r>
        <w:t>Workstreams</w:t>
      </w:r>
      <w:r>
        <w:tab/>
      </w:r>
      <w:r>
        <w:fldChar w:fldCharType="begin"/>
      </w:r>
      <w:r>
        <w:instrText xml:space="preserve"> PAGEREF _Toc41653098 \h </w:instrText>
      </w:r>
      <w:r>
        <w:fldChar w:fldCharType="separate"/>
      </w:r>
      <w:r w:rsidR="003C21F4">
        <w:t>9</w:t>
      </w:r>
      <w:r>
        <w:fldChar w:fldCharType="end"/>
      </w:r>
    </w:p>
    <w:p w14:paraId="0911431C" w14:textId="77777777" w:rsidR="00DE5F14" w:rsidRDefault="00DE5F14">
      <w:pPr>
        <w:pStyle w:val="TOC2"/>
        <w:rPr>
          <w:rFonts w:asciiTheme="minorHAnsi" w:hAnsiTheme="minorHAnsi"/>
          <w:color w:val="auto"/>
          <w:lang w:eastAsia="en-AU"/>
        </w:rPr>
      </w:pPr>
      <w:r>
        <w:t>Understanding self-determination and developing expertise to help advance it</w:t>
      </w:r>
    </w:p>
    <w:p w14:paraId="764842F0" w14:textId="77777777" w:rsidR="00DE5F14" w:rsidRDefault="00DE5F14">
      <w:pPr>
        <w:pStyle w:val="TOC2"/>
        <w:rPr>
          <w:rFonts w:asciiTheme="minorHAnsi" w:hAnsiTheme="minorHAnsi"/>
          <w:color w:val="auto"/>
          <w:lang w:eastAsia="en-AU"/>
        </w:rPr>
      </w:pPr>
      <w:r>
        <w:t>Developing relationships with the Aboriginal community</w:t>
      </w:r>
    </w:p>
    <w:p w14:paraId="4D3CF31D" w14:textId="77777777" w:rsidR="00DE5F14" w:rsidRDefault="00DE5F14">
      <w:pPr>
        <w:pStyle w:val="TOC2"/>
        <w:rPr>
          <w:rFonts w:asciiTheme="minorHAnsi" w:hAnsiTheme="minorHAnsi"/>
          <w:color w:val="auto"/>
          <w:lang w:eastAsia="en-AU"/>
        </w:rPr>
      </w:pPr>
      <w:r>
        <w:t>Increased government procurement from Aboriginal businesses</w:t>
      </w:r>
    </w:p>
    <w:p w14:paraId="3647782D" w14:textId="77777777" w:rsidR="00DE5F14" w:rsidRDefault="00DE5F14">
      <w:pPr>
        <w:pStyle w:val="TOC2"/>
        <w:rPr>
          <w:rFonts w:asciiTheme="minorHAnsi" w:hAnsiTheme="minorHAnsi"/>
          <w:color w:val="auto"/>
          <w:lang w:eastAsia="en-AU"/>
        </w:rPr>
      </w:pPr>
      <w:r>
        <w:t>Reflecting self-determination in our communications</w:t>
      </w:r>
    </w:p>
    <w:p w14:paraId="6EDA2B9D" w14:textId="77777777" w:rsidR="00DE5F14" w:rsidRDefault="00DE5F14">
      <w:pPr>
        <w:pStyle w:val="TOC2"/>
        <w:rPr>
          <w:rFonts w:asciiTheme="minorHAnsi" w:hAnsiTheme="minorHAnsi"/>
          <w:color w:val="auto"/>
          <w:lang w:eastAsia="en-AU"/>
        </w:rPr>
      </w:pPr>
      <w:r>
        <w:t>Changes to policy advice</w:t>
      </w:r>
    </w:p>
    <w:p w14:paraId="42C81B00" w14:textId="77777777" w:rsidR="00DE5F14" w:rsidRDefault="00DE5F14">
      <w:pPr>
        <w:pStyle w:val="TOC2"/>
        <w:rPr>
          <w:rFonts w:asciiTheme="minorHAnsi" w:hAnsiTheme="minorHAnsi"/>
          <w:color w:val="auto"/>
          <w:lang w:eastAsia="en-AU"/>
        </w:rPr>
      </w:pPr>
      <w:r w:rsidRPr="00483C74">
        <w:rPr>
          <w:rFonts w:eastAsia="Times New Roman"/>
        </w:rPr>
        <w:t>Advancing self-determination through the budget</w:t>
      </w:r>
    </w:p>
    <w:p w14:paraId="11C0974F" w14:textId="7831DC56" w:rsidR="00DE5F14" w:rsidRDefault="00DE5F14">
      <w:pPr>
        <w:pStyle w:val="TOC1"/>
        <w:rPr>
          <w:rFonts w:asciiTheme="minorHAnsi" w:hAnsiTheme="minorHAnsi"/>
          <w:color w:val="auto"/>
          <w:sz w:val="22"/>
          <w:szCs w:val="22"/>
          <w:lang w:eastAsia="en-AU"/>
        </w:rPr>
      </w:pPr>
      <w:r>
        <w:t>Reporting</w:t>
      </w:r>
      <w:r>
        <w:tab/>
      </w:r>
      <w:r>
        <w:fldChar w:fldCharType="begin"/>
      </w:r>
      <w:r>
        <w:instrText xml:space="preserve"> PAGEREF _Toc41653105 \h </w:instrText>
      </w:r>
      <w:r>
        <w:fldChar w:fldCharType="separate"/>
      </w:r>
      <w:r w:rsidR="003C21F4">
        <w:t>18</w:t>
      </w:r>
      <w:r>
        <w:fldChar w:fldCharType="end"/>
      </w:r>
    </w:p>
    <w:p w14:paraId="2479700B" w14:textId="77777777" w:rsidR="00DE5F14" w:rsidRDefault="00DE5F14">
      <w:pPr>
        <w:pStyle w:val="TOC2"/>
        <w:rPr>
          <w:rFonts w:asciiTheme="minorHAnsi" w:hAnsiTheme="minorHAnsi"/>
          <w:color w:val="auto"/>
          <w:lang w:eastAsia="en-AU"/>
        </w:rPr>
      </w:pPr>
      <w:r>
        <w:t>Section 1: Self-determination</w:t>
      </w:r>
    </w:p>
    <w:p w14:paraId="61CC0E44" w14:textId="77777777" w:rsidR="00DE5F14" w:rsidRDefault="00DE5F14">
      <w:pPr>
        <w:pStyle w:val="TOC2"/>
        <w:rPr>
          <w:rFonts w:asciiTheme="minorHAnsi" w:hAnsiTheme="minorHAnsi"/>
          <w:color w:val="auto"/>
          <w:lang w:eastAsia="en-AU"/>
        </w:rPr>
      </w:pPr>
      <w:r>
        <w:t>Section 2: Actions – Whole of government and departmental</w:t>
      </w:r>
    </w:p>
    <w:p w14:paraId="11860185" w14:textId="6C4C305A" w:rsidR="00B962CA" w:rsidRPr="00B962CA" w:rsidRDefault="00F3506D" w:rsidP="003945A8">
      <w:pPr>
        <w:pStyle w:val="TOC2"/>
      </w:pPr>
      <w:r>
        <w:fldChar w:fldCharType="end"/>
      </w:r>
    </w:p>
    <w:p w14:paraId="24FAA1E0" w14:textId="77777777" w:rsidR="00002DA2" w:rsidRDefault="00002DA2" w:rsidP="00837D81">
      <w:pPr>
        <w:sectPr w:rsidR="00002DA2" w:rsidSect="007A23A3">
          <w:headerReference w:type="default" r:id="rId17"/>
          <w:footerReference w:type="default" r:id="rId18"/>
          <w:pgSz w:w="11909" w:h="16834" w:code="9"/>
          <w:pgMar w:top="1728" w:right="1440" w:bottom="1728" w:left="1440" w:header="706" w:footer="288" w:gutter="0"/>
          <w:pgNumType w:fmt="lowerRoman" w:start="1"/>
          <w:cols w:space="708"/>
          <w:docGrid w:linePitch="360"/>
        </w:sectPr>
      </w:pPr>
    </w:p>
    <w:p w14:paraId="7A9A86AA" w14:textId="4BF06C6F" w:rsidR="008136D3" w:rsidRDefault="008136D3" w:rsidP="00DE5F14">
      <w:pPr>
        <w:pStyle w:val="Heading1"/>
        <w:spacing w:before="0"/>
      </w:pPr>
      <w:bookmarkStart w:id="0" w:name="_Toc25053493"/>
      <w:bookmarkStart w:id="1" w:name="_Toc41653088"/>
      <w:bookmarkStart w:id="2" w:name="_Toc25053496"/>
      <w:r>
        <w:lastRenderedPageBreak/>
        <w:t>Acknowledgment</w:t>
      </w:r>
      <w:bookmarkEnd w:id="0"/>
      <w:bookmarkEnd w:id="1"/>
    </w:p>
    <w:p w14:paraId="152D1634" w14:textId="77777777" w:rsidR="008136D3" w:rsidRDefault="008136D3" w:rsidP="008136D3">
      <w:r>
        <w:t>The Department of Treasury and Finance (DTF) acknowledges all Aboriginal and Torres Strait Islander people, Tradi</w:t>
      </w:r>
      <w:r>
        <w:rPr>
          <w:rFonts w:ascii="Arial" w:eastAsia="Arial" w:hAnsi="Arial" w:cs="Arial"/>
        </w:rPr>
        <w:t>t</w:t>
      </w:r>
      <w:r>
        <w:t>ional Owners and custodians of the land on which we work and live as Australia’s first peoples, including their deep and spiritual connec</w:t>
      </w:r>
      <w:r w:rsidRPr="00AE3A82">
        <w:t>tion</w:t>
      </w:r>
      <w:r>
        <w:t xml:space="preserve"> to the land.</w:t>
      </w:r>
    </w:p>
    <w:p w14:paraId="7DB998D6" w14:textId="77777777" w:rsidR="008136D3" w:rsidRDefault="008136D3" w:rsidP="008136D3">
      <w:r>
        <w:t xml:space="preserve">The fabric of Australia is strengthened and enriched with Aboriginal people’s varied customs and cultures. </w:t>
      </w:r>
    </w:p>
    <w:p w14:paraId="542942AD" w14:textId="77777777" w:rsidR="008136D3" w:rsidRDefault="008136D3" w:rsidP="008136D3">
      <w:proofErr w:type="gramStart"/>
      <w:r>
        <w:t>DTF‘</w:t>
      </w:r>
      <w:proofErr w:type="gramEnd"/>
      <w:r>
        <w:t>s vision is for a prosperous future for all Victorians. To fulfil this vision, we provide economic and financial policy advice to the Government with the aim of increasing the living standards of all Victorians.</w:t>
      </w:r>
    </w:p>
    <w:p w14:paraId="4DEFC748" w14:textId="77777777" w:rsidR="008136D3" w:rsidRDefault="008136D3" w:rsidP="008136D3"/>
    <w:p w14:paraId="23D92D71" w14:textId="0D8FEB64" w:rsidR="008136D3" w:rsidRDefault="008136D3" w:rsidP="00B62FDD">
      <w:pPr>
        <w:pStyle w:val="Heading2"/>
      </w:pPr>
      <w:bookmarkStart w:id="3" w:name="_Toc25053494"/>
      <w:bookmarkStart w:id="4" w:name="_Toc24707734"/>
      <w:bookmarkStart w:id="5" w:name="_Toc32238803"/>
      <w:bookmarkStart w:id="6" w:name="_Toc32240763"/>
      <w:bookmarkStart w:id="7" w:name="_Toc32240783"/>
      <w:bookmarkStart w:id="8" w:name="_Toc32490401"/>
      <w:bookmarkStart w:id="9" w:name="_Toc37246839"/>
      <w:bookmarkStart w:id="10" w:name="_Toc37254967"/>
      <w:bookmarkStart w:id="11" w:name="_Toc37255104"/>
      <w:bookmarkStart w:id="12" w:name="_Toc41653089"/>
      <w:r>
        <w:t>Language statement</w:t>
      </w:r>
      <w:bookmarkEnd w:id="3"/>
      <w:bookmarkEnd w:id="4"/>
      <w:bookmarkEnd w:id="5"/>
      <w:bookmarkEnd w:id="6"/>
      <w:bookmarkEnd w:id="7"/>
      <w:bookmarkEnd w:id="8"/>
      <w:bookmarkEnd w:id="9"/>
      <w:bookmarkEnd w:id="10"/>
      <w:bookmarkEnd w:id="11"/>
      <w:bookmarkEnd w:id="12"/>
    </w:p>
    <w:p w14:paraId="4D21E8DF" w14:textId="7BA81A23" w:rsidR="00B62FDD" w:rsidRDefault="00B62FDD" w:rsidP="00B62FDD">
      <w:r w:rsidRPr="00B33405">
        <w:t>We recognise the diversity of Aboriginal people living throughout Victoria. While the terms ‘</w:t>
      </w:r>
      <w:proofErr w:type="spellStart"/>
      <w:r w:rsidRPr="00B33405">
        <w:t>Koorie</w:t>
      </w:r>
      <w:proofErr w:type="spellEnd"/>
      <w:r w:rsidRPr="00B33405">
        <w:t xml:space="preserve">’ or </w:t>
      </w:r>
      <w:r w:rsidR="00B45B51">
        <w:t>‘</w:t>
      </w:r>
      <w:r w:rsidRPr="00B33405">
        <w:t>Koori’ are commonly used by Aboriginal people of Southeast Australia, we have used the term Aboriginal in this report to include all people of Aboriginal and Torres Strait Islander descent who are living in Victoria.</w:t>
      </w:r>
    </w:p>
    <w:p w14:paraId="6F7DEE0A" w14:textId="28EF9AF0" w:rsidR="00B62FDD" w:rsidRDefault="00B62FDD" w:rsidP="00B62FDD">
      <w:r>
        <w:t>The use of the words ‘our’ and ‘we’ throughout this document refers to DTF.</w:t>
      </w:r>
    </w:p>
    <w:p w14:paraId="7DCEE388" w14:textId="3FA9A311" w:rsidR="00C06836" w:rsidRDefault="00C06836">
      <w:pPr>
        <w:spacing w:after="0" w:line="240" w:lineRule="auto"/>
      </w:pPr>
      <w:r>
        <w:br w:type="page"/>
      </w:r>
    </w:p>
    <w:p w14:paraId="69E19751" w14:textId="77777777" w:rsidR="008136D3" w:rsidRDefault="008136D3" w:rsidP="008136D3"/>
    <w:p w14:paraId="3878F0B9" w14:textId="77777777" w:rsidR="008136D3" w:rsidRPr="00DE5F14" w:rsidRDefault="008136D3" w:rsidP="00DE5F14">
      <w:pPr>
        <w:pStyle w:val="Heading1"/>
      </w:pPr>
      <w:bookmarkStart w:id="13" w:name="_Toc25053495"/>
      <w:bookmarkStart w:id="14" w:name="_Toc41653090"/>
      <w:r w:rsidRPr="00DE5F14">
        <w:lastRenderedPageBreak/>
        <w:t>Message from the Secretary</w:t>
      </w:r>
      <w:bookmarkEnd w:id="13"/>
      <w:bookmarkEnd w:id="14"/>
    </w:p>
    <w:p w14:paraId="14AA4D06" w14:textId="16EEF203" w:rsidR="00B62FDD" w:rsidRDefault="00806273" w:rsidP="00B62FDD">
      <w:r>
        <w:t>A</w:t>
      </w:r>
      <w:r w:rsidR="00B62FDD">
        <w:t>s Secretary of the Department of Treasury and Finance</w:t>
      </w:r>
      <w:r>
        <w:t>, I am pleased</w:t>
      </w:r>
      <w:r w:rsidR="00B62FDD">
        <w:t xml:space="preserve"> to present </w:t>
      </w:r>
      <w:r w:rsidR="00B62FDD" w:rsidRPr="0010020A">
        <w:rPr>
          <w:i/>
          <w:iCs/>
        </w:rPr>
        <w:t xml:space="preserve">Advancing Self-Determination </w:t>
      </w:r>
      <w:r w:rsidR="00CB133B">
        <w:rPr>
          <w:i/>
          <w:iCs/>
        </w:rPr>
        <w:t>in</w:t>
      </w:r>
      <w:r w:rsidR="00CB133B" w:rsidRPr="0010020A">
        <w:rPr>
          <w:i/>
          <w:iCs/>
        </w:rPr>
        <w:t xml:space="preserve"> </w:t>
      </w:r>
      <w:r w:rsidR="00B62FDD" w:rsidRPr="0010020A">
        <w:rPr>
          <w:i/>
          <w:iCs/>
        </w:rPr>
        <w:t>DTF</w:t>
      </w:r>
      <w:r w:rsidR="00B62FDD">
        <w:t>.</w:t>
      </w:r>
    </w:p>
    <w:p w14:paraId="64598FC5" w14:textId="1246380B" w:rsidR="00B62FDD" w:rsidRDefault="00B62FDD" w:rsidP="00B62FDD">
      <w:r>
        <w:t xml:space="preserve">Self-determination is the guiding principle underlying the State’s Aboriginal affairs. </w:t>
      </w:r>
    </w:p>
    <w:p w14:paraId="5AED5DAE" w14:textId="09EF878A" w:rsidR="00B62FDD" w:rsidRDefault="00B62FDD" w:rsidP="00000273">
      <w:r>
        <w:t>For Government, this means developing relationships with Aboriginal people and groups</w:t>
      </w:r>
      <w:r w:rsidR="003B7B57">
        <w:t xml:space="preserve"> and</w:t>
      </w:r>
      <w:r>
        <w:t xml:space="preserve"> empowering communities</w:t>
      </w:r>
      <w:r w:rsidR="003B7B57">
        <w:t xml:space="preserve">. It also means </w:t>
      </w:r>
      <w:r w:rsidR="00000273">
        <w:t>striving to</w:t>
      </w:r>
      <w:r w:rsidR="00995551">
        <w:t xml:space="preserve">wards the </w:t>
      </w:r>
      <w:r w:rsidR="00000273">
        <w:t xml:space="preserve">transfer </w:t>
      </w:r>
      <w:r w:rsidR="00995551">
        <w:t xml:space="preserve">of </w:t>
      </w:r>
      <w:r w:rsidR="00000273">
        <w:t>decision</w:t>
      </w:r>
      <w:r w:rsidR="00000273" w:rsidRPr="00ED61FD">
        <w:rPr>
          <w:rFonts w:ascii="Times New Roman" w:hAnsi="Times New Roman" w:cs="Times New Roman"/>
        </w:rPr>
        <w:t>‑</w:t>
      </w:r>
      <w:r w:rsidR="00000273">
        <w:t>making control to Aboriginal people on the matters that affect their lives.</w:t>
      </w:r>
    </w:p>
    <w:p w14:paraId="5F2FCDF3" w14:textId="64D24DE3" w:rsidR="00B62FDD" w:rsidRDefault="00B62FDD" w:rsidP="00B62FDD">
      <w:r>
        <w:t>The trauma suffered by Aboriginal people due to colonisation has been enduring and intergenerational. It is up to Government to meaningfully consider how it can progress self</w:t>
      </w:r>
      <w:r w:rsidR="003945A8">
        <w:noBreakHyphen/>
      </w:r>
      <w:r>
        <w:t>determination and deliver better outcomes for Aboriginal people as steered by Aboriginal people.</w:t>
      </w:r>
    </w:p>
    <w:p w14:paraId="47FCD924" w14:textId="58E596BE" w:rsidR="00B62FDD" w:rsidRDefault="00B62FDD" w:rsidP="00B62FDD">
      <w:r w:rsidRPr="0010020A">
        <w:rPr>
          <w:i/>
          <w:iCs/>
        </w:rPr>
        <w:t xml:space="preserve">Advancing Self-Determination </w:t>
      </w:r>
      <w:r w:rsidR="00CB133B">
        <w:rPr>
          <w:i/>
          <w:iCs/>
        </w:rPr>
        <w:t xml:space="preserve">in </w:t>
      </w:r>
      <w:r w:rsidRPr="0010020A">
        <w:rPr>
          <w:i/>
          <w:iCs/>
        </w:rPr>
        <w:t>DTF</w:t>
      </w:r>
      <w:r>
        <w:t xml:space="preserve"> represents the </w:t>
      </w:r>
      <w:r w:rsidR="00E62F05">
        <w:t>D</w:t>
      </w:r>
      <w:r>
        <w:t xml:space="preserve">epartment’s first steps </w:t>
      </w:r>
      <w:r w:rsidR="00FF40CA">
        <w:t xml:space="preserve">to </w:t>
      </w:r>
      <w:r>
        <w:t>deliver</w:t>
      </w:r>
      <w:r w:rsidR="00806273">
        <w:t>ing</w:t>
      </w:r>
      <w:r>
        <w:t xml:space="preserve"> reforms. They represent changes to the way we work and our workforce. I hope these reforms provide us with a good starting place, acknowledging we have a long journey ahead to fully instil self-determination into our processes. </w:t>
      </w:r>
    </w:p>
    <w:p w14:paraId="4A230934" w14:textId="013650E1" w:rsidR="00B62FDD" w:rsidRDefault="00B62FDD" w:rsidP="00B62FDD">
      <w:r>
        <w:t xml:space="preserve">It is an exciting time for Aboriginal affairs in Victoria with the establishment of the First Peoples Assembly and the work towards setting up a treaty or treaties. With this great momentum, I look forward to delivering these reforms and contributing towards the State’s efforts to improve the lives of </w:t>
      </w:r>
      <w:r w:rsidRPr="00C97684">
        <w:t>Aboriginal</w:t>
      </w:r>
      <w:r w:rsidR="003B21DE">
        <w:t xml:space="preserve"> people</w:t>
      </w:r>
      <w:r w:rsidRPr="00C97684">
        <w:t>.</w:t>
      </w:r>
    </w:p>
    <w:p w14:paraId="4AAF217E" w14:textId="764D33D0" w:rsidR="008136D3" w:rsidRDefault="008136D3" w:rsidP="008136D3"/>
    <w:p w14:paraId="0505478A" w14:textId="703C3AF7" w:rsidR="003232A2" w:rsidRDefault="003232A2" w:rsidP="008136D3">
      <w:r w:rsidRPr="003232A2">
        <w:rPr>
          <w:b/>
          <w:bCs/>
        </w:rPr>
        <w:t>David Martine</w:t>
      </w:r>
      <w:r w:rsidRPr="003232A2">
        <w:rPr>
          <w:b/>
          <w:bCs/>
        </w:rPr>
        <w:br/>
      </w:r>
      <w:r>
        <w:t>Secretary</w:t>
      </w:r>
      <w:r>
        <w:br/>
        <w:t>Department of Treasury and Finance</w:t>
      </w:r>
    </w:p>
    <w:p w14:paraId="25F5EAC5" w14:textId="1FE30D77" w:rsidR="008136D3" w:rsidRPr="00367E11" w:rsidRDefault="008136D3" w:rsidP="00367E11">
      <w:pPr>
        <w:pStyle w:val="Heading1"/>
      </w:pPr>
      <w:bookmarkStart w:id="15" w:name="_Toc41653091"/>
      <w:r w:rsidRPr="00367E11">
        <w:lastRenderedPageBreak/>
        <w:t>Government’s commitment to advancing self-determination</w:t>
      </w:r>
      <w:bookmarkEnd w:id="2"/>
      <w:bookmarkEnd w:id="15"/>
    </w:p>
    <w:p w14:paraId="663C5EB5" w14:textId="616D2305" w:rsidR="008136D3" w:rsidRDefault="008136D3" w:rsidP="008136D3">
      <w:r>
        <w:t xml:space="preserve">The Victorian Aboriginal Affairs Framework 2018-2023 (VAAF) committed Government to advancing self-determination. The VAAF is Victoria’s overarching strategic framework to drive improved outcomes </w:t>
      </w:r>
      <w:r w:rsidRPr="00C97684">
        <w:t xml:space="preserve">for Aboriginal </w:t>
      </w:r>
      <w:r w:rsidR="003B21DE">
        <w:t>people</w:t>
      </w:r>
      <w:r w:rsidR="003B21DE" w:rsidRPr="00C97684">
        <w:t xml:space="preserve"> </w:t>
      </w:r>
      <w:r w:rsidRPr="00C97684">
        <w:t>and</w:t>
      </w:r>
      <w:r>
        <w:t xml:space="preserve"> is the forward-looking agenda for Aboriginal affairs policy.</w:t>
      </w:r>
    </w:p>
    <w:p w14:paraId="350A291C" w14:textId="36BC2C6A" w:rsidR="008136D3" w:rsidRDefault="008136D3" w:rsidP="008136D3">
      <w:r>
        <w:t xml:space="preserve">A key element of the VAAF is that it commits </w:t>
      </w:r>
      <w:r w:rsidR="00FF40CA">
        <w:t xml:space="preserve">the </w:t>
      </w:r>
      <w:r w:rsidR="00790645">
        <w:t xml:space="preserve">Government </w:t>
      </w:r>
      <w:r>
        <w:t xml:space="preserve">to be accountable to the community and report on its efforts to enable self-determination. The VAAF recognises that to achieve positive outcomes, we must fundamentally change the way governments work with Aboriginal people. </w:t>
      </w:r>
    </w:p>
    <w:p w14:paraId="61D7EB77" w14:textId="32B671DE" w:rsidR="008136D3" w:rsidRDefault="008136D3" w:rsidP="00367E11">
      <w:pPr>
        <w:pStyle w:val="Heading2"/>
      </w:pPr>
      <w:bookmarkStart w:id="16" w:name="_Toc25053497"/>
      <w:bookmarkStart w:id="17" w:name="_Toc32238806"/>
      <w:bookmarkStart w:id="18" w:name="_Toc32240766"/>
      <w:bookmarkStart w:id="19" w:name="_Toc32240786"/>
      <w:bookmarkStart w:id="20" w:name="_Toc32490404"/>
      <w:bookmarkStart w:id="21" w:name="_Toc37246842"/>
      <w:bookmarkStart w:id="22" w:name="_Toc37254970"/>
      <w:bookmarkStart w:id="23" w:name="_Toc37255107"/>
      <w:bookmarkStart w:id="24" w:name="_Toc41653092"/>
      <w:r>
        <w:t>What is self-determination</w:t>
      </w:r>
      <w:bookmarkEnd w:id="16"/>
      <w:bookmarkEnd w:id="17"/>
      <w:bookmarkEnd w:id="18"/>
      <w:bookmarkEnd w:id="19"/>
      <w:bookmarkEnd w:id="20"/>
      <w:bookmarkEnd w:id="21"/>
      <w:bookmarkEnd w:id="22"/>
      <w:bookmarkEnd w:id="23"/>
      <w:r w:rsidR="004355DE">
        <w:t>?</w:t>
      </w:r>
      <w:bookmarkEnd w:id="24"/>
    </w:p>
    <w:p w14:paraId="33711B55" w14:textId="7FC8142E" w:rsidR="008136D3" w:rsidRPr="00C97684" w:rsidRDefault="008136D3" w:rsidP="008136D3">
      <w:r>
        <w:t xml:space="preserve">The Victorian Government’s commitment to advance self-determination is built on community perspectives and priorities, acknowledging the decades </w:t>
      </w:r>
      <w:r w:rsidRPr="00C97684">
        <w:t xml:space="preserve">that Aboriginal </w:t>
      </w:r>
      <w:r w:rsidR="003B21DE">
        <w:t>people</w:t>
      </w:r>
      <w:r w:rsidR="003B21DE" w:rsidRPr="00C97684">
        <w:t xml:space="preserve"> </w:t>
      </w:r>
      <w:r w:rsidRPr="00C97684">
        <w:t>have fought for self-determination and their right to make decisions on matters that affect their lives and communities.</w:t>
      </w:r>
    </w:p>
    <w:p w14:paraId="15326353" w14:textId="22AC3936" w:rsidR="008136D3" w:rsidRPr="00C97684" w:rsidRDefault="008136D3" w:rsidP="008136D3">
      <w:r w:rsidRPr="00C97684">
        <w:t>While Aboriginal self-determination means different things to different people, the United Nations Declaration on the Rights of Indigenous Peoples (UNDRIP) describes self</w:t>
      </w:r>
      <w:r w:rsidR="007F4864" w:rsidRPr="00C97684">
        <w:noBreakHyphen/>
      </w:r>
      <w:r w:rsidRPr="00C97684">
        <w:t>determination as the ability for Indigenous people to freely determine their political status and pursue their economic, social and cultural development. It also describes self</w:t>
      </w:r>
      <w:r w:rsidR="007F4864" w:rsidRPr="00C97684">
        <w:rPr>
          <w:rFonts w:ascii="Cambria" w:hAnsi="Cambria"/>
        </w:rPr>
        <w:noBreakHyphen/>
      </w:r>
      <w:r w:rsidRPr="00C97684">
        <w:t>determination as a right that relates to groups of people, not individuals.</w:t>
      </w:r>
    </w:p>
    <w:p w14:paraId="491919A7" w14:textId="7F53C9CC" w:rsidR="008136D3" w:rsidRPr="00C97684" w:rsidRDefault="008136D3" w:rsidP="008136D3">
      <w:r w:rsidRPr="00C97684">
        <w:t>While UNDRIP gives us a language to talk about self</w:t>
      </w:r>
      <w:r w:rsidRPr="00C97684">
        <w:rPr>
          <w:rFonts w:ascii="Cambria Math" w:hAnsi="Cambria Math" w:cs="Cambria Math"/>
        </w:rPr>
        <w:noBreakHyphen/>
      </w:r>
      <w:r w:rsidRPr="00C97684">
        <w:t xml:space="preserve">determination, Aboriginal </w:t>
      </w:r>
      <w:r w:rsidR="00DA79A7">
        <w:t>people</w:t>
      </w:r>
      <w:r w:rsidR="00DA79A7" w:rsidRPr="00C97684">
        <w:t xml:space="preserve"> </w:t>
      </w:r>
      <w:r w:rsidRPr="00C97684">
        <w:t>must not feel constrained by the definition set out in UNDRIP. Inherent to self</w:t>
      </w:r>
      <w:r w:rsidRPr="00C97684">
        <w:rPr>
          <w:rFonts w:ascii="Cambria Math" w:hAnsi="Cambria Math" w:cs="Cambria Math"/>
        </w:rPr>
        <w:noBreakHyphen/>
      </w:r>
      <w:r w:rsidRPr="00C97684">
        <w:t xml:space="preserve">determination is the right of Aboriginal </w:t>
      </w:r>
      <w:r w:rsidR="00B510B6">
        <w:t>people</w:t>
      </w:r>
      <w:r w:rsidR="00B510B6" w:rsidRPr="00C97684">
        <w:t xml:space="preserve"> </w:t>
      </w:r>
      <w:r w:rsidRPr="00C97684">
        <w:t>to define for themselves what self</w:t>
      </w:r>
      <w:r w:rsidRPr="00C97684">
        <w:rPr>
          <w:rFonts w:ascii="Cambria Math" w:hAnsi="Cambria Math" w:cs="Cambria Math"/>
        </w:rPr>
        <w:noBreakHyphen/>
      </w:r>
      <w:r w:rsidRPr="00C97684">
        <w:t>determination means.</w:t>
      </w:r>
    </w:p>
    <w:p w14:paraId="62FA05D7" w14:textId="447B47E0" w:rsidR="008136D3" w:rsidRDefault="008136D3" w:rsidP="008136D3">
      <w:r w:rsidRPr="00C97684">
        <w:t>Self-determination is the key approach that has produced effective and sustainable improvement in outcomes for Indigenous people across many jurisdictions. Government action to enable self</w:t>
      </w:r>
      <w:r w:rsidRPr="00C97684">
        <w:noBreakHyphen/>
        <w:t xml:space="preserve">determination acknowledges that Aboriginal </w:t>
      </w:r>
      <w:r w:rsidR="00DA79A7">
        <w:t>people</w:t>
      </w:r>
      <w:r w:rsidR="00DA79A7" w:rsidRPr="00C97684">
        <w:t xml:space="preserve"> </w:t>
      </w:r>
      <w:r w:rsidRPr="00C97684">
        <w:t>hold</w:t>
      </w:r>
      <w:r>
        <w:t xml:space="preserve"> the knowledge and expertise about what is best for themselves, their families and their communities. </w:t>
      </w:r>
    </w:p>
    <w:p w14:paraId="43C38C9C" w14:textId="77777777" w:rsidR="00070545" w:rsidRPr="00070545" w:rsidRDefault="00070545" w:rsidP="00070545">
      <w:bookmarkStart w:id="25" w:name="_Toc25053498"/>
      <w:bookmarkStart w:id="26" w:name="_Toc32238807"/>
      <w:bookmarkStart w:id="27" w:name="_Toc32240767"/>
      <w:bookmarkStart w:id="28" w:name="_Toc32240787"/>
      <w:bookmarkStart w:id="29" w:name="_Toc32490405"/>
      <w:bookmarkStart w:id="30" w:name="_Toc37246843"/>
      <w:bookmarkStart w:id="31" w:name="_Toc37254971"/>
      <w:bookmarkStart w:id="32" w:name="_Toc37255108"/>
      <w:r w:rsidRPr="00070545">
        <w:br w:type="page"/>
      </w:r>
    </w:p>
    <w:p w14:paraId="2CBEF1B5" w14:textId="6134DB07" w:rsidR="008136D3" w:rsidRDefault="008136D3" w:rsidP="00367E11">
      <w:pPr>
        <w:pStyle w:val="Heading2"/>
      </w:pPr>
      <w:bookmarkStart w:id="33" w:name="_Toc41653093"/>
      <w:r>
        <w:lastRenderedPageBreak/>
        <w:t>The Self-Determination Reform Framework</w:t>
      </w:r>
      <w:bookmarkEnd w:id="25"/>
      <w:bookmarkEnd w:id="26"/>
      <w:bookmarkEnd w:id="27"/>
      <w:bookmarkEnd w:id="28"/>
      <w:bookmarkEnd w:id="29"/>
      <w:bookmarkEnd w:id="30"/>
      <w:bookmarkEnd w:id="31"/>
      <w:bookmarkEnd w:id="32"/>
      <w:bookmarkEnd w:id="33"/>
    </w:p>
    <w:p w14:paraId="344B761C" w14:textId="77F58116" w:rsidR="008136D3" w:rsidRDefault="008136D3" w:rsidP="008136D3">
      <w:r>
        <w:t xml:space="preserve">The Self-Determination Reform Framework (SDRF) was endorsed by the Secretaries Leadership Group on Aboriginal Affairs in June 2019. The SDRF intends to guide public service action to enable self-determination in line with </w:t>
      </w:r>
      <w:r w:rsidR="00FF40CA">
        <w:t xml:space="preserve">the </w:t>
      </w:r>
      <w:r w:rsidR="00790645">
        <w:t>Government</w:t>
      </w:r>
      <w:r w:rsidR="00005C0E">
        <w:t>’</w:t>
      </w:r>
      <w:r w:rsidR="00790645">
        <w:t xml:space="preserve">s </w:t>
      </w:r>
      <w:r>
        <w:t xml:space="preserve">commitments in the VAAF. It provides a consistent understanding of how </w:t>
      </w:r>
      <w:r w:rsidR="006A7B60">
        <w:t>G</w:t>
      </w:r>
      <w:r>
        <w:t>overnment should enable and report against self-determination and provides guidance for departmental action to enable</w:t>
      </w:r>
      <w:r w:rsidR="002115BC">
        <w:rPr>
          <w:rFonts w:ascii="Calibri" w:hAnsi="Calibri" w:cs="Calibri"/>
        </w:rPr>
        <w:t> </w:t>
      </w:r>
      <w:r>
        <w:t>it. The first report back against the framework is due in June 2020.</w:t>
      </w:r>
    </w:p>
    <w:p w14:paraId="4DFEE357" w14:textId="05EBA1EB" w:rsidR="008136D3" w:rsidRDefault="008136D3" w:rsidP="0082025F">
      <w:pPr>
        <w:keepNext/>
      </w:pPr>
      <w:r>
        <w:t>The SDRF requires departments to develop actions that contribute to four reform domains, with the approach to transforming public systems and structures in the Public Sector Reform Statement. The goals across these reform domains include:</w:t>
      </w:r>
    </w:p>
    <w:p w14:paraId="16F522EB" w14:textId="46A890D5" w:rsidR="008136D3" w:rsidRDefault="00070545" w:rsidP="008136D3">
      <w:pPr>
        <w:pStyle w:val="Numpara"/>
      </w:pPr>
      <w:r w:rsidRPr="00F61C46">
        <w:rPr>
          <w:b/>
          <w:bCs/>
        </w:rPr>
        <w:t>People</w:t>
      </w:r>
      <w:r>
        <w:t xml:space="preserve"> </w:t>
      </w:r>
      <w:r w:rsidR="008136D3">
        <w:t>– build a culturally safe public service workforce that understands and has the capacity to enable Aboriginal self-determination in all policies and programs;</w:t>
      </w:r>
    </w:p>
    <w:p w14:paraId="554950AF" w14:textId="7A0C705C" w:rsidR="008136D3" w:rsidRDefault="00070545" w:rsidP="008136D3">
      <w:pPr>
        <w:pStyle w:val="Numpara"/>
      </w:pPr>
      <w:r w:rsidRPr="00F61C46">
        <w:rPr>
          <w:b/>
          <w:bCs/>
        </w:rPr>
        <w:t>Systems</w:t>
      </w:r>
      <w:r>
        <w:t xml:space="preserve"> </w:t>
      </w:r>
      <w:r w:rsidR="008136D3">
        <w:t xml:space="preserve">– transform government systems and structures to enable Aboriginal decision-making, </w:t>
      </w:r>
      <w:proofErr w:type="gramStart"/>
      <w:r w:rsidR="008136D3">
        <w:t>leadership</w:t>
      </w:r>
      <w:proofErr w:type="gramEnd"/>
      <w:r w:rsidR="008136D3">
        <w:t xml:space="preserve"> and strategic service provision by embedding the self</w:t>
      </w:r>
      <w:r w:rsidR="00EA0DAC">
        <w:noBreakHyphen/>
      </w:r>
      <w:r w:rsidR="008136D3">
        <w:t>determination enablers</w:t>
      </w:r>
      <w:r w:rsidR="006C20A1">
        <w:t>;</w:t>
      </w:r>
    </w:p>
    <w:p w14:paraId="78A93611" w14:textId="0068FE08" w:rsidR="008136D3" w:rsidRDefault="00070545" w:rsidP="008136D3">
      <w:pPr>
        <w:pStyle w:val="Numpara"/>
      </w:pPr>
      <w:r w:rsidRPr="00F61C46">
        <w:rPr>
          <w:b/>
          <w:bCs/>
        </w:rPr>
        <w:t>Outcomes</w:t>
      </w:r>
      <w:r>
        <w:t xml:space="preserve"> </w:t>
      </w:r>
      <w:r w:rsidR="008136D3">
        <w:t>– adopt an outcomes-focused approach that will enable flexibility and Aboriginal leadership in government’s efforts to embed the self-determination enablers</w:t>
      </w:r>
      <w:r w:rsidR="006C20A1">
        <w:t xml:space="preserve">; and </w:t>
      </w:r>
    </w:p>
    <w:p w14:paraId="0E8C2AFB" w14:textId="5624EA14" w:rsidR="008136D3" w:rsidRDefault="00070545" w:rsidP="008136D3">
      <w:pPr>
        <w:pStyle w:val="Numpara"/>
      </w:pPr>
      <w:r w:rsidRPr="00F61C46">
        <w:rPr>
          <w:b/>
          <w:bCs/>
        </w:rPr>
        <w:t>Accountability</w:t>
      </w:r>
      <w:r>
        <w:t xml:space="preserve"> </w:t>
      </w:r>
      <w:r w:rsidR="008136D3">
        <w:t>– establish transparent, Aboriginal-led accountability of government and government-funded organisations to ensure that policies and programs are responsive to Aboriginal needs, priorities and aspirations, and that government action in Aboriginal affairs is consistent with the self-determination enablers and guiding principles.</w:t>
      </w:r>
    </w:p>
    <w:p w14:paraId="35ADFABD" w14:textId="6787303A" w:rsidR="00002DA2" w:rsidRDefault="008136D3" w:rsidP="00A45D7D">
      <w:r>
        <w:t xml:space="preserve">In preparing action, </w:t>
      </w:r>
      <w:r w:rsidR="00790645">
        <w:t xml:space="preserve">departments </w:t>
      </w:r>
      <w:r>
        <w:t xml:space="preserve">are to consider the self-determination </w:t>
      </w:r>
      <w:r>
        <w:rPr>
          <w:b/>
        </w:rPr>
        <w:t>enablers</w:t>
      </w:r>
      <w:r>
        <w:t xml:space="preserve"> and </w:t>
      </w:r>
      <w:r>
        <w:rPr>
          <w:b/>
        </w:rPr>
        <w:t>guiding principles</w:t>
      </w:r>
      <w:r>
        <w:t xml:space="preserve">. The enablers are to help focus </w:t>
      </w:r>
      <w:r w:rsidR="00790645">
        <w:t xml:space="preserve">government </w:t>
      </w:r>
      <w:r>
        <w:t xml:space="preserve">on the key reforms it can undertake to deliver self-determination. The principles set the minimum standards that actions are to address and guide existing and future work with Aboriginal </w:t>
      </w:r>
      <w:r w:rsidR="005F1421">
        <w:t>people</w:t>
      </w:r>
      <w:r>
        <w:t>.</w:t>
      </w:r>
    </w:p>
    <w:p w14:paraId="188D5C94" w14:textId="12DE039B" w:rsidR="007A23A3" w:rsidRDefault="009649CA" w:rsidP="008136D3">
      <w:r>
        <w:rPr>
          <w:noProof/>
        </w:rPr>
        <mc:AlternateContent>
          <mc:Choice Requires="wpc">
            <w:drawing>
              <wp:inline distT="0" distB="0" distL="0" distR="0" wp14:anchorId="6A3D0981" wp14:editId="277EA9E5">
                <wp:extent cx="5486400" cy="2677599"/>
                <wp:effectExtent l="0" t="0" r="19050" b="8890"/>
                <wp:docPr id="25" name="Canvas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5" name="Rectangle 35" descr="Three box diagram highlighting what enablers will do (1. Prioritise culture, 2. Address trauma and support healing, 3. Address racism and promote cultural safety and 4. Transfer power and resources to communities); the principles or how we will do it  (1. Human rights, 2. Cultural integrity, 3. Commitment, 4. Aboriginal expertise, 5. Partnership, 6. Investment, 7. Decision making, 8. Empowerment, 9. Cultural safety, 10. Equity and 11. Accountability) and the reporting domains."/>
                        <wps:cNvSpPr/>
                        <wps:spPr>
                          <a:xfrm>
                            <a:off x="0" y="1811547"/>
                            <a:ext cx="5486400" cy="830053"/>
                          </a:xfrm>
                          <a:prstGeom prst="rect">
                            <a:avLst/>
                          </a:prstGeom>
                          <a:ln>
                            <a:solidFill>
                              <a:srgbClr val="C95C1A"/>
                            </a:solidFill>
                          </a:ln>
                        </wps:spPr>
                        <wps:style>
                          <a:lnRef idx="2">
                            <a:schemeClr val="dk1"/>
                          </a:lnRef>
                          <a:fillRef idx="1">
                            <a:schemeClr val="lt1"/>
                          </a:fillRef>
                          <a:effectRef idx="0">
                            <a:schemeClr val="dk1"/>
                          </a:effectRef>
                          <a:fontRef idx="minor">
                            <a:schemeClr val="dk1"/>
                          </a:fontRef>
                        </wps:style>
                        <wps:txbx>
                          <w:txbxContent>
                            <w:p w14:paraId="191270BD" w14:textId="77777777" w:rsidR="009442AB" w:rsidRPr="00F5325D" w:rsidRDefault="009442AB" w:rsidP="009442AB">
                              <w:pPr>
                                <w:spacing w:after="60"/>
                                <w:jc w:val="center"/>
                                <w:rPr>
                                  <w:b/>
                                  <w:color w:val="0072CE"/>
                                </w:rPr>
                              </w:pPr>
                              <w:r w:rsidRPr="00F5325D">
                                <w:rPr>
                                  <w:b/>
                                  <w:color w:val="0072CE"/>
                                </w:rPr>
                                <w:t>Reporting domains</w:t>
                              </w:r>
                            </w:p>
                            <w:p w14:paraId="737BB948" w14:textId="77777777" w:rsidR="009442AB" w:rsidRPr="009442AB" w:rsidRDefault="009442AB" w:rsidP="009442AB">
                              <w:pPr>
                                <w:spacing w:after="0"/>
                                <w:jc w:val="center"/>
                                <w:rPr>
                                  <w:color w:val="000000" w:themeColor="text1"/>
                                </w:rPr>
                              </w:pPr>
                              <w:r w:rsidRPr="009442AB">
                                <w:rPr>
                                  <w:color w:val="000000" w:themeColor="text1"/>
                                </w:rPr>
                                <w:t>How we will report on our actions</w:t>
                              </w:r>
                            </w:p>
                            <w:p w14:paraId="3C15A61F" w14:textId="7107A81E" w:rsidR="009442AB" w:rsidRPr="009442AB" w:rsidRDefault="009442AB" w:rsidP="009442AB">
                              <w:pPr>
                                <w:spacing w:after="0"/>
                                <w:jc w:val="center"/>
                                <w:rPr>
                                  <w:color w:val="000000" w:themeColor="text1"/>
                                </w:rPr>
                              </w:pPr>
                              <w:r w:rsidRPr="009442AB">
                                <w:rPr>
                                  <w:color w:val="000000" w:themeColor="text1"/>
                                </w:rPr>
                                <w:t>People, accountability,</w:t>
                              </w:r>
                              <w:r w:rsidR="007F4864">
                                <w:rPr>
                                  <w:color w:val="000000" w:themeColor="text1"/>
                                </w:rPr>
                                <w:t xml:space="preserve"> </w:t>
                              </w:r>
                              <w:r w:rsidRPr="009442AB">
                                <w:rPr>
                                  <w:color w:val="000000" w:themeColor="text1"/>
                                </w:rPr>
                                <w:t>systems, outcomes</w:t>
                              </w:r>
                            </w:p>
                          </w:txbxContent>
                        </wps:txbx>
                        <wps:bodyPr rot="0" spcFirstLastPara="0" vert="horz" wrap="square" lIns="45720" tIns="45720" rIns="45720" bIns="45720" numCol="1" spcCol="0" rtlCol="0" fromWordArt="0" anchor="ctr" anchorCtr="0" forceAA="0" compatLnSpc="1">
                          <a:prstTxWarp prst="textNoShape">
                            <a:avLst/>
                          </a:prstTxWarp>
                          <a:noAutofit/>
                        </wps:bodyPr>
                      </wps:wsp>
                      <wps:wsp>
                        <wps:cNvPr id="26" name="Rectangle 26" descr="Three part diagram indicating that Enablers (What we'll do) and Guiding Principles (How we will do it) feed into Reporting domains."/>
                        <wps:cNvSpPr/>
                        <wps:spPr>
                          <a:xfrm>
                            <a:off x="0" y="246"/>
                            <a:ext cx="2670594" cy="1691640"/>
                          </a:xfrm>
                          <a:prstGeom prst="rect">
                            <a:avLst/>
                          </a:prstGeom>
                          <a:ln>
                            <a:solidFill>
                              <a:srgbClr val="C95C1A"/>
                            </a:solidFill>
                          </a:ln>
                        </wps:spPr>
                        <wps:style>
                          <a:lnRef idx="2">
                            <a:schemeClr val="dk1"/>
                          </a:lnRef>
                          <a:fillRef idx="1">
                            <a:schemeClr val="lt1"/>
                          </a:fillRef>
                          <a:effectRef idx="0">
                            <a:schemeClr val="dk1"/>
                          </a:effectRef>
                          <a:fontRef idx="minor">
                            <a:schemeClr val="dk1"/>
                          </a:fontRef>
                        </wps:style>
                        <wps:txbx>
                          <w:txbxContent>
                            <w:p w14:paraId="21C1E454" w14:textId="77777777" w:rsidR="009649CA" w:rsidRPr="00F5325D" w:rsidRDefault="009649CA" w:rsidP="009442AB">
                              <w:pPr>
                                <w:spacing w:after="60"/>
                                <w:rPr>
                                  <w:b/>
                                  <w:color w:val="0072CE"/>
                                </w:rPr>
                              </w:pPr>
                              <w:r w:rsidRPr="00F5325D">
                                <w:rPr>
                                  <w:b/>
                                  <w:color w:val="0072CE"/>
                                </w:rPr>
                                <w:t>Enablers</w:t>
                              </w:r>
                            </w:p>
                            <w:p w14:paraId="26612EDA" w14:textId="77777777" w:rsidR="009649CA" w:rsidRPr="009649CA" w:rsidRDefault="009649CA" w:rsidP="009649CA">
                              <w:pPr>
                                <w:spacing w:after="0"/>
                                <w:rPr>
                                  <w:b/>
                                  <w:bCs/>
                                  <w:color w:val="000000" w:themeColor="text1"/>
                                </w:rPr>
                              </w:pPr>
                              <w:r w:rsidRPr="009649CA">
                                <w:rPr>
                                  <w:b/>
                                  <w:bCs/>
                                  <w:color w:val="000000" w:themeColor="text1"/>
                                </w:rPr>
                                <w:t>‘What we’ll do’</w:t>
                              </w:r>
                            </w:p>
                            <w:p w14:paraId="794F3958" w14:textId="77777777" w:rsidR="009649CA" w:rsidRPr="009442AB" w:rsidRDefault="009649CA" w:rsidP="009649CA">
                              <w:pPr>
                                <w:pStyle w:val="Numpara"/>
                                <w:tabs>
                                  <w:tab w:val="clear" w:pos="540"/>
                                </w:tabs>
                                <w:spacing w:before="0" w:after="0" w:line="240" w:lineRule="auto"/>
                                <w:rPr>
                                  <w:sz w:val="18"/>
                                  <w:szCs w:val="18"/>
                                </w:rPr>
                              </w:pPr>
                              <w:r w:rsidRPr="009442AB">
                                <w:rPr>
                                  <w:sz w:val="18"/>
                                  <w:szCs w:val="18"/>
                                </w:rPr>
                                <w:t>Prioritise culture</w:t>
                              </w:r>
                            </w:p>
                            <w:p w14:paraId="6F57ECD9" w14:textId="77777777" w:rsidR="009649CA" w:rsidRPr="009442AB" w:rsidRDefault="009649CA" w:rsidP="009649CA">
                              <w:pPr>
                                <w:pStyle w:val="Numpara"/>
                                <w:tabs>
                                  <w:tab w:val="clear" w:pos="540"/>
                                </w:tabs>
                                <w:spacing w:before="0" w:after="0" w:line="240" w:lineRule="auto"/>
                                <w:rPr>
                                  <w:sz w:val="18"/>
                                  <w:szCs w:val="18"/>
                                </w:rPr>
                              </w:pPr>
                              <w:r w:rsidRPr="009442AB">
                                <w:rPr>
                                  <w:sz w:val="18"/>
                                  <w:szCs w:val="18"/>
                                </w:rPr>
                                <w:t>Address trauma and support healing</w:t>
                              </w:r>
                            </w:p>
                            <w:p w14:paraId="1B263D71" w14:textId="77777777" w:rsidR="009649CA" w:rsidRPr="009442AB" w:rsidRDefault="009649CA" w:rsidP="009649CA">
                              <w:pPr>
                                <w:pStyle w:val="Numpara"/>
                                <w:tabs>
                                  <w:tab w:val="clear" w:pos="540"/>
                                </w:tabs>
                                <w:spacing w:before="0" w:after="0" w:line="240" w:lineRule="auto"/>
                                <w:rPr>
                                  <w:sz w:val="18"/>
                                  <w:szCs w:val="18"/>
                                </w:rPr>
                              </w:pPr>
                              <w:r w:rsidRPr="009442AB">
                                <w:rPr>
                                  <w:sz w:val="18"/>
                                  <w:szCs w:val="18"/>
                                </w:rPr>
                                <w:t>Address racism and promote cultural safety</w:t>
                              </w:r>
                            </w:p>
                            <w:p w14:paraId="250FCE3A" w14:textId="77777777" w:rsidR="009649CA" w:rsidRPr="009442AB" w:rsidRDefault="009649CA" w:rsidP="009649CA">
                              <w:pPr>
                                <w:pStyle w:val="Numpara"/>
                                <w:tabs>
                                  <w:tab w:val="clear" w:pos="540"/>
                                </w:tabs>
                                <w:spacing w:before="0" w:after="0" w:line="240" w:lineRule="auto"/>
                                <w:rPr>
                                  <w:sz w:val="18"/>
                                  <w:szCs w:val="18"/>
                                </w:rPr>
                              </w:pPr>
                              <w:r w:rsidRPr="009442AB">
                                <w:rPr>
                                  <w:sz w:val="18"/>
                                  <w:szCs w:val="18"/>
                                </w:rPr>
                                <w:t>Transfer power and resources to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Rectangle 34" descr=" "/>
                        <wps:cNvSpPr/>
                        <wps:spPr>
                          <a:xfrm>
                            <a:off x="2811057" y="0"/>
                            <a:ext cx="2670175" cy="1689100"/>
                          </a:xfrm>
                          <a:prstGeom prst="rect">
                            <a:avLst/>
                          </a:prstGeom>
                          <a:ln>
                            <a:solidFill>
                              <a:srgbClr val="C95C1A"/>
                            </a:solidFill>
                          </a:ln>
                        </wps:spPr>
                        <wps:style>
                          <a:lnRef idx="2">
                            <a:schemeClr val="dk1"/>
                          </a:lnRef>
                          <a:fillRef idx="1">
                            <a:schemeClr val="lt1"/>
                          </a:fillRef>
                          <a:effectRef idx="0">
                            <a:schemeClr val="dk1"/>
                          </a:effectRef>
                          <a:fontRef idx="minor">
                            <a:schemeClr val="dk1"/>
                          </a:fontRef>
                        </wps:style>
                        <wps:txbx>
                          <w:txbxContent>
                            <w:p w14:paraId="60904A66" w14:textId="77777777" w:rsidR="009649CA" w:rsidRPr="00F5325D" w:rsidRDefault="009649CA" w:rsidP="009442AB">
                              <w:pPr>
                                <w:spacing w:after="60"/>
                                <w:rPr>
                                  <w:b/>
                                  <w:color w:val="0072CE"/>
                                </w:rPr>
                              </w:pPr>
                              <w:r w:rsidRPr="00F5325D">
                                <w:rPr>
                                  <w:b/>
                                  <w:color w:val="0072CE"/>
                                </w:rPr>
                                <w:t>Principles</w:t>
                              </w:r>
                            </w:p>
                            <w:p w14:paraId="1A8304AC" w14:textId="77777777" w:rsidR="009649CA" w:rsidRPr="009649CA" w:rsidRDefault="009649CA" w:rsidP="009649CA">
                              <w:pPr>
                                <w:spacing w:after="0"/>
                                <w:rPr>
                                  <w:b/>
                                  <w:bCs/>
                                  <w:color w:val="000000" w:themeColor="text1"/>
                                </w:rPr>
                              </w:pPr>
                              <w:r w:rsidRPr="009649CA">
                                <w:rPr>
                                  <w:b/>
                                  <w:bCs/>
                                  <w:color w:val="000000" w:themeColor="text1"/>
                                </w:rPr>
                                <w:t>‘How we will do it’</w:t>
                              </w:r>
                            </w:p>
                            <w:p w14:paraId="05F1C7DF" w14:textId="0315E3A8" w:rsidR="009649CA" w:rsidRPr="009442AB" w:rsidRDefault="009649CA" w:rsidP="009442AB">
                              <w:pPr>
                                <w:pStyle w:val="Numpara"/>
                                <w:numPr>
                                  <w:ilvl w:val="0"/>
                                  <w:numId w:val="0"/>
                                </w:numPr>
                                <w:tabs>
                                  <w:tab w:val="clear" w:pos="540"/>
                                  <w:tab w:val="left" w:pos="270"/>
                                  <w:tab w:val="left" w:pos="2070"/>
                                  <w:tab w:val="left" w:pos="2340"/>
                                </w:tabs>
                                <w:spacing w:before="0" w:after="0" w:line="240" w:lineRule="auto"/>
                                <w:rPr>
                                  <w:spacing w:val="0"/>
                                  <w:sz w:val="18"/>
                                  <w:szCs w:val="18"/>
                                </w:rPr>
                              </w:pPr>
                              <w:bookmarkStart w:id="34" w:name="_Hlk32487374"/>
                              <w:bookmarkStart w:id="35" w:name="_Hlk32487375"/>
                              <w:r w:rsidRPr="009442AB">
                                <w:rPr>
                                  <w:sz w:val="18"/>
                                  <w:szCs w:val="18"/>
                                </w:rPr>
                                <w:t>1.</w:t>
                              </w:r>
                              <w:r w:rsidRPr="009442AB">
                                <w:rPr>
                                  <w:sz w:val="18"/>
                                  <w:szCs w:val="18"/>
                                </w:rPr>
                                <w:tab/>
                              </w:r>
                              <w:r w:rsidRPr="009442AB">
                                <w:rPr>
                                  <w:spacing w:val="0"/>
                                  <w:sz w:val="18"/>
                                  <w:szCs w:val="18"/>
                                </w:rPr>
                                <w:t>Human rights</w:t>
                              </w:r>
                              <w:r w:rsidRPr="009442AB">
                                <w:rPr>
                                  <w:spacing w:val="0"/>
                                  <w:sz w:val="18"/>
                                  <w:szCs w:val="18"/>
                                </w:rPr>
                                <w:tab/>
                              </w:r>
                              <w:r w:rsidR="009442AB" w:rsidRPr="009442AB">
                                <w:rPr>
                                  <w:spacing w:val="0"/>
                                  <w:sz w:val="18"/>
                                  <w:szCs w:val="18"/>
                                </w:rPr>
                                <w:t>6.</w:t>
                              </w:r>
                              <w:r w:rsidR="009442AB" w:rsidRPr="009442AB">
                                <w:rPr>
                                  <w:spacing w:val="0"/>
                                  <w:sz w:val="18"/>
                                  <w:szCs w:val="18"/>
                                </w:rPr>
                                <w:tab/>
                                <w:t>Investment</w:t>
                              </w:r>
                            </w:p>
                            <w:p w14:paraId="278D7BC6" w14:textId="0CC69B5E" w:rsidR="009649CA" w:rsidRPr="009442AB" w:rsidRDefault="009649CA" w:rsidP="009442AB">
                              <w:pPr>
                                <w:pStyle w:val="Numpara"/>
                                <w:numPr>
                                  <w:ilvl w:val="0"/>
                                  <w:numId w:val="0"/>
                                </w:numPr>
                                <w:tabs>
                                  <w:tab w:val="clear" w:pos="540"/>
                                  <w:tab w:val="left" w:pos="270"/>
                                  <w:tab w:val="left" w:pos="2070"/>
                                  <w:tab w:val="left" w:pos="2340"/>
                                </w:tabs>
                                <w:spacing w:before="0" w:after="0" w:line="240" w:lineRule="auto"/>
                                <w:rPr>
                                  <w:spacing w:val="0"/>
                                  <w:sz w:val="18"/>
                                  <w:szCs w:val="18"/>
                                </w:rPr>
                              </w:pPr>
                              <w:r w:rsidRPr="009442AB">
                                <w:rPr>
                                  <w:spacing w:val="0"/>
                                  <w:sz w:val="18"/>
                                  <w:szCs w:val="18"/>
                                </w:rPr>
                                <w:t>2.</w:t>
                              </w:r>
                              <w:r w:rsidRPr="009442AB">
                                <w:rPr>
                                  <w:spacing w:val="0"/>
                                  <w:sz w:val="18"/>
                                  <w:szCs w:val="18"/>
                                </w:rPr>
                                <w:tab/>
                                <w:t>Cultural</w:t>
                              </w:r>
                              <w:r w:rsidR="009442AB" w:rsidRPr="009442AB">
                                <w:rPr>
                                  <w:spacing w:val="0"/>
                                  <w:sz w:val="18"/>
                                  <w:szCs w:val="18"/>
                                </w:rPr>
                                <w:t xml:space="preserve"> integrity</w:t>
                              </w:r>
                              <w:r w:rsidR="009442AB" w:rsidRPr="009442AB">
                                <w:rPr>
                                  <w:spacing w:val="0"/>
                                  <w:sz w:val="18"/>
                                  <w:szCs w:val="18"/>
                                </w:rPr>
                                <w:tab/>
                                <w:t>7.</w:t>
                              </w:r>
                              <w:r w:rsidR="009442AB" w:rsidRPr="009442AB">
                                <w:rPr>
                                  <w:spacing w:val="0"/>
                                  <w:sz w:val="18"/>
                                  <w:szCs w:val="18"/>
                                </w:rPr>
                                <w:tab/>
                              </w:r>
                              <w:r w:rsidR="006A7B60" w:rsidRPr="009442AB">
                                <w:rPr>
                                  <w:spacing w:val="0"/>
                                  <w:sz w:val="18"/>
                                  <w:szCs w:val="18"/>
                                </w:rPr>
                                <w:t>Decision</w:t>
                              </w:r>
                              <w:r w:rsidR="006A7B60">
                                <w:rPr>
                                  <w:spacing w:val="0"/>
                                  <w:sz w:val="18"/>
                                  <w:szCs w:val="18"/>
                                </w:rPr>
                                <w:t>-</w:t>
                              </w:r>
                              <w:r w:rsidR="009442AB" w:rsidRPr="009442AB">
                                <w:rPr>
                                  <w:spacing w:val="0"/>
                                  <w:sz w:val="18"/>
                                  <w:szCs w:val="18"/>
                                </w:rPr>
                                <w:t>making</w:t>
                              </w:r>
                            </w:p>
                            <w:p w14:paraId="79D21286" w14:textId="5B46D989" w:rsidR="009649CA" w:rsidRPr="009442AB" w:rsidRDefault="009649CA" w:rsidP="009442AB">
                              <w:pPr>
                                <w:pStyle w:val="Numpara"/>
                                <w:numPr>
                                  <w:ilvl w:val="0"/>
                                  <w:numId w:val="0"/>
                                </w:numPr>
                                <w:tabs>
                                  <w:tab w:val="clear" w:pos="540"/>
                                  <w:tab w:val="left" w:pos="270"/>
                                  <w:tab w:val="left" w:pos="2070"/>
                                  <w:tab w:val="left" w:pos="2340"/>
                                </w:tabs>
                                <w:spacing w:before="0" w:after="0" w:line="240" w:lineRule="auto"/>
                                <w:rPr>
                                  <w:spacing w:val="0"/>
                                  <w:sz w:val="18"/>
                                  <w:szCs w:val="18"/>
                                </w:rPr>
                              </w:pPr>
                              <w:r w:rsidRPr="009442AB">
                                <w:rPr>
                                  <w:spacing w:val="0"/>
                                  <w:sz w:val="18"/>
                                  <w:szCs w:val="18"/>
                                </w:rPr>
                                <w:t>3.</w:t>
                              </w:r>
                              <w:r w:rsidRPr="009442AB">
                                <w:rPr>
                                  <w:spacing w:val="0"/>
                                  <w:sz w:val="18"/>
                                  <w:szCs w:val="18"/>
                                </w:rPr>
                                <w:tab/>
                                <w:t>Commitment</w:t>
                              </w:r>
                              <w:r w:rsidRPr="009442AB">
                                <w:rPr>
                                  <w:spacing w:val="0"/>
                                  <w:sz w:val="18"/>
                                  <w:szCs w:val="18"/>
                                </w:rPr>
                                <w:tab/>
                                <w:t>8.</w:t>
                              </w:r>
                              <w:r w:rsidRPr="009442AB">
                                <w:rPr>
                                  <w:spacing w:val="0"/>
                                  <w:sz w:val="18"/>
                                  <w:szCs w:val="18"/>
                                </w:rPr>
                                <w:tab/>
                                <w:t>Empowerment</w:t>
                              </w:r>
                            </w:p>
                            <w:p w14:paraId="0B1D9658" w14:textId="2CED6ED3" w:rsidR="009649CA" w:rsidRPr="009442AB" w:rsidRDefault="009649CA" w:rsidP="009442AB">
                              <w:pPr>
                                <w:pStyle w:val="Numpara"/>
                                <w:numPr>
                                  <w:ilvl w:val="0"/>
                                  <w:numId w:val="0"/>
                                </w:numPr>
                                <w:tabs>
                                  <w:tab w:val="clear" w:pos="540"/>
                                  <w:tab w:val="left" w:pos="270"/>
                                  <w:tab w:val="left" w:pos="2070"/>
                                  <w:tab w:val="left" w:pos="2340"/>
                                </w:tabs>
                                <w:spacing w:before="0" w:after="0" w:line="240" w:lineRule="auto"/>
                                <w:rPr>
                                  <w:spacing w:val="0"/>
                                  <w:sz w:val="18"/>
                                  <w:szCs w:val="18"/>
                                </w:rPr>
                              </w:pPr>
                              <w:r w:rsidRPr="009442AB">
                                <w:rPr>
                                  <w:spacing w:val="0"/>
                                  <w:sz w:val="18"/>
                                  <w:szCs w:val="18"/>
                                </w:rPr>
                                <w:t>4.</w:t>
                              </w:r>
                              <w:r w:rsidRPr="009442AB">
                                <w:rPr>
                                  <w:spacing w:val="0"/>
                                  <w:sz w:val="18"/>
                                  <w:szCs w:val="18"/>
                                </w:rPr>
                                <w:tab/>
                                <w:t>Aboriginal</w:t>
                              </w:r>
                              <w:r w:rsidRPr="009442AB">
                                <w:rPr>
                                  <w:spacing w:val="0"/>
                                  <w:sz w:val="18"/>
                                  <w:szCs w:val="18"/>
                                </w:rPr>
                                <w:tab/>
                                <w:t>9.</w:t>
                              </w:r>
                              <w:r w:rsidRPr="009442AB">
                                <w:rPr>
                                  <w:spacing w:val="0"/>
                                  <w:sz w:val="18"/>
                                  <w:szCs w:val="18"/>
                                </w:rPr>
                                <w:tab/>
                                <w:t xml:space="preserve">Cultural </w:t>
                              </w:r>
                              <w:r w:rsidR="009442AB" w:rsidRPr="009442AB">
                                <w:rPr>
                                  <w:spacing w:val="0"/>
                                  <w:sz w:val="18"/>
                                  <w:szCs w:val="18"/>
                                </w:rPr>
                                <w:t>safety</w:t>
                              </w:r>
                              <w:r w:rsidR="009442AB" w:rsidRPr="009442AB">
                                <w:rPr>
                                  <w:spacing w:val="0"/>
                                  <w:sz w:val="18"/>
                                  <w:szCs w:val="18"/>
                                </w:rPr>
                                <w:tab/>
                                <w:t>expertise</w:t>
                              </w:r>
                              <w:r w:rsidR="009442AB" w:rsidRPr="009442AB">
                                <w:rPr>
                                  <w:spacing w:val="0"/>
                                  <w:sz w:val="18"/>
                                  <w:szCs w:val="18"/>
                                </w:rPr>
                                <w:tab/>
                                <w:t>10.</w:t>
                              </w:r>
                              <w:r w:rsidR="009442AB" w:rsidRPr="009442AB">
                                <w:rPr>
                                  <w:spacing w:val="0"/>
                                  <w:sz w:val="18"/>
                                  <w:szCs w:val="18"/>
                                </w:rPr>
                                <w:tab/>
                                <w:t>Equity</w:t>
                              </w:r>
                              <w:r w:rsidR="009442AB" w:rsidRPr="009442AB">
                                <w:rPr>
                                  <w:spacing w:val="0"/>
                                  <w:sz w:val="18"/>
                                  <w:szCs w:val="18"/>
                                </w:rPr>
                                <w:tab/>
                              </w:r>
                            </w:p>
                            <w:p w14:paraId="3927FE5C" w14:textId="33742F15" w:rsidR="009649CA" w:rsidRPr="009442AB" w:rsidRDefault="009649CA" w:rsidP="009442AB">
                              <w:pPr>
                                <w:pStyle w:val="Numpara"/>
                                <w:numPr>
                                  <w:ilvl w:val="0"/>
                                  <w:numId w:val="0"/>
                                </w:numPr>
                                <w:tabs>
                                  <w:tab w:val="clear" w:pos="540"/>
                                  <w:tab w:val="left" w:pos="270"/>
                                  <w:tab w:val="left" w:pos="2070"/>
                                  <w:tab w:val="left" w:pos="2340"/>
                                </w:tabs>
                                <w:spacing w:before="0" w:after="0" w:line="240" w:lineRule="auto"/>
                                <w:rPr>
                                  <w:spacing w:val="0"/>
                                  <w:sz w:val="18"/>
                                  <w:szCs w:val="18"/>
                                </w:rPr>
                              </w:pPr>
                              <w:r w:rsidRPr="009442AB">
                                <w:rPr>
                                  <w:spacing w:val="0"/>
                                  <w:sz w:val="18"/>
                                  <w:szCs w:val="18"/>
                                </w:rPr>
                                <w:t>5.</w:t>
                              </w:r>
                              <w:r w:rsidRPr="009442AB">
                                <w:rPr>
                                  <w:spacing w:val="0"/>
                                  <w:sz w:val="18"/>
                                  <w:szCs w:val="18"/>
                                </w:rPr>
                                <w:tab/>
                                <w:t>Partnership</w:t>
                              </w:r>
                              <w:r w:rsidRPr="009442AB">
                                <w:rPr>
                                  <w:spacing w:val="0"/>
                                  <w:sz w:val="18"/>
                                  <w:szCs w:val="18"/>
                                </w:rPr>
                                <w:tab/>
                                <w:t>11.</w:t>
                              </w:r>
                              <w:r w:rsidRPr="009442AB">
                                <w:rPr>
                                  <w:spacing w:val="0"/>
                                  <w:sz w:val="18"/>
                                  <w:szCs w:val="18"/>
                                </w:rPr>
                                <w:tab/>
                                <w:t>Accountability</w:t>
                              </w:r>
                              <w:bookmarkEnd w:id="34"/>
                              <w:bookmarkEnd w:id="35"/>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Straight Arrow Connector 37">
                          <a:extLst>
                            <a:ext uri="{C183D7F6-B498-43B3-948B-1728B52AA6E4}">
                              <adec:decorative xmlns:adec="http://schemas.microsoft.com/office/drawing/2017/decorative" val="1"/>
                            </a:ext>
                          </a:extLst>
                        </wps:cNvPr>
                        <wps:cNvCnPr/>
                        <wps:spPr>
                          <a:xfrm>
                            <a:off x="793124" y="1517244"/>
                            <a:ext cx="469900" cy="513715"/>
                          </a:xfrm>
                          <a:prstGeom prst="straightConnector1">
                            <a:avLst/>
                          </a:prstGeom>
                          <a:ln>
                            <a:solidFill>
                              <a:srgbClr val="C95C1A"/>
                            </a:solidFill>
                            <a:tailEnd type="stealth" w="lg" len="lg"/>
                          </a:ln>
                        </wps:spPr>
                        <wps:style>
                          <a:lnRef idx="2">
                            <a:schemeClr val="accent1"/>
                          </a:lnRef>
                          <a:fillRef idx="0">
                            <a:schemeClr val="accent1"/>
                          </a:fillRef>
                          <a:effectRef idx="1">
                            <a:schemeClr val="accent1"/>
                          </a:effectRef>
                          <a:fontRef idx="minor">
                            <a:schemeClr val="tx1"/>
                          </a:fontRef>
                        </wps:style>
                        <wps:bodyPr/>
                      </wps:wsp>
                      <wps:wsp>
                        <wps:cNvPr id="39" name="Straight Arrow Connector 39"/>
                        <wps:cNvCnPr/>
                        <wps:spPr>
                          <a:xfrm flipH="1">
                            <a:off x="4276301" y="1548957"/>
                            <a:ext cx="469900" cy="513080"/>
                          </a:xfrm>
                          <a:prstGeom prst="straightConnector1">
                            <a:avLst/>
                          </a:prstGeom>
                          <a:ln>
                            <a:solidFill>
                              <a:srgbClr val="C95C1A"/>
                            </a:solidFill>
                            <a:tailEnd type="stealth" w="lg" len="lg"/>
                          </a:ln>
                        </wps:spPr>
                        <wps:style>
                          <a:lnRef idx="2">
                            <a:schemeClr val="accent1"/>
                          </a:lnRef>
                          <a:fillRef idx="0">
                            <a:schemeClr val="accent1"/>
                          </a:fillRef>
                          <a:effectRef idx="1">
                            <a:schemeClr val="accent1"/>
                          </a:effectRef>
                          <a:fontRef idx="minor">
                            <a:schemeClr val="tx1"/>
                          </a:fontRef>
                        </wps:style>
                        <wps:bodyPr/>
                      </wps:wsp>
                    </wpc:wpc>
                  </a:graphicData>
                </a:graphic>
              </wp:inline>
            </w:drawing>
          </mc:Choice>
          <mc:Fallback>
            <w:pict>
              <v:group w14:anchorId="6A3D0981" id="Canvas 25" o:spid="_x0000_s1026" editas="canvas" style="width:6in;height:210.85pt;mso-position-horizontal-relative:char;mso-position-vertical-relative:line" coordsize="54864,26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6771;visibility:visible;mso-wrap-style:square" filled="t">
                  <v:fill o:detectmouseclick="t"/>
                  <v:path o:connecttype="none"/>
                </v:shape>
                <v:rect id="Rectangle 35" o:spid="_x0000_s1028" alt="Three box diagram highlighting what enablers will do (1. Prioritise culture, 2. Address trauma and support healing, 3. Address racism and promote cultural safety and 4. Transfer power and resources to communities); the principles or how we will do it  (1. Human rights, 2. Cultural integrity, 3. Commitment, 4. Aboriginal expertise, 5. Partnership, 6. Investment, 7. Decision making, 8. Empowerment, 9. Cultural safety, 10. Equity and 11. Accountability) and the reporting domains." style="position:absolute;top:18115;width:54864;height:8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" fillcolor="white [3201]" strokecolor="#c95c1a" strokeweight="2pt">
                  <v:textbox inset="3.6pt,,3.6pt">
                    <w:txbxContent>
                      <w:p w14:paraId="191270BD" w14:textId="77777777" w:rsidR="009442AB" w:rsidRPr="00F5325D" w:rsidRDefault="009442AB" w:rsidP="009442AB">
                        <w:pPr>
                          <w:spacing w:after="60"/>
                          <w:jc w:val="center"/>
                          <w:rPr>
                            <w:b/>
                            <w:color w:val="0072CE"/>
                          </w:rPr>
                        </w:pPr>
                        <w:r w:rsidRPr="00F5325D">
                          <w:rPr>
                            <w:b/>
                            <w:color w:val="0072CE"/>
                          </w:rPr>
                          <w:t>Reporting domains</w:t>
                        </w:r>
                      </w:p>
                      <w:p w14:paraId="737BB948" w14:textId="77777777" w:rsidR="009442AB" w:rsidRPr="009442AB" w:rsidRDefault="009442AB" w:rsidP="009442AB">
                        <w:pPr>
                          <w:spacing w:after="0"/>
                          <w:jc w:val="center"/>
                          <w:rPr>
                            <w:color w:val="000000" w:themeColor="text1"/>
                          </w:rPr>
                        </w:pPr>
                        <w:r w:rsidRPr="009442AB">
                          <w:rPr>
                            <w:color w:val="000000" w:themeColor="text1"/>
                          </w:rPr>
                          <w:t>How we will report on our actions</w:t>
                        </w:r>
                      </w:p>
                      <w:p w14:paraId="3C15A61F" w14:textId="7107A81E" w:rsidR="009442AB" w:rsidRPr="009442AB" w:rsidRDefault="009442AB" w:rsidP="009442AB">
                        <w:pPr>
                          <w:spacing w:after="0"/>
                          <w:jc w:val="center"/>
                          <w:rPr>
                            <w:color w:val="000000" w:themeColor="text1"/>
                          </w:rPr>
                        </w:pPr>
                        <w:r w:rsidRPr="009442AB">
                          <w:rPr>
                            <w:color w:val="000000" w:themeColor="text1"/>
                          </w:rPr>
                          <w:t>People, accountability,</w:t>
                        </w:r>
                        <w:r w:rsidR="007F4864">
                          <w:rPr>
                            <w:color w:val="000000" w:themeColor="text1"/>
                          </w:rPr>
                          <w:t xml:space="preserve"> </w:t>
                        </w:r>
                        <w:r w:rsidRPr="009442AB">
                          <w:rPr>
                            <w:color w:val="000000" w:themeColor="text1"/>
                          </w:rPr>
                          <w:t>systems, outcomes</w:t>
                        </w:r>
                      </w:p>
                    </w:txbxContent>
                  </v:textbox>
                </v:rect>
                <v:rect id="Rectangle 26" o:spid="_x0000_s1029" alt="Three part diagram indicating that Enablers (What we'll do) and Guiding Principles (How we will do it) feed into Reporting domains." style="position:absolute;top:2;width:26705;height:16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" fillcolor="white [3201]" strokecolor="#c95c1a" strokeweight="2pt">
                  <v:textbox>
                    <w:txbxContent>
                      <w:p w14:paraId="21C1E454" w14:textId="77777777" w:rsidR="009649CA" w:rsidRPr="00F5325D" w:rsidRDefault="009649CA" w:rsidP="009442AB">
                        <w:pPr>
                          <w:spacing w:after="60"/>
                          <w:rPr>
                            <w:b/>
                            <w:color w:val="0072CE"/>
                          </w:rPr>
                        </w:pPr>
                        <w:r w:rsidRPr="00F5325D">
                          <w:rPr>
                            <w:b/>
                            <w:color w:val="0072CE"/>
                          </w:rPr>
                          <w:t>Enablers</w:t>
                        </w:r>
                      </w:p>
                      <w:p w14:paraId="26612EDA" w14:textId="77777777" w:rsidR="009649CA" w:rsidRPr="009649CA" w:rsidRDefault="009649CA" w:rsidP="009649CA">
                        <w:pPr>
                          <w:spacing w:after="0"/>
                          <w:rPr>
                            <w:b/>
                            <w:bCs/>
                            <w:color w:val="000000" w:themeColor="text1"/>
                          </w:rPr>
                        </w:pPr>
                        <w:r w:rsidRPr="009649CA">
                          <w:rPr>
                            <w:b/>
                            <w:bCs/>
                            <w:color w:val="000000" w:themeColor="text1"/>
                          </w:rPr>
                          <w:t>‘What we’ll do’</w:t>
                        </w:r>
                      </w:p>
                      <w:p w14:paraId="794F3958" w14:textId="77777777" w:rsidR="009649CA" w:rsidRPr="009442AB" w:rsidRDefault="009649CA" w:rsidP="009649CA">
                        <w:pPr>
                          <w:pStyle w:val="Numpara"/>
                          <w:tabs>
                            <w:tab w:val="clear" w:pos="540"/>
                          </w:tabs>
                          <w:spacing w:before="0" w:after="0" w:line="240" w:lineRule="auto"/>
                          <w:rPr>
                            <w:sz w:val="18"/>
                            <w:szCs w:val="18"/>
                          </w:rPr>
                        </w:pPr>
                        <w:r w:rsidRPr="009442AB">
                          <w:rPr>
                            <w:sz w:val="18"/>
                            <w:szCs w:val="18"/>
                          </w:rPr>
                          <w:t>Prioritise culture</w:t>
                        </w:r>
                      </w:p>
                      <w:p w14:paraId="6F57ECD9" w14:textId="77777777" w:rsidR="009649CA" w:rsidRPr="009442AB" w:rsidRDefault="009649CA" w:rsidP="009649CA">
                        <w:pPr>
                          <w:pStyle w:val="Numpara"/>
                          <w:tabs>
                            <w:tab w:val="clear" w:pos="540"/>
                          </w:tabs>
                          <w:spacing w:before="0" w:after="0" w:line="240" w:lineRule="auto"/>
                          <w:rPr>
                            <w:sz w:val="18"/>
                            <w:szCs w:val="18"/>
                          </w:rPr>
                        </w:pPr>
                        <w:r w:rsidRPr="009442AB">
                          <w:rPr>
                            <w:sz w:val="18"/>
                            <w:szCs w:val="18"/>
                          </w:rPr>
                          <w:t>Address trauma and support healing</w:t>
                        </w:r>
                      </w:p>
                      <w:p w14:paraId="1B263D71" w14:textId="77777777" w:rsidR="009649CA" w:rsidRPr="009442AB" w:rsidRDefault="009649CA" w:rsidP="009649CA">
                        <w:pPr>
                          <w:pStyle w:val="Numpara"/>
                          <w:tabs>
                            <w:tab w:val="clear" w:pos="540"/>
                          </w:tabs>
                          <w:spacing w:before="0" w:after="0" w:line="240" w:lineRule="auto"/>
                          <w:rPr>
                            <w:sz w:val="18"/>
                            <w:szCs w:val="18"/>
                          </w:rPr>
                        </w:pPr>
                        <w:r w:rsidRPr="009442AB">
                          <w:rPr>
                            <w:sz w:val="18"/>
                            <w:szCs w:val="18"/>
                          </w:rPr>
                          <w:t>Address racism and promote cultural safety</w:t>
                        </w:r>
                      </w:p>
                      <w:p w14:paraId="250FCE3A" w14:textId="77777777" w:rsidR="009649CA" w:rsidRPr="009442AB" w:rsidRDefault="009649CA" w:rsidP="009649CA">
                        <w:pPr>
                          <w:pStyle w:val="Numpara"/>
                          <w:tabs>
                            <w:tab w:val="clear" w:pos="540"/>
                          </w:tabs>
                          <w:spacing w:before="0" w:after="0" w:line="240" w:lineRule="auto"/>
                          <w:rPr>
                            <w:sz w:val="18"/>
                            <w:szCs w:val="18"/>
                          </w:rPr>
                        </w:pPr>
                        <w:r w:rsidRPr="009442AB">
                          <w:rPr>
                            <w:sz w:val="18"/>
                            <w:szCs w:val="18"/>
                          </w:rPr>
                          <w:t>Transfer power and resources to communities</w:t>
                        </w:r>
                      </w:p>
                    </w:txbxContent>
                  </v:textbox>
                </v:rect>
                <v:rect id="Rectangle 34" o:spid="_x0000_s1030" alt=" " style="position:absolute;left:28110;width:26702;height:16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" fillcolor="white [3201]" strokecolor="#c95c1a" strokeweight="2pt">
                  <v:textbox>
                    <w:txbxContent>
                      <w:p w14:paraId="60904A66" w14:textId="77777777" w:rsidR="009649CA" w:rsidRPr="00F5325D" w:rsidRDefault="009649CA" w:rsidP="009442AB">
                        <w:pPr>
                          <w:spacing w:after="60"/>
                          <w:rPr>
                            <w:b/>
                            <w:color w:val="0072CE"/>
                          </w:rPr>
                        </w:pPr>
                        <w:r w:rsidRPr="00F5325D">
                          <w:rPr>
                            <w:b/>
                            <w:color w:val="0072CE"/>
                          </w:rPr>
                          <w:t>Principles</w:t>
                        </w:r>
                      </w:p>
                      <w:p w14:paraId="1A8304AC" w14:textId="77777777" w:rsidR="009649CA" w:rsidRPr="009649CA" w:rsidRDefault="009649CA" w:rsidP="009649CA">
                        <w:pPr>
                          <w:spacing w:after="0"/>
                          <w:rPr>
                            <w:b/>
                            <w:bCs/>
                            <w:color w:val="000000" w:themeColor="text1"/>
                          </w:rPr>
                        </w:pPr>
                        <w:r w:rsidRPr="009649CA">
                          <w:rPr>
                            <w:b/>
                            <w:bCs/>
                            <w:color w:val="000000" w:themeColor="text1"/>
                          </w:rPr>
                          <w:t>‘How we will do it’</w:t>
                        </w:r>
                      </w:p>
                      <w:p w14:paraId="05F1C7DF" w14:textId="0315E3A8" w:rsidR="009649CA" w:rsidRPr="009442AB" w:rsidRDefault="009649CA" w:rsidP="009442AB">
                        <w:pPr>
                          <w:pStyle w:val="Numpara"/>
                          <w:numPr>
                            <w:ilvl w:val="0"/>
                            <w:numId w:val="0"/>
                          </w:numPr>
                          <w:tabs>
                            <w:tab w:val="clear" w:pos="540"/>
                            <w:tab w:val="left" w:pos="270"/>
                            <w:tab w:val="left" w:pos="2070"/>
                            <w:tab w:val="left" w:pos="2340"/>
                          </w:tabs>
                          <w:spacing w:before="0" w:after="0" w:line="240" w:lineRule="auto"/>
                          <w:rPr>
                            <w:spacing w:val="0"/>
                            <w:sz w:val="18"/>
                            <w:szCs w:val="18"/>
                          </w:rPr>
                        </w:pPr>
                        <w:bookmarkStart w:id="36" w:name="_Hlk32487374"/>
                        <w:bookmarkStart w:id="37" w:name="_Hlk32487375"/>
                        <w:r w:rsidRPr="009442AB">
                          <w:rPr>
                            <w:sz w:val="18"/>
                            <w:szCs w:val="18"/>
                          </w:rPr>
                          <w:t>1.</w:t>
                        </w:r>
                        <w:r w:rsidRPr="009442AB">
                          <w:rPr>
                            <w:sz w:val="18"/>
                            <w:szCs w:val="18"/>
                          </w:rPr>
                          <w:tab/>
                        </w:r>
                        <w:r w:rsidRPr="009442AB">
                          <w:rPr>
                            <w:spacing w:val="0"/>
                            <w:sz w:val="18"/>
                            <w:szCs w:val="18"/>
                          </w:rPr>
                          <w:t>Human rights</w:t>
                        </w:r>
                        <w:r w:rsidRPr="009442AB">
                          <w:rPr>
                            <w:spacing w:val="0"/>
                            <w:sz w:val="18"/>
                            <w:szCs w:val="18"/>
                          </w:rPr>
                          <w:tab/>
                        </w:r>
                        <w:r w:rsidR="009442AB" w:rsidRPr="009442AB">
                          <w:rPr>
                            <w:spacing w:val="0"/>
                            <w:sz w:val="18"/>
                            <w:szCs w:val="18"/>
                          </w:rPr>
                          <w:t>6.</w:t>
                        </w:r>
                        <w:r w:rsidR="009442AB" w:rsidRPr="009442AB">
                          <w:rPr>
                            <w:spacing w:val="0"/>
                            <w:sz w:val="18"/>
                            <w:szCs w:val="18"/>
                          </w:rPr>
                          <w:tab/>
                          <w:t>Investment</w:t>
                        </w:r>
                      </w:p>
                      <w:p w14:paraId="278D7BC6" w14:textId="0CC69B5E" w:rsidR="009649CA" w:rsidRPr="009442AB" w:rsidRDefault="009649CA" w:rsidP="009442AB">
                        <w:pPr>
                          <w:pStyle w:val="Numpara"/>
                          <w:numPr>
                            <w:ilvl w:val="0"/>
                            <w:numId w:val="0"/>
                          </w:numPr>
                          <w:tabs>
                            <w:tab w:val="clear" w:pos="540"/>
                            <w:tab w:val="left" w:pos="270"/>
                            <w:tab w:val="left" w:pos="2070"/>
                            <w:tab w:val="left" w:pos="2340"/>
                          </w:tabs>
                          <w:spacing w:before="0" w:after="0" w:line="240" w:lineRule="auto"/>
                          <w:rPr>
                            <w:spacing w:val="0"/>
                            <w:sz w:val="18"/>
                            <w:szCs w:val="18"/>
                          </w:rPr>
                        </w:pPr>
                        <w:r w:rsidRPr="009442AB">
                          <w:rPr>
                            <w:spacing w:val="0"/>
                            <w:sz w:val="18"/>
                            <w:szCs w:val="18"/>
                          </w:rPr>
                          <w:t>2.</w:t>
                        </w:r>
                        <w:r w:rsidRPr="009442AB">
                          <w:rPr>
                            <w:spacing w:val="0"/>
                            <w:sz w:val="18"/>
                            <w:szCs w:val="18"/>
                          </w:rPr>
                          <w:tab/>
                          <w:t>Cultural</w:t>
                        </w:r>
                        <w:r w:rsidR="009442AB" w:rsidRPr="009442AB">
                          <w:rPr>
                            <w:spacing w:val="0"/>
                            <w:sz w:val="18"/>
                            <w:szCs w:val="18"/>
                          </w:rPr>
                          <w:t xml:space="preserve"> integrity</w:t>
                        </w:r>
                        <w:r w:rsidR="009442AB" w:rsidRPr="009442AB">
                          <w:rPr>
                            <w:spacing w:val="0"/>
                            <w:sz w:val="18"/>
                            <w:szCs w:val="18"/>
                          </w:rPr>
                          <w:tab/>
                          <w:t>7.</w:t>
                        </w:r>
                        <w:r w:rsidR="009442AB" w:rsidRPr="009442AB">
                          <w:rPr>
                            <w:spacing w:val="0"/>
                            <w:sz w:val="18"/>
                            <w:szCs w:val="18"/>
                          </w:rPr>
                          <w:tab/>
                        </w:r>
                        <w:r w:rsidR="006A7B60" w:rsidRPr="009442AB">
                          <w:rPr>
                            <w:spacing w:val="0"/>
                            <w:sz w:val="18"/>
                            <w:szCs w:val="18"/>
                          </w:rPr>
                          <w:t>Decision</w:t>
                        </w:r>
                        <w:r w:rsidR="006A7B60">
                          <w:rPr>
                            <w:spacing w:val="0"/>
                            <w:sz w:val="18"/>
                            <w:szCs w:val="18"/>
                          </w:rPr>
                          <w:t>-</w:t>
                        </w:r>
                        <w:r w:rsidR="009442AB" w:rsidRPr="009442AB">
                          <w:rPr>
                            <w:spacing w:val="0"/>
                            <w:sz w:val="18"/>
                            <w:szCs w:val="18"/>
                          </w:rPr>
                          <w:t>making</w:t>
                        </w:r>
                      </w:p>
                      <w:p w14:paraId="79D21286" w14:textId="5B46D989" w:rsidR="009649CA" w:rsidRPr="009442AB" w:rsidRDefault="009649CA" w:rsidP="009442AB">
                        <w:pPr>
                          <w:pStyle w:val="Numpara"/>
                          <w:numPr>
                            <w:ilvl w:val="0"/>
                            <w:numId w:val="0"/>
                          </w:numPr>
                          <w:tabs>
                            <w:tab w:val="clear" w:pos="540"/>
                            <w:tab w:val="left" w:pos="270"/>
                            <w:tab w:val="left" w:pos="2070"/>
                            <w:tab w:val="left" w:pos="2340"/>
                          </w:tabs>
                          <w:spacing w:before="0" w:after="0" w:line="240" w:lineRule="auto"/>
                          <w:rPr>
                            <w:spacing w:val="0"/>
                            <w:sz w:val="18"/>
                            <w:szCs w:val="18"/>
                          </w:rPr>
                        </w:pPr>
                        <w:r w:rsidRPr="009442AB">
                          <w:rPr>
                            <w:spacing w:val="0"/>
                            <w:sz w:val="18"/>
                            <w:szCs w:val="18"/>
                          </w:rPr>
                          <w:t>3.</w:t>
                        </w:r>
                        <w:r w:rsidRPr="009442AB">
                          <w:rPr>
                            <w:spacing w:val="0"/>
                            <w:sz w:val="18"/>
                            <w:szCs w:val="18"/>
                          </w:rPr>
                          <w:tab/>
                          <w:t>Commitment</w:t>
                        </w:r>
                        <w:r w:rsidRPr="009442AB">
                          <w:rPr>
                            <w:spacing w:val="0"/>
                            <w:sz w:val="18"/>
                            <w:szCs w:val="18"/>
                          </w:rPr>
                          <w:tab/>
                          <w:t>8.</w:t>
                        </w:r>
                        <w:r w:rsidRPr="009442AB">
                          <w:rPr>
                            <w:spacing w:val="0"/>
                            <w:sz w:val="18"/>
                            <w:szCs w:val="18"/>
                          </w:rPr>
                          <w:tab/>
                          <w:t>Empowerment</w:t>
                        </w:r>
                      </w:p>
                      <w:p w14:paraId="0B1D9658" w14:textId="2CED6ED3" w:rsidR="009649CA" w:rsidRPr="009442AB" w:rsidRDefault="009649CA" w:rsidP="009442AB">
                        <w:pPr>
                          <w:pStyle w:val="Numpara"/>
                          <w:numPr>
                            <w:ilvl w:val="0"/>
                            <w:numId w:val="0"/>
                          </w:numPr>
                          <w:tabs>
                            <w:tab w:val="clear" w:pos="540"/>
                            <w:tab w:val="left" w:pos="270"/>
                            <w:tab w:val="left" w:pos="2070"/>
                            <w:tab w:val="left" w:pos="2340"/>
                          </w:tabs>
                          <w:spacing w:before="0" w:after="0" w:line="240" w:lineRule="auto"/>
                          <w:rPr>
                            <w:spacing w:val="0"/>
                            <w:sz w:val="18"/>
                            <w:szCs w:val="18"/>
                          </w:rPr>
                        </w:pPr>
                        <w:r w:rsidRPr="009442AB">
                          <w:rPr>
                            <w:spacing w:val="0"/>
                            <w:sz w:val="18"/>
                            <w:szCs w:val="18"/>
                          </w:rPr>
                          <w:t>4.</w:t>
                        </w:r>
                        <w:r w:rsidRPr="009442AB">
                          <w:rPr>
                            <w:spacing w:val="0"/>
                            <w:sz w:val="18"/>
                            <w:szCs w:val="18"/>
                          </w:rPr>
                          <w:tab/>
                          <w:t>Aboriginal</w:t>
                        </w:r>
                        <w:r w:rsidRPr="009442AB">
                          <w:rPr>
                            <w:spacing w:val="0"/>
                            <w:sz w:val="18"/>
                            <w:szCs w:val="18"/>
                          </w:rPr>
                          <w:tab/>
                          <w:t>9.</w:t>
                        </w:r>
                        <w:r w:rsidRPr="009442AB">
                          <w:rPr>
                            <w:spacing w:val="0"/>
                            <w:sz w:val="18"/>
                            <w:szCs w:val="18"/>
                          </w:rPr>
                          <w:tab/>
                          <w:t xml:space="preserve">Cultural </w:t>
                        </w:r>
                        <w:r w:rsidR="009442AB" w:rsidRPr="009442AB">
                          <w:rPr>
                            <w:spacing w:val="0"/>
                            <w:sz w:val="18"/>
                            <w:szCs w:val="18"/>
                          </w:rPr>
                          <w:t>safety</w:t>
                        </w:r>
                        <w:r w:rsidR="009442AB" w:rsidRPr="009442AB">
                          <w:rPr>
                            <w:spacing w:val="0"/>
                            <w:sz w:val="18"/>
                            <w:szCs w:val="18"/>
                          </w:rPr>
                          <w:tab/>
                          <w:t>expertise</w:t>
                        </w:r>
                        <w:r w:rsidR="009442AB" w:rsidRPr="009442AB">
                          <w:rPr>
                            <w:spacing w:val="0"/>
                            <w:sz w:val="18"/>
                            <w:szCs w:val="18"/>
                          </w:rPr>
                          <w:tab/>
                          <w:t>10.</w:t>
                        </w:r>
                        <w:r w:rsidR="009442AB" w:rsidRPr="009442AB">
                          <w:rPr>
                            <w:spacing w:val="0"/>
                            <w:sz w:val="18"/>
                            <w:szCs w:val="18"/>
                          </w:rPr>
                          <w:tab/>
                          <w:t>Equity</w:t>
                        </w:r>
                        <w:r w:rsidR="009442AB" w:rsidRPr="009442AB">
                          <w:rPr>
                            <w:spacing w:val="0"/>
                            <w:sz w:val="18"/>
                            <w:szCs w:val="18"/>
                          </w:rPr>
                          <w:tab/>
                        </w:r>
                      </w:p>
                      <w:p w14:paraId="3927FE5C" w14:textId="33742F15" w:rsidR="009649CA" w:rsidRPr="009442AB" w:rsidRDefault="009649CA" w:rsidP="009442AB">
                        <w:pPr>
                          <w:pStyle w:val="Numpara"/>
                          <w:numPr>
                            <w:ilvl w:val="0"/>
                            <w:numId w:val="0"/>
                          </w:numPr>
                          <w:tabs>
                            <w:tab w:val="clear" w:pos="540"/>
                            <w:tab w:val="left" w:pos="270"/>
                            <w:tab w:val="left" w:pos="2070"/>
                            <w:tab w:val="left" w:pos="2340"/>
                          </w:tabs>
                          <w:spacing w:before="0" w:after="0" w:line="240" w:lineRule="auto"/>
                          <w:rPr>
                            <w:spacing w:val="0"/>
                            <w:sz w:val="18"/>
                            <w:szCs w:val="18"/>
                          </w:rPr>
                        </w:pPr>
                        <w:r w:rsidRPr="009442AB">
                          <w:rPr>
                            <w:spacing w:val="0"/>
                            <w:sz w:val="18"/>
                            <w:szCs w:val="18"/>
                          </w:rPr>
                          <w:t>5.</w:t>
                        </w:r>
                        <w:r w:rsidRPr="009442AB">
                          <w:rPr>
                            <w:spacing w:val="0"/>
                            <w:sz w:val="18"/>
                            <w:szCs w:val="18"/>
                          </w:rPr>
                          <w:tab/>
                          <w:t>Partnership</w:t>
                        </w:r>
                        <w:r w:rsidRPr="009442AB">
                          <w:rPr>
                            <w:spacing w:val="0"/>
                            <w:sz w:val="18"/>
                            <w:szCs w:val="18"/>
                          </w:rPr>
                          <w:tab/>
                          <w:t>11.</w:t>
                        </w:r>
                        <w:r w:rsidRPr="009442AB">
                          <w:rPr>
                            <w:spacing w:val="0"/>
                            <w:sz w:val="18"/>
                            <w:szCs w:val="18"/>
                          </w:rPr>
                          <w:tab/>
                          <w:t>Accountability</w:t>
                        </w:r>
                        <w:bookmarkEnd w:id="36"/>
                        <w:bookmarkEnd w:id="37"/>
                      </w:p>
                    </w:txbxContent>
                  </v:textbox>
                </v:rect>
                <v:shapetype id="_x0000_t32" coordsize="21600,21600" o:spt="32" o:oned="t" path="m,l21600,21600e" filled="f">
                  <v:path arrowok="t" fillok="f" o:connecttype="none"/>
                  <o:lock v:ext="edit" shapetype="t"/>
                </v:shapetype>
                <v:shape id="Straight Arrow Connector 37" o:spid="_x0000_s1031" type="#_x0000_t32" style="position:absolute;left:7931;top:15172;width:4699;height:5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" strokecolor="#c95c1a" strokeweight="2pt">
                  <v:stroke endarrow="classic" endarrowwidth="wide" endarrowlength="long"/>
                  <v:shadow on="t" color="black" opacity="24903f" origin=",.5" offset="0,.55556mm"/>
                </v:shape>
                <v:shape id="Straight Arrow Connector 39" o:spid="_x0000_s1032" type="#_x0000_t32" style="position:absolute;left:42763;top:15489;width:4699;height:51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" strokecolor="#c95c1a" strokeweight="2pt">
                  <v:stroke endarrow="classic" endarrowwidth="wide" endarrowlength="long"/>
                  <v:shadow on="t" color="black" opacity="24903f" origin=",.5" offset="0,.55556mm"/>
                </v:shape>
                <w10:anchorlock/>
              </v:group>
            </w:pict>
          </mc:Fallback>
        </mc:AlternateContent>
      </w:r>
    </w:p>
    <w:p w14:paraId="4AAE69C8" w14:textId="77777777" w:rsidR="00B62FDD" w:rsidRDefault="00B62FDD" w:rsidP="00B62FDD">
      <w:pPr>
        <w:pStyle w:val="Heading2"/>
      </w:pPr>
      <w:bookmarkStart w:id="36" w:name="_Toc25053499"/>
      <w:bookmarkStart w:id="37" w:name="_Toc24707738"/>
      <w:bookmarkStart w:id="38" w:name="_Toc32238808"/>
      <w:bookmarkStart w:id="39" w:name="_Toc32240768"/>
      <w:bookmarkStart w:id="40" w:name="_Toc32240788"/>
      <w:bookmarkStart w:id="41" w:name="_Toc32490406"/>
      <w:bookmarkStart w:id="42" w:name="_Toc37246844"/>
      <w:bookmarkStart w:id="43" w:name="_Toc37254972"/>
      <w:bookmarkStart w:id="44" w:name="_Toc37255109"/>
      <w:bookmarkStart w:id="45" w:name="_Toc41653094"/>
      <w:r>
        <w:lastRenderedPageBreak/>
        <w:t>Purpose</w:t>
      </w:r>
      <w:bookmarkEnd w:id="36"/>
      <w:bookmarkEnd w:id="37"/>
      <w:bookmarkEnd w:id="38"/>
      <w:bookmarkEnd w:id="39"/>
      <w:bookmarkEnd w:id="40"/>
      <w:bookmarkEnd w:id="41"/>
      <w:bookmarkEnd w:id="42"/>
      <w:bookmarkEnd w:id="43"/>
      <w:bookmarkEnd w:id="44"/>
      <w:bookmarkEnd w:id="45"/>
    </w:p>
    <w:p w14:paraId="12F1882E" w14:textId="29302CBF" w:rsidR="008136D3" w:rsidRDefault="008136D3" w:rsidP="002115BC">
      <w:pPr>
        <w:keepNext/>
      </w:pPr>
      <w:r>
        <w:t xml:space="preserve">This document sets out DTF’s planned actions to advance self-determination in 2020 and beyond. </w:t>
      </w:r>
    </w:p>
    <w:p w14:paraId="6F12A2D5" w14:textId="77777777" w:rsidR="00B62FDD" w:rsidRDefault="00B62FDD" w:rsidP="00367E11">
      <w:pPr>
        <w:pStyle w:val="Heading2"/>
      </w:pPr>
      <w:bookmarkStart w:id="46" w:name="_Toc37246845"/>
      <w:bookmarkStart w:id="47" w:name="_Toc37254973"/>
      <w:bookmarkStart w:id="48" w:name="_Toc37255110"/>
      <w:bookmarkStart w:id="49" w:name="_Toc41653095"/>
      <w:bookmarkStart w:id="50" w:name="_Toc25053500"/>
      <w:bookmarkStart w:id="51" w:name="_Toc24707739"/>
      <w:bookmarkStart w:id="52" w:name="_Toc32238809"/>
      <w:bookmarkStart w:id="53" w:name="_Toc32240769"/>
      <w:bookmarkStart w:id="54" w:name="_Toc32240789"/>
      <w:bookmarkStart w:id="55" w:name="_Toc32490407"/>
      <w:r>
        <w:t>About DTF</w:t>
      </w:r>
      <w:bookmarkEnd w:id="46"/>
      <w:bookmarkEnd w:id="47"/>
      <w:bookmarkEnd w:id="48"/>
      <w:bookmarkEnd w:id="49"/>
    </w:p>
    <w:p w14:paraId="521C3C8F" w14:textId="77777777" w:rsidR="00B62FDD" w:rsidRDefault="00B62FDD" w:rsidP="00B62FDD">
      <w:r>
        <w:t>We provide economic, financial and resource management advice to help the Victorian Government deliver its policies.</w:t>
      </w:r>
    </w:p>
    <w:p w14:paraId="204C2AB8" w14:textId="77777777" w:rsidR="00B62FDD" w:rsidRDefault="00B62FDD" w:rsidP="00B62FDD">
      <w:r>
        <w:t>We support Tim Pallas, Treasurer of Victoria and Minister for Economic Development, and Robin Scott, Assistant Treasurer, to manage Victoria’s budget, finances, economic policy and strategy.</w:t>
      </w:r>
    </w:p>
    <w:p w14:paraId="250F967C" w14:textId="77777777" w:rsidR="00B62FDD" w:rsidRDefault="00B62FDD" w:rsidP="00B62FDD">
      <w:r>
        <w:t>Our work also involves assisting the Government to implement major infrastructure projects and contractual agreements across Victoria.</w:t>
      </w:r>
    </w:p>
    <w:p w14:paraId="620CCB04" w14:textId="77777777" w:rsidR="00B62FDD" w:rsidRDefault="00B62FDD" w:rsidP="002115BC">
      <w:pPr>
        <w:pStyle w:val="Heading3"/>
      </w:pPr>
      <w:r>
        <w:t xml:space="preserve">Our </w:t>
      </w:r>
      <w:r w:rsidRPr="002115BC">
        <w:t>objectives</w:t>
      </w:r>
    </w:p>
    <w:p w14:paraId="1FD54C98" w14:textId="17C7BF49" w:rsidR="00B62FDD" w:rsidRDefault="00B62FDD" w:rsidP="00B62FDD">
      <w:r>
        <w:t>We strive for excellence in financial and economic management to improve the lives of all Victorians. We value our people and motivate them to lead, influence, collaborate and innovate.</w:t>
      </w:r>
      <w:r w:rsidR="007F4864">
        <w:t xml:space="preserve"> These objectives seek to:</w:t>
      </w:r>
    </w:p>
    <w:p w14:paraId="54E82B86" w14:textId="01E56B77" w:rsidR="00B62FDD" w:rsidRDefault="00B62FDD" w:rsidP="00070545">
      <w:pPr>
        <w:pStyle w:val="BodyTextBullet"/>
      </w:pPr>
      <w:r>
        <w:t>optimise Victoria’s fiscal resources</w:t>
      </w:r>
      <w:r w:rsidR="00533A7B">
        <w:t>;</w:t>
      </w:r>
    </w:p>
    <w:p w14:paraId="69DA9862" w14:textId="595855CC" w:rsidR="00B62FDD" w:rsidRDefault="00B62FDD" w:rsidP="00070545">
      <w:pPr>
        <w:pStyle w:val="BodyTextBullet"/>
      </w:pPr>
      <w:r>
        <w:t>strengthen Victoria’s economic performance</w:t>
      </w:r>
      <w:r w:rsidR="00533A7B">
        <w:t xml:space="preserve">; </w:t>
      </w:r>
    </w:p>
    <w:p w14:paraId="0214C63D" w14:textId="2CE05B57" w:rsidR="00B62FDD" w:rsidRDefault="00B62FDD" w:rsidP="00070545">
      <w:pPr>
        <w:pStyle w:val="BodyTextBullet"/>
      </w:pPr>
      <w:r>
        <w:t xml:space="preserve">improve how Government manages its balance sheet, commercial </w:t>
      </w:r>
      <w:proofErr w:type="gramStart"/>
      <w:r>
        <w:t>activities</w:t>
      </w:r>
      <w:proofErr w:type="gramEnd"/>
      <w:r>
        <w:t xml:space="preserve"> and public sector infrastructure</w:t>
      </w:r>
      <w:r w:rsidR="00533A7B">
        <w:t>;</w:t>
      </w:r>
    </w:p>
    <w:p w14:paraId="7205D571" w14:textId="5E38CB8D" w:rsidR="00B62FDD" w:rsidRDefault="00B62FDD" w:rsidP="00070545">
      <w:pPr>
        <w:pStyle w:val="BodyTextBullet"/>
      </w:pPr>
      <w:r>
        <w:t>deliver efficient whole of government common services to the Victorian public sector</w:t>
      </w:r>
      <w:r w:rsidR="00533A7B">
        <w:t>;</w:t>
      </w:r>
      <w:r w:rsidR="002115BC">
        <w:rPr>
          <w:rFonts w:ascii="Calibri" w:hAnsi="Calibri" w:cs="Calibri"/>
        </w:rPr>
        <w:t> </w:t>
      </w:r>
      <w:r w:rsidR="00533A7B">
        <w:t>and</w:t>
      </w:r>
    </w:p>
    <w:p w14:paraId="64DA5499" w14:textId="4F30A4A4" w:rsidR="00B62FDD" w:rsidRDefault="00B62FDD" w:rsidP="00070545">
      <w:pPr>
        <w:pStyle w:val="BodyTextBullet"/>
      </w:pPr>
      <w:r>
        <w:t xml:space="preserve">ensure DTF and its people have the capability to serve </w:t>
      </w:r>
      <w:r w:rsidR="00533A7B">
        <w:t xml:space="preserve">the </w:t>
      </w:r>
      <w:r>
        <w:t>Government.</w:t>
      </w:r>
    </w:p>
    <w:p w14:paraId="26EC6ECA" w14:textId="77777777" w:rsidR="00B62FDD" w:rsidRDefault="00B62FDD" w:rsidP="00B62FDD">
      <w:r>
        <w:t>We proactively look to improve our services, and the way in which they are delivered to ensure we are fiscally responsible, market focused and reform oriented.</w:t>
      </w:r>
    </w:p>
    <w:p w14:paraId="576302DD" w14:textId="77777777" w:rsidR="00B62FDD" w:rsidRDefault="00B62FDD" w:rsidP="002115BC">
      <w:pPr>
        <w:pStyle w:val="Heading3"/>
      </w:pPr>
      <w:r>
        <w:t>Our role</w:t>
      </w:r>
    </w:p>
    <w:p w14:paraId="0C71BD11" w14:textId="209E1CED" w:rsidR="00B62FDD" w:rsidRDefault="00B62FDD" w:rsidP="00B62FDD">
      <w:r>
        <w:t>We support the ministerial portfolios of the Treasurer, Minister for Economic Development and the Assistant Treasurer. We also provide leadership in economic, financial and resource management</w:t>
      </w:r>
      <w:r w:rsidR="007F4864">
        <w:t xml:space="preserve"> advice</w:t>
      </w:r>
      <w:r>
        <w:t xml:space="preserve"> to help the Victorian Government deliver its policies.</w:t>
      </w:r>
    </w:p>
    <w:p w14:paraId="026EF46B" w14:textId="77777777" w:rsidR="00B62FDD" w:rsidRDefault="00B62FDD" w:rsidP="00B62FDD">
      <w:r>
        <w:t>Our role includes:</w:t>
      </w:r>
    </w:p>
    <w:p w14:paraId="75A36C08" w14:textId="0B4F41FA" w:rsidR="00B62FDD" w:rsidRDefault="00B62FDD" w:rsidP="00070545">
      <w:pPr>
        <w:pStyle w:val="BodyTextBullet"/>
      </w:pPr>
      <w:r>
        <w:t>supporting the Government in responsible budget and financial management</w:t>
      </w:r>
      <w:r w:rsidR="00533A7B">
        <w:t xml:space="preserve">; </w:t>
      </w:r>
    </w:p>
    <w:p w14:paraId="197473D6" w14:textId="7AA2B7B5" w:rsidR="00B62FDD" w:rsidRDefault="00B62FDD" w:rsidP="00070545">
      <w:pPr>
        <w:pStyle w:val="BodyTextBullet"/>
      </w:pPr>
      <w:r>
        <w:t>giving policy advice, and influencing decisions about economic, social</w:t>
      </w:r>
      <w:r w:rsidR="00500E2F">
        <w:t xml:space="preserve">, </w:t>
      </w:r>
      <w:proofErr w:type="gramStart"/>
      <w:r w:rsidR="00500E2F">
        <w:t>regulatory</w:t>
      </w:r>
      <w:proofErr w:type="gramEnd"/>
      <w:r>
        <w:t xml:space="preserve"> and environmental issues</w:t>
      </w:r>
      <w:r w:rsidR="00533A7B">
        <w:t>;</w:t>
      </w:r>
    </w:p>
    <w:p w14:paraId="238C85C7" w14:textId="4F6E9B2E" w:rsidR="00B62FDD" w:rsidRDefault="00B62FDD" w:rsidP="00070545">
      <w:pPr>
        <w:pStyle w:val="BodyTextBullet"/>
      </w:pPr>
      <w:r>
        <w:t>providing economic and financial leadership to the Victorian public sector</w:t>
      </w:r>
      <w:r w:rsidR="00533A7B">
        <w:t xml:space="preserve">; </w:t>
      </w:r>
    </w:p>
    <w:p w14:paraId="60F4DD23" w14:textId="61441A70" w:rsidR="00B62FDD" w:rsidRDefault="00B62FDD" w:rsidP="00070545">
      <w:pPr>
        <w:pStyle w:val="BodyTextBullet"/>
      </w:pPr>
      <w:r>
        <w:t>helping the Government implement major infrastructure projects and public sector frameworks</w:t>
      </w:r>
      <w:r w:rsidR="00533A7B">
        <w:t>; and</w:t>
      </w:r>
    </w:p>
    <w:p w14:paraId="2CD46A3F" w14:textId="77777777" w:rsidR="00B62FDD" w:rsidRPr="00962F62" w:rsidRDefault="00B62FDD" w:rsidP="00070545">
      <w:pPr>
        <w:pStyle w:val="BodyTextBullet"/>
      </w:pPr>
      <w:r>
        <w:t>helping the Government make decisions about major contractual arrangements across Victoria.</w:t>
      </w:r>
    </w:p>
    <w:p w14:paraId="57020030" w14:textId="676CDEFD" w:rsidR="008136D3" w:rsidRDefault="008136D3" w:rsidP="00367E11">
      <w:pPr>
        <w:pStyle w:val="Heading2"/>
      </w:pPr>
      <w:bookmarkStart w:id="56" w:name="_Toc37246846"/>
      <w:bookmarkStart w:id="57" w:name="_Toc37254974"/>
      <w:bookmarkStart w:id="58" w:name="_Toc37255111"/>
      <w:bookmarkStart w:id="59" w:name="_Toc41653096"/>
      <w:r>
        <w:lastRenderedPageBreak/>
        <w:t xml:space="preserve">Our </w:t>
      </w:r>
      <w:r w:rsidR="00367E11" w:rsidRPr="00367E11">
        <w:t>objectives</w:t>
      </w:r>
      <w:bookmarkEnd w:id="50"/>
      <w:bookmarkEnd w:id="51"/>
      <w:bookmarkEnd w:id="52"/>
      <w:bookmarkEnd w:id="53"/>
      <w:bookmarkEnd w:id="54"/>
      <w:bookmarkEnd w:id="55"/>
      <w:r w:rsidR="00B62FDD">
        <w:t xml:space="preserve"> </w:t>
      </w:r>
      <w:proofErr w:type="gramStart"/>
      <w:r w:rsidR="00B62FDD">
        <w:t>with regard to</w:t>
      </w:r>
      <w:proofErr w:type="gramEnd"/>
      <w:r w:rsidR="00B62FDD">
        <w:t xml:space="preserve"> self-determination</w:t>
      </w:r>
      <w:bookmarkEnd w:id="56"/>
      <w:bookmarkEnd w:id="57"/>
      <w:bookmarkEnd w:id="58"/>
      <w:bookmarkEnd w:id="59"/>
    </w:p>
    <w:p w14:paraId="02CE031D" w14:textId="2B499205" w:rsidR="008136D3" w:rsidRDefault="008136D3" w:rsidP="002115BC">
      <w:r>
        <w:t xml:space="preserve">In preparing this </w:t>
      </w:r>
      <w:r w:rsidR="00005C0E">
        <w:t>P</w:t>
      </w:r>
      <w:r>
        <w:t>lan, and in consideration of the self-determination enablers under the SDRF, DTF’s actions progress the Government’s self</w:t>
      </w:r>
      <w:r>
        <w:noBreakHyphen/>
        <w:t>determination commitment to meet the following objectives:</w:t>
      </w:r>
    </w:p>
    <w:p w14:paraId="159B69B5" w14:textId="58042CBB" w:rsidR="008136D3" w:rsidRDefault="00070545" w:rsidP="008136D3">
      <w:pPr>
        <w:pStyle w:val="Numpara"/>
        <w:numPr>
          <w:ilvl w:val="0"/>
          <w:numId w:val="15"/>
        </w:numPr>
      </w:pPr>
      <w:r>
        <w:t xml:space="preserve">Ensure </w:t>
      </w:r>
      <w:r w:rsidR="008136D3">
        <w:t>DTF promotes cultural safety and is an inclusive environment that is considerate and respectful of Aboriginal people;</w:t>
      </w:r>
    </w:p>
    <w:p w14:paraId="032A6502" w14:textId="1269585B" w:rsidR="00B62FDD" w:rsidRDefault="00070545" w:rsidP="008136D3">
      <w:pPr>
        <w:pStyle w:val="Numpara"/>
        <w:numPr>
          <w:ilvl w:val="0"/>
          <w:numId w:val="15"/>
        </w:numPr>
      </w:pPr>
      <w:r>
        <w:t xml:space="preserve">Acknowledge </w:t>
      </w:r>
      <w:r w:rsidR="00B62FDD">
        <w:t>and address the trauma experienced by the Aboriginal community and support healing;</w:t>
      </w:r>
    </w:p>
    <w:p w14:paraId="0AD34186" w14:textId="4288C863" w:rsidR="00B62FDD" w:rsidRDefault="00070545" w:rsidP="008136D3">
      <w:pPr>
        <w:pStyle w:val="Numpara"/>
        <w:numPr>
          <w:ilvl w:val="0"/>
          <w:numId w:val="15"/>
        </w:numPr>
      </w:pPr>
      <w:r>
        <w:t xml:space="preserve">Build </w:t>
      </w:r>
      <w:r w:rsidR="00B62FDD">
        <w:t>self-determination into DTF’s everyday processes;</w:t>
      </w:r>
    </w:p>
    <w:p w14:paraId="266F31DA" w14:textId="7EA66982" w:rsidR="00B62FDD" w:rsidRDefault="00070545" w:rsidP="008136D3">
      <w:pPr>
        <w:pStyle w:val="Numpara"/>
        <w:numPr>
          <w:ilvl w:val="0"/>
          <w:numId w:val="15"/>
        </w:numPr>
      </w:pPr>
      <w:r>
        <w:t xml:space="preserve">Strive </w:t>
      </w:r>
      <w:r w:rsidR="00B62FDD">
        <w:t>for better outcomes for Aboriginal communities in the delivery of our work and advice;</w:t>
      </w:r>
    </w:p>
    <w:p w14:paraId="31ED04AE" w14:textId="6AD533A8" w:rsidR="00B62FDD" w:rsidRDefault="00070545" w:rsidP="008136D3">
      <w:pPr>
        <w:pStyle w:val="Numpara"/>
        <w:numPr>
          <w:ilvl w:val="0"/>
          <w:numId w:val="15"/>
        </w:numPr>
      </w:pPr>
      <w:r>
        <w:t xml:space="preserve">Advance </w:t>
      </w:r>
      <w:r w:rsidR="00B62FDD">
        <w:t>DTF along the self-determination continuum;</w:t>
      </w:r>
      <w:r w:rsidR="007F4864">
        <w:t xml:space="preserve"> and</w:t>
      </w:r>
    </w:p>
    <w:p w14:paraId="365C4529" w14:textId="72924E4F" w:rsidR="00B62FDD" w:rsidRDefault="00070545" w:rsidP="008136D3">
      <w:pPr>
        <w:pStyle w:val="Numpara"/>
        <w:numPr>
          <w:ilvl w:val="0"/>
          <w:numId w:val="15"/>
        </w:numPr>
      </w:pPr>
      <w:r>
        <w:t xml:space="preserve">Increase </w:t>
      </w:r>
      <w:r w:rsidR="00B62FDD">
        <w:t>accountability of our actions in progressing self-determination.</w:t>
      </w:r>
    </w:p>
    <w:p w14:paraId="366BD9BE" w14:textId="77777777" w:rsidR="008136D3" w:rsidRDefault="008136D3" w:rsidP="008136D3"/>
    <w:bookmarkStart w:id="60" w:name="_Toc41653097"/>
    <w:p w14:paraId="7B266D63" w14:textId="1D544D97" w:rsidR="008136D3" w:rsidRDefault="008136D3" w:rsidP="00367E11">
      <w:pPr>
        <w:pStyle w:val="Heading1"/>
      </w:pPr>
      <w:r>
        <w:rPr>
          <w:noProof/>
        </w:rPr>
        <w:lastRenderedPageBreak/>
        <mc:AlternateContent>
          <mc:Choice Requires="wps">
            <w:drawing>
              <wp:anchor distT="0" distB="0" distL="114300" distR="114300" simplePos="0" relativeHeight="251655168" behindDoc="0" locked="0" layoutInCell="1" allowOverlap="1" wp14:anchorId="20CD9141" wp14:editId="7A81B163">
                <wp:simplePos x="0" y="0"/>
                <wp:positionH relativeFrom="column">
                  <wp:posOffset>-2933065</wp:posOffset>
                </wp:positionH>
                <wp:positionV relativeFrom="paragraph">
                  <wp:posOffset>1533525</wp:posOffset>
                </wp:positionV>
                <wp:extent cx="409575" cy="257175"/>
                <wp:effectExtent l="57150" t="38100" r="47625" b="0"/>
                <wp:wrapNone/>
                <wp:docPr id="32" name="Arrow: Right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7132812">
                          <a:off x="0" y="0"/>
                          <a:ext cx="40957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8614EB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2" o:spid="_x0000_s1026" type="#_x0000_t13" style="position:absolute;margin-left:-230.95pt;margin-top:120.75pt;width:32.25pt;height:20.25pt;rotation:7790933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" adj="14819" fillcolor="#4f81bd [3204]" strokecolor="#243f60 [1604]" strokeweight="2pt"/>
            </w:pict>
          </mc:Fallback>
        </mc:AlternateContent>
      </w:r>
      <w:bookmarkStart w:id="61" w:name="_Toc25053501"/>
      <w:r>
        <w:rPr>
          <w:noProof/>
        </w:rPr>
        <mc:AlternateContent>
          <mc:Choice Requires="wps">
            <w:drawing>
              <wp:anchor distT="0" distB="0" distL="114300" distR="114300" simplePos="0" relativeHeight="251668480" behindDoc="0" locked="0" layoutInCell="1" allowOverlap="1" wp14:anchorId="094A1C25" wp14:editId="5D50A974">
                <wp:simplePos x="0" y="0"/>
                <wp:positionH relativeFrom="column">
                  <wp:posOffset>-3733800</wp:posOffset>
                </wp:positionH>
                <wp:positionV relativeFrom="paragraph">
                  <wp:posOffset>1238250</wp:posOffset>
                </wp:positionV>
                <wp:extent cx="409575" cy="257175"/>
                <wp:effectExtent l="0" t="38100" r="47625" b="9525"/>
                <wp:wrapNone/>
                <wp:docPr id="31" name="Arrow: Righ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3859917">
                          <a:off x="0" y="0"/>
                          <a:ext cx="40957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4424D8" id="Arrow: Right 31" o:spid="_x0000_s1026" type="#_x0000_t13" style="position:absolute;margin-left:-294pt;margin-top:97.5pt;width:32.25pt;height:20.25pt;rotation:4216059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" adj="14819" fillcolor="#4f81bd [3204]" strokecolor="#243f60 [1604]" strokeweight="2pt"/>
            </w:pict>
          </mc:Fallback>
        </mc:AlternateContent>
      </w:r>
      <w:r>
        <w:t>How DTF is meeting its commitments</w:t>
      </w:r>
      <w:bookmarkEnd w:id="60"/>
      <w:bookmarkEnd w:id="61"/>
    </w:p>
    <w:p w14:paraId="0C3F66C7" w14:textId="77777777" w:rsidR="008136D3" w:rsidRDefault="008136D3" w:rsidP="008136D3">
      <w:r>
        <w:t xml:space="preserve">DTF has made some progress in recent years advancing our expertise and focus on Aboriginal affairs. This has included: </w:t>
      </w:r>
    </w:p>
    <w:p w14:paraId="4619A3C4" w14:textId="3A82B8B4" w:rsidR="008136D3" w:rsidRDefault="008136D3" w:rsidP="00070545">
      <w:pPr>
        <w:pStyle w:val="BodyTextBullet"/>
      </w:pPr>
      <w:r>
        <w:t>providing Aboriginal cultural awareness training to all staff, and further self</w:t>
      </w:r>
      <w:r w:rsidR="007F4864">
        <w:noBreakHyphen/>
      </w:r>
      <w:r>
        <w:t>determination training for budget analysts and executives;</w:t>
      </w:r>
    </w:p>
    <w:p w14:paraId="60AC66A3" w14:textId="4F17FBB3" w:rsidR="008136D3" w:rsidRDefault="008136D3" w:rsidP="00070545">
      <w:pPr>
        <w:pStyle w:val="BodyTextBullet"/>
      </w:pPr>
      <w:r>
        <w:t xml:space="preserve">developing the whole of government Social Procurement Framework and one </w:t>
      </w:r>
      <w:r w:rsidR="00AE35AB">
        <w:t>per</w:t>
      </w:r>
      <w:r w:rsidR="00AE35AB">
        <w:rPr>
          <w:rFonts w:ascii="Cambria" w:hAnsi="Cambria"/>
        </w:rPr>
        <w:t> </w:t>
      </w:r>
      <w:r>
        <w:t>cent Aboriginal Procurement Target; and</w:t>
      </w:r>
    </w:p>
    <w:p w14:paraId="50EA67DC" w14:textId="77777777" w:rsidR="008136D3" w:rsidRDefault="008136D3" w:rsidP="00070545">
      <w:pPr>
        <w:pStyle w:val="BodyTextBullet"/>
        <w:spacing w:after="120"/>
      </w:pPr>
      <w:r>
        <w:t>implementing an Aboriginal Employment and Inclusion Action plan.</w:t>
      </w:r>
    </w:p>
    <w:p w14:paraId="28119424" w14:textId="730C492F" w:rsidR="008136D3" w:rsidRDefault="008136D3" w:rsidP="008136D3">
      <w:r>
        <w:t xml:space="preserve">The DTF board has directed the </w:t>
      </w:r>
      <w:r w:rsidR="00E62F05">
        <w:t>D</w:t>
      </w:r>
      <w:r w:rsidR="00A5668C">
        <w:t xml:space="preserve">epartment </w:t>
      </w:r>
      <w:r>
        <w:t xml:space="preserve">to consider further actions to </w:t>
      </w:r>
      <w:r w:rsidR="00500E2F">
        <w:t xml:space="preserve">enhance </w:t>
      </w:r>
      <w:r>
        <w:t>DTF’s engagement and response to self-determination.</w:t>
      </w:r>
    </w:p>
    <w:p w14:paraId="456CE8C4" w14:textId="474F93C4" w:rsidR="008136D3" w:rsidRDefault="008136D3" w:rsidP="008136D3">
      <w:r>
        <w:t xml:space="preserve">To advance reforms, the DTF Self-Determination Taskforce was established. The Taskforce comprises senior executives and staff from across the </w:t>
      </w:r>
      <w:r w:rsidR="00E62F05">
        <w:t>D</w:t>
      </w:r>
      <w:r w:rsidR="009E674D">
        <w:t xml:space="preserve">epartment </w:t>
      </w:r>
      <w:r>
        <w:t xml:space="preserve">and is led by the Budget and Finance Division’s Deputy Secretary. The Taskforce membership includes Aboriginal employees to bring their unique perspectives. </w:t>
      </w:r>
    </w:p>
    <w:p w14:paraId="7E2A902D" w14:textId="2AF38689" w:rsidR="008136D3" w:rsidRDefault="008136D3" w:rsidP="008136D3">
      <w:r>
        <w:t xml:space="preserve">The Taskforce has planned for and devised actions from various teams throughout </w:t>
      </w:r>
      <w:r w:rsidR="00005C0E">
        <w:t xml:space="preserve">DTF </w:t>
      </w:r>
      <w:r>
        <w:t xml:space="preserve">and prepared this </w:t>
      </w:r>
      <w:r w:rsidR="00005C0E">
        <w:rPr>
          <w:i/>
          <w:iCs/>
        </w:rPr>
        <w:t>Advancing Self-Determination in DTF</w:t>
      </w:r>
      <w:r w:rsidR="000E742C">
        <w:rPr>
          <w:i/>
          <w:iCs/>
        </w:rPr>
        <w:t xml:space="preserve"> </w:t>
      </w:r>
      <w:r w:rsidR="000E742C" w:rsidRPr="00D54ECF">
        <w:t xml:space="preserve">(the </w:t>
      </w:r>
      <w:r w:rsidR="00005C0E">
        <w:t>P</w:t>
      </w:r>
      <w:r w:rsidR="000E742C" w:rsidRPr="00D54ECF">
        <w:t>lan)</w:t>
      </w:r>
      <w:r w:rsidRPr="00A011FC">
        <w:rPr>
          <w:i/>
          <w:iCs/>
        </w:rPr>
        <w:t>.</w:t>
      </w:r>
      <w:r>
        <w:t xml:space="preserve"> The key workstreams in the </w:t>
      </w:r>
      <w:r w:rsidR="00005C0E">
        <w:t>P</w:t>
      </w:r>
      <w:r>
        <w:t>lan are:</w:t>
      </w:r>
    </w:p>
    <w:p w14:paraId="18648E2A" w14:textId="1B9FF443" w:rsidR="008136D3" w:rsidRDefault="002115BC" w:rsidP="00070545">
      <w:pPr>
        <w:pStyle w:val="BodyTextBullet"/>
      </w:pPr>
      <w:r>
        <w:t xml:space="preserve">understanding </w:t>
      </w:r>
      <w:r w:rsidR="008136D3">
        <w:t>self-determination and developing expertise to help advance it</w:t>
      </w:r>
      <w:r w:rsidR="007F4864">
        <w:t>;</w:t>
      </w:r>
    </w:p>
    <w:p w14:paraId="64AEA777" w14:textId="661FE6E1" w:rsidR="008136D3" w:rsidRDefault="002115BC" w:rsidP="00070545">
      <w:pPr>
        <w:pStyle w:val="BodyTextBullet"/>
      </w:pPr>
      <w:r>
        <w:t xml:space="preserve">developing </w:t>
      </w:r>
      <w:r w:rsidR="00866D4B">
        <w:t xml:space="preserve">relationships </w:t>
      </w:r>
      <w:r w:rsidR="008136D3">
        <w:t xml:space="preserve">with the Aboriginal </w:t>
      </w:r>
      <w:r w:rsidR="00660E1D">
        <w:t>c</w:t>
      </w:r>
      <w:r w:rsidR="008136D3">
        <w:t>ommunity</w:t>
      </w:r>
      <w:r w:rsidR="007F4864">
        <w:t>;</w:t>
      </w:r>
    </w:p>
    <w:p w14:paraId="1B5B61A4" w14:textId="6403AB72" w:rsidR="008136D3" w:rsidRDefault="002115BC" w:rsidP="00070545">
      <w:pPr>
        <w:pStyle w:val="BodyTextBullet"/>
      </w:pPr>
      <w:r>
        <w:t xml:space="preserve">increased </w:t>
      </w:r>
      <w:r w:rsidR="00607916">
        <w:t xml:space="preserve">government </w:t>
      </w:r>
      <w:r w:rsidR="00866D4B">
        <w:t xml:space="preserve">procurement </w:t>
      </w:r>
      <w:r w:rsidR="008136D3">
        <w:t xml:space="preserve">from Aboriginal </w:t>
      </w:r>
      <w:r w:rsidR="00866D4B">
        <w:t>businesses</w:t>
      </w:r>
      <w:r w:rsidR="007F4864">
        <w:t>;</w:t>
      </w:r>
    </w:p>
    <w:p w14:paraId="509DA17B" w14:textId="2248902C" w:rsidR="00500E2F" w:rsidRDefault="002115BC" w:rsidP="00070545">
      <w:pPr>
        <w:pStyle w:val="BodyTextBullet"/>
      </w:pPr>
      <w:r w:rsidRPr="00500E2F">
        <w:t xml:space="preserve">reflecting </w:t>
      </w:r>
      <w:r w:rsidR="00500E2F" w:rsidRPr="00500E2F">
        <w:t xml:space="preserve">self-determination in our </w:t>
      </w:r>
      <w:r w:rsidR="00500E2F">
        <w:t>c</w:t>
      </w:r>
      <w:r w:rsidR="008136D3">
        <w:t>ommunications</w:t>
      </w:r>
      <w:r w:rsidR="00500E2F">
        <w:t>;</w:t>
      </w:r>
    </w:p>
    <w:p w14:paraId="4E9C0005" w14:textId="72BD1562" w:rsidR="00500E2F" w:rsidRDefault="002115BC" w:rsidP="00070545">
      <w:pPr>
        <w:pStyle w:val="BodyTextBullet"/>
      </w:pPr>
      <w:r>
        <w:t xml:space="preserve">changes </w:t>
      </w:r>
      <w:r w:rsidR="00500E2F">
        <w:t>to policy advice;</w:t>
      </w:r>
      <w:r w:rsidR="002C5772">
        <w:t xml:space="preserve"> and</w:t>
      </w:r>
    </w:p>
    <w:p w14:paraId="4A48DB8D" w14:textId="33492FEE" w:rsidR="00500E2F" w:rsidRDefault="002115BC" w:rsidP="00070545">
      <w:pPr>
        <w:pStyle w:val="BodyTextBullet"/>
        <w:spacing w:after="120"/>
      </w:pPr>
      <w:r>
        <w:t xml:space="preserve">advancing </w:t>
      </w:r>
      <w:r w:rsidR="00500E2F">
        <w:t>self-determination through the budget</w:t>
      </w:r>
      <w:r w:rsidR="005F5F34">
        <w:t>.</w:t>
      </w:r>
    </w:p>
    <w:p w14:paraId="76D73B0D" w14:textId="48A16212" w:rsidR="008136D3" w:rsidRDefault="008136D3" w:rsidP="008136D3">
      <w:r>
        <w:t xml:space="preserve">The planned actions are provided in the following table. </w:t>
      </w:r>
    </w:p>
    <w:p w14:paraId="723C1AD6" w14:textId="77777777" w:rsidR="00531E8C" w:rsidRDefault="00531E8C" w:rsidP="008136D3"/>
    <w:p w14:paraId="4FA9B76F" w14:textId="77777777" w:rsidR="00367E11" w:rsidRDefault="00367E11" w:rsidP="00367E11">
      <w:pPr>
        <w:pStyle w:val="Heading1"/>
      </w:pPr>
      <w:bookmarkStart w:id="62" w:name="_Toc25053502"/>
      <w:bookmarkStart w:id="63" w:name="_Toc41653098"/>
      <w:r>
        <w:lastRenderedPageBreak/>
        <w:t>Workstreams</w:t>
      </w:r>
      <w:bookmarkEnd w:id="62"/>
      <w:bookmarkEnd w:id="63"/>
    </w:p>
    <w:p w14:paraId="1B696F8E" w14:textId="54BCF2A2" w:rsidR="008136D3" w:rsidRDefault="00367E11" w:rsidP="0024624B">
      <w:pPr>
        <w:pStyle w:val="Heading2"/>
      </w:pPr>
      <w:bookmarkStart w:id="64" w:name="_Toc25053503"/>
      <w:bookmarkStart w:id="65" w:name="_Toc24707746"/>
      <w:bookmarkStart w:id="66" w:name="_Toc37246849"/>
      <w:bookmarkStart w:id="67" w:name="_Toc37254977"/>
      <w:bookmarkStart w:id="68" w:name="_Toc37255114"/>
      <w:bookmarkStart w:id="69" w:name="_Toc41653099"/>
      <w:r>
        <w:t>Understanding self-determination and developing expertise to help advance it</w:t>
      </w:r>
      <w:bookmarkEnd w:id="64"/>
      <w:bookmarkEnd w:id="65"/>
      <w:bookmarkEnd w:id="66"/>
      <w:bookmarkEnd w:id="67"/>
      <w:bookmarkEnd w:id="68"/>
      <w:bookmarkEnd w:id="69"/>
    </w:p>
    <w:tbl>
      <w:tblPr>
        <w:tblStyle w:val="DTFtexttable"/>
        <w:tblW w:w="9072" w:type="dxa"/>
        <w:tblInd w:w="0" w:type="dxa"/>
        <w:tblLayout w:type="fixed"/>
        <w:tblLook w:val="06A0" w:firstRow="1" w:lastRow="0" w:firstColumn="1" w:lastColumn="0" w:noHBand="1" w:noVBand="1"/>
      </w:tblPr>
      <w:tblGrid>
        <w:gridCol w:w="1851"/>
        <w:gridCol w:w="3536"/>
        <w:gridCol w:w="1701"/>
        <w:gridCol w:w="1984"/>
      </w:tblGrid>
      <w:tr w:rsidR="00CA5441" w:rsidRPr="00F5325D" w14:paraId="7A59C240" w14:textId="77777777" w:rsidTr="00B221A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51" w:type="dxa"/>
            <w:hideMark/>
          </w:tcPr>
          <w:p w14:paraId="2C1D9521" w14:textId="77777777" w:rsidR="00CA5441" w:rsidRPr="00F5325D" w:rsidRDefault="00CA5441" w:rsidP="00DE5F14">
            <w:pPr>
              <w:pStyle w:val="Tableheader"/>
              <w:keepNext/>
              <w:spacing w:beforeAutospacing="0" w:afterAutospacing="0"/>
            </w:pPr>
            <w:bookmarkStart w:id="70" w:name="_Hlk24524953"/>
            <w:r w:rsidRPr="00F5325D">
              <w:t>Actions</w:t>
            </w:r>
          </w:p>
        </w:tc>
        <w:tc>
          <w:tcPr>
            <w:tcW w:w="3536" w:type="dxa"/>
            <w:hideMark/>
          </w:tcPr>
          <w:p w14:paraId="05EEDCDF" w14:textId="77777777" w:rsidR="00CA5441" w:rsidRPr="00F5325D" w:rsidRDefault="00CA5441" w:rsidP="00DE5F14">
            <w:pPr>
              <w:pStyle w:val="Tableheader"/>
              <w:keepNext/>
              <w:spacing w:beforeAutospacing="0" w:afterAutospacing="0"/>
              <w:cnfStyle w:val="100000000000" w:firstRow="1" w:lastRow="0" w:firstColumn="0" w:lastColumn="0" w:oddVBand="0" w:evenVBand="0" w:oddHBand="0" w:evenHBand="0" w:firstRowFirstColumn="0" w:firstRowLastColumn="0" w:lastRowFirstColumn="0" w:lastRowLastColumn="0"/>
            </w:pPr>
            <w:r w:rsidRPr="00F5325D">
              <w:t>Summary</w:t>
            </w:r>
          </w:p>
        </w:tc>
        <w:tc>
          <w:tcPr>
            <w:tcW w:w="1701" w:type="dxa"/>
            <w:hideMark/>
          </w:tcPr>
          <w:p w14:paraId="379C0E3C" w14:textId="77777777" w:rsidR="00CA5441" w:rsidRPr="00F5325D" w:rsidRDefault="00CA5441" w:rsidP="00DE5F14">
            <w:pPr>
              <w:pStyle w:val="Tableheader"/>
              <w:keepNext/>
              <w:spacing w:beforeAutospacing="0" w:afterAutospacing="0"/>
              <w:cnfStyle w:val="100000000000" w:firstRow="1" w:lastRow="0" w:firstColumn="0" w:lastColumn="0" w:oddVBand="0" w:evenVBand="0" w:oddHBand="0" w:evenHBand="0" w:firstRowFirstColumn="0" w:firstRowLastColumn="0" w:lastRowFirstColumn="0" w:lastRowLastColumn="0"/>
            </w:pPr>
            <w:r w:rsidRPr="00F5325D">
              <w:t>Link to SDRF reform domains</w:t>
            </w:r>
          </w:p>
        </w:tc>
        <w:tc>
          <w:tcPr>
            <w:tcW w:w="1984" w:type="dxa"/>
            <w:hideMark/>
          </w:tcPr>
          <w:p w14:paraId="011AC08E" w14:textId="7EAB29B7" w:rsidR="00CA5441" w:rsidRPr="00F5325D" w:rsidRDefault="00CA5441" w:rsidP="00DE5F14">
            <w:pPr>
              <w:pStyle w:val="Tableheader"/>
              <w:keepNext/>
              <w:spacing w:beforeAutospacing="0" w:afterAutospacing="0"/>
              <w:cnfStyle w:val="100000000000" w:firstRow="1" w:lastRow="0" w:firstColumn="0" w:lastColumn="0" w:oddVBand="0" w:evenVBand="0" w:oddHBand="0" w:evenHBand="0" w:firstRowFirstColumn="0" w:firstRowLastColumn="0" w:lastRowFirstColumn="0" w:lastRowLastColumn="0"/>
            </w:pPr>
            <w:r w:rsidRPr="00F5325D">
              <w:t>Success measures</w:t>
            </w:r>
          </w:p>
        </w:tc>
      </w:tr>
      <w:tr w:rsidR="00FA4FE7" w14:paraId="1A6CF5EE" w14:textId="77777777" w:rsidTr="00B221A9">
        <w:tc>
          <w:tcPr>
            <w:cnfStyle w:val="001000000000" w:firstRow="0" w:lastRow="0" w:firstColumn="1" w:lastColumn="0" w:oddVBand="0" w:evenVBand="0" w:oddHBand="0" w:evenHBand="0" w:firstRowFirstColumn="0" w:firstRowLastColumn="0" w:lastRowFirstColumn="0" w:lastRowLastColumn="0"/>
            <w:tcW w:w="1851" w:type="dxa"/>
            <w:hideMark/>
          </w:tcPr>
          <w:p w14:paraId="607E1A12" w14:textId="77777777" w:rsidR="00FA4FE7" w:rsidRDefault="00FA4FE7" w:rsidP="00B221A9">
            <w:pPr>
              <w:pStyle w:val="Tabletext"/>
            </w:pPr>
            <w:r>
              <w:t>A new mandatory staff training program</w:t>
            </w:r>
          </w:p>
        </w:tc>
        <w:tc>
          <w:tcPr>
            <w:tcW w:w="3536" w:type="dxa"/>
            <w:hideMark/>
          </w:tcPr>
          <w:p w14:paraId="60BAFD7A" w14:textId="60139B50" w:rsidR="00FA4FE7" w:rsidRDefault="00FA4FE7" w:rsidP="00B221A9">
            <w:pPr>
              <w:pStyle w:val="Tabletext"/>
              <w:cnfStyle w:val="000000000000" w:firstRow="0" w:lastRow="0" w:firstColumn="0" w:lastColumn="0" w:oddVBand="0" w:evenVBand="0" w:oddHBand="0" w:evenHBand="0" w:firstRowFirstColumn="0" w:firstRowLastColumn="0" w:lastRowFirstColumn="0" w:lastRowLastColumn="0"/>
            </w:pPr>
            <w:r>
              <w:t xml:space="preserve">A new training package will be provided to complement existing Aboriginal </w:t>
            </w:r>
            <w:r w:rsidR="00866D4B">
              <w:t>c</w:t>
            </w:r>
            <w:r>
              <w:t>ultural awareness training. The new training would cover the VAAF and the SDRF, and build staff understanding of self</w:t>
            </w:r>
            <w:r w:rsidR="003232A2">
              <w:noBreakHyphen/>
            </w:r>
            <w:r>
              <w:t xml:space="preserve">determination and how to apply and advance it in DTF. </w:t>
            </w:r>
          </w:p>
        </w:tc>
        <w:tc>
          <w:tcPr>
            <w:tcW w:w="1701" w:type="dxa"/>
            <w:hideMark/>
          </w:tcPr>
          <w:p w14:paraId="009B2277" w14:textId="77777777" w:rsidR="00FA4FE7" w:rsidRDefault="00FA4FE7" w:rsidP="00B221A9">
            <w:pPr>
              <w:pStyle w:val="Tabletext"/>
              <w:cnfStyle w:val="000000000000" w:firstRow="0" w:lastRow="0" w:firstColumn="0" w:lastColumn="0" w:oddVBand="0" w:evenVBand="0" w:oddHBand="0" w:evenHBand="0" w:firstRowFirstColumn="0" w:firstRowLastColumn="0" w:lastRowFirstColumn="0" w:lastRowLastColumn="0"/>
            </w:pPr>
            <w:r>
              <w:t>People</w:t>
            </w:r>
          </w:p>
        </w:tc>
        <w:tc>
          <w:tcPr>
            <w:tcW w:w="1984" w:type="dxa"/>
            <w:hideMark/>
          </w:tcPr>
          <w:p w14:paraId="5EEF3910" w14:textId="146F3346" w:rsidR="00FA4FE7" w:rsidRDefault="00FA4FE7" w:rsidP="00B221A9">
            <w:pPr>
              <w:pStyle w:val="Tabletext"/>
              <w:cnfStyle w:val="000000000000" w:firstRow="0" w:lastRow="0" w:firstColumn="0" w:lastColumn="0" w:oddVBand="0" w:evenVBand="0" w:oddHBand="0" w:evenHBand="0" w:firstRowFirstColumn="0" w:firstRowLastColumn="0" w:lastRowFirstColumn="0" w:lastRowLastColumn="0"/>
            </w:pPr>
            <w:r>
              <w:t>DTF staff understand and apply self-determination principles as part of their work responsibilities</w:t>
            </w:r>
            <w:r w:rsidR="002115BC">
              <w:t xml:space="preserve">. </w:t>
            </w:r>
          </w:p>
        </w:tc>
      </w:tr>
      <w:tr w:rsidR="00FA4FE7" w14:paraId="34FD04DD" w14:textId="77777777" w:rsidTr="00B221A9">
        <w:tc>
          <w:tcPr>
            <w:cnfStyle w:val="001000000000" w:firstRow="0" w:lastRow="0" w:firstColumn="1" w:lastColumn="0" w:oddVBand="0" w:evenVBand="0" w:oddHBand="0" w:evenHBand="0" w:firstRowFirstColumn="0" w:firstRowLastColumn="0" w:lastRowFirstColumn="0" w:lastRowLastColumn="0"/>
            <w:tcW w:w="1851" w:type="dxa"/>
            <w:hideMark/>
          </w:tcPr>
          <w:p w14:paraId="32EA43CD" w14:textId="77777777" w:rsidR="00FA4FE7" w:rsidRDefault="00FA4FE7" w:rsidP="00B221A9">
            <w:pPr>
              <w:pStyle w:val="Tabletext"/>
            </w:pPr>
            <w:r>
              <w:t>Information availability on the DTF Intranet</w:t>
            </w:r>
          </w:p>
        </w:tc>
        <w:tc>
          <w:tcPr>
            <w:tcW w:w="3536" w:type="dxa"/>
            <w:hideMark/>
          </w:tcPr>
          <w:p w14:paraId="6037CC03" w14:textId="470AA469" w:rsidR="00FA4FE7" w:rsidRDefault="00FA4FE7" w:rsidP="00B221A9">
            <w:pPr>
              <w:pStyle w:val="Tabletext"/>
              <w:cnfStyle w:val="000000000000" w:firstRow="0" w:lastRow="0" w:firstColumn="0" w:lastColumn="0" w:oddVBand="0" w:evenVBand="0" w:oddHBand="0" w:evenHBand="0" w:firstRowFirstColumn="0" w:firstRowLastColumn="0" w:lastRowFirstColumn="0" w:lastRowLastColumn="0"/>
            </w:pPr>
            <w:r>
              <w:t>DTF to add content to the ‘Aboriginal matters’ intranet page on its role and self</w:t>
            </w:r>
            <w:r w:rsidR="00FB5601">
              <w:noBreakHyphen/>
            </w:r>
            <w:r>
              <w:t>determination actions. This includes:</w:t>
            </w:r>
          </w:p>
          <w:p w14:paraId="579A864D" w14:textId="6567F90B" w:rsidR="00FA4FE7" w:rsidRDefault="00FA4FE7" w:rsidP="00B221A9">
            <w:pPr>
              <w:pStyle w:val="Tablebullet"/>
              <w:cnfStyle w:val="000000000000" w:firstRow="0" w:lastRow="0" w:firstColumn="0" w:lastColumn="0" w:oddVBand="0" w:evenVBand="0" w:oddHBand="0" w:evenHBand="0" w:firstRowFirstColumn="0" w:firstRowLastColumn="0" w:lastRowFirstColumn="0" w:lastRowLastColumn="0"/>
            </w:pPr>
            <w:r>
              <w:t xml:space="preserve">links to the VAAF and the </w:t>
            </w:r>
            <w:r w:rsidRPr="007A23A3">
              <w:t>SDRF</w:t>
            </w:r>
            <w:r w:rsidR="003945A8">
              <w:t>;</w:t>
            </w:r>
          </w:p>
          <w:p w14:paraId="5E1F116F" w14:textId="1C571D11" w:rsidR="00FA4FE7" w:rsidRDefault="00FA4FE7" w:rsidP="00B221A9">
            <w:pPr>
              <w:pStyle w:val="Tablebullet"/>
              <w:cnfStyle w:val="000000000000" w:firstRow="0" w:lastRow="0" w:firstColumn="0" w:lastColumn="0" w:oddVBand="0" w:evenVBand="0" w:oddHBand="0" w:evenHBand="0" w:firstRowFirstColumn="0" w:firstRowLastColumn="0" w:lastRowFirstColumn="0" w:lastRowLastColumn="0"/>
            </w:pPr>
            <w:r>
              <w:t xml:space="preserve">the </w:t>
            </w:r>
            <w:r w:rsidR="00EA0DAC" w:rsidRPr="00EA0DAC">
              <w:rPr>
                <w:i/>
                <w:iCs/>
              </w:rPr>
              <w:t>Advancing Self</w:t>
            </w:r>
            <w:r w:rsidR="00EA0DAC">
              <w:rPr>
                <w:i/>
                <w:iCs/>
              </w:rPr>
              <w:noBreakHyphen/>
            </w:r>
            <w:r w:rsidR="00EA0DAC" w:rsidRPr="00EA0DAC">
              <w:rPr>
                <w:i/>
                <w:iCs/>
              </w:rPr>
              <w:t xml:space="preserve">Determination in DTF </w:t>
            </w:r>
            <w:r w:rsidR="00005C0E">
              <w:rPr>
                <w:i/>
                <w:iCs/>
              </w:rPr>
              <w:t>P</w:t>
            </w:r>
            <w:r w:rsidR="00EA0DAC" w:rsidRPr="00EA0DAC">
              <w:rPr>
                <w:i/>
                <w:iCs/>
              </w:rPr>
              <w:t>lan</w:t>
            </w:r>
            <w:r w:rsidR="003945A8">
              <w:t>;</w:t>
            </w:r>
          </w:p>
          <w:p w14:paraId="68ECCAE1" w14:textId="417FE7DC" w:rsidR="00FA4FE7" w:rsidRDefault="00FA4FE7" w:rsidP="00B221A9">
            <w:pPr>
              <w:pStyle w:val="Tablebullet"/>
              <w:cnfStyle w:val="000000000000" w:firstRow="0" w:lastRow="0" w:firstColumn="0" w:lastColumn="0" w:oddVBand="0" w:evenVBand="0" w:oddHBand="0" w:evenHBand="0" w:firstRowFirstColumn="0" w:firstRowLastColumn="0" w:lastRowFirstColumn="0" w:lastRowLastColumn="0"/>
            </w:pPr>
            <w:r>
              <w:t>information on self</w:t>
            </w:r>
            <w:r w:rsidR="006658CB">
              <w:noBreakHyphen/>
            </w:r>
            <w:r>
              <w:t>determination training</w:t>
            </w:r>
            <w:r w:rsidR="003945A8">
              <w:t>; and</w:t>
            </w:r>
          </w:p>
          <w:p w14:paraId="5F3007BB" w14:textId="5222AD10" w:rsidR="00FA4FE7" w:rsidRDefault="00FA4FE7" w:rsidP="00B221A9">
            <w:pPr>
              <w:pStyle w:val="Tablebullet"/>
              <w:cnfStyle w:val="000000000000" w:firstRow="0" w:lastRow="0" w:firstColumn="0" w:lastColumn="0" w:oddVBand="0" w:evenVBand="0" w:oddHBand="0" w:evenHBand="0" w:firstRowFirstColumn="0" w:firstRowLastColumn="0" w:lastRowFirstColumn="0" w:lastRowLastColumn="0"/>
            </w:pPr>
            <w:r>
              <w:t xml:space="preserve">other information on </w:t>
            </w:r>
            <w:r w:rsidR="005F5F34">
              <w:t xml:space="preserve">Aboriginal </w:t>
            </w:r>
            <w:r>
              <w:t xml:space="preserve">matters that could be useful </w:t>
            </w:r>
            <w:r w:rsidR="006658CB">
              <w:t>including</w:t>
            </w:r>
            <w:r>
              <w:t xml:space="preserve"> language protocols, meeting and acknowledgement of country protocols, signature block recognition and resources from the Aboriginal cultural awareness training.</w:t>
            </w:r>
          </w:p>
        </w:tc>
        <w:tc>
          <w:tcPr>
            <w:tcW w:w="1701" w:type="dxa"/>
            <w:hideMark/>
          </w:tcPr>
          <w:p w14:paraId="50A583A6" w14:textId="6FD7525C" w:rsidR="00FA4FE7" w:rsidRDefault="00B221A9" w:rsidP="00B221A9">
            <w:pPr>
              <w:pStyle w:val="Tabletext"/>
              <w:cnfStyle w:val="000000000000" w:firstRow="0" w:lastRow="0" w:firstColumn="0" w:lastColumn="0" w:oddVBand="0" w:evenVBand="0" w:oddHBand="0" w:evenHBand="0" w:firstRowFirstColumn="0" w:firstRowLastColumn="0" w:lastRowFirstColumn="0" w:lastRowLastColumn="0"/>
            </w:pPr>
            <w:r>
              <w:t>People/systems</w:t>
            </w:r>
          </w:p>
        </w:tc>
        <w:tc>
          <w:tcPr>
            <w:tcW w:w="1984" w:type="dxa"/>
            <w:hideMark/>
          </w:tcPr>
          <w:p w14:paraId="5294E409" w14:textId="56D437A1" w:rsidR="00FA4FE7" w:rsidRDefault="00FA4FE7" w:rsidP="00B221A9">
            <w:pPr>
              <w:pStyle w:val="Tabletext"/>
              <w:cnfStyle w:val="000000000000" w:firstRow="0" w:lastRow="0" w:firstColumn="0" w:lastColumn="0" w:oddVBand="0" w:evenVBand="0" w:oddHBand="0" w:evenHBand="0" w:firstRowFirstColumn="0" w:firstRowLastColumn="0" w:lastRowFirstColumn="0" w:lastRowLastColumn="0"/>
            </w:pPr>
            <w:r>
              <w:t>Information is uploaded to</w:t>
            </w:r>
            <w:r w:rsidR="00866D4B">
              <w:t xml:space="preserve"> the i</w:t>
            </w:r>
            <w:r>
              <w:t>ntranet</w:t>
            </w:r>
            <w:r w:rsidR="0024624B">
              <w:t>.</w:t>
            </w:r>
          </w:p>
        </w:tc>
      </w:tr>
      <w:tr w:rsidR="00CA5441" w14:paraId="4A266C92" w14:textId="77777777" w:rsidTr="00B221A9">
        <w:tc>
          <w:tcPr>
            <w:cnfStyle w:val="001000000000" w:firstRow="0" w:lastRow="0" w:firstColumn="1" w:lastColumn="0" w:oddVBand="0" w:evenVBand="0" w:oddHBand="0" w:evenHBand="0" w:firstRowFirstColumn="0" w:firstRowLastColumn="0" w:lastRowFirstColumn="0" w:lastRowLastColumn="0"/>
            <w:tcW w:w="1851" w:type="dxa"/>
          </w:tcPr>
          <w:p w14:paraId="3438FF93" w14:textId="258C0ACF" w:rsidR="00CA5441" w:rsidRDefault="00CA5441" w:rsidP="00B221A9">
            <w:pPr>
              <w:pStyle w:val="Tabletext"/>
            </w:pPr>
            <w:r>
              <w:t>Place the DTF Aboriginal Employment and Inclusion Plan on DTF’s website</w:t>
            </w:r>
          </w:p>
        </w:tc>
        <w:tc>
          <w:tcPr>
            <w:tcW w:w="3536" w:type="dxa"/>
          </w:tcPr>
          <w:p w14:paraId="09B170EA" w14:textId="26670451" w:rsidR="00CA5441" w:rsidRDefault="00CA5441" w:rsidP="00B221A9">
            <w:pPr>
              <w:pStyle w:val="Tabletext"/>
              <w:cnfStyle w:val="000000000000" w:firstRow="0" w:lastRow="0" w:firstColumn="0" w:lastColumn="0" w:oddVBand="0" w:evenVBand="0" w:oddHBand="0" w:evenHBand="0" w:firstRowFirstColumn="0" w:firstRowLastColumn="0" w:lastRowFirstColumn="0" w:lastRowLastColumn="0"/>
            </w:pPr>
            <w:r>
              <w:t>Place the Aboriginal Employment and Inclusion Plan on DTF</w:t>
            </w:r>
            <w:r w:rsidR="00866D4B">
              <w:t>’s</w:t>
            </w:r>
            <w:r>
              <w:t xml:space="preserve"> website, to help promote DTF’s efforts to build inclusivity.</w:t>
            </w:r>
          </w:p>
        </w:tc>
        <w:tc>
          <w:tcPr>
            <w:tcW w:w="1701" w:type="dxa"/>
          </w:tcPr>
          <w:p w14:paraId="7745718F" w14:textId="327F88D6" w:rsidR="00CA5441" w:rsidRDefault="00CA5441" w:rsidP="00B221A9">
            <w:pPr>
              <w:pStyle w:val="Tabletext"/>
              <w:cnfStyle w:val="000000000000" w:firstRow="0" w:lastRow="0" w:firstColumn="0" w:lastColumn="0" w:oddVBand="0" w:evenVBand="0" w:oddHBand="0" w:evenHBand="0" w:firstRowFirstColumn="0" w:firstRowLastColumn="0" w:lastRowFirstColumn="0" w:lastRowLastColumn="0"/>
            </w:pPr>
            <w:r>
              <w:t>People/systems</w:t>
            </w:r>
          </w:p>
        </w:tc>
        <w:tc>
          <w:tcPr>
            <w:tcW w:w="1984" w:type="dxa"/>
          </w:tcPr>
          <w:p w14:paraId="3E226FC3" w14:textId="7B727173" w:rsidR="00CA5441" w:rsidRDefault="00CA5441" w:rsidP="00B221A9">
            <w:pPr>
              <w:pStyle w:val="Tabletext"/>
              <w:cnfStyle w:val="000000000000" w:firstRow="0" w:lastRow="0" w:firstColumn="0" w:lastColumn="0" w:oddVBand="0" w:evenVBand="0" w:oddHBand="0" w:evenHBand="0" w:firstRowFirstColumn="0" w:firstRowLastColumn="0" w:lastRowFirstColumn="0" w:lastRowLastColumn="0"/>
            </w:pPr>
            <w:r>
              <w:t>P</w:t>
            </w:r>
            <w:r w:rsidR="0024624B">
              <w:t>ublish</w:t>
            </w:r>
            <w:r>
              <w:t xml:space="preserve"> the Plan on the DTF website</w:t>
            </w:r>
            <w:r w:rsidR="0024624B">
              <w:t>.</w:t>
            </w:r>
          </w:p>
        </w:tc>
      </w:tr>
      <w:tr w:rsidR="00FA4FE7" w14:paraId="036CF55A" w14:textId="77777777" w:rsidTr="00B221A9">
        <w:tc>
          <w:tcPr>
            <w:cnfStyle w:val="001000000000" w:firstRow="0" w:lastRow="0" w:firstColumn="1" w:lastColumn="0" w:oddVBand="0" w:evenVBand="0" w:oddHBand="0" w:evenHBand="0" w:firstRowFirstColumn="0" w:firstRowLastColumn="0" w:lastRowFirstColumn="0" w:lastRowLastColumn="0"/>
            <w:tcW w:w="1851" w:type="dxa"/>
            <w:hideMark/>
          </w:tcPr>
          <w:p w14:paraId="69B052B9" w14:textId="77777777" w:rsidR="00FA4FE7" w:rsidRDefault="00FA4FE7" w:rsidP="00B221A9">
            <w:pPr>
              <w:pStyle w:val="Tabletext"/>
            </w:pPr>
            <w:r>
              <w:t>Volunteering opportunities</w:t>
            </w:r>
          </w:p>
        </w:tc>
        <w:tc>
          <w:tcPr>
            <w:tcW w:w="3536" w:type="dxa"/>
            <w:hideMark/>
          </w:tcPr>
          <w:p w14:paraId="2C626524" w14:textId="7A69EEF4" w:rsidR="00FA4FE7" w:rsidRDefault="00CA5441" w:rsidP="00B221A9">
            <w:pPr>
              <w:pStyle w:val="Tabletext"/>
              <w:cnfStyle w:val="000000000000" w:firstRow="0" w:lastRow="0" w:firstColumn="0" w:lastColumn="0" w:oddVBand="0" w:evenVBand="0" w:oddHBand="0" w:evenHBand="0" w:firstRowFirstColumn="0" w:firstRowLastColumn="0" w:lastRowFirstColumn="0" w:lastRowLastColumn="0"/>
            </w:pPr>
            <w:r>
              <w:t>Promote</w:t>
            </w:r>
            <w:r w:rsidR="00FA4FE7">
              <w:t xml:space="preserve"> volunteering opportunities for staff with Aboriginal organisations.</w:t>
            </w:r>
          </w:p>
        </w:tc>
        <w:tc>
          <w:tcPr>
            <w:tcW w:w="1701" w:type="dxa"/>
            <w:hideMark/>
          </w:tcPr>
          <w:p w14:paraId="55CED910" w14:textId="77777777" w:rsidR="00FA4FE7" w:rsidRDefault="00FA4FE7" w:rsidP="00B221A9">
            <w:pPr>
              <w:pStyle w:val="Tabletext"/>
              <w:cnfStyle w:val="000000000000" w:firstRow="0" w:lastRow="0" w:firstColumn="0" w:lastColumn="0" w:oddVBand="0" w:evenVBand="0" w:oddHBand="0" w:evenHBand="0" w:firstRowFirstColumn="0" w:firstRowLastColumn="0" w:lastRowFirstColumn="0" w:lastRowLastColumn="0"/>
            </w:pPr>
            <w:r>
              <w:t>People</w:t>
            </w:r>
          </w:p>
        </w:tc>
        <w:tc>
          <w:tcPr>
            <w:tcW w:w="1984" w:type="dxa"/>
            <w:hideMark/>
          </w:tcPr>
          <w:p w14:paraId="31E042BC" w14:textId="70774169" w:rsidR="00FA4FE7" w:rsidRDefault="00FA4FE7" w:rsidP="00B221A9">
            <w:pPr>
              <w:pStyle w:val="Tabletext"/>
              <w:cnfStyle w:val="000000000000" w:firstRow="0" w:lastRow="0" w:firstColumn="0" w:lastColumn="0" w:oddVBand="0" w:evenVBand="0" w:oddHBand="0" w:evenHBand="0" w:firstRowFirstColumn="0" w:firstRowLastColumn="0" w:lastRowFirstColumn="0" w:lastRowLastColumn="0"/>
            </w:pPr>
            <w:r>
              <w:t>Staff uptake of volunteering opportunities</w:t>
            </w:r>
            <w:r w:rsidR="0024624B">
              <w:t>.</w:t>
            </w:r>
          </w:p>
        </w:tc>
      </w:tr>
      <w:tr w:rsidR="003232A2" w14:paraId="4C1A455E" w14:textId="77777777" w:rsidTr="003232A2">
        <w:tc>
          <w:tcPr>
            <w:cnfStyle w:val="001000000000" w:firstRow="0" w:lastRow="0" w:firstColumn="1" w:lastColumn="0" w:oddVBand="0" w:evenVBand="0" w:oddHBand="0" w:evenHBand="0" w:firstRowFirstColumn="0" w:firstRowLastColumn="0" w:lastRowFirstColumn="0" w:lastRowLastColumn="0"/>
            <w:tcW w:w="1851" w:type="dxa"/>
            <w:hideMark/>
          </w:tcPr>
          <w:p w14:paraId="060D2303" w14:textId="77777777" w:rsidR="00FA4FE7" w:rsidRDefault="00FA4FE7" w:rsidP="00B221A9">
            <w:pPr>
              <w:pStyle w:val="Tabletext"/>
              <w:pageBreakBefore/>
            </w:pPr>
            <w:r>
              <w:lastRenderedPageBreak/>
              <w:t>Survey DTF to determine staff understanding of the SDRF and enabling self-determination</w:t>
            </w:r>
          </w:p>
        </w:tc>
        <w:tc>
          <w:tcPr>
            <w:tcW w:w="3536" w:type="dxa"/>
            <w:hideMark/>
          </w:tcPr>
          <w:p w14:paraId="4104EF19" w14:textId="586A95B7" w:rsidR="00FA4FE7" w:rsidRDefault="00FA4FE7" w:rsidP="00B221A9">
            <w:pPr>
              <w:pStyle w:val="Tabletext"/>
              <w:cnfStyle w:val="000000000000" w:firstRow="0" w:lastRow="0" w:firstColumn="0" w:lastColumn="0" w:oddVBand="0" w:evenVBand="0" w:oddHBand="0" w:evenHBand="0" w:firstRowFirstColumn="0" w:firstRowLastColumn="0" w:lastRowFirstColumn="0" w:lastRowLastColumn="0"/>
            </w:pPr>
            <w:r>
              <w:t xml:space="preserve">A </w:t>
            </w:r>
            <w:r w:rsidR="00CA5441" w:rsidRPr="00B66EFA">
              <w:t>staff survey to be developed and delivered pre</w:t>
            </w:r>
            <w:r w:rsidR="00AF5E72">
              <w:t>-</w:t>
            </w:r>
            <w:r w:rsidR="00CA5441" w:rsidRPr="00B66EFA">
              <w:t xml:space="preserve"> and post</w:t>
            </w:r>
            <w:r w:rsidR="00AF5E72">
              <w:t>-</w:t>
            </w:r>
            <w:r w:rsidR="00CA5441" w:rsidRPr="00B66EFA">
              <w:t>training to determine the extent to which training has improved staff understanding of self</w:t>
            </w:r>
            <w:r w:rsidR="006658CB">
              <w:noBreakHyphen/>
            </w:r>
            <w:r w:rsidR="00CA5441" w:rsidRPr="00B66EFA">
              <w:t>determination</w:t>
            </w:r>
            <w:r>
              <w:t>.</w:t>
            </w:r>
          </w:p>
        </w:tc>
        <w:tc>
          <w:tcPr>
            <w:tcW w:w="1701" w:type="dxa"/>
            <w:hideMark/>
          </w:tcPr>
          <w:p w14:paraId="75557715" w14:textId="77777777" w:rsidR="00FA4FE7" w:rsidRDefault="00FA4FE7" w:rsidP="00B221A9">
            <w:pPr>
              <w:pStyle w:val="Tabletext"/>
              <w:cnfStyle w:val="000000000000" w:firstRow="0" w:lastRow="0" w:firstColumn="0" w:lastColumn="0" w:oddVBand="0" w:evenVBand="0" w:oddHBand="0" w:evenHBand="0" w:firstRowFirstColumn="0" w:firstRowLastColumn="0" w:lastRowFirstColumn="0" w:lastRowLastColumn="0"/>
            </w:pPr>
            <w:r>
              <w:t>People</w:t>
            </w:r>
          </w:p>
        </w:tc>
        <w:tc>
          <w:tcPr>
            <w:tcW w:w="1984" w:type="dxa"/>
            <w:hideMark/>
          </w:tcPr>
          <w:p w14:paraId="56A326F4" w14:textId="2A154412" w:rsidR="00FA4FE7" w:rsidRDefault="00FA4FE7" w:rsidP="00B221A9">
            <w:pPr>
              <w:pStyle w:val="Tabletext"/>
              <w:cnfStyle w:val="000000000000" w:firstRow="0" w:lastRow="0" w:firstColumn="0" w:lastColumn="0" w:oddVBand="0" w:evenVBand="0" w:oddHBand="0" w:evenHBand="0" w:firstRowFirstColumn="0" w:firstRowLastColumn="0" w:lastRowFirstColumn="0" w:lastRowLastColumn="0"/>
            </w:pPr>
            <w:r>
              <w:t>Deliver staff survey accompanied with training</w:t>
            </w:r>
            <w:r w:rsidR="0024624B">
              <w:t>.</w:t>
            </w:r>
          </w:p>
        </w:tc>
      </w:tr>
      <w:tr w:rsidR="00FA4FE7" w14:paraId="761E96D2" w14:textId="77777777" w:rsidTr="003232A2">
        <w:tc>
          <w:tcPr>
            <w:cnfStyle w:val="001000000000" w:firstRow="0" w:lastRow="0" w:firstColumn="1" w:lastColumn="0" w:oddVBand="0" w:evenVBand="0" w:oddHBand="0" w:evenHBand="0" w:firstRowFirstColumn="0" w:firstRowLastColumn="0" w:lastRowFirstColumn="0" w:lastRowLastColumn="0"/>
            <w:tcW w:w="1851" w:type="dxa"/>
            <w:hideMark/>
          </w:tcPr>
          <w:p w14:paraId="26E4021D" w14:textId="77777777" w:rsidR="00FA4FE7" w:rsidRDefault="00FA4FE7" w:rsidP="00B221A9">
            <w:pPr>
              <w:pStyle w:val="Tabletext"/>
            </w:pPr>
            <w:r>
              <w:t>Aboriginal intern recruitment</w:t>
            </w:r>
          </w:p>
        </w:tc>
        <w:tc>
          <w:tcPr>
            <w:tcW w:w="3536" w:type="dxa"/>
            <w:hideMark/>
          </w:tcPr>
          <w:p w14:paraId="1431D9A5" w14:textId="1EFA3BCB" w:rsidR="00FA4FE7" w:rsidRDefault="00FA4FE7" w:rsidP="00B221A9">
            <w:pPr>
              <w:pStyle w:val="Tabletext"/>
              <w:cnfStyle w:val="000000000000" w:firstRow="0" w:lastRow="0" w:firstColumn="0" w:lastColumn="0" w:oddVBand="0" w:evenVBand="0" w:oddHBand="0" w:evenHBand="0" w:firstRowFirstColumn="0" w:firstRowLastColumn="0" w:lastRowFirstColumn="0" w:lastRowLastColumn="0"/>
            </w:pPr>
            <w:r>
              <w:t xml:space="preserve">Recruiting graduates and interns through the Barring </w:t>
            </w:r>
            <w:proofErr w:type="spellStart"/>
            <w:r>
              <w:t>Djinang</w:t>
            </w:r>
            <w:proofErr w:type="spellEnd"/>
            <w:r>
              <w:t xml:space="preserve"> </w:t>
            </w:r>
            <w:r w:rsidR="00CA5441">
              <w:t xml:space="preserve">Aboriginal </w:t>
            </w:r>
            <w:r w:rsidR="00CA5441">
              <w:rPr>
                <w:rFonts w:eastAsia="Times New Roman"/>
              </w:rPr>
              <w:t>Graduate Pathways Program and Vocational Education Training (VET)</w:t>
            </w:r>
            <w:r>
              <w:t xml:space="preserve"> Program.</w:t>
            </w:r>
          </w:p>
        </w:tc>
        <w:tc>
          <w:tcPr>
            <w:tcW w:w="1701" w:type="dxa"/>
            <w:hideMark/>
          </w:tcPr>
          <w:p w14:paraId="577750E1" w14:textId="77777777" w:rsidR="00FA4FE7" w:rsidRDefault="00FA4FE7" w:rsidP="00B221A9">
            <w:pPr>
              <w:pStyle w:val="Tabletext"/>
              <w:cnfStyle w:val="000000000000" w:firstRow="0" w:lastRow="0" w:firstColumn="0" w:lastColumn="0" w:oddVBand="0" w:evenVBand="0" w:oddHBand="0" w:evenHBand="0" w:firstRowFirstColumn="0" w:firstRowLastColumn="0" w:lastRowFirstColumn="0" w:lastRowLastColumn="0"/>
            </w:pPr>
            <w:r>
              <w:t>People</w:t>
            </w:r>
          </w:p>
        </w:tc>
        <w:tc>
          <w:tcPr>
            <w:tcW w:w="1984" w:type="dxa"/>
            <w:hideMark/>
          </w:tcPr>
          <w:p w14:paraId="566B86C8" w14:textId="5478E9F5" w:rsidR="00FA4FE7" w:rsidRDefault="00FA4FE7" w:rsidP="00B221A9">
            <w:pPr>
              <w:pStyle w:val="Tabletext"/>
              <w:cnfStyle w:val="000000000000" w:firstRow="0" w:lastRow="0" w:firstColumn="0" w:lastColumn="0" w:oddVBand="0" w:evenVBand="0" w:oddHBand="0" w:evenHBand="0" w:firstRowFirstColumn="0" w:firstRowLastColumn="0" w:lastRowFirstColumn="0" w:lastRowLastColumn="0"/>
            </w:pPr>
            <w:r>
              <w:t>Graduates</w:t>
            </w:r>
            <w:r w:rsidR="00615679">
              <w:t xml:space="preserve">/interns </w:t>
            </w:r>
            <w:r>
              <w:t>recruited</w:t>
            </w:r>
            <w:r w:rsidR="0024624B">
              <w:t>.</w:t>
            </w:r>
          </w:p>
        </w:tc>
      </w:tr>
      <w:bookmarkEnd w:id="70"/>
      <w:tr w:rsidR="00FA4FE7" w14:paraId="395772AD" w14:textId="77777777" w:rsidTr="003232A2">
        <w:tc>
          <w:tcPr>
            <w:cnfStyle w:val="001000000000" w:firstRow="0" w:lastRow="0" w:firstColumn="1" w:lastColumn="0" w:oddVBand="0" w:evenVBand="0" w:oddHBand="0" w:evenHBand="0" w:firstRowFirstColumn="0" w:firstRowLastColumn="0" w:lastRowFirstColumn="0" w:lastRowLastColumn="0"/>
            <w:tcW w:w="1851" w:type="dxa"/>
            <w:hideMark/>
          </w:tcPr>
          <w:p w14:paraId="0E8CF346" w14:textId="77777777" w:rsidR="00FA4FE7" w:rsidRDefault="00FA4FE7" w:rsidP="00B221A9">
            <w:pPr>
              <w:pStyle w:val="Tabletext"/>
            </w:pPr>
            <w:r>
              <w:t>Disseminating the SDRF</w:t>
            </w:r>
          </w:p>
        </w:tc>
        <w:tc>
          <w:tcPr>
            <w:tcW w:w="3536" w:type="dxa"/>
            <w:hideMark/>
          </w:tcPr>
          <w:p w14:paraId="505D7701" w14:textId="38317514" w:rsidR="00FA4FE7" w:rsidRDefault="00FA4FE7" w:rsidP="00B221A9">
            <w:pPr>
              <w:pStyle w:val="Tabletext"/>
              <w:cnfStyle w:val="000000000000" w:firstRow="0" w:lastRow="0" w:firstColumn="0" w:lastColumn="0" w:oddVBand="0" w:evenVBand="0" w:oddHBand="0" w:evenHBand="0" w:firstRowFirstColumn="0" w:firstRowLastColumn="0" w:lastRowFirstColumn="0" w:lastRowLastColumn="0"/>
            </w:pPr>
            <w:r>
              <w:t xml:space="preserve">The SDRF to be distributed to DTF staff, through an </w:t>
            </w:r>
            <w:r w:rsidR="005F5F34">
              <w:t xml:space="preserve">intranet </w:t>
            </w:r>
            <w:r>
              <w:t xml:space="preserve">post together with relevant communication to DTF work areas, or through the </w:t>
            </w:r>
            <w:r w:rsidR="00FF40CA">
              <w:t>fortnightly</w:t>
            </w:r>
            <w:r>
              <w:t xml:space="preserve"> message from the Secretary. The distribution can be coordinated with the staff training program.</w:t>
            </w:r>
          </w:p>
        </w:tc>
        <w:tc>
          <w:tcPr>
            <w:tcW w:w="1701" w:type="dxa"/>
            <w:hideMark/>
          </w:tcPr>
          <w:p w14:paraId="2CAB5282" w14:textId="77777777" w:rsidR="00FA4FE7" w:rsidRDefault="00FA4FE7" w:rsidP="00B221A9">
            <w:pPr>
              <w:pStyle w:val="Tabletext"/>
              <w:cnfStyle w:val="000000000000" w:firstRow="0" w:lastRow="0" w:firstColumn="0" w:lastColumn="0" w:oddVBand="0" w:evenVBand="0" w:oddHBand="0" w:evenHBand="0" w:firstRowFirstColumn="0" w:firstRowLastColumn="0" w:lastRowFirstColumn="0" w:lastRowLastColumn="0"/>
            </w:pPr>
            <w:r>
              <w:t>Outcomes</w:t>
            </w:r>
          </w:p>
        </w:tc>
        <w:tc>
          <w:tcPr>
            <w:tcW w:w="1984" w:type="dxa"/>
            <w:hideMark/>
          </w:tcPr>
          <w:p w14:paraId="7A5210B2" w14:textId="33DACFAD" w:rsidR="00FA4FE7" w:rsidRDefault="00FA4FE7" w:rsidP="00B221A9">
            <w:pPr>
              <w:pStyle w:val="Tabletext"/>
              <w:cnfStyle w:val="000000000000" w:firstRow="0" w:lastRow="0" w:firstColumn="0" w:lastColumn="0" w:oddVBand="0" w:evenVBand="0" w:oddHBand="0" w:evenHBand="0" w:firstRowFirstColumn="0" w:firstRowLastColumn="0" w:lastRowFirstColumn="0" w:lastRowLastColumn="0"/>
            </w:pPr>
            <w:r>
              <w:t>Disseminate the SDRF</w:t>
            </w:r>
            <w:r w:rsidR="0024624B">
              <w:t>.</w:t>
            </w:r>
          </w:p>
        </w:tc>
      </w:tr>
    </w:tbl>
    <w:p w14:paraId="13C274C0" w14:textId="30AB82A5" w:rsidR="00F5024F" w:rsidRDefault="00F5024F" w:rsidP="00F5024F"/>
    <w:p w14:paraId="3EBFC6D1" w14:textId="5161BDC6" w:rsidR="003945A8" w:rsidRDefault="003945A8" w:rsidP="00F5024F">
      <w:r w:rsidRPr="00615679">
        <w:t xml:space="preserve">As at 1 </w:t>
      </w:r>
      <w:r>
        <w:t>May</w:t>
      </w:r>
      <w:r w:rsidRPr="00615679">
        <w:t xml:space="preserve"> 2020 DTF has recruited one Aboriginal intern this financial year and</w:t>
      </w:r>
      <w:r w:rsidR="000E742C">
        <w:t xml:space="preserve"> developed </w:t>
      </w:r>
      <w:r w:rsidRPr="00615679">
        <w:t>a centralised volunteer register which includes Aboriginal organisations for staff to volunteer</w:t>
      </w:r>
      <w:r w:rsidR="000E742C">
        <w:t xml:space="preserve"> at</w:t>
      </w:r>
      <w:r w:rsidRPr="00615679">
        <w:t xml:space="preserve">. The </w:t>
      </w:r>
      <w:r w:rsidR="00E62F05">
        <w:t>D</w:t>
      </w:r>
      <w:r w:rsidRPr="00615679">
        <w:t>epartment is working towards the other actions included in this workstream.</w:t>
      </w:r>
    </w:p>
    <w:p w14:paraId="5826B139" w14:textId="08D3E73C" w:rsidR="00654BD7" w:rsidRDefault="00654BD7" w:rsidP="002115BC">
      <w:pPr>
        <w:pStyle w:val="Heading2"/>
        <w:pageBreakBefore/>
      </w:pPr>
      <w:bookmarkStart w:id="71" w:name="_Toc25053504"/>
      <w:bookmarkStart w:id="72" w:name="_Toc24707747"/>
      <w:bookmarkStart w:id="73" w:name="_Toc32238812"/>
      <w:bookmarkStart w:id="74" w:name="_Toc32240772"/>
      <w:bookmarkStart w:id="75" w:name="_Toc32240792"/>
      <w:bookmarkStart w:id="76" w:name="_Toc32490410"/>
      <w:bookmarkStart w:id="77" w:name="_Toc37246850"/>
      <w:bookmarkStart w:id="78" w:name="_Toc37254978"/>
      <w:bookmarkStart w:id="79" w:name="_Toc37255115"/>
      <w:bookmarkStart w:id="80" w:name="_Toc41653100"/>
      <w:r>
        <w:lastRenderedPageBreak/>
        <w:t>Developing relationships with the Aboriginal community</w:t>
      </w:r>
      <w:bookmarkEnd w:id="71"/>
      <w:bookmarkEnd w:id="72"/>
      <w:bookmarkEnd w:id="73"/>
      <w:bookmarkEnd w:id="74"/>
      <w:bookmarkEnd w:id="75"/>
      <w:bookmarkEnd w:id="76"/>
      <w:bookmarkEnd w:id="77"/>
      <w:bookmarkEnd w:id="78"/>
      <w:bookmarkEnd w:id="79"/>
      <w:bookmarkEnd w:id="80"/>
    </w:p>
    <w:tbl>
      <w:tblPr>
        <w:tblStyle w:val="DTFtexttable"/>
        <w:tblW w:w="9072" w:type="dxa"/>
        <w:tblInd w:w="0" w:type="dxa"/>
        <w:tblLayout w:type="fixed"/>
        <w:tblLook w:val="06A0" w:firstRow="1" w:lastRow="0" w:firstColumn="1" w:lastColumn="0" w:noHBand="1" w:noVBand="1"/>
      </w:tblPr>
      <w:tblGrid>
        <w:gridCol w:w="1616"/>
        <w:gridCol w:w="3346"/>
        <w:gridCol w:w="1701"/>
        <w:gridCol w:w="2409"/>
      </w:tblGrid>
      <w:tr w:rsidR="00FA4FE7" w14:paraId="2D49052B" w14:textId="77777777" w:rsidTr="00B221A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6" w:type="dxa"/>
            <w:hideMark/>
          </w:tcPr>
          <w:p w14:paraId="5CB40E9B" w14:textId="77777777" w:rsidR="00FA4FE7" w:rsidRDefault="00FA4FE7" w:rsidP="00DE5F14">
            <w:pPr>
              <w:pStyle w:val="Tableheader"/>
              <w:keepNext/>
              <w:spacing w:beforeAutospacing="0" w:afterAutospacing="0"/>
            </w:pPr>
            <w:r>
              <w:t>Actions</w:t>
            </w:r>
          </w:p>
        </w:tc>
        <w:tc>
          <w:tcPr>
            <w:tcW w:w="3346" w:type="dxa"/>
            <w:hideMark/>
          </w:tcPr>
          <w:p w14:paraId="02A148F2" w14:textId="77777777" w:rsidR="00FA4FE7" w:rsidRDefault="00FA4FE7" w:rsidP="00DE5F14">
            <w:pPr>
              <w:pStyle w:val="Tableheader"/>
              <w:keepNext/>
              <w:spacing w:beforeAutospacing="0" w:afterAutospacing="0"/>
              <w:cnfStyle w:val="100000000000" w:firstRow="1" w:lastRow="0" w:firstColumn="0" w:lastColumn="0" w:oddVBand="0" w:evenVBand="0" w:oddHBand="0" w:evenHBand="0" w:firstRowFirstColumn="0" w:firstRowLastColumn="0" w:lastRowFirstColumn="0" w:lastRowLastColumn="0"/>
            </w:pPr>
            <w:r>
              <w:t>Summary</w:t>
            </w:r>
          </w:p>
        </w:tc>
        <w:tc>
          <w:tcPr>
            <w:tcW w:w="1701" w:type="dxa"/>
            <w:hideMark/>
          </w:tcPr>
          <w:p w14:paraId="00783054" w14:textId="77777777" w:rsidR="00FA4FE7" w:rsidRDefault="00FA4FE7" w:rsidP="00DE5F14">
            <w:pPr>
              <w:pStyle w:val="Tableheader"/>
              <w:keepNext/>
              <w:spacing w:beforeAutospacing="0" w:afterAutospacing="0"/>
              <w:cnfStyle w:val="100000000000" w:firstRow="1" w:lastRow="0" w:firstColumn="0" w:lastColumn="0" w:oddVBand="0" w:evenVBand="0" w:oddHBand="0" w:evenHBand="0" w:firstRowFirstColumn="0" w:firstRowLastColumn="0" w:lastRowFirstColumn="0" w:lastRowLastColumn="0"/>
            </w:pPr>
            <w:r>
              <w:t>Link to SDRF reform domains</w:t>
            </w:r>
          </w:p>
        </w:tc>
        <w:tc>
          <w:tcPr>
            <w:tcW w:w="2409" w:type="dxa"/>
            <w:hideMark/>
          </w:tcPr>
          <w:p w14:paraId="1D1798AE" w14:textId="67ABEFC6" w:rsidR="00FA4FE7" w:rsidRDefault="00FA4FE7" w:rsidP="00DE5F14">
            <w:pPr>
              <w:pStyle w:val="Tableheader"/>
              <w:keepNext/>
              <w:spacing w:beforeAutospacing="0" w:afterAutospacing="0"/>
              <w:cnfStyle w:val="100000000000" w:firstRow="1" w:lastRow="0" w:firstColumn="0" w:lastColumn="0" w:oddVBand="0" w:evenVBand="0" w:oddHBand="0" w:evenHBand="0" w:firstRowFirstColumn="0" w:firstRowLastColumn="0" w:lastRowFirstColumn="0" w:lastRowLastColumn="0"/>
            </w:pPr>
            <w:r>
              <w:t>Success measures</w:t>
            </w:r>
          </w:p>
        </w:tc>
      </w:tr>
      <w:tr w:rsidR="00FA4FE7" w14:paraId="4F5793DC" w14:textId="77777777" w:rsidTr="00B221A9">
        <w:tc>
          <w:tcPr>
            <w:cnfStyle w:val="001000000000" w:firstRow="0" w:lastRow="0" w:firstColumn="1" w:lastColumn="0" w:oddVBand="0" w:evenVBand="0" w:oddHBand="0" w:evenHBand="0" w:firstRowFirstColumn="0" w:firstRowLastColumn="0" w:lastRowFirstColumn="0" w:lastRowLastColumn="0"/>
            <w:tcW w:w="1616" w:type="dxa"/>
            <w:hideMark/>
          </w:tcPr>
          <w:p w14:paraId="65581C6C" w14:textId="2DBA2FAB" w:rsidR="00FA4FE7" w:rsidRDefault="00FA4FE7" w:rsidP="002115BC">
            <w:pPr>
              <w:pStyle w:val="Tabletext"/>
            </w:pPr>
            <w:r>
              <w:t xml:space="preserve">Developing </w:t>
            </w:r>
            <w:r w:rsidR="000B3E52">
              <w:t xml:space="preserve">relationships </w:t>
            </w:r>
            <w:r>
              <w:t xml:space="preserve">with the Aboriginal </w:t>
            </w:r>
            <w:r w:rsidR="00660E1D">
              <w:t>c</w:t>
            </w:r>
            <w:r>
              <w:t>ommunity</w:t>
            </w:r>
          </w:p>
        </w:tc>
        <w:tc>
          <w:tcPr>
            <w:tcW w:w="3346" w:type="dxa"/>
            <w:hideMark/>
          </w:tcPr>
          <w:p w14:paraId="00473C9C" w14:textId="58D261EE" w:rsidR="00FA4FE7" w:rsidRDefault="00FA4FE7" w:rsidP="002115BC">
            <w:pPr>
              <w:pStyle w:val="Tabletext"/>
              <w:cnfStyle w:val="000000000000" w:firstRow="0" w:lastRow="0" w:firstColumn="0" w:lastColumn="0" w:oddVBand="0" w:evenVBand="0" w:oddHBand="0" w:evenHBand="0" w:firstRowFirstColumn="0" w:firstRowLastColumn="0" w:lastRowFirstColumn="0" w:lastRowLastColumn="0"/>
            </w:pPr>
            <w:r>
              <w:t xml:space="preserve">Develop communication avenues with relevant Aboriginal </w:t>
            </w:r>
            <w:r w:rsidR="00C5012B">
              <w:t xml:space="preserve">stakeholders, including Aboriginal governance forums and Aboriginal organisations as appropriate and </w:t>
            </w:r>
            <w:r>
              <w:t>identify where DTF may have the highest impact.</w:t>
            </w:r>
          </w:p>
        </w:tc>
        <w:tc>
          <w:tcPr>
            <w:tcW w:w="1701" w:type="dxa"/>
            <w:hideMark/>
          </w:tcPr>
          <w:p w14:paraId="47ECCE8A" w14:textId="6A7E9132" w:rsidR="00FA4FE7" w:rsidRDefault="00FA4FE7" w:rsidP="002115BC">
            <w:pPr>
              <w:pStyle w:val="Tabletext"/>
              <w:cnfStyle w:val="000000000000" w:firstRow="0" w:lastRow="0" w:firstColumn="0" w:lastColumn="0" w:oddVBand="0" w:evenVBand="0" w:oddHBand="0" w:evenHBand="0" w:firstRowFirstColumn="0" w:firstRowLastColumn="0" w:lastRowFirstColumn="0" w:lastRowLastColumn="0"/>
            </w:pPr>
            <w:r>
              <w:t>People/</w:t>
            </w:r>
            <w:r w:rsidR="000B0889">
              <w:t xml:space="preserve">systems </w:t>
            </w:r>
          </w:p>
        </w:tc>
        <w:tc>
          <w:tcPr>
            <w:tcW w:w="2409" w:type="dxa"/>
          </w:tcPr>
          <w:p w14:paraId="700372CA" w14:textId="6C5DF2A4" w:rsidR="00FA4FE7" w:rsidRDefault="00C5012B" w:rsidP="002115BC">
            <w:pPr>
              <w:pStyle w:val="Tabletext"/>
              <w:cnfStyle w:val="000000000000" w:firstRow="0" w:lastRow="0" w:firstColumn="0" w:lastColumn="0" w:oddVBand="0" w:evenVBand="0" w:oddHBand="0" w:evenHBand="0" w:firstRowFirstColumn="0" w:firstRowLastColumn="0" w:lastRowFirstColumn="0" w:lastRowLastColumn="0"/>
            </w:pPr>
            <w:r>
              <w:t>Identify relevant stakeholders and proactively engage as appropriate</w:t>
            </w:r>
            <w:r w:rsidR="0024624B">
              <w:t>.</w:t>
            </w:r>
          </w:p>
        </w:tc>
      </w:tr>
      <w:tr w:rsidR="00FA4FE7" w14:paraId="3DAA01B1" w14:textId="77777777" w:rsidTr="00B221A9">
        <w:tc>
          <w:tcPr>
            <w:cnfStyle w:val="001000000000" w:firstRow="0" w:lastRow="0" w:firstColumn="1" w:lastColumn="0" w:oddVBand="0" w:evenVBand="0" w:oddHBand="0" w:evenHBand="0" w:firstRowFirstColumn="0" w:firstRowLastColumn="0" w:lastRowFirstColumn="0" w:lastRowLastColumn="0"/>
            <w:tcW w:w="1616" w:type="dxa"/>
            <w:hideMark/>
          </w:tcPr>
          <w:p w14:paraId="6DD04F16" w14:textId="092E47AD" w:rsidR="00FA4FE7" w:rsidRDefault="00FA4FE7" w:rsidP="002115BC">
            <w:pPr>
              <w:pStyle w:val="Tabletext"/>
            </w:pPr>
            <w:r>
              <w:t>Understanding DTF</w:t>
            </w:r>
            <w:r w:rsidR="00607916">
              <w:t>’</w:t>
            </w:r>
            <w:r>
              <w:t xml:space="preserve">s contact with </w:t>
            </w:r>
            <w:r w:rsidR="005F5F34">
              <w:t xml:space="preserve">Aboriginal </w:t>
            </w:r>
            <w:r>
              <w:t>communities</w:t>
            </w:r>
          </w:p>
        </w:tc>
        <w:tc>
          <w:tcPr>
            <w:tcW w:w="3346" w:type="dxa"/>
            <w:hideMark/>
          </w:tcPr>
          <w:p w14:paraId="6B76FBF8" w14:textId="465880D3" w:rsidR="00FA4FE7" w:rsidRDefault="00FA4FE7" w:rsidP="002115BC">
            <w:pPr>
              <w:pStyle w:val="Tabletext"/>
              <w:cnfStyle w:val="000000000000" w:firstRow="0" w:lastRow="0" w:firstColumn="0" w:lastColumn="0" w:oddVBand="0" w:evenVBand="0" w:oddHBand="0" w:evenHBand="0" w:firstRowFirstColumn="0" w:firstRowLastColumn="0" w:lastRowFirstColumn="0" w:lastRowLastColumn="0"/>
            </w:pPr>
            <w:r>
              <w:t xml:space="preserve">Meet with all parts of </w:t>
            </w:r>
            <w:r w:rsidR="00005C0E">
              <w:t xml:space="preserve">DTF </w:t>
            </w:r>
            <w:r>
              <w:t xml:space="preserve">to identify engagement points with the Aboriginal </w:t>
            </w:r>
            <w:r w:rsidR="004158B2">
              <w:t>community</w:t>
            </w:r>
            <w:r w:rsidR="0024624B">
              <w:t>.</w:t>
            </w:r>
            <w:r>
              <w:t xml:space="preserve"> </w:t>
            </w:r>
          </w:p>
        </w:tc>
        <w:tc>
          <w:tcPr>
            <w:tcW w:w="1701" w:type="dxa"/>
            <w:hideMark/>
          </w:tcPr>
          <w:p w14:paraId="4EAD5865" w14:textId="77777777" w:rsidR="00FA4FE7" w:rsidRDefault="00FA4FE7" w:rsidP="002115BC">
            <w:pPr>
              <w:pStyle w:val="Tabletext"/>
              <w:cnfStyle w:val="000000000000" w:firstRow="0" w:lastRow="0" w:firstColumn="0" w:lastColumn="0" w:oddVBand="0" w:evenVBand="0" w:oddHBand="0" w:evenHBand="0" w:firstRowFirstColumn="0" w:firstRowLastColumn="0" w:lastRowFirstColumn="0" w:lastRowLastColumn="0"/>
            </w:pPr>
            <w:r>
              <w:t>People</w:t>
            </w:r>
          </w:p>
        </w:tc>
        <w:tc>
          <w:tcPr>
            <w:tcW w:w="2409" w:type="dxa"/>
          </w:tcPr>
          <w:p w14:paraId="0746AEBB" w14:textId="6B3A40F3" w:rsidR="00FA4FE7" w:rsidRDefault="00C5012B" w:rsidP="002115BC">
            <w:pPr>
              <w:pStyle w:val="Tabletext"/>
              <w:cnfStyle w:val="000000000000" w:firstRow="0" w:lastRow="0" w:firstColumn="0" w:lastColumn="0" w:oddVBand="0" w:evenVBand="0" w:oddHBand="0" w:evenHBand="0" w:firstRowFirstColumn="0" w:firstRowLastColumn="0" w:lastRowFirstColumn="0" w:lastRowLastColumn="0"/>
            </w:pPr>
            <w:r>
              <w:t>Meet with Budget and Finance, Corporate Delivery Services Group, Commercial, People and Culture,</w:t>
            </w:r>
            <w:r w:rsidR="002C5772">
              <w:t xml:space="preserve"> and</w:t>
            </w:r>
            <w:r>
              <w:t xml:space="preserve"> Service Delivery and Reform. Form regular catch ups to have ongoing discussions regarding self-determination and the progression of </w:t>
            </w:r>
            <w:r w:rsidR="000B3E52">
              <w:t xml:space="preserve">the </w:t>
            </w:r>
            <w:r>
              <w:t>SDRF</w:t>
            </w:r>
            <w:r w:rsidR="0024624B">
              <w:t>.</w:t>
            </w:r>
          </w:p>
        </w:tc>
      </w:tr>
      <w:tr w:rsidR="0024624B" w14:paraId="36D7FC84" w14:textId="77777777" w:rsidTr="00B221A9">
        <w:tc>
          <w:tcPr>
            <w:cnfStyle w:val="001000000000" w:firstRow="0" w:lastRow="0" w:firstColumn="1" w:lastColumn="0" w:oddVBand="0" w:evenVBand="0" w:oddHBand="0" w:evenHBand="0" w:firstRowFirstColumn="0" w:firstRowLastColumn="0" w:lastRowFirstColumn="0" w:lastRowLastColumn="0"/>
            <w:tcW w:w="1616" w:type="dxa"/>
          </w:tcPr>
          <w:p w14:paraId="42EDF4EE" w14:textId="1AD23FA9" w:rsidR="0024624B" w:rsidRDefault="0024624B" w:rsidP="002115BC">
            <w:pPr>
              <w:pStyle w:val="Tabletext"/>
            </w:pPr>
            <w:r>
              <w:t xml:space="preserve">Creating a culturally safe environment </w:t>
            </w:r>
          </w:p>
        </w:tc>
        <w:tc>
          <w:tcPr>
            <w:tcW w:w="3346" w:type="dxa"/>
          </w:tcPr>
          <w:p w14:paraId="3DDA1651" w14:textId="67A7C265" w:rsidR="0024624B" w:rsidRDefault="0024624B" w:rsidP="002115BC">
            <w:pPr>
              <w:pStyle w:val="Tabletext"/>
              <w:cnfStyle w:val="000000000000" w:firstRow="0" w:lastRow="0" w:firstColumn="0" w:lastColumn="0" w:oddVBand="0" w:evenVBand="0" w:oddHBand="0" w:evenHBand="0" w:firstRowFirstColumn="0" w:firstRowLastColumn="0" w:lastRowFirstColumn="0" w:lastRowLastColumn="0"/>
            </w:pPr>
            <w:r w:rsidRPr="0024624B">
              <w:t>Create an environment that celebrat</w:t>
            </w:r>
            <w:r>
              <w:t>es</w:t>
            </w:r>
            <w:r w:rsidRPr="0024624B">
              <w:t xml:space="preserve"> Aboriginal communities. Immerse the </w:t>
            </w:r>
            <w:r w:rsidR="00E62F05">
              <w:t>D</w:t>
            </w:r>
            <w:r w:rsidRPr="0024624B">
              <w:t>epartment in images of or from positive Aboriginal leaders or people</w:t>
            </w:r>
            <w:r>
              <w:t>.</w:t>
            </w:r>
          </w:p>
        </w:tc>
        <w:tc>
          <w:tcPr>
            <w:tcW w:w="1701" w:type="dxa"/>
          </w:tcPr>
          <w:p w14:paraId="729702AE" w14:textId="526057FB" w:rsidR="0024624B" w:rsidRDefault="0024624B" w:rsidP="002115BC">
            <w:pPr>
              <w:pStyle w:val="Tabletext"/>
              <w:cnfStyle w:val="000000000000" w:firstRow="0" w:lastRow="0" w:firstColumn="0" w:lastColumn="0" w:oddVBand="0" w:evenVBand="0" w:oddHBand="0" w:evenHBand="0" w:firstRowFirstColumn="0" w:firstRowLastColumn="0" w:lastRowFirstColumn="0" w:lastRowLastColumn="0"/>
            </w:pPr>
            <w:r>
              <w:t>People</w:t>
            </w:r>
          </w:p>
        </w:tc>
        <w:tc>
          <w:tcPr>
            <w:tcW w:w="2409" w:type="dxa"/>
          </w:tcPr>
          <w:p w14:paraId="264EC493" w14:textId="183A5ED9" w:rsidR="0024624B" w:rsidRDefault="0024624B" w:rsidP="002115BC">
            <w:pPr>
              <w:pStyle w:val="Tabletext"/>
              <w:cnfStyle w:val="000000000000" w:firstRow="0" w:lastRow="0" w:firstColumn="0" w:lastColumn="0" w:oddVBand="0" w:evenVBand="0" w:oddHBand="0" w:evenHBand="0" w:firstRowFirstColumn="0" w:firstRowLastColumn="0" w:lastRowFirstColumn="0" w:lastRowLastColumn="0"/>
            </w:pPr>
            <w:r w:rsidRPr="0024624B">
              <w:t xml:space="preserve">Display artwork from Aboriginal people </w:t>
            </w:r>
            <w:r>
              <w:t xml:space="preserve">across the </w:t>
            </w:r>
            <w:r w:rsidR="00E62F05">
              <w:t>D</w:t>
            </w:r>
            <w:r>
              <w:t>epartment.</w:t>
            </w:r>
          </w:p>
        </w:tc>
      </w:tr>
    </w:tbl>
    <w:p w14:paraId="720F98C7" w14:textId="522108F1" w:rsidR="00367E11" w:rsidRDefault="00367E11" w:rsidP="00F5024F"/>
    <w:p w14:paraId="241C8594" w14:textId="7335E605" w:rsidR="00883A03" w:rsidRDefault="00883A03" w:rsidP="00F5024F">
      <w:r>
        <w:t xml:space="preserve">As at 1 </w:t>
      </w:r>
      <w:r w:rsidR="00815537">
        <w:t xml:space="preserve">May </w:t>
      </w:r>
      <w:r>
        <w:t>2020, DTF is working towards the actions in this workstream.</w:t>
      </w:r>
    </w:p>
    <w:p w14:paraId="22514875" w14:textId="4F7E1B90" w:rsidR="00654BD7" w:rsidRDefault="00654BD7" w:rsidP="002115BC">
      <w:pPr>
        <w:pStyle w:val="Heading2"/>
        <w:pageBreakBefore/>
      </w:pPr>
      <w:bookmarkStart w:id="81" w:name="_Toc25053505"/>
      <w:bookmarkStart w:id="82" w:name="_Toc24707748"/>
      <w:bookmarkStart w:id="83" w:name="_Toc32238813"/>
      <w:bookmarkStart w:id="84" w:name="_Toc32240773"/>
      <w:bookmarkStart w:id="85" w:name="_Toc32240793"/>
      <w:bookmarkStart w:id="86" w:name="_Toc32490411"/>
      <w:bookmarkStart w:id="87" w:name="_Toc37246851"/>
      <w:bookmarkStart w:id="88" w:name="_Toc37254979"/>
      <w:bookmarkStart w:id="89" w:name="_Toc37255116"/>
      <w:bookmarkStart w:id="90" w:name="_Toc41653101"/>
      <w:r w:rsidRPr="00654BD7">
        <w:lastRenderedPageBreak/>
        <w:t>Increased</w:t>
      </w:r>
      <w:r>
        <w:t xml:space="preserve"> government procurement from Aboriginal businesses</w:t>
      </w:r>
      <w:bookmarkEnd w:id="81"/>
      <w:bookmarkEnd w:id="82"/>
      <w:bookmarkEnd w:id="83"/>
      <w:bookmarkEnd w:id="84"/>
      <w:bookmarkEnd w:id="85"/>
      <w:bookmarkEnd w:id="86"/>
      <w:bookmarkEnd w:id="87"/>
      <w:bookmarkEnd w:id="88"/>
      <w:bookmarkEnd w:id="89"/>
      <w:bookmarkEnd w:id="90"/>
    </w:p>
    <w:tbl>
      <w:tblPr>
        <w:tblStyle w:val="DTFtexttable"/>
        <w:tblW w:w="9072" w:type="dxa"/>
        <w:tblInd w:w="0" w:type="dxa"/>
        <w:tblLayout w:type="fixed"/>
        <w:tblLook w:val="06A0" w:firstRow="1" w:lastRow="0" w:firstColumn="1" w:lastColumn="0" w:noHBand="1" w:noVBand="1"/>
      </w:tblPr>
      <w:tblGrid>
        <w:gridCol w:w="1640"/>
        <w:gridCol w:w="3322"/>
        <w:gridCol w:w="1701"/>
        <w:gridCol w:w="2409"/>
      </w:tblGrid>
      <w:tr w:rsidR="00B221A9" w14:paraId="54A4CDF9" w14:textId="77777777" w:rsidTr="00B221A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40" w:type="dxa"/>
            <w:hideMark/>
          </w:tcPr>
          <w:p w14:paraId="14DE4FBA" w14:textId="77777777" w:rsidR="00FA4FE7" w:rsidRDefault="00FA4FE7" w:rsidP="00DE5F14">
            <w:pPr>
              <w:pStyle w:val="Tableheader"/>
              <w:keepNext/>
              <w:spacing w:beforeAutospacing="0" w:afterAutospacing="0"/>
            </w:pPr>
            <w:bookmarkStart w:id="91" w:name="_Hlk24529236"/>
            <w:r>
              <w:t>Actions</w:t>
            </w:r>
          </w:p>
        </w:tc>
        <w:tc>
          <w:tcPr>
            <w:tcW w:w="3322" w:type="dxa"/>
            <w:hideMark/>
          </w:tcPr>
          <w:p w14:paraId="2FA55B7A" w14:textId="77777777" w:rsidR="00FA4FE7" w:rsidRDefault="00FA4FE7" w:rsidP="00DE5F14">
            <w:pPr>
              <w:pStyle w:val="Tableheader"/>
              <w:keepNext/>
              <w:spacing w:beforeAutospacing="0" w:afterAutospacing="0"/>
              <w:cnfStyle w:val="100000000000" w:firstRow="1" w:lastRow="0" w:firstColumn="0" w:lastColumn="0" w:oddVBand="0" w:evenVBand="0" w:oddHBand="0" w:evenHBand="0" w:firstRowFirstColumn="0" w:firstRowLastColumn="0" w:lastRowFirstColumn="0" w:lastRowLastColumn="0"/>
            </w:pPr>
            <w:r>
              <w:t>Summary</w:t>
            </w:r>
          </w:p>
        </w:tc>
        <w:tc>
          <w:tcPr>
            <w:tcW w:w="1701" w:type="dxa"/>
            <w:hideMark/>
          </w:tcPr>
          <w:p w14:paraId="75B3270B" w14:textId="77777777" w:rsidR="00FA4FE7" w:rsidRDefault="00FA4FE7" w:rsidP="00DE5F14">
            <w:pPr>
              <w:pStyle w:val="Tableheader"/>
              <w:keepNext/>
              <w:spacing w:beforeAutospacing="0" w:afterAutospacing="0"/>
              <w:cnfStyle w:val="100000000000" w:firstRow="1" w:lastRow="0" w:firstColumn="0" w:lastColumn="0" w:oddVBand="0" w:evenVBand="0" w:oddHBand="0" w:evenHBand="0" w:firstRowFirstColumn="0" w:firstRowLastColumn="0" w:lastRowFirstColumn="0" w:lastRowLastColumn="0"/>
            </w:pPr>
            <w:r>
              <w:t>Link to SDRF reform domains</w:t>
            </w:r>
          </w:p>
        </w:tc>
        <w:tc>
          <w:tcPr>
            <w:tcW w:w="2409" w:type="dxa"/>
            <w:hideMark/>
          </w:tcPr>
          <w:p w14:paraId="5E4693E6" w14:textId="67F9D792" w:rsidR="00FA4FE7" w:rsidRDefault="00FA4FE7" w:rsidP="00DE5F14">
            <w:pPr>
              <w:pStyle w:val="Tableheader"/>
              <w:keepNext/>
              <w:spacing w:beforeAutospacing="0" w:afterAutospacing="0"/>
              <w:cnfStyle w:val="100000000000" w:firstRow="1" w:lastRow="0" w:firstColumn="0" w:lastColumn="0" w:oddVBand="0" w:evenVBand="0" w:oddHBand="0" w:evenHBand="0" w:firstRowFirstColumn="0" w:firstRowLastColumn="0" w:lastRowFirstColumn="0" w:lastRowLastColumn="0"/>
            </w:pPr>
            <w:r>
              <w:t>Success measures</w:t>
            </w:r>
          </w:p>
        </w:tc>
      </w:tr>
      <w:bookmarkEnd w:id="91"/>
      <w:tr w:rsidR="00B221A9" w14:paraId="08FEBEE5" w14:textId="77777777" w:rsidTr="00B221A9">
        <w:tc>
          <w:tcPr>
            <w:cnfStyle w:val="001000000000" w:firstRow="0" w:lastRow="0" w:firstColumn="1" w:lastColumn="0" w:oddVBand="0" w:evenVBand="0" w:oddHBand="0" w:evenHBand="0" w:firstRowFirstColumn="0" w:firstRowLastColumn="0" w:lastRowFirstColumn="0" w:lastRowLastColumn="0"/>
            <w:tcW w:w="1640" w:type="dxa"/>
          </w:tcPr>
          <w:p w14:paraId="517EA71E" w14:textId="0C35719D" w:rsidR="003A4705" w:rsidRDefault="003A4705" w:rsidP="002115BC">
            <w:pPr>
              <w:pStyle w:val="Tabletext"/>
            </w:pPr>
            <w:r>
              <w:t xml:space="preserve">Increase </w:t>
            </w:r>
            <w:r w:rsidR="000B3E52">
              <w:t xml:space="preserve">procurement </w:t>
            </w:r>
            <w:r>
              <w:t>from Aboriginal businesses</w:t>
            </w:r>
          </w:p>
        </w:tc>
        <w:tc>
          <w:tcPr>
            <w:tcW w:w="3322" w:type="dxa"/>
            <w:hideMark/>
          </w:tcPr>
          <w:p w14:paraId="02DE05B1" w14:textId="77777777" w:rsidR="003A4705" w:rsidRDefault="003A4705" w:rsidP="002115BC">
            <w:pPr>
              <w:pStyle w:val="Tabletext"/>
              <w:cnfStyle w:val="000000000000" w:firstRow="0" w:lastRow="0" w:firstColumn="0" w:lastColumn="0" w:oddVBand="0" w:evenVBand="0" w:oddHBand="0" w:evenHBand="0" w:firstRowFirstColumn="0" w:firstRowLastColumn="0" w:lastRowFirstColumn="0" w:lastRowLastColumn="0"/>
            </w:pPr>
            <w:r>
              <w:t xml:space="preserve">Work with DJPR (Aboriginal Economic Development branch) to support Aboriginal businesses through their grant agreement with </w:t>
            </w:r>
            <w:proofErr w:type="spellStart"/>
            <w:r>
              <w:t>Kinaway</w:t>
            </w:r>
            <w:proofErr w:type="spellEnd"/>
            <w:r>
              <w:t>.</w:t>
            </w:r>
          </w:p>
        </w:tc>
        <w:tc>
          <w:tcPr>
            <w:tcW w:w="1701" w:type="dxa"/>
            <w:hideMark/>
          </w:tcPr>
          <w:p w14:paraId="1A8CF7F9" w14:textId="379C9E9E" w:rsidR="003A4705" w:rsidRDefault="003A4705" w:rsidP="002115BC">
            <w:pPr>
              <w:pStyle w:val="Tabletext"/>
              <w:cnfStyle w:val="000000000000" w:firstRow="0" w:lastRow="0" w:firstColumn="0" w:lastColumn="0" w:oddVBand="0" w:evenVBand="0" w:oddHBand="0" w:evenHBand="0" w:firstRowFirstColumn="0" w:firstRowLastColumn="0" w:lastRowFirstColumn="0" w:lastRowLastColumn="0"/>
            </w:pPr>
            <w:r>
              <w:t>Systems/</w:t>
            </w:r>
            <w:r w:rsidR="00DE5F14">
              <w:br/>
            </w:r>
            <w:r w:rsidR="000B0889">
              <w:t>outcomes</w:t>
            </w:r>
          </w:p>
        </w:tc>
        <w:tc>
          <w:tcPr>
            <w:tcW w:w="2409" w:type="dxa"/>
          </w:tcPr>
          <w:p w14:paraId="1DF63292" w14:textId="7954537F" w:rsidR="003A4705" w:rsidRDefault="003A4705" w:rsidP="002115BC">
            <w:pPr>
              <w:pStyle w:val="Tabletext"/>
              <w:cnfStyle w:val="000000000000" w:firstRow="0" w:lastRow="0" w:firstColumn="0" w:lastColumn="0" w:oddVBand="0" w:evenVBand="0" w:oddHBand="0" w:evenHBand="0" w:firstRowFirstColumn="0" w:firstRowLastColumn="0" w:lastRowFirstColumn="0" w:lastRowLastColumn="0"/>
            </w:pPr>
            <w:r>
              <w:rPr>
                <w:rFonts w:eastAsia="Times New Roman"/>
              </w:rPr>
              <w:t>Conduct consultation on expanded definition of Aboriginal business</w:t>
            </w:r>
            <w:r w:rsidR="000B3E52">
              <w:rPr>
                <w:rFonts w:eastAsia="Times New Roman"/>
              </w:rPr>
              <w:t xml:space="preserve"> and</w:t>
            </w:r>
            <w:r>
              <w:rPr>
                <w:rFonts w:eastAsia="Times New Roman"/>
              </w:rPr>
              <w:t xml:space="preserve"> verification options</w:t>
            </w:r>
            <w:r w:rsidR="0024624B">
              <w:rPr>
                <w:rFonts w:eastAsia="Times New Roman"/>
              </w:rPr>
              <w:t>.</w:t>
            </w:r>
          </w:p>
        </w:tc>
      </w:tr>
      <w:tr w:rsidR="00B221A9" w14:paraId="197AA3E9" w14:textId="77777777" w:rsidTr="00B221A9">
        <w:tc>
          <w:tcPr>
            <w:cnfStyle w:val="001000000000" w:firstRow="0" w:lastRow="0" w:firstColumn="1" w:lastColumn="0" w:oddVBand="0" w:evenVBand="0" w:oddHBand="0" w:evenHBand="0" w:firstRowFirstColumn="0" w:firstRowLastColumn="0" w:lastRowFirstColumn="0" w:lastRowLastColumn="0"/>
            <w:tcW w:w="1640" w:type="dxa"/>
          </w:tcPr>
          <w:p w14:paraId="2FEDFEFB" w14:textId="3CEA6680" w:rsidR="003A4705" w:rsidRDefault="003A4705" w:rsidP="002115BC">
            <w:pPr>
              <w:pStyle w:val="Tabletext"/>
            </w:pPr>
            <w:r>
              <w:t>Communicate target calculation to each department and report on progress against target</w:t>
            </w:r>
          </w:p>
        </w:tc>
        <w:tc>
          <w:tcPr>
            <w:tcW w:w="3322" w:type="dxa"/>
            <w:hideMark/>
          </w:tcPr>
          <w:p w14:paraId="585BA7F7" w14:textId="66B4570A" w:rsidR="003A4705" w:rsidRDefault="003A4705" w:rsidP="002115BC">
            <w:pPr>
              <w:pStyle w:val="Tabletext"/>
              <w:cnfStyle w:val="000000000000" w:firstRow="0" w:lastRow="0" w:firstColumn="0" w:lastColumn="0" w:oddVBand="0" w:evenVBand="0" w:oddHBand="0" w:evenHBand="0" w:firstRowFirstColumn="0" w:firstRowLastColumn="0" w:lastRowFirstColumn="0" w:lastRowLastColumn="0"/>
            </w:pPr>
            <w:r>
              <w:t xml:space="preserve">Consistent messaging by the Strategic Sourcing Procurement Policy and Reform </w:t>
            </w:r>
            <w:r w:rsidR="00394E6E">
              <w:t>T</w:t>
            </w:r>
            <w:r>
              <w:t>eam to departments and agencies about the Aboriginal procurement target.</w:t>
            </w:r>
          </w:p>
        </w:tc>
        <w:tc>
          <w:tcPr>
            <w:tcW w:w="1701" w:type="dxa"/>
            <w:hideMark/>
          </w:tcPr>
          <w:p w14:paraId="4F47A531" w14:textId="77777777" w:rsidR="003A4705" w:rsidRDefault="003A4705" w:rsidP="002115BC">
            <w:pPr>
              <w:pStyle w:val="Tabletext"/>
              <w:cnfStyle w:val="000000000000" w:firstRow="0" w:lastRow="0" w:firstColumn="0" w:lastColumn="0" w:oddVBand="0" w:evenVBand="0" w:oddHBand="0" w:evenHBand="0" w:firstRowFirstColumn="0" w:firstRowLastColumn="0" w:lastRowFirstColumn="0" w:lastRowLastColumn="0"/>
            </w:pPr>
            <w:r>
              <w:t>Systems</w:t>
            </w:r>
          </w:p>
        </w:tc>
        <w:tc>
          <w:tcPr>
            <w:tcW w:w="2409" w:type="dxa"/>
          </w:tcPr>
          <w:p w14:paraId="30D293BE" w14:textId="2C6A279D" w:rsidR="003A4705" w:rsidRDefault="003A4705" w:rsidP="002115BC">
            <w:pPr>
              <w:pStyle w:val="Tabletext"/>
              <w:cnfStyle w:val="000000000000" w:firstRow="0" w:lastRow="0" w:firstColumn="0" w:lastColumn="0" w:oddVBand="0" w:evenVBand="0" w:oddHBand="0" w:evenHBand="0" w:firstRowFirstColumn="0" w:firstRowLastColumn="0" w:lastRowFirstColumn="0" w:lastRowLastColumn="0"/>
            </w:pPr>
            <w:r>
              <w:t xml:space="preserve">DTF to lead </w:t>
            </w:r>
            <w:r w:rsidR="000B0889">
              <w:t>six-</w:t>
            </w:r>
            <w:r>
              <w:t xml:space="preserve">monthly reporting to the Integrity and Corporate </w:t>
            </w:r>
            <w:r w:rsidR="006658CB">
              <w:t>Reform Subcommittee</w:t>
            </w:r>
            <w:r>
              <w:t xml:space="preserve">. Annual report against progress to be published in </w:t>
            </w:r>
            <w:r w:rsidRPr="00E535D7">
              <w:rPr>
                <w:i/>
                <w:iCs/>
              </w:rPr>
              <w:t>Victorian Government Aboriginal Affairs Report</w:t>
            </w:r>
            <w:r w:rsidR="0024624B">
              <w:rPr>
                <w:i/>
                <w:iCs/>
              </w:rPr>
              <w:t>.</w:t>
            </w:r>
          </w:p>
        </w:tc>
      </w:tr>
      <w:tr w:rsidR="00B221A9" w14:paraId="2CE99151" w14:textId="77777777" w:rsidTr="00B221A9">
        <w:tc>
          <w:tcPr>
            <w:cnfStyle w:val="001000000000" w:firstRow="0" w:lastRow="0" w:firstColumn="1" w:lastColumn="0" w:oddVBand="0" w:evenVBand="0" w:oddHBand="0" w:evenHBand="0" w:firstRowFirstColumn="0" w:firstRowLastColumn="0" w:lastRowFirstColumn="0" w:lastRowLastColumn="0"/>
            <w:tcW w:w="1640" w:type="dxa"/>
          </w:tcPr>
          <w:p w14:paraId="10EEEADA" w14:textId="640E33E0" w:rsidR="003A4705" w:rsidRDefault="003A4705" w:rsidP="002115BC">
            <w:pPr>
              <w:pStyle w:val="Tabletext"/>
            </w:pPr>
            <w:r>
              <w:t xml:space="preserve">Formalise relationships with Supply Nation and </w:t>
            </w:r>
            <w:proofErr w:type="spellStart"/>
            <w:r>
              <w:t>Kinaway</w:t>
            </w:r>
            <w:proofErr w:type="spellEnd"/>
          </w:p>
        </w:tc>
        <w:tc>
          <w:tcPr>
            <w:tcW w:w="3322" w:type="dxa"/>
            <w:hideMark/>
          </w:tcPr>
          <w:p w14:paraId="38B4726E" w14:textId="2F7BFB71" w:rsidR="003A4705" w:rsidRDefault="003A4705" w:rsidP="002115BC">
            <w:pPr>
              <w:pStyle w:val="Tabletext"/>
              <w:cnfStyle w:val="000000000000" w:firstRow="0" w:lastRow="0" w:firstColumn="0" w:lastColumn="0" w:oddVBand="0" w:evenVBand="0" w:oddHBand="0" w:evenHBand="0" w:firstRowFirstColumn="0" w:firstRowLastColumn="0" w:lastRowFirstColumn="0" w:lastRowLastColumn="0"/>
            </w:pPr>
            <w:r>
              <w:t xml:space="preserve">Whole of </w:t>
            </w:r>
            <w:r w:rsidR="00B12271">
              <w:t xml:space="preserve">government </w:t>
            </w:r>
            <w:r>
              <w:t xml:space="preserve">partnership and membership agreements with </w:t>
            </w:r>
            <w:proofErr w:type="spellStart"/>
            <w:r>
              <w:t>Kinaway</w:t>
            </w:r>
            <w:proofErr w:type="spellEnd"/>
            <w:r>
              <w:t xml:space="preserve"> and Supply Nation, owned and managed by the Strategic Sourcing Procurement Policy and Reform </w:t>
            </w:r>
            <w:r w:rsidR="00394E6E">
              <w:t>T</w:t>
            </w:r>
            <w:r>
              <w:t>eam</w:t>
            </w:r>
            <w:r w:rsidR="0024624B">
              <w:t>.</w:t>
            </w:r>
          </w:p>
        </w:tc>
        <w:tc>
          <w:tcPr>
            <w:tcW w:w="1701" w:type="dxa"/>
            <w:hideMark/>
          </w:tcPr>
          <w:p w14:paraId="7D96B981" w14:textId="77777777" w:rsidR="003A4705" w:rsidRDefault="003A4705" w:rsidP="002115BC">
            <w:pPr>
              <w:pStyle w:val="Tabletext"/>
              <w:cnfStyle w:val="000000000000" w:firstRow="0" w:lastRow="0" w:firstColumn="0" w:lastColumn="0" w:oddVBand="0" w:evenVBand="0" w:oddHBand="0" w:evenHBand="0" w:firstRowFirstColumn="0" w:firstRowLastColumn="0" w:lastRowFirstColumn="0" w:lastRowLastColumn="0"/>
            </w:pPr>
            <w:r>
              <w:t>Outcomes</w:t>
            </w:r>
          </w:p>
        </w:tc>
        <w:tc>
          <w:tcPr>
            <w:tcW w:w="2409" w:type="dxa"/>
          </w:tcPr>
          <w:p w14:paraId="28A3BF2B" w14:textId="65FD2C1D" w:rsidR="003A4705" w:rsidRDefault="003A4705" w:rsidP="002115BC">
            <w:pPr>
              <w:pStyle w:val="Tabletext"/>
              <w:cnfStyle w:val="000000000000" w:firstRow="0" w:lastRow="0" w:firstColumn="0" w:lastColumn="0" w:oddVBand="0" w:evenVBand="0" w:oddHBand="0" w:evenHBand="0" w:firstRowFirstColumn="0" w:firstRowLastColumn="0" w:lastRowFirstColumn="0" w:lastRowLastColumn="0"/>
            </w:pPr>
            <w:r>
              <w:t xml:space="preserve">Formalise membership with Supply Nation in a </w:t>
            </w:r>
            <w:proofErr w:type="spellStart"/>
            <w:r>
              <w:t>WoVG</w:t>
            </w:r>
            <w:proofErr w:type="spellEnd"/>
            <w:r>
              <w:t xml:space="preserve"> agreement and continue partnership with </w:t>
            </w:r>
            <w:proofErr w:type="spellStart"/>
            <w:r>
              <w:t>Kinaway</w:t>
            </w:r>
            <w:proofErr w:type="spellEnd"/>
            <w:r w:rsidR="0024624B">
              <w:t>.</w:t>
            </w:r>
          </w:p>
        </w:tc>
      </w:tr>
      <w:tr w:rsidR="00B221A9" w14:paraId="112AF5B0" w14:textId="77777777" w:rsidTr="00B221A9">
        <w:tc>
          <w:tcPr>
            <w:cnfStyle w:val="001000000000" w:firstRow="0" w:lastRow="0" w:firstColumn="1" w:lastColumn="0" w:oddVBand="0" w:evenVBand="0" w:oddHBand="0" w:evenHBand="0" w:firstRowFirstColumn="0" w:firstRowLastColumn="0" w:lastRowFirstColumn="0" w:lastRowLastColumn="0"/>
            <w:tcW w:w="1640" w:type="dxa"/>
          </w:tcPr>
          <w:p w14:paraId="177888D9" w14:textId="278B9863" w:rsidR="003A4705" w:rsidRDefault="003A4705" w:rsidP="002115BC">
            <w:pPr>
              <w:pStyle w:val="Tabletext"/>
            </w:pPr>
            <w:r w:rsidRPr="000B0889">
              <w:t xml:space="preserve">Support progress towards </w:t>
            </w:r>
            <w:r w:rsidR="000B3E52">
              <w:t>one</w:t>
            </w:r>
            <w:r w:rsidR="000B3E52">
              <w:rPr>
                <w:rFonts w:ascii="Calibri" w:hAnsi="Calibri" w:cs="Calibri"/>
              </w:rPr>
              <w:t> </w:t>
            </w:r>
            <w:r w:rsidR="000B0889" w:rsidRPr="000B0889">
              <w:t>per</w:t>
            </w:r>
            <w:r w:rsidR="000B0889" w:rsidRPr="000B0889">
              <w:rPr>
                <w:rFonts w:ascii="Calibri" w:hAnsi="Calibri" w:cs="Calibri"/>
              </w:rPr>
              <w:t> </w:t>
            </w:r>
            <w:r w:rsidR="000B0889" w:rsidRPr="000B0889">
              <w:t>cent</w:t>
            </w:r>
            <w:r>
              <w:t xml:space="preserve"> procurement target</w:t>
            </w:r>
          </w:p>
        </w:tc>
        <w:tc>
          <w:tcPr>
            <w:tcW w:w="3322" w:type="dxa"/>
            <w:hideMark/>
          </w:tcPr>
          <w:p w14:paraId="0626BE0F" w14:textId="65C5E557" w:rsidR="003A4705" w:rsidRDefault="003A4705" w:rsidP="002115BC">
            <w:pPr>
              <w:pStyle w:val="Tabletext"/>
              <w:cnfStyle w:val="000000000000" w:firstRow="0" w:lastRow="0" w:firstColumn="0" w:lastColumn="0" w:oddVBand="0" w:evenVBand="0" w:oddHBand="0" w:evenHBand="0" w:firstRowFirstColumn="0" w:firstRowLastColumn="0" w:lastRowFirstColumn="0" w:lastRowLastColumn="0"/>
            </w:pPr>
            <w:r>
              <w:t>Recruitment of two dedicated DTF resources (VPS 5 and VPS</w:t>
            </w:r>
            <w:r w:rsidR="000B0889">
              <w:rPr>
                <w:rFonts w:ascii="Calibri" w:hAnsi="Calibri" w:cs="Calibri"/>
              </w:rPr>
              <w:t> </w:t>
            </w:r>
            <w:r>
              <w:t>6) to pursue the reform agenda</w:t>
            </w:r>
            <w:r w:rsidR="0024624B">
              <w:t>.</w:t>
            </w:r>
          </w:p>
        </w:tc>
        <w:tc>
          <w:tcPr>
            <w:tcW w:w="1701" w:type="dxa"/>
            <w:hideMark/>
          </w:tcPr>
          <w:p w14:paraId="1755F508" w14:textId="331FEA0D" w:rsidR="003A4705" w:rsidRDefault="003A4705" w:rsidP="002115BC">
            <w:pPr>
              <w:pStyle w:val="Tabletext"/>
              <w:cnfStyle w:val="000000000000" w:firstRow="0" w:lastRow="0" w:firstColumn="0" w:lastColumn="0" w:oddVBand="0" w:evenVBand="0" w:oddHBand="0" w:evenHBand="0" w:firstRowFirstColumn="0" w:firstRowLastColumn="0" w:lastRowFirstColumn="0" w:lastRowLastColumn="0"/>
            </w:pPr>
            <w:r>
              <w:t>People/</w:t>
            </w:r>
            <w:r w:rsidR="00B221A9">
              <w:t xml:space="preserve"> </w:t>
            </w:r>
            <w:r w:rsidR="000B0889">
              <w:t>outcomes</w:t>
            </w:r>
          </w:p>
        </w:tc>
        <w:tc>
          <w:tcPr>
            <w:tcW w:w="2409" w:type="dxa"/>
          </w:tcPr>
          <w:p w14:paraId="14A175A5" w14:textId="6014F96A" w:rsidR="003A4705" w:rsidRDefault="003A4705" w:rsidP="002115BC">
            <w:pPr>
              <w:pStyle w:val="Tabletext"/>
              <w:cnfStyle w:val="000000000000" w:firstRow="0" w:lastRow="0" w:firstColumn="0" w:lastColumn="0" w:oddVBand="0" w:evenVBand="0" w:oddHBand="0" w:evenHBand="0" w:firstRowFirstColumn="0" w:firstRowLastColumn="0" w:lastRowFirstColumn="0" w:lastRowLastColumn="0"/>
            </w:pPr>
            <w:r>
              <w:t>Commence employment</w:t>
            </w:r>
            <w:r w:rsidR="000B3E52">
              <w:t>.</w:t>
            </w:r>
          </w:p>
        </w:tc>
      </w:tr>
      <w:tr w:rsidR="00B221A9" w14:paraId="7F2F0FC0" w14:textId="77777777" w:rsidTr="00B221A9">
        <w:tc>
          <w:tcPr>
            <w:cnfStyle w:val="001000000000" w:firstRow="0" w:lastRow="0" w:firstColumn="1" w:lastColumn="0" w:oddVBand="0" w:evenVBand="0" w:oddHBand="0" w:evenHBand="0" w:firstRowFirstColumn="0" w:firstRowLastColumn="0" w:lastRowFirstColumn="0" w:lastRowLastColumn="0"/>
            <w:tcW w:w="1640" w:type="dxa"/>
          </w:tcPr>
          <w:p w14:paraId="38202400" w14:textId="11DBD479" w:rsidR="003A4705" w:rsidRDefault="003A4705" w:rsidP="002115BC">
            <w:pPr>
              <w:pStyle w:val="Tabletext"/>
            </w:pPr>
            <w:r w:rsidRPr="000B0889">
              <w:t xml:space="preserve">Support progress towards the </w:t>
            </w:r>
            <w:r w:rsidR="000B3E52">
              <w:t>one</w:t>
            </w:r>
            <w:r w:rsidR="000B3E52" w:rsidRPr="000B0889">
              <w:rPr>
                <w:rFonts w:ascii="Calibri" w:hAnsi="Calibri" w:cs="Calibri"/>
              </w:rPr>
              <w:t> </w:t>
            </w:r>
            <w:r w:rsidR="000B0889" w:rsidRPr="000B0889">
              <w:t>per</w:t>
            </w:r>
            <w:r w:rsidR="000B0889" w:rsidRPr="000B0889">
              <w:rPr>
                <w:rFonts w:ascii="Calibri" w:hAnsi="Calibri" w:cs="Calibri"/>
              </w:rPr>
              <w:t> </w:t>
            </w:r>
            <w:r w:rsidR="000B0889" w:rsidRPr="000B0889">
              <w:t>cent</w:t>
            </w:r>
            <w:r>
              <w:t xml:space="preserve"> procurement ta</w:t>
            </w:r>
            <w:r w:rsidR="0024624B">
              <w:t>rget</w:t>
            </w:r>
          </w:p>
        </w:tc>
        <w:tc>
          <w:tcPr>
            <w:tcW w:w="3322" w:type="dxa"/>
            <w:hideMark/>
          </w:tcPr>
          <w:p w14:paraId="4411DD48" w14:textId="7E5E83C2" w:rsidR="003A4705" w:rsidRDefault="003A4705" w:rsidP="002115BC">
            <w:pPr>
              <w:pStyle w:val="Tabletext"/>
              <w:cnfStyle w:val="000000000000" w:firstRow="0" w:lastRow="0" w:firstColumn="0" w:lastColumn="0" w:oddVBand="0" w:evenVBand="0" w:oddHBand="0" w:evenHBand="0" w:firstRowFirstColumn="0" w:firstRowLastColumn="0" w:lastRowFirstColumn="0" w:lastRowLastColumn="0"/>
            </w:pPr>
            <w:r>
              <w:t>Work to further understand the capacity of the Aboriginal business sector to respond to government procurement opportunities</w:t>
            </w:r>
            <w:r w:rsidR="0024624B">
              <w:t>.</w:t>
            </w:r>
          </w:p>
        </w:tc>
        <w:tc>
          <w:tcPr>
            <w:tcW w:w="1701" w:type="dxa"/>
            <w:hideMark/>
          </w:tcPr>
          <w:p w14:paraId="7C62DF5B" w14:textId="77777777" w:rsidR="003A4705" w:rsidRDefault="003A4705" w:rsidP="002115BC">
            <w:pPr>
              <w:pStyle w:val="Tabletext"/>
              <w:cnfStyle w:val="000000000000" w:firstRow="0" w:lastRow="0" w:firstColumn="0" w:lastColumn="0" w:oddVBand="0" w:evenVBand="0" w:oddHBand="0" w:evenHBand="0" w:firstRowFirstColumn="0" w:firstRowLastColumn="0" w:lastRowFirstColumn="0" w:lastRowLastColumn="0"/>
            </w:pPr>
            <w:r>
              <w:t>Outcomes</w:t>
            </w:r>
          </w:p>
        </w:tc>
        <w:tc>
          <w:tcPr>
            <w:tcW w:w="2409" w:type="dxa"/>
          </w:tcPr>
          <w:p w14:paraId="6FAA9BFC" w14:textId="32957B65" w:rsidR="003A4705" w:rsidRDefault="003A4705" w:rsidP="002115BC">
            <w:pPr>
              <w:pStyle w:val="Tabletext"/>
              <w:cnfStyle w:val="000000000000" w:firstRow="0" w:lastRow="0" w:firstColumn="0" w:lastColumn="0" w:oddVBand="0" w:evenVBand="0" w:oddHBand="0" w:evenHBand="0" w:firstRowFirstColumn="0" w:firstRowLastColumn="0" w:lastRowFirstColumn="0" w:lastRowLastColumn="0"/>
            </w:pPr>
            <w:r>
              <w:t xml:space="preserve">DTF to lead </w:t>
            </w:r>
            <w:r w:rsidR="000B0889">
              <w:t>six-</w:t>
            </w:r>
            <w:r>
              <w:t xml:space="preserve">monthly reporting to the Integrity and Corporate </w:t>
            </w:r>
            <w:r w:rsidR="006658CB">
              <w:t>Reform Subcommittee</w:t>
            </w:r>
            <w:r>
              <w:t xml:space="preserve">. Annual report against progress to be published in </w:t>
            </w:r>
            <w:r w:rsidRPr="00AB71D8">
              <w:rPr>
                <w:i/>
                <w:iCs/>
              </w:rPr>
              <w:t>Victorian Government Aboriginal Affairs Report</w:t>
            </w:r>
            <w:r w:rsidR="0024624B">
              <w:rPr>
                <w:i/>
                <w:iCs/>
              </w:rPr>
              <w:t>.</w:t>
            </w:r>
          </w:p>
        </w:tc>
      </w:tr>
      <w:tr w:rsidR="00B221A9" w14:paraId="04C0A4C0" w14:textId="77777777" w:rsidTr="003232A2">
        <w:tc>
          <w:tcPr>
            <w:cnfStyle w:val="001000000000" w:firstRow="0" w:lastRow="0" w:firstColumn="1" w:lastColumn="0" w:oddVBand="0" w:evenVBand="0" w:oddHBand="0" w:evenHBand="0" w:firstRowFirstColumn="0" w:firstRowLastColumn="0" w:lastRowFirstColumn="0" w:lastRowLastColumn="0"/>
            <w:tcW w:w="1640" w:type="dxa"/>
          </w:tcPr>
          <w:p w14:paraId="4B7C26AB" w14:textId="04713B7E" w:rsidR="003A4705" w:rsidRPr="000B0889" w:rsidRDefault="003A4705" w:rsidP="000B0889">
            <w:pPr>
              <w:pStyle w:val="Tabletext"/>
            </w:pPr>
            <w:r w:rsidRPr="000B0889">
              <w:lastRenderedPageBreak/>
              <w:t xml:space="preserve">Support progress towards the </w:t>
            </w:r>
            <w:r w:rsidR="000B3E52">
              <w:t>one</w:t>
            </w:r>
            <w:r w:rsidR="000B3E52" w:rsidRPr="000B0889">
              <w:rPr>
                <w:rFonts w:ascii="Calibri" w:hAnsi="Calibri" w:cs="Calibri"/>
              </w:rPr>
              <w:t> </w:t>
            </w:r>
            <w:r w:rsidR="000B0889" w:rsidRPr="000B0889">
              <w:t>per</w:t>
            </w:r>
            <w:r w:rsidR="000B0889" w:rsidRPr="000B0889">
              <w:rPr>
                <w:rFonts w:ascii="Calibri" w:hAnsi="Calibri" w:cs="Calibri"/>
              </w:rPr>
              <w:t> </w:t>
            </w:r>
            <w:r w:rsidR="000B0889" w:rsidRPr="000B0889">
              <w:t>cent</w:t>
            </w:r>
            <w:r w:rsidRPr="000B0889">
              <w:t xml:space="preserve"> procurement target</w:t>
            </w:r>
          </w:p>
        </w:tc>
        <w:tc>
          <w:tcPr>
            <w:tcW w:w="3322" w:type="dxa"/>
            <w:hideMark/>
          </w:tcPr>
          <w:p w14:paraId="74E459F1" w14:textId="5F1ADB98" w:rsidR="003A4705" w:rsidRDefault="003A4705" w:rsidP="002115BC">
            <w:pPr>
              <w:pStyle w:val="Tabletext"/>
              <w:cnfStyle w:val="000000000000" w:firstRow="0" w:lastRow="0" w:firstColumn="0" w:lastColumn="0" w:oddVBand="0" w:evenVBand="0" w:oddHBand="0" w:evenHBand="0" w:firstRowFirstColumn="0" w:firstRowLastColumn="0" w:lastRowFirstColumn="0" w:lastRowLastColumn="0"/>
            </w:pPr>
            <w:r>
              <w:t xml:space="preserve">Consideration of other policy interventions designed to ‘even the playing field’ for Aboriginal businesses, such as </w:t>
            </w:r>
            <w:proofErr w:type="gramStart"/>
            <w:r>
              <w:t>set-asides</w:t>
            </w:r>
            <w:proofErr w:type="gramEnd"/>
            <w:r>
              <w:t xml:space="preserve"> and other strategies, as found in jurisdictions where Aboriginal procurement targets are progressing well (e.g. C</w:t>
            </w:r>
            <w:r w:rsidR="00394E6E">
              <w:t>wl</w:t>
            </w:r>
            <w:r>
              <w:t>th).</w:t>
            </w:r>
          </w:p>
        </w:tc>
        <w:tc>
          <w:tcPr>
            <w:tcW w:w="1701" w:type="dxa"/>
            <w:hideMark/>
          </w:tcPr>
          <w:p w14:paraId="775B5AFF" w14:textId="77777777" w:rsidR="003A4705" w:rsidRDefault="003A4705" w:rsidP="002115BC">
            <w:pPr>
              <w:pStyle w:val="Tabletext"/>
              <w:cnfStyle w:val="000000000000" w:firstRow="0" w:lastRow="0" w:firstColumn="0" w:lastColumn="0" w:oddVBand="0" w:evenVBand="0" w:oddHBand="0" w:evenHBand="0" w:firstRowFirstColumn="0" w:firstRowLastColumn="0" w:lastRowFirstColumn="0" w:lastRowLastColumn="0"/>
            </w:pPr>
            <w:r>
              <w:t>Outcomes</w:t>
            </w:r>
          </w:p>
        </w:tc>
        <w:tc>
          <w:tcPr>
            <w:tcW w:w="2409" w:type="dxa"/>
          </w:tcPr>
          <w:p w14:paraId="662DC3E2" w14:textId="0E42EE13" w:rsidR="003A4705" w:rsidRDefault="003A4705" w:rsidP="002115BC">
            <w:pPr>
              <w:pStyle w:val="Tabletext"/>
              <w:cnfStyle w:val="000000000000" w:firstRow="0" w:lastRow="0" w:firstColumn="0" w:lastColumn="0" w:oddVBand="0" w:evenVBand="0" w:oddHBand="0" w:evenHBand="0" w:firstRowFirstColumn="0" w:firstRowLastColumn="0" w:lastRowFirstColumn="0" w:lastRowLastColumn="0"/>
            </w:pPr>
            <w:r>
              <w:t xml:space="preserve">Investigate State Purchase Contracts (SPCs) led by DTF to increase opportunities for </w:t>
            </w:r>
            <w:r w:rsidRPr="00C97684">
              <w:t>Aboriginal</w:t>
            </w:r>
            <w:r>
              <w:t xml:space="preserve"> businesses to be engaged under the SPCs</w:t>
            </w:r>
            <w:r w:rsidR="002115BC">
              <w:t xml:space="preserve">. </w:t>
            </w:r>
            <w:r>
              <w:t>Success will be measured by an increase in the number of Aboriginal businesses engaged under DTF</w:t>
            </w:r>
            <w:r w:rsidR="00B12271">
              <w:t>-</w:t>
            </w:r>
            <w:r>
              <w:t>led SPCs.</w:t>
            </w:r>
          </w:p>
        </w:tc>
      </w:tr>
    </w:tbl>
    <w:p w14:paraId="0CE7CD02" w14:textId="5D3526E3" w:rsidR="00654BD7" w:rsidRDefault="00654BD7" w:rsidP="00F5024F"/>
    <w:p w14:paraId="22D15657" w14:textId="6434D3F9" w:rsidR="006A3537" w:rsidRDefault="00815537">
      <w:r w:rsidRPr="00815537">
        <w:t>As a</w:t>
      </w:r>
      <w:r w:rsidR="000B3E52">
        <w:t>t</w:t>
      </w:r>
      <w:r w:rsidRPr="00815537">
        <w:t xml:space="preserve"> 1 </w:t>
      </w:r>
      <w:r>
        <w:t>May</w:t>
      </w:r>
      <w:r w:rsidRPr="00815537">
        <w:t xml:space="preserve"> 2020, DTF has recruited the </w:t>
      </w:r>
      <w:r>
        <w:t>two</w:t>
      </w:r>
      <w:r w:rsidRPr="00815537">
        <w:t xml:space="preserve"> dedicated resources to pursue the reform agenda and is working towards all the other actions in this workstream.</w:t>
      </w:r>
      <w:r w:rsidR="006A3537">
        <w:t xml:space="preserve"> </w:t>
      </w:r>
    </w:p>
    <w:p w14:paraId="753D4CE0" w14:textId="058BCF07" w:rsidR="00654BD7" w:rsidRDefault="003A4705">
      <w:pPr>
        <w:pStyle w:val="Heading2"/>
        <w:pageBreakBefore/>
      </w:pPr>
      <w:bookmarkStart w:id="92" w:name="_Hlk37246748"/>
      <w:bookmarkStart w:id="93" w:name="_Toc25053507"/>
      <w:bookmarkStart w:id="94" w:name="_Toc24707750"/>
      <w:bookmarkStart w:id="95" w:name="_Toc32238815"/>
      <w:bookmarkStart w:id="96" w:name="_Toc32240775"/>
      <w:bookmarkStart w:id="97" w:name="_Toc32240795"/>
      <w:bookmarkStart w:id="98" w:name="_Toc32490413"/>
      <w:bookmarkStart w:id="99" w:name="_Toc37246852"/>
      <w:bookmarkStart w:id="100" w:name="_Toc37254980"/>
      <w:bookmarkStart w:id="101" w:name="_Toc37255117"/>
      <w:bookmarkStart w:id="102" w:name="_Toc41653102"/>
      <w:r>
        <w:lastRenderedPageBreak/>
        <w:t xml:space="preserve">Reflecting self-determination in our </w:t>
      </w:r>
      <w:bookmarkEnd w:id="92"/>
      <w:r>
        <w:t>c</w:t>
      </w:r>
      <w:r w:rsidR="00654BD7">
        <w:t>ommunications</w:t>
      </w:r>
      <w:bookmarkEnd w:id="93"/>
      <w:bookmarkEnd w:id="94"/>
      <w:bookmarkEnd w:id="95"/>
      <w:bookmarkEnd w:id="96"/>
      <w:bookmarkEnd w:id="97"/>
      <w:bookmarkEnd w:id="98"/>
      <w:bookmarkEnd w:id="99"/>
      <w:bookmarkEnd w:id="100"/>
      <w:bookmarkEnd w:id="101"/>
      <w:bookmarkEnd w:id="102"/>
    </w:p>
    <w:tbl>
      <w:tblPr>
        <w:tblStyle w:val="DTFtexttable"/>
        <w:tblW w:w="9072" w:type="dxa"/>
        <w:tblInd w:w="0" w:type="dxa"/>
        <w:tblLayout w:type="fixed"/>
        <w:tblLook w:val="06A0" w:firstRow="1" w:lastRow="0" w:firstColumn="1" w:lastColumn="0" w:noHBand="1" w:noVBand="1"/>
      </w:tblPr>
      <w:tblGrid>
        <w:gridCol w:w="1985"/>
        <w:gridCol w:w="3573"/>
        <w:gridCol w:w="1693"/>
        <w:gridCol w:w="1821"/>
      </w:tblGrid>
      <w:tr w:rsidR="00DE5F14" w14:paraId="4A1BE78D" w14:textId="77777777" w:rsidTr="00DE5F1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85" w:type="dxa"/>
            <w:hideMark/>
          </w:tcPr>
          <w:p w14:paraId="7007AC3E" w14:textId="77777777" w:rsidR="00FA4FE7" w:rsidRDefault="00FA4FE7" w:rsidP="00DE5F14">
            <w:pPr>
              <w:pStyle w:val="Tableheader"/>
              <w:keepNext/>
              <w:spacing w:beforeAutospacing="0" w:afterAutospacing="0"/>
            </w:pPr>
            <w:r>
              <w:t>Actions</w:t>
            </w:r>
          </w:p>
        </w:tc>
        <w:tc>
          <w:tcPr>
            <w:tcW w:w="3573" w:type="dxa"/>
            <w:hideMark/>
          </w:tcPr>
          <w:p w14:paraId="7167C1A1" w14:textId="77777777" w:rsidR="00FA4FE7" w:rsidRDefault="00FA4FE7" w:rsidP="00DE5F14">
            <w:pPr>
              <w:pStyle w:val="Tableheader"/>
              <w:keepNext/>
              <w:spacing w:beforeAutospacing="0" w:afterAutospacing="0"/>
              <w:cnfStyle w:val="100000000000" w:firstRow="1" w:lastRow="0" w:firstColumn="0" w:lastColumn="0" w:oddVBand="0" w:evenVBand="0" w:oddHBand="0" w:evenHBand="0" w:firstRowFirstColumn="0" w:firstRowLastColumn="0" w:lastRowFirstColumn="0" w:lastRowLastColumn="0"/>
            </w:pPr>
            <w:r>
              <w:t>Summary</w:t>
            </w:r>
          </w:p>
        </w:tc>
        <w:tc>
          <w:tcPr>
            <w:tcW w:w="1693" w:type="dxa"/>
            <w:hideMark/>
          </w:tcPr>
          <w:p w14:paraId="347C281D" w14:textId="77777777" w:rsidR="00FA4FE7" w:rsidRDefault="00FA4FE7" w:rsidP="00DE5F14">
            <w:pPr>
              <w:pStyle w:val="Tableheader"/>
              <w:keepNext/>
              <w:spacing w:beforeAutospacing="0" w:afterAutospacing="0"/>
              <w:cnfStyle w:val="100000000000" w:firstRow="1" w:lastRow="0" w:firstColumn="0" w:lastColumn="0" w:oddVBand="0" w:evenVBand="0" w:oddHBand="0" w:evenHBand="0" w:firstRowFirstColumn="0" w:firstRowLastColumn="0" w:lastRowFirstColumn="0" w:lastRowLastColumn="0"/>
            </w:pPr>
            <w:r>
              <w:t>Link to SDRF reform domains</w:t>
            </w:r>
          </w:p>
        </w:tc>
        <w:tc>
          <w:tcPr>
            <w:tcW w:w="1821" w:type="dxa"/>
            <w:hideMark/>
          </w:tcPr>
          <w:p w14:paraId="31C76935" w14:textId="02A922D9" w:rsidR="00FA4FE7" w:rsidRDefault="00FA4FE7" w:rsidP="00DE5F14">
            <w:pPr>
              <w:pStyle w:val="Tableheader"/>
              <w:keepNext/>
              <w:spacing w:beforeAutospacing="0" w:afterAutospacing="0"/>
              <w:cnfStyle w:val="100000000000" w:firstRow="1" w:lastRow="0" w:firstColumn="0" w:lastColumn="0" w:oddVBand="0" w:evenVBand="0" w:oddHBand="0" w:evenHBand="0" w:firstRowFirstColumn="0" w:firstRowLastColumn="0" w:lastRowFirstColumn="0" w:lastRowLastColumn="0"/>
            </w:pPr>
            <w:r>
              <w:t>Success measures</w:t>
            </w:r>
          </w:p>
        </w:tc>
      </w:tr>
      <w:tr w:rsidR="00DE5F14" w14:paraId="290062A3" w14:textId="77777777" w:rsidTr="00DE5F14">
        <w:tc>
          <w:tcPr>
            <w:cnfStyle w:val="001000000000" w:firstRow="0" w:lastRow="0" w:firstColumn="1" w:lastColumn="0" w:oddVBand="0" w:evenVBand="0" w:oddHBand="0" w:evenHBand="0" w:firstRowFirstColumn="0" w:firstRowLastColumn="0" w:lastRowFirstColumn="0" w:lastRowLastColumn="0"/>
            <w:tcW w:w="1985" w:type="dxa"/>
          </w:tcPr>
          <w:p w14:paraId="1B029922" w14:textId="2E1E3FD0" w:rsidR="00CC34B4" w:rsidRDefault="00CC34B4" w:rsidP="000B0889">
            <w:pPr>
              <w:pStyle w:val="Tabletext"/>
            </w:pPr>
            <w:r>
              <w:t>Develop relevant case studies</w:t>
            </w:r>
          </w:p>
        </w:tc>
        <w:tc>
          <w:tcPr>
            <w:tcW w:w="3573" w:type="dxa"/>
          </w:tcPr>
          <w:p w14:paraId="4DB973A2" w14:textId="585C315C" w:rsidR="00CC34B4" w:rsidRDefault="00CC34B4" w:rsidP="000B0889">
            <w:pPr>
              <w:pStyle w:val="Tabletext"/>
              <w:cnfStyle w:val="000000000000" w:firstRow="0" w:lastRow="0" w:firstColumn="0" w:lastColumn="0" w:oddVBand="0" w:evenVBand="0" w:oddHBand="0" w:evenHBand="0" w:firstRowFirstColumn="0" w:firstRowLastColumn="0" w:lastRowFirstColumn="0" w:lastRowLastColumn="0"/>
            </w:pPr>
            <w:r>
              <w:rPr>
                <w:szCs w:val="17"/>
              </w:rPr>
              <w:t xml:space="preserve">Produce case studies reflecting DTF’s efforts preparing for and progressing </w:t>
            </w:r>
            <w:r w:rsidR="006658CB">
              <w:rPr>
                <w:szCs w:val="17"/>
              </w:rPr>
              <w:t>se</w:t>
            </w:r>
            <w:r>
              <w:rPr>
                <w:szCs w:val="17"/>
              </w:rPr>
              <w:t>lf-determination, supporting inclusivity and better outcomes for Aboriginal people through DTF’s work.</w:t>
            </w:r>
          </w:p>
        </w:tc>
        <w:tc>
          <w:tcPr>
            <w:tcW w:w="1693" w:type="dxa"/>
          </w:tcPr>
          <w:p w14:paraId="5E95F63A" w14:textId="0C4189F8" w:rsidR="00CC34B4" w:rsidRDefault="00CC34B4" w:rsidP="000B0889">
            <w:pPr>
              <w:pStyle w:val="Tabletext"/>
              <w:cnfStyle w:val="000000000000" w:firstRow="0" w:lastRow="0" w:firstColumn="0" w:lastColumn="0" w:oddVBand="0" w:evenVBand="0" w:oddHBand="0" w:evenHBand="0" w:firstRowFirstColumn="0" w:firstRowLastColumn="0" w:lastRowFirstColumn="0" w:lastRowLastColumn="0"/>
            </w:pPr>
            <w:r>
              <w:rPr>
                <w:szCs w:val="17"/>
              </w:rPr>
              <w:t>People</w:t>
            </w:r>
            <w:r w:rsidR="00F55276">
              <w:rPr>
                <w:szCs w:val="17"/>
              </w:rPr>
              <w:t>/</w:t>
            </w:r>
            <w:r w:rsidR="00DE5F14">
              <w:rPr>
                <w:szCs w:val="17"/>
              </w:rPr>
              <w:t xml:space="preserve"> </w:t>
            </w:r>
            <w:r>
              <w:rPr>
                <w:szCs w:val="17"/>
              </w:rPr>
              <w:t>outcomes</w:t>
            </w:r>
            <w:r w:rsidR="00F55276">
              <w:rPr>
                <w:szCs w:val="17"/>
              </w:rPr>
              <w:t>/</w:t>
            </w:r>
            <w:r w:rsidR="00DE5F14">
              <w:rPr>
                <w:szCs w:val="17"/>
              </w:rPr>
              <w:t xml:space="preserve"> </w:t>
            </w:r>
            <w:r>
              <w:rPr>
                <w:szCs w:val="17"/>
              </w:rPr>
              <w:t>systems</w:t>
            </w:r>
            <w:r w:rsidR="00F55276">
              <w:rPr>
                <w:szCs w:val="17"/>
              </w:rPr>
              <w:t>/</w:t>
            </w:r>
            <w:r w:rsidR="00B221A9">
              <w:rPr>
                <w:szCs w:val="17"/>
              </w:rPr>
              <w:t xml:space="preserve"> </w:t>
            </w:r>
            <w:r>
              <w:rPr>
                <w:szCs w:val="17"/>
              </w:rPr>
              <w:t>accountability</w:t>
            </w:r>
          </w:p>
        </w:tc>
        <w:tc>
          <w:tcPr>
            <w:tcW w:w="1821" w:type="dxa"/>
          </w:tcPr>
          <w:p w14:paraId="3A13E9E2" w14:textId="3DC25F43" w:rsidR="00CC34B4" w:rsidRPr="00CC34B4" w:rsidRDefault="00CC34B4" w:rsidP="000B0889">
            <w:pPr>
              <w:pStyle w:val="Tabletext"/>
              <w:cnfStyle w:val="000000000000" w:firstRow="0" w:lastRow="0" w:firstColumn="0" w:lastColumn="0" w:oddVBand="0" w:evenVBand="0" w:oddHBand="0" w:evenHBand="0" w:firstRowFirstColumn="0" w:firstRowLastColumn="0" w:lastRowFirstColumn="0" w:lastRowLastColumn="0"/>
              <w:rPr>
                <w:szCs w:val="18"/>
              </w:rPr>
            </w:pPr>
            <w:r w:rsidRPr="00CC34B4">
              <w:rPr>
                <w:szCs w:val="18"/>
              </w:rPr>
              <w:t>Prepare case studies against each reform domain.</w:t>
            </w:r>
          </w:p>
        </w:tc>
      </w:tr>
      <w:tr w:rsidR="00DE5F14" w14:paraId="0861E9FC" w14:textId="77777777" w:rsidTr="00DE5F14">
        <w:tc>
          <w:tcPr>
            <w:cnfStyle w:val="001000000000" w:firstRow="0" w:lastRow="0" w:firstColumn="1" w:lastColumn="0" w:oddVBand="0" w:evenVBand="0" w:oddHBand="0" w:evenHBand="0" w:firstRowFirstColumn="0" w:firstRowLastColumn="0" w:lastRowFirstColumn="0" w:lastRowLastColumn="0"/>
            <w:tcW w:w="1985" w:type="dxa"/>
            <w:hideMark/>
          </w:tcPr>
          <w:p w14:paraId="2B8EE923" w14:textId="77777777" w:rsidR="00CC34B4" w:rsidRDefault="00CC34B4" w:rsidP="000B0889">
            <w:pPr>
              <w:pStyle w:val="Tabletext"/>
            </w:pPr>
            <w:r>
              <w:t xml:space="preserve">Review DTF internal policies </w:t>
            </w:r>
          </w:p>
        </w:tc>
        <w:tc>
          <w:tcPr>
            <w:tcW w:w="3573" w:type="dxa"/>
            <w:hideMark/>
          </w:tcPr>
          <w:p w14:paraId="28DB68FC" w14:textId="63738DE2" w:rsidR="00CC34B4" w:rsidRPr="00CC34B4" w:rsidRDefault="00CC34B4" w:rsidP="000B0889">
            <w:pPr>
              <w:pStyle w:val="Tabletext"/>
              <w:cnfStyle w:val="000000000000" w:firstRow="0" w:lastRow="0" w:firstColumn="0" w:lastColumn="0" w:oddVBand="0" w:evenVBand="0" w:oddHBand="0" w:evenHBand="0" w:firstRowFirstColumn="0" w:firstRowLastColumn="0" w:lastRowFirstColumn="0" w:lastRowLastColumn="0"/>
            </w:pPr>
            <w:r>
              <w:t xml:space="preserve">Review DTF internal policies and publications to ensure these reflect DTF’s commitment to self-determination, including DTF’s Corporate Plan and DTF </w:t>
            </w:r>
            <w:r w:rsidR="00F55276">
              <w:t>I</w:t>
            </w:r>
            <w:r>
              <w:t>ntranet resources.</w:t>
            </w:r>
          </w:p>
        </w:tc>
        <w:tc>
          <w:tcPr>
            <w:tcW w:w="1693" w:type="dxa"/>
            <w:hideMark/>
          </w:tcPr>
          <w:p w14:paraId="04574625" w14:textId="053E453C" w:rsidR="00CC34B4" w:rsidRDefault="00CC34B4" w:rsidP="000B0889">
            <w:pPr>
              <w:pStyle w:val="Tabletext"/>
              <w:cnfStyle w:val="000000000000" w:firstRow="0" w:lastRow="0" w:firstColumn="0" w:lastColumn="0" w:oddVBand="0" w:evenVBand="0" w:oddHBand="0" w:evenHBand="0" w:firstRowFirstColumn="0" w:firstRowLastColumn="0" w:lastRowFirstColumn="0" w:lastRowLastColumn="0"/>
              <w:rPr>
                <w:sz w:val="17"/>
              </w:rPr>
            </w:pPr>
            <w:r>
              <w:t>Systems</w:t>
            </w:r>
            <w:r w:rsidR="00F55276">
              <w:t>/</w:t>
            </w:r>
            <w:r w:rsidR="00B221A9">
              <w:t xml:space="preserve"> </w:t>
            </w:r>
            <w:r>
              <w:t>accountability</w:t>
            </w:r>
          </w:p>
        </w:tc>
        <w:tc>
          <w:tcPr>
            <w:tcW w:w="1821" w:type="dxa"/>
          </w:tcPr>
          <w:p w14:paraId="3777C233" w14:textId="184F0A44" w:rsidR="00CC34B4" w:rsidRPr="00CC34B4" w:rsidRDefault="00CC34B4" w:rsidP="000B0889">
            <w:pPr>
              <w:pStyle w:val="Tabletext"/>
              <w:cnfStyle w:val="000000000000" w:firstRow="0" w:lastRow="0" w:firstColumn="0" w:lastColumn="0" w:oddVBand="0" w:evenVBand="0" w:oddHBand="0" w:evenHBand="0" w:firstRowFirstColumn="0" w:firstRowLastColumn="0" w:lastRowFirstColumn="0" w:lastRowLastColumn="0"/>
              <w:rPr>
                <w:rFonts w:eastAsiaTheme="minorEastAsia"/>
                <w:szCs w:val="18"/>
              </w:rPr>
            </w:pPr>
            <w:r w:rsidRPr="00CC34B4">
              <w:rPr>
                <w:szCs w:val="18"/>
              </w:rPr>
              <w:t xml:space="preserve">Review DTF’s </w:t>
            </w:r>
            <w:r w:rsidR="00394E6E">
              <w:rPr>
                <w:szCs w:val="18"/>
              </w:rPr>
              <w:t>C</w:t>
            </w:r>
            <w:r w:rsidR="00394E6E" w:rsidRPr="00CC34B4">
              <w:rPr>
                <w:szCs w:val="18"/>
              </w:rPr>
              <w:t xml:space="preserve">orporate </w:t>
            </w:r>
            <w:r w:rsidR="00394E6E">
              <w:rPr>
                <w:szCs w:val="18"/>
              </w:rPr>
              <w:t>P</w:t>
            </w:r>
            <w:r w:rsidR="00394E6E" w:rsidRPr="00CC34B4">
              <w:rPr>
                <w:szCs w:val="18"/>
              </w:rPr>
              <w:t>lan</w:t>
            </w:r>
            <w:r w:rsidRPr="00CC34B4">
              <w:rPr>
                <w:szCs w:val="18"/>
              </w:rPr>
              <w:t>,</w:t>
            </w:r>
            <w:r w:rsidR="001F14DF">
              <w:rPr>
                <w:szCs w:val="18"/>
              </w:rPr>
              <w:t xml:space="preserve"> and</w:t>
            </w:r>
            <w:r w:rsidRPr="00CC34B4">
              <w:rPr>
                <w:szCs w:val="18"/>
              </w:rPr>
              <w:t xml:space="preserve"> the Aboriginal matters at DTF </w:t>
            </w:r>
            <w:r w:rsidR="001F14DF">
              <w:rPr>
                <w:szCs w:val="18"/>
              </w:rPr>
              <w:t>I</w:t>
            </w:r>
            <w:r w:rsidRPr="00CC34B4">
              <w:rPr>
                <w:szCs w:val="18"/>
              </w:rPr>
              <w:t>ntranet page.</w:t>
            </w:r>
          </w:p>
        </w:tc>
      </w:tr>
      <w:tr w:rsidR="00DE5F14" w14:paraId="1F6EA128" w14:textId="77777777" w:rsidTr="00DE5F14">
        <w:tc>
          <w:tcPr>
            <w:cnfStyle w:val="001000000000" w:firstRow="0" w:lastRow="0" w:firstColumn="1" w:lastColumn="0" w:oddVBand="0" w:evenVBand="0" w:oddHBand="0" w:evenHBand="0" w:firstRowFirstColumn="0" w:firstRowLastColumn="0" w:lastRowFirstColumn="0" w:lastRowLastColumn="0"/>
            <w:tcW w:w="1985" w:type="dxa"/>
            <w:hideMark/>
          </w:tcPr>
          <w:p w14:paraId="2F5A18A7" w14:textId="572F89E3" w:rsidR="00CC34B4" w:rsidRDefault="00CC34B4" w:rsidP="000B0889">
            <w:pPr>
              <w:pStyle w:val="Tabletext"/>
            </w:pPr>
            <w:r>
              <w:t>Review DTF’s external</w:t>
            </w:r>
            <w:r>
              <w:rPr>
                <w:rFonts w:ascii="Calibri" w:hAnsi="Calibri" w:cs="Calibri"/>
              </w:rPr>
              <w:t> </w:t>
            </w:r>
            <w:r>
              <w:t>policies</w:t>
            </w:r>
          </w:p>
        </w:tc>
        <w:tc>
          <w:tcPr>
            <w:tcW w:w="3573" w:type="dxa"/>
            <w:hideMark/>
          </w:tcPr>
          <w:p w14:paraId="2E7089AC" w14:textId="77777777" w:rsidR="00CC34B4" w:rsidRDefault="00CC34B4" w:rsidP="000B0889">
            <w:pPr>
              <w:pStyle w:val="Tabletext"/>
              <w:cnfStyle w:val="000000000000" w:firstRow="0" w:lastRow="0" w:firstColumn="0" w:lastColumn="0" w:oddVBand="0" w:evenVBand="0" w:oddHBand="0" w:evenHBand="0" w:firstRowFirstColumn="0" w:firstRowLastColumn="0" w:lastRowFirstColumn="0" w:lastRowLastColumn="0"/>
              <w:rPr>
                <w:sz w:val="17"/>
              </w:rPr>
            </w:pPr>
            <w:r>
              <w:t>Review DTF’s external policies, publications and communications and recommend changes to ensure these reflect DTF’s commitment to self-determination, including:</w:t>
            </w:r>
          </w:p>
          <w:p w14:paraId="2E5E5E82" w14:textId="4F1C9A36" w:rsidR="00CC34B4" w:rsidRDefault="00CC34B4" w:rsidP="000B0889">
            <w:pPr>
              <w:pStyle w:val="Tablebullet"/>
              <w:cnfStyle w:val="000000000000" w:firstRow="0" w:lastRow="0" w:firstColumn="0" w:lastColumn="0" w:oddVBand="0" w:evenVBand="0" w:oddHBand="0" w:evenHBand="0" w:firstRowFirstColumn="0" w:firstRowLastColumn="0" w:lastRowFirstColumn="0" w:lastRowLastColumn="0"/>
            </w:pPr>
            <w:r>
              <w:t>DTF’s website;</w:t>
            </w:r>
          </w:p>
          <w:p w14:paraId="755C5E97" w14:textId="6ACAA0AD" w:rsidR="00CC34B4" w:rsidRDefault="00CC34B4" w:rsidP="000B0889">
            <w:pPr>
              <w:pStyle w:val="Tablebullet"/>
              <w:cnfStyle w:val="000000000000" w:firstRow="0" w:lastRow="0" w:firstColumn="0" w:lastColumn="0" w:oddVBand="0" w:evenVBand="0" w:oddHBand="0" w:evenHBand="0" w:firstRowFirstColumn="0" w:firstRowLastColumn="0" w:lastRowFirstColumn="0" w:lastRowLastColumn="0"/>
            </w:pPr>
            <w:r>
              <w:t xml:space="preserve">Invest Victoria’s and </w:t>
            </w:r>
            <w:r w:rsidR="00394E6E">
              <w:t>the Office of Projects Victoria’s (</w:t>
            </w:r>
            <w:r>
              <w:t>OPV</w:t>
            </w:r>
            <w:r w:rsidR="00394E6E">
              <w:t>)</w:t>
            </w:r>
            <w:r>
              <w:t xml:space="preserve"> website; and</w:t>
            </w:r>
          </w:p>
          <w:p w14:paraId="38768BEC" w14:textId="1754D8BF" w:rsidR="00CC34B4" w:rsidRDefault="00CC34B4" w:rsidP="000B0889">
            <w:pPr>
              <w:pStyle w:val="Tablebullet"/>
              <w:cnfStyle w:val="000000000000" w:firstRow="0" w:lastRow="0" w:firstColumn="0" w:lastColumn="0" w:oddVBand="0" w:evenVBand="0" w:oddHBand="0" w:evenHBand="0" w:firstRowFirstColumn="0" w:firstRowLastColumn="0" w:lastRowFirstColumn="0" w:lastRowLastColumn="0"/>
            </w:pPr>
            <w:r>
              <w:t>DTF’s Annual Report.</w:t>
            </w:r>
          </w:p>
        </w:tc>
        <w:tc>
          <w:tcPr>
            <w:tcW w:w="1693" w:type="dxa"/>
            <w:hideMark/>
          </w:tcPr>
          <w:p w14:paraId="36E29DB3" w14:textId="77777777" w:rsidR="00CC34B4" w:rsidRDefault="00CC34B4" w:rsidP="000B0889">
            <w:pPr>
              <w:pStyle w:val="Tabletext"/>
              <w:cnfStyle w:val="000000000000" w:firstRow="0" w:lastRow="0" w:firstColumn="0" w:lastColumn="0" w:oddVBand="0" w:evenVBand="0" w:oddHBand="0" w:evenHBand="0" w:firstRowFirstColumn="0" w:firstRowLastColumn="0" w:lastRowFirstColumn="0" w:lastRowLastColumn="0"/>
            </w:pPr>
            <w:r>
              <w:t>Accountability</w:t>
            </w:r>
          </w:p>
        </w:tc>
        <w:tc>
          <w:tcPr>
            <w:tcW w:w="1821" w:type="dxa"/>
          </w:tcPr>
          <w:p w14:paraId="61FC1997" w14:textId="0AF1B42C" w:rsidR="00CC34B4" w:rsidRPr="00CC34B4" w:rsidRDefault="00CC34B4" w:rsidP="000B0889">
            <w:pPr>
              <w:pStyle w:val="Tabletext"/>
              <w:cnfStyle w:val="000000000000" w:firstRow="0" w:lastRow="0" w:firstColumn="0" w:lastColumn="0" w:oddVBand="0" w:evenVBand="0" w:oddHBand="0" w:evenHBand="0" w:firstRowFirstColumn="0" w:firstRowLastColumn="0" w:lastRowFirstColumn="0" w:lastRowLastColumn="0"/>
              <w:rPr>
                <w:rFonts w:eastAsiaTheme="minorEastAsia"/>
                <w:szCs w:val="18"/>
              </w:rPr>
            </w:pPr>
            <w:r w:rsidRPr="00CC34B4">
              <w:rPr>
                <w:szCs w:val="18"/>
              </w:rPr>
              <w:t>Review DTF’s, Invest Victoria’s and OPV’s website and DTF’s annual reports</w:t>
            </w:r>
            <w:r w:rsidR="0024624B">
              <w:rPr>
                <w:szCs w:val="18"/>
              </w:rPr>
              <w:t>.</w:t>
            </w:r>
          </w:p>
        </w:tc>
      </w:tr>
      <w:tr w:rsidR="00DE5F14" w14:paraId="3C0D0014" w14:textId="77777777" w:rsidTr="00DE5F14">
        <w:tc>
          <w:tcPr>
            <w:cnfStyle w:val="001000000000" w:firstRow="0" w:lastRow="0" w:firstColumn="1" w:lastColumn="0" w:oddVBand="0" w:evenVBand="0" w:oddHBand="0" w:evenHBand="0" w:firstRowFirstColumn="0" w:firstRowLastColumn="0" w:lastRowFirstColumn="0" w:lastRowLastColumn="0"/>
            <w:tcW w:w="1985" w:type="dxa"/>
            <w:hideMark/>
          </w:tcPr>
          <w:p w14:paraId="72293333" w14:textId="77777777" w:rsidR="00CC34B4" w:rsidRDefault="00CC34B4" w:rsidP="000B0889">
            <w:pPr>
              <w:pStyle w:val="Tabletext"/>
              <w:rPr>
                <w:sz w:val="17"/>
              </w:rPr>
            </w:pPr>
            <w:r>
              <w:t>Explore what other departments are doing to publicly communicate their commitment to self-determination</w:t>
            </w:r>
          </w:p>
        </w:tc>
        <w:tc>
          <w:tcPr>
            <w:tcW w:w="3573" w:type="dxa"/>
            <w:hideMark/>
          </w:tcPr>
          <w:p w14:paraId="319E2A28" w14:textId="1EBBFBC0" w:rsidR="00CC34B4" w:rsidRDefault="00CC34B4" w:rsidP="000B0889">
            <w:pPr>
              <w:pStyle w:val="Tabletext"/>
              <w:cnfStyle w:val="000000000000" w:firstRow="0" w:lastRow="0" w:firstColumn="0" w:lastColumn="0" w:oddVBand="0" w:evenVBand="0" w:oddHBand="0" w:evenHBand="0" w:firstRowFirstColumn="0" w:firstRowLastColumn="0" w:lastRowFirstColumn="0" w:lastRowLastColumn="0"/>
            </w:pPr>
            <w:r>
              <w:t>Explore opportunities to publicly communicate DTF</w:t>
            </w:r>
            <w:r w:rsidR="00B12271">
              <w:t>’</w:t>
            </w:r>
            <w:r>
              <w:t>s commitment to self-determination as undertaken by other departments</w:t>
            </w:r>
            <w:r w:rsidR="00B12271">
              <w:t>,</w:t>
            </w:r>
            <w:r>
              <w:t xml:space="preserve"> for example:</w:t>
            </w:r>
          </w:p>
          <w:p w14:paraId="4D1201BC" w14:textId="7D7CE3FC" w:rsidR="00CC34B4" w:rsidRDefault="00CC34B4" w:rsidP="000B0889">
            <w:pPr>
              <w:pStyle w:val="Tablebullet"/>
              <w:cnfStyle w:val="000000000000" w:firstRow="0" w:lastRow="0" w:firstColumn="0" w:lastColumn="0" w:oddVBand="0" w:evenVBand="0" w:oddHBand="0" w:evenHBand="0" w:firstRowFirstColumn="0" w:firstRowLastColumn="0" w:lastRowFirstColumn="0" w:lastRowLastColumn="0"/>
            </w:pPr>
            <w:r>
              <w:t xml:space="preserve">DHHS </w:t>
            </w: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Framework has a specific strategic direction to increase Aboriginal involvement in leadership and strategic government decision</w:t>
            </w:r>
            <w:r w:rsidR="006A7B60">
              <w:t>-</w:t>
            </w:r>
            <w:r>
              <w:t>making. The framework publicly communicates its goal to support employees understanding and application of Aboriginal self-</w:t>
            </w:r>
            <w:r w:rsidRPr="000B0889">
              <w:t>determination</w:t>
            </w:r>
            <w:r>
              <w:t xml:space="preserve"> in health, wellbeing and safety through ongoing seminars, workshops, learning materials and leadership commitments.</w:t>
            </w:r>
          </w:p>
        </w:tc>
        <w:tc>
          <w:tcPr>
            <w:tcW w:w="1693" w:type="dxa"/>
            <w:hideMark/>
          </w:tcPr>
          <w:p w14:paraId="46D96DC7" w14:textId="77777777" w:rsidR="00CC34B4" w:rsidRDefault="00CC34B4" w:rsidP="000B0889">
            <w:pPr>
              <w:pStyle w:val="Tabletext"/>
              <w:cnfStyle w:val="000000000000" w:firstRow="0" w:lastRow="0" w:firstColumn="0" w:lastColumn="0" w:oddVBand="0" w:evenVBand="0" w:oddHBand="0" w:evenHBand="0" w:firstRowFirstColumn="0" w:firstRowLastColumn="0" w:lastRowFirstColumn="0" w:lastRowLastColumn="0"/>
            </w:pPr>
            <w:r>
              <w:t>Accountability</w:t>
            </w:r>
          </w:p>
        </w:tc>
        <w:tc>
          <w:tcPr>
            <w:tcW w:w="1821" w:type="dxa"/>
          </w:tcPr>
          <w:p w14:paraId="45DFF6D4" w14:textId="6449F036" w:rsidR="00CC34B4" w:rsidRPr="00CC34B4" w:rsidRDefault="00CC34B4" w:rsidP="000B0889">
            <w:pPr>
              <w:pStyle w:val="Tabletext"/>
              <w:cnfStyle w:val="000000000000" w:firstRow="0" w:lastRow="0" w:firstColumn="0" w:lastColumn="0" w:oddVBand="0" w:evenVBand="0" w:oddHBand="0" w:evenHBand="0" w:firstRowFirstColumn="0" w:firstRowLastColumn="0" w:lastRowFirstColumn="0" w:lastRowLastColumn="0"/>
              <w:rPr>
                <w:rFonts w:eastAsiaTheme="minorEastAsia"/>
              </w:rPr>
            </w:pPr>
            <w:r w:rsidRPr="00CC34B4">
              <w:t xml:space="preserve">Review other departments’ commitments and apply relevant actions and ideas </w:t>
            </w:r>
            <w:r w:rsidRPr="00CC34B4">
              <w:rPr>
                <w:rFonts w:eastAsiaTheme="minorEastAsia"/>
                <w:lang w:eastAsia="en-AU"/>
              </w:rPr>
              <w:t>in</w:t>
            </w:r>
            <w:r w:rsidRPr="00CC34B4">
              <w:t xml:space="preserve"> </w:t>
            </w:r>
            <w:r w:rsidRPr="00CC34B4">
              <w:rPr>
                <w:rFonts w:eastAsiaTheme="minorEastAsia"/>
                <w:lang w:eastAsia="en-AU"/>
              </w:rPr>
              <w:t>f</w:t>
            </w:r>
            <w:r w:rsidRPr="00CC34B4">
              <w:t>uture self</w:t>
            </w:r>
            <w:r w:rsidR="000B0889">
              <w:noBreakHyphen/>
            </w:r>
            <w:r w:rsidRPr="00CC34B4">
              <w:t>determination plans for DTF</w:t>
            </w:r>
            <w:r w:rsidRPr="00CC34B4">
              <w:rPr>
                <w:rFonts w:eastAsiaTheme="minorEastAsia"/>
                <w:lang w:eastAsia="en-AU"/>
              </w:rPr>
              <w:t>.</w:t>
            </w:r>
          </w:p>
        </w:tc>
      </w:tr>
    </w:tbl>
    <w:p w14:paraId="59B638DA" w14:textId="56BF4DDA" w:rsidR="00654BD7" w:rsidRDefault="00654BD7" w:rsidP="00F5024F"/>
    <w:p w14:paraId="041A818F" w14:textId="0D968EF3" w:rsidR="007D0EAF" w:rsidRDefault="007D0EAF" w:rsidP="00F5024F">
      <w:r>
        <w:t xml:space="preserve">As at 1 </w:t>
      </w:r>
      <w:r w:rsidR="00815537">
        <w:t xml:space="preserve">May </w:t>
      </w:r>
      <w:r>
        <w:t>2020 DTF is working towards the actions included in this workstream.</w:t>
      </w:r>
    </w:p>
    <w:p w14:paraId="63603235" w14:textId="5F128E1B" w:rsidR="003A4705" w:rsidRDefault="003A4705" w:rsidP="000B0889">
      <w:pPr>
        <w:pStyle w:val="Heading2"/>
        <w:pageBreakBefore/>
      </w:pPr>
      <w:bookmarkStart w:id="103" w:name="_Toc25053506"/>
      <w:bookmarkStart w:id="104" w:name="_Toc24707749"/>
      <w:bookmarkStart w:id="105" w:name="_Toc32238814"/>
      <w:bookmarkStart w:id="106" w:name="_Toc32240774"/>
      <w:bookmarkStart w:id="107" w:name="_Toc32240794"/>
      <w:bookmarkStart w:id="108" w:name="_Toc32490412"/>
      <w:bookmarkStart w:id="109" w:name="_Toc37246853"/>
      <w:bookmarkStart w:id="110" w:name="_Toc37254981"/>
      <w:bookmarkStart w:id="111" w:name="_Toc37255118"/>
      <w:bookmarkStart w:id="112" w:name="_Toc41653103"/>
      <w:r>
        <w:lastRenderedPageBreak/>
        <w:t>Changes to policy advice</w:t>
      </w:r>
      <w:bookmarkEnd w:id="103"/>
      <w:bookmarkEnd w:id="104"/>
      <w:bookmarkEnd w:id="105"/>
      <w:bookmarkEnd w:id="106"/>
      <w:bookmarkEnd w:id="107"/>
      <w:bookmarkEnd w:id="108"/>
      <w:bookmarkEnd w:id="109"/>
      <w:bookmarkEnd w:id="110"/>
      <w:bookmarkEnd w:id="111"/>
      <w:bookmarkEnd w:id="112"/>
    </w:p>
    <w:tbl>
      <w:tblPr>
        <w:tblStyle w:val="DTFtexttable"/>
        <w:tblW w:w="9417" w:type="dxa"/>
        <w:tblInd w:w="0" w:type="dxa"/>
        <w:tblLook w:val="06A0" w:firstRow="1" w:lastRow="0" w:firstColumn="1" w:lastColumn="0" w:noHBand="1" w:noVBand="1"/>
      </w:tblPr>
      <w:tblGrid>
        <w:gridCol w:w="1837"/>
        <w:gridCol w:w="3013"/>
        <w:gridCol w:w="1825"/>
        <w:gridCol w:w="2742"/>
      </w:tblGrid>
      <w:tr w:rsidR="0011588D" w14:paraId="3D8AAB3B" w14:textId="77777777" w:rsidTr="000B08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57" w:type="dxa"/>
            <w:hideMark/>
          </w:tcPr>
          <w:p w14:paraId="7C7316E2" w14:textId="77777777" w:rsidR="0011588D" w:rsidRDefault="0011588D" w:rsidP="00DE5F14">
            <w:pPr>
              <w:pStyle w:val="Tableheader"/>
              <w:keepNext/>
              <w:spacing w:beforeAutospacing="0" w:afterAutospacing="0"/>
            </w:pPr>
            <w:r>
              <w:t>Actions</w:t>
            </w:r>
          </w:p>
        </w:tc>
        <w:tc>
          <w:tcPr>
            <w:tcW w:w="3060" w:type="dxa"/>
            <w:hideMark/>
          </w:tcPr>
          <w:p w14:paraId="6641D110" w14:textId="77777777" w:rsidR="0011588D" w:rsidRDefault="0011588D" w:rsidP="00DE5F14">
            <w:pPr>
              <w:pStyle w:val="Tableheader"/>
              <w:keepNext/>
              <w:spacing w:beforeAutospacing="0" w:afterAutospacing="0"/>
              <w:cnfStyle w:val="100000000000" w:firstRow="1" w:lastRow="0" w:firstColumn="0" w:lastColumn="0" w:oddVBand="0" w:evenVBand="0" w:oddHBand="0" w:evenHBand="0" w:firstRowFirstColumn="0" w:firstRowLastColumn="0" w:lastRowFirstColumn="0" w:lastRowLastColumn="0"/>
            </w:pPr>
            <w:r>
              <w:t>Summary</w:t>
            </w:r>
          </w:p>
        </w:tc>
        <w:tc>
          <w:tcPr>
            <w:tcW w:w="1710" w:type="dxa"/>
            <w:hideMark/>
          </w:tcPr>
          <w:p w14:paraId="05FE417C" w14:textId="77777777" w:rsidR="0011588D" w:rsidRDefault="0011588D" w:rsidP="00DE5F14">
            <w:pPr>
              <w:pStyle w:val="Tableheader"/>
              <w:keepNext/>
              <w:spacing w:beforeAutospacing="0" w:afterAutospacing="0"/>
              <w:cnfStyle w:val="100000000000" w:firstRow="1" w:lastRow="0" w:firstColumn="0" w:lastColumn="0" w:oddVBand="0" w:evenVBand="0" w:oddHBand="0" w:evenHBand="0" w:firstRowFirstColumn="0" w:firstRowLastColumn="0" w:lastRowFirstColumn="0" w:lastRowLastColumn="0"/>
            </w:pPr>
            <w:r>
              <w:t>Link to SDRF reform domains</w:t>
            </w:r>
          </w:p>
        </w:tc>
        <w:tc>
          <w:tcPr>
            <w:tcW w:w="2790" w:type="dxa"/>
            <w:hideMark/>
          </w:tcPr>
          <w:p w14:paraId="056CE49A" w14:textId="0F9844EF" w:rsidR="0011588D" w:rsidRDefault="0011588D" w:rsidP="00DE5F14">
            <w:pPr>
              <w:pStyle w:val="Tableheader"/>
              <w:keepNext/>
              <w:spacing w:beforeAutospacing="0" w:afterAutospacing="0"/>
              <w:cnfStyle w:val="100000000000" w:firstRow="1" w:lastRow="0" w:firstColumn="0" w:lastColumn="0" w:oddVBand="0" w:evenVBand="0" w:oddHBand="0" w:evenHBand="0" w:firstRowFirstColumn="0" w:firstRowLastColumn="0" w:lastRowFirstColumn="0" w:lastRowLastColumn="0"/>
            </w:pPr>
            <w:r>
              <w:t>Success measures</w:t>
            </w:r>
          </w:p>
        </w:tc>
      </w:tr>
      <w:tr w:rsidR="0011588D" w14:paraId="7C20C045" w14:textId="77777777" w:rsidTr="000B0889">
        <w:tc>
          <w:tcPr>
            <w:cnfStyle w:val="001000000000" w:firstRow="0" w:lastRow="0" w:firstColumn="1" w:lastColumn="0" w:oddVBand="0" w:evenVBand="0" w:oddHBand="0" w:evenHBand="0" w:firstRowFirstColumn="0" w:firstRowLastColumn="0" w:lastRowFirstColumn="0" w:lastRowLastColumn="0"/>
            <w:tcW w:w="1857" w:type="dxa"/>
          </w:tcPr>
          <w:p w14:paraId="0BD7D49F" w14:textId="45C2034F" w:rsidR="0011588D" w:rsidRPr="0011588D" w:rsidRDefault="0011588D" w:rsidP="000B0889">
            <w:pPr>
              <w:pStyle w:val="Tabletext"/>
              <w:rPr>
                <w:b w:val="0"/>
              </w:rPr>
            </w:pPr>
            <w:r w:rsidRPr="0011588D">
              <w:t xml:space="preserve">Add an additional check to DTF </w:t>
            </w:r>
            <w:r w:rsidR="00394E6E">
              <w:t>c</w:t>
            </w:r>
            <w:r w:rsidR="00394E6E" w:rsidRPr="0011588D">
              <w:t xml:space="preserve">abinet </w:t>
            </w:r>
            <w:r w:rsidRPr="0011588D">
              <w:t>submission briefing template</w:t>
            </w:r>
          </w:p>
        </w:tc>
        <w:tc>
          <w:tcPr>
            <w:tcW w:w="3060" w:type="dxa"/>
            <w:hideMark/>
          </w:tcPr>
          <w:p w14:paraId="72049799" w14:textId="5DFDF132" w:rsidR="0011588D" w:rsidRDefault="0011588D" w:rsidP="000B0889">
            <w:pPr>
              <w:pStyle w:val="Tabletext"/>
              <w:cnfStyle w:val="000000000000" w:firstRow="0" w:lastRow="0" w:firstColumn="0" w:lastColumn="0" w:oddVBand="0" w:evenVBand="0" w:oddHBand="0" w:evenHBand="0" w:firstRowFirstColumn="0" w:firstRowLastColumn="0" w:lastRowFirstColumn="0" w:lastRowLastColumn="0"/>
            </w:pPr>
            <w:r>
              <w:t xml:space="preserve">Amend DTF </w:t>
            </w:r>
            <w:r w:rsidR="00394E6E">
              <w:t xml:space="preserve">cabinet </w:t>
            </w:r>
            <w:r>
              <w:t xml:space="preserve">submission briefing template to prompt DTF staff to assess whether the proposals align with principles of self-determination where relevant. </w:t>
            </w:r>
          </w:p>
        </w:tc>
        <w:tc>
          <w:tcPr>
            <w:tcW w:w="1710" w:type="dxa"/>
          </w:tcPr>
          <w:p w14:paraId="3538BF7F" w14:textId="4D058B00" w:rsidR="0011588D" w:rsidRDefault="0011588D" w:rsidP="000B0889">
            <w:pPr>
              <w:pStyle w:val="Tabletext"/>
              <w:cnfStyle w:val="000000000000" w:firstRow="0" w:lastRow="0" w:firstColumn="0" w:lastColumn="0" w:oddVBand="0" w:evenVBand="0" w:oddHBand="0" w:evenHBand="0" w:firstRowFirstColumn="0" w:firstRowLastColumn="0" w:lastRowFirstColumn="0" w:lastRowLastColumn="0"/>
            </w:pPr>
            <w:r>
              <w:t>Systems</w:t>
            </w:r>
            <w:r w:rsidR="001F14DF">
              <w:t>/</w:t>
            </w:r>
            <w:r>
              <w:t>outcomes</w:t>
            </w:r>
          </w:p>
        </w:tc>
        <w:tc>
          <w:tcPr>
            <w:tcW w:w="2790" w:type="dxa"/>
          </w:tcPr>
          <w:p w14:paraId="5C852D1E" w14:textId="10F1F972" w:rsidR="0011588D" w:rsidRDefault="0011588D" w:rsidP="000B0889">
            <w:pPr>
              <w:pStyle w:val="Tabletext"/>
              <w:cnfStyle w:val="000000000000" w:firstRow="0" w:lastRow="0" w:firstColumn="0" w:lastColumn="0" w:oddVBand="0" w:evenVBand="0" w:oddHBand="0" w:evenHBand="0" w:firstRowFirstColumn="0" w:firstRowLastColumn="0" w:lastRowFirstColumn="0" w:lastRowLastColumn="0"/>
            </w:pPr>
            <w:r>
              <w:t xml:space="preserve">Include the prompt in the DTF </w:t>
            </w:r>
            <w:r w:rsidR="00394E6E">
              <w:t xml:space="preserve">cabinet </w:t>
            </w:r>
            <w:r>
              <w:t>submission briefing template</w:t>
            </w:r>
            <w:r w:rsidR="00F82536">
              <w:t>.</w:t>
            </w:r>
          </w:p>
        </w:tc>
      </w:tr>
      <w:tr w:rsidR="0011588D" w14:paraId="7E0342A0" w14:textId="77777777" w:rsidTr="000B0889">
        <w:tc>
          <w:tcPr>
            <w:cnfStyle w:val="001000000000" w:firstRow="0" w:lastRow="0" w:firstColumn="1" w:lastColumn="0" w:oddVBand="0" w:evenVBand="0" w:oddHBand="0" w:evenHBand="0" w:firstRowFirstColumn="0" w:firstRowLastColumn="0" w:lastRowFirstColumn="0" w:lastRowLastColumn="0"/>
            <w:tcW w:w="1857" w:type="dxa"/>
          </w:tcPr>
          <w:p w14:paraId="177E0C54" w14:textId="3B493BBB" w:rsidR="0011588D" w:rsidRDefault="0011588D" w:rsidP="000B0889">
            <w:pPr>
              <w:pStyle w:val="Tabletext"/>
            </w:pPr>
            <w:r w:rsidRPr="0011588D">
              <w:t>Consider policy advice delivery structures</w:t>
            </w:r>
          </w:p>
        </w:tc>
        <w:tc>
          <w:tcPr>
            <w:tcW w:w="3060" w:type="dxa"/>
          </w:tcPr>
          <w:p w14:paraId="59ABB1AE" w14:textId="316CE166" w:rsidR="0011588D" w:rsidRDefault="0011588D" w:rsidP="000B0889">
            <w:pPr>
              <w:pStyle w:val="Tabletext"/>
              <w:cnfStyle w:val="000000000000" w:firstRow="0" w:lastRow="0" w:firstColumn="0" w:lastColumn="0" w:oddVBand="0" w:evenVBand="0" w:oddHBand="0" w:evenHBand="0" w:firstRowFirstColumn="0" w:firstRowLastColumn="0" w:lastRowFirstColumn="0" w:lastRowLastColumn="0"/>
            </w:pPr>
            <w:r>
              <w:t>Review the Aboriginal affairs policy advice delivery function of DTF, with a view to seeing how different structures may promote better outcomes. For example, a specific Aboriginal affairs unit could lead on Aboriginal affairs matters (across health, education, justice, housing etc), ideally led by Aboriginal staff.</w:t>
            </w:r>
          </w:p>
        </w:tc>
        <w:tc>
          <w:tcPr>
            <w:tcW w:w="1710" w:type="dxa"/>
          </w:tcPr>
          <w:p w14:paraId="2ACC3EC6" w14:textId="684D0665" w:rsidR="0011588D" w:rsidRDefault="0011588D" w:rsidP="000B0889">
            <w:pPr>
              <w:pStyle w:val="Tabletext"/>
              <w:cnfStyle w:val="000000000000" w:firstRow="0" w:lastRow="0" w:firstColumn="0" w:lastColumn="0" w:oddVBand="0" w:evenVBand="0" w:oddHBand="0" w:evenHBand="0" w:firstRowFirstColumn="0" w:firstRowLastColumn="0" w:lastRowFirstColumn="0" w:lastRowLastColumn="0"/>
            </w:pPr>
            <w:r>
              <w:t>People</w:t>
            </w:r>
            <w:r w:rsidR="001F14DF">
              <w:t>/</w:t>
            </w:r>
            <w:r>
              <w:t>outcomes</w:t>
            </w:r>
            <w:r w:rsidR="001F14DF">
              <w:t>/</w:t>
            </w:r>
            <w:r>
              <w:t xml:space="preserve"> systems</w:t>
            </w:r>
          </w:p>
        </w:tc>
        <w:tc>
          <w:tcPr>
            <w:tcW w:w="2790" w:type="dxa"/>
          </w:tcPr>
          <w:p w14:paraId="6B10C931" w14:textId="75B1A472" w:rsidR="0011588D" w:rsidRDefault="0011588D" w:rsidP="000B0889">
            <w:pPr>
              <w:pStyle w:val="Tabletext"/>
              <w:cnfStyle w:val="000000000000" w:firstRow="0" w:lastRow="0" w:firstColumn="0" w:lastColumn="0" w:oddVBand="0" w:evenVBand="0" w:oddHBand="0" w:evenHBand="0" w:firstRowFirstColumn="0" w:firstRowLastColumn="0" w:lastRowFirstColumn="0" w:lastRowLastColumn="0"/>
            </w:pPr>
            <w:r>
              <w:t>Complete the review</w:t>
            </w:r>
            <w:r w:rsidR="00F82536">
              <w:t>.</w:t>
            </w:r>
          </w:p>
        </w:tc>
      </w:tr>
    </w:tbl>
    <w:p w14:paraId="5E1FEEA2" w14:textId="74AD119D" w:rsidR="003A4705" w:rsidRDefault="003A4705" w:rsidP="003A4705"/>
    <w:p w14:paraId="56B80D8C" w14:textId="77777777" w:rsidR="00A1009A" w:rsidRDefault="006620C1" w:rsidP="006620C1">
      <w:r>
        <w:t xml:space="preserve">As at 1 </w:t>
      </w:r>
      <w:r w:rsidR="00815537">
        <w:t>May</w:t>
      </w:r>
      <w:r>
        <w:t xml:space="preserve"> 2020</w:t>
      </w:r>
      <w:r w:rsidR="000B0889">
        <w:t>,</w:t>
      </w:r>
      <w:r>
        <w:t xml:space="preserve"> DTF is working towards the actions included in this workstream.</w:t>
      </w:r>
    </w:p>
    <w:p w14:paraId="7652C61F" w14:textId="58450D72" w:rsidR="00A1009A" w:rsidRDefault="00A1009A" w:rsidP="00DE5F14">
      <w:pPr>
        <w:pStyle w:val="Heading2"/>
        <w:pageBreakBefore/>
        <w:rPr>
          <w:rFonts w:eastAsia="Times New Roman"/>
        </w:rPr>
      </w:pPr>
      <w:bookmarkStart w:id="113" w:name="x_x__Toc37255119"/>
      <w:bookmarkStart w:id="114" w:name="_Toc41653104"/>
      <w:bookmarkStart w:id="115" w:name="_Toc25053508"/>
      <w:r>
        <w:rPr>
          <w:rFonts w:eastAsia="Times New Roman"/>
        </w:rPr>
        <w:lastRenderedPageBreak/>
        <w:t xml:space="preserve">Advancing </w:t>
      </w:r>
      <w:r w:rsidR="001F14DF">
        <w:rPr>
          <w:rFonts w:eastAsia="Times New Roman"/>
        </w:rPr>
        <w:t>s</w:t>
      </w:r>
      <w:r>
        <w:rPr>
          <w:rFonts w:eastAsia="Times New Roman"/>
        </w:rPr>
        <w:t>elf-</w:t>
      </w:r>
      <w:r w:rsidR="001F14DF">
        <w:rPr>
          <w:rFonts w:eastAsia="Times New Roman"/>
        </w:rPr>
        <w:t>d</w:t>
      </w:r>
      <w:r>
        <w:rPr>
          <w:rFonts w:eastAsia="Times New Roman"/>
        </w:rPr>
        <w:t>etermination through the budget</w:t>
      </w:r>
      <w:bookmarkEnd w:id="113"/>
      <w:bookmarkEnd w:id="114"/>
      <w:r>
        <w:rPr>
          <w:rFonts w:eastAsia="Times New Roman"/>
        </w:rPr>
        <w:t xml:space="preserve"> </w:t>
      </w:r>
    </w:p>
    <w:tbl>
      <w:tblPr>
        <w:tblW w:w="9417" w:type="dxa"/>
        <w:tblCellMar>
          <w:left w:w="0" w:type="dxa"/>
          <w:right w:w="0" w:type="dxa"/>
        </w:tblCellMar>
        <w:tblLook w:val="04A0" w:firstRow="1" w:lastRow="0" w:firstColumn="1" w:lastColumn="0" w:noHBand="0" w:noVBand="1"/>
      </w:tblPr>
      <w:tblGrid>
        <w:gridCol w:w="2127"/>
        <w:gridCol w:w="3118"/>
        <w:gridCol w:w="1701"/>
        <w:gridCol w:w="2471"/>
      </w:tblGrid>
      <w:tr w:rsidR="00DE5F14" w14:paraId="27BA96EA" w14:textId="77777777" w:rsidTr="00DE5F14">
        <w:trPr>
          <w:cantSplit/>
          <w:tblHeader/>
        </w:trPr>
        <w:tc>
          <w:tcPr>
            <w:tcW w:w="2127" w:type="dxa"/>
            <w:tcBorders>
              <w:top w:val="single" w:sz="8" w:space="0" w:color="007DBE"/>
              <w:left w:val="nil"/>
              <w:bottom w:val="single" w:sz="8" w:space="0" w:color="007DBE"/>
              <w:right w:val="nil"/>
            </w:tcBorders>
            <w:shd w:val="clear" w:color="auto" w:fill="0072CE"/>
            <w:tcMar>
              <w:top w:w="0" w:type="dxa"/>
              <w:left w:w="57" w:type="dxa"/>
              <w:bottom w:w="0" w:type="dxa"/>
              <w:right w:w="57" w:type="dxa"/>
            </w:tcMar>
            <w:hideMark/>
          </w:tcPr>
          <w:p w14:paraId="1BAB0ACD" w14:textId="77777777" w:rsidR="00A1009A" w:rsidRPr="00ED61FD" w:rsidRDefault="00A1009A" w:rsidP="00DE5F14">
            <w:pPr>
              <w:pStyle w:val="xxtableheader"/>
              <w:keepNext/>
              <w:rPr>
                <w:rFonts w:asciiTheme="minorHAnsi" w:hAnsiTheme="minorHAnsi"/>
              </w:rPr>
            </w:pPr>
            <w:r w:rsidRPr="00ED61FD">
              <w:rPr>
                <w:rFonts w:asciiTheme="minorHAnsi" w:hAnsiTheme="minorHAnsi"/>
              </w:rPr>
              <w:t>Actions</w:t>
            </w:r>
          </w:p>
        </w:tc>
        <w:tc>
          <w:tcPr>
            <w:tcW w:w="3118" w:type="dxa"/>
            <w:tcBorders>
              <w:top w:val="single" w:sz="8" w:space="0" w:color="007DBE"/>
              <w:left w:val="nil"/>
              <w:bottom w:val="single" w:sz="8" w:space="0" w:color="007DBE"/>
              <w:right w:val="nil"/>
            </w:tcBorders>
            <w:shd w:val="clear" w:color="auto" w:fill="0072CE"/>
            <w:tcMar>
              <w:top w:w="0" w:type="dxa"/>
              <w:left w:w="57" w:type="dxa"/>
              <w:bottom w:w="0" w:type="dxa"/>
              <w:right w:w="57" w:type="dxa"/>
            </w:tcMar>
            <w:hideMark/>
          </w:tcPr>
          <w:p w14:paraId="0BCA0D0E" w14:textId="77777777" w:rsidR="00A1009A" w:rsidRPr="00ED61FD" w:rsidRDefault="00A1009A" w:rsidP="00DE5F14">
            <w:pPr>
              <w:pStyle w:val="xxtableheader"/>
              <w:keepNext/>
              <w:rPr>
                <w:rFonts w:asciiTheme="minorHAnsi" w:hAnsiTheme="minorHAnsi"/>
              </w:rPr>
            </w:pPr>
            <w:r w:rsidRPr="00ED61FD">
              <w:rPr>
                <w:rFonts w:asciiTheme="minorHAnsi" w:hAnsiTheme="minorHAnsi"/>
              </w:rPr>
              <w:t>Summary</w:t>
            </w:r>
          </w:p>
        </w:tc>
        <w:tc>
          <w:tcPr>
            <w:tcW w:w="1701" w:type="dxa"/>
            <w:tcBorders>
              <w:top w:val="single" w:sz="8" w:space="0" w:color="007DBE"/>
              <w:left w:val="nil"/>
              <w:bottom w:val="single" w:sz="8" w:space="0" w:color="007DBE"/>
              <w:right w:val="nil"/>
            </w:tcBorders>
            <w:shd w:val="clear" w:color="auto" w:fill="0072CE"/>
            <w:tcMar>
              <w:top w:w="0" w:type="dxa"/>
              <w:left w:w="57" w:type="dxa"/>
              <w:bottom w:w="0" w:type="dxa"/>
              <w:right w:w="57" w:type="dxa"/>
            </w:tcMar>
            <w:hideMark/>
          </w:tcPr>
          <w:p w14:paraId="61637680" w14:textId="77777777" w:rsidR="00A1009A" w:rsidRPr="00ED61FD" w:rsidRDefault="00A1009A" w:rsidP="00DE5F14">
            <w:pPr>
              <w:pStyle w:val="xxtableheader"/>
              <w:keepNext/>
              <w:rPr>
                <w:rFonts w:asciiTheme="minorHAnsi" w:hAnsiTheme="minorHAnsi"/>
              </w:rPr>
            </w:pPr>
            <w:r w:rsidRPr="00ED61FD">
              <w:rPr>
                <w:rFonts w:asciiTheme="minorHAnsi" w:hAnsiTheme="minorHAnsi"/>
              </w:rPr>
              <w:t>Link to SDRF reform domains</w:t>
            </w:r>
          </w:p>
        </w:tc>
        <w:tc>
          <w:tcPr>
            <w:tcW w:w="2471" w:type="dxa"/>
            <w:tcBorders>
              <w:top w:val="single" w:sz="8" w:space="0" w:color="007DBE"/>
              <w:left w:val="nil"/>
              <w:bottom w:val="single" w:sz="8" w:space="0" w:color="007DBE"/>
              <w:right w:val="nil"/>
            </w:tcBorders>
            <w:shd w:val="clear" w:color="auto" w:fill="0072CE"/>
            <w:tcMar>
              <w:top w:w="0" w:type="dxa"/>
              <w:left w:w="57" w:type="dxa"/>
              <w:bottom w:w="0" w:type="dxa"/>
              <w:right w:w="57" w:type="dxa"/>
            </w:tcMar>
            <w:hideMark/>
          </w:tcPr>
          <w:p w14:paraId="3FC5F0FB" w14:textId="77777777" w:rsidR="00A1009A" w:rsidRPr="00ED61FD" w:rsidRDefault="00A1009A" w:rsidP="00DE5F14">
            <w:pPr>
              <w:pStyle w:val="xxtableheader"/>
              <w:keepNext/>
              <w:rPr>
                <w:rFonts w:asciiTheme="minorHAnsi" w:hAnsiTheme="minorHAnsi"/>
              </w:rPr>
            </w:pPr>
            <w:r w:rsidRPr="00ED61FD">
              <w:rPr>
                <w:rFonts w:asciiTheme="minorHAnsi" w:hAnsiTheme="minorHAnsi"/>
              </w:rPr>
              <w:t>Success measures</w:t>
            </w:r>
          </w:p>
        </w:tc>
      </w:tr>
      <w:tr w:rsidR="009448BC" w14:paraId="7605AC8B" w14:textId="77777777" w:rsidTr="00DE5F14">
        <w:trPr>
          <w:cantSplit/>
        </w:trPr>
        <w:tc>
          <w:tcPr>
            <w:tcW w:w="2127" w:type="dxa"/>
            <w:tcBorders>
              <w:top w:val="nil"/>
              <w:left w:val="nil"/>
              <w:bottom w:val="single" w:sz="8" w:space="0" w:color="007DBE"/>
              <w:right w:val="nil"/>
            </w:tcBorders>
            <w:tcMar>
              <w:top w:w="0" w:type="dxa"/>
              <w:left w:w="57" w:type="dxa"/>
              <w:bottom w:w="0" w:type="dxa"/>
              <w:right w:w="57" w:type="dxa"/>
            </w:tcMar>
            <w:hideMark/>
          </w:tcPr>
          <w:p w14:paraId="3C3C5EA8" w14:textId="6A758AE7" w:rsidR="009448BC" w:rsidRPr="009448BC" w:rsidRDefault="009448BC" w:rsidP="00DE5F14">
            <w:pPr>
              <w:pStyle w:val="Tabletext"/>
              <w:rPr>
                <w:b/>
                <w:bCs w:val="0"/>
              </w:rPr>
            </w:pPr>
            <w:r w:rsidRPr="009448BC">
              <w:rPr>
                <w:b/>
                <w:bCs w:val="0"/>
              </w:rPr>
              <w:t xml:space="preserve">Increased collaboration with </w:t>
            </w:r>
            <w:r w:rsidR="00DE5F14">
              <w:rPr>
                <w:b/>
                <w:bCs w:val="0"/>
              </w:rPr>
              <w:br/>
            </w:r>
            <w:r w:rsidRPr="009448BC">
              <w:rPr>
                <w:b/>
                <w:bCs w:val="0"/>
              </w:rPr>
              <w:t>the Aboriginal community on business case development</w:t>
            </w:r>
          </w:p>
        </w:tc>
        <w:tc>
          <w:tcPr>
            <w:tcW w:w="3118" w:type="dxa"/>
            <w:tcBorders>
              <w:top w:val="nil"/>
              <w:left w:val="nil"/>
              <w:bottom w:val="single" w:sz="8" w:space="0" w:color="007DBE"/>
              <w:right w:val="nil"/>
            </w:tcBorders>
            <w:tcMar>
              <w:top w:w="0" w:type="dxa"/>
              <w:left w:w="57" w:type="dxa"/>
              <w:bottom w:w="0" w:type="dxa"/>
              <w:right w:w="57" w:type="dxa"/>
            </w:tcMar>
            <w:hideMark/>
          </w:tcPr>
          <w:p w14:paraId="73083017" w14:textId="0A58D64F" w:rsidR="009448BC" w:rsidRDefault="009448BC" w:rsidP="00DE5F14">
            <w:pPr>
              <w:pStyle w:val="Tabletext"/>
            </w:pPr>
            <w:r w:rsidRPr="00817786">
              <w:t xml:space="preserve">Proactively promote and support departments to work collaboratively with Aboriginal </w:t>
            </w:r>
            <w:r>
              <w:t>c</w:t>
            </w:r>
            <w:r w:rsidRPr="00817786">
              <w:t xml:space="preserve">ommunities in the development of robust business cases, maximising key information and direct benefits to Aboriginal </w:t>
            </w:r>
            <w:r>
              <w:t>c</w:t>
            </w:r>
            <w:r w:rsidRPr="00817786">
              <w:t xml:space="preserve">ommunities. This will also include advocating for a letter of support from Aboriginal </w:t>
            </w:r>
            <w:r>
              <w:t>c</w:t>
            </w:r>
            <w:r w:rsidRPr="00817786">
              <w:t xml:space="preserve">ommunities directly involved with submission development to be attached to business cases. </w:t>
            </w:r>
          </w:p>
        </w:tc>
        <w:tc>
          <w:tcPr>
            <w:tcW w:w="1701" w:type="dxa"/>
            <w:tcBorders>
              <w:top w:val="nil"/>
              <w:left w:val="nil"/>
              <w:bottom w:val="single" w:sz="8" w:space="0" w:color="007DBE"/>
              <w:right w:val="nil"/>
            </w:tcBorders>
            <w:tcMar>
              <w:top w:w="0" w:type="dxa"/>
              <w:left w:w="57" w:type="dxa"/>
              <w:bottom w:w="0" w:type="dxa"/>
              <w:right w:w="57" w:type="dxa"/>
            </w:tcMar>
            <w:hideMark/>
          </w:tcPr>
          <w:p w14:paraId="1C29D320" w14:textId="2D64C814" w:rsidR="009448BC" w:rsidRDefault="009448BC" w:rsidP="00DE5F14">
            <w:pPr>
              <w:pStyle w:val="Tabletext"/>
            </w:pPr>
            <w:r w:rsidRPr="00817786">
              <w:t>Systems</w:t>
            </w:r>
          </w:p>
        </w:tc>
        <w:tc>
          <w:tcPr>
            <w:tcW w:w="2471" w:type="dxa"/>
            <w:tcBorders>
              <w:top w:val="nil"/>
              <w:left w:val="nil"/>
              <w:bottom w:val="single" w:sz="8" w:space="0" w:color="007DBE"/>
              <w:right w:val="nil"/>
            </w:tcBorders>
            <w:tcMar>
              <w:top w:w="0" w:type="dxa"/>
              <w:left w:w="57" w:type="dxa"/>
              <w:bottom w:w="0" w:type="dxa"/>
              <w:right w:w="57" w:type="dxa"/>
            </w:tcMar>
            <w:hideMark/>
          </w:tcPr>
          <w:p w14:paraId="0B953457" w14:textId="4B1A1EF2" w:rsidR="009448BC" w:rsidRDefault="009448BC" w:rsidP="00DE5F14">
            <w:pPr>
              <w:pStyle w:val="Tabletext"/>
            </w:pPr>
            <w:r w:rsidRPr="00817786">
              <w:t xml:space="preserve">Revise the 2020-21 budget process, requiring a greater level of Aboriginal </w:t>
            </w:r>
            <w:r>
              <w:t>c</w:t>
            </w:r>
            <w:r w:rsidRPr="00817786">
              <w:t xml:space="preserve">ommunity involvement in business case development, including clear and specific benefits to Aboriginal </w:t>
            </w:r>
            <w:r>
              <w:t>c</w:t>
            </w:r>
            <w:r w:rsidRPr="00817786">
              <w:t>ommunities</w:t>
            </w:r>
            <w:r w:rsidR="001F14DF">
              <w:t>.</w:t>
            </w:r>
          </w:p>
        </w:tc>
      </w:tr>
      <w:tr w:rsidR="009448BC" w14:paraId="5C8DCE55" w14:textId="77777777" w:rsidTr="00DE5F14">
        <w:trPr>
          <w:cantSplit/>
        </w:trPr>
        <w:tc>
          <w:tcPr>
            <w:tcW w:w="2127" w:type="dxa"/>
            <w:tcBorders>
              <w:top w:val="nil"/>
              <w:left w:val="nil"/>
              <w:bottom w:val="single" w:sz="8" w:space="0" w:color="007DBE"/>
              <w:right w:val="nil"/>
            </w:tcBorders>
            <w:tcMar>
              <w:top w:w="0" w:type="dxa"/>
              <w:left w:w="57" w:type="dxa"/>
              <w:bottom w:w="0" w:type="dxa"/>
              <w:right w:w="57" w:type="dxa"/>
            </w:tcMar>
            <w:hideMark/>
          </w:tcPr>
          <w:p w14:paraId="52B94083" w14:textId="2600CC75" w:rsidR="009448BC" w:rsidRPr="009448BC" w:rsidRDefault="009448BC" w:rsidP="00DE5F14">
            <w:pPr>
              <w:pStyle w:val="Tabletext"/>
              <w:rPr>
                <w:b/>
                <w:bCs w:val="0"/>
                <w:spacing w:val="2"/>
              </w:rPr>
            </w:pPr>
            <w:r w:rsidRPr="009448BC">
              <w:rPr>
                <w:b/>
                <w:bCs w:val="0"/>
              </w:rPr>
              <w:t xml:space="preserve">Undertake </w:t>
            </w:r>
            <w:r>
              <w:rPr>
                <w:b/>
                <w:bCs w:val="0"/>
              </w:rPr>
              <w:t>c</w:t>
            </w:r>
            <w:r w:rsidRPr="009448BC">
              <w:rPr>
                <w:b/>
                <w:bCs w:val="0"/>
              </w:rPr>
              <w:t xml:space="preserve">ultural </w:t>
            </w:r>
            <w:r>
              <w:rPr>
                <w:b/>
                <w:bCs w:val="0"/>
              </w:rPr>
              <w:t>s</w:t>
            </w:r>
            <w:r w:rsidRPr="009448BC">
              <w:rPr>
                <w:b/>
                <w:bCs w:val="0"/>
              </w:rPr>
              <w:t xml:space="preserve">afety and Aboriginal </w:t>
            </w:r>
            <w:r>
              <w:rPr>
                <w:b/>
                <w:bCs w:val="0"/>
              </w:rPr>
              <w:t>s</w:t>
            </w:r>
            <w:r w:rsidRPr="009448BC">
              <w:rPr>
                <w:b/>
                <w:bCs w:val="0"/>
              </w:rPr>
              <w:t>elf-</w:t>
            </w:r>
            <w:r>
              <w:rPr>
                <w:b/>
                <w:bCs w:val="0"/>
              </w:rPr>
              <w:t>d</w:t>
            </w:r>
            <w:r w:rsidRPr="009448BC">
              <w:rPr>
                <w:b/>
                <w:bCs w:val="0"/>
              </w:rPr>
              <w:t>etermination training for budget analysts</w:t>
            </w:r>
          </w:p>
        </w:tc>
        <w:tc>
          <w:tcPr>
            <w:tcW w:w="3118" w:type="dxa"/>
            <w:tcBorders>
              <w:top w:val="nil"/>
              <w:left w:val="nil"/>
              <w:bottom w:val="single" w:sz="8" w:space="0" w:color="007DBE"/>
              <w:right w:val="nil"/>
            </w:tcBorders>
            <w:tcMar>
              <w:top w:w="0" w:type="dxa"/>
              <w:left w:w="57" w:type="dxa"/>
              <w:bottom w:w="0" w:type="dxa"/>
              <w:right w:w="57" w:type="dxa"/>
            </w:tcMar>
            <w:hideMark/>
          </w:tcPr>
          <w:p w14:paraId="27ECD0B6" w14:textId="02671B3C" w:rsidR="009448BC" w:rsidRPr="00A1009A" w:rsidRDefault="009448BC" w:rsidP="00DE5F14">
            <w:pPr>
              <w:pStyle w:val="Tabletext"/>
              <w:rPr>
                <w:spacing w:val="2"/>
              </w:rPr>
            </w:pPr>
            <w:r w:rsidRPr="00817786">
              <w:t xml:space="preserve">Undertake tailored Aboriginal </w:t>
            </w:r>
            <w:r>
              <w:t>c</w:t>
            </w:r>
            <w:r w:rsidRPr="00817786">
              <w:t xml:space="preserve">ultural </w:t>
            </w:r>
            <w:r>
              <w:t>s</w:t>
            </w:r>
            <w:r w:rsidRPr="00817786">
              <w:t xml:space="preserve">afety and </w:t>
            </w:r>
            <w:r>
              <w:t>s</w:t>
            </w:r>
            <w:r w:rsidRPr="00817786">
              <w:t>elf-</w:t>
            </w:r>
            <w:r>
              <w:t>d</w:t>
            </w:r>
            <w:r w:rsidRPr="00817786">
              <w:t>etermination training for DTF and DPC budget analysts responsible for briefing Government through the budget process, consistent with the principles of the VAAF and SDRF.</w:t>
            </w:r>
          </w:p>
        </w:tc>
        <w:tc>
          <w:tcPr>
            <w:tcW w:w="1701" w:type="dxa"/>
            <w:tcBorders>
              <w:top w:val="nil"/>
              <w:left w:val="nil"/>
              <w:bottom w:val="single" w:sz="8" w:space="0" w:color="007DBE"/>
              <w:right w:val="nil"/>
            </w:tcBorders>
            <w:tcMar>
              <w:top w:w="0" w:type="dxa"/>
              <w:left w:w="57" w:type="dxa"/>
              <w:bottom w:w="0" w:type="dxa"/>
              <w:right w:w="57" w:type="dxa"/>
            </w:tcMar>
            <w:hideMark/>
          </w:tcPr>
          <w:p w14:paraId="430F97E8" w14:textId="1D131081" w:rsidR="009448BC" w:rsidRPr="00A1009A" w:rsidRDefault="009448BC" w:rsidP="00DE5F14">
            <w:pPr>
              <w:pStyle w:val="Tabletext"/>
              <w:rPr>
                <w:spacing w:val="2"/>
              </w:rPr>
            </w:pPr>
            <w:r w:rsidRPr="00817786">
              <w:t>People</w:t>
            </w:r>
          </w:p>
        </w:tc>
        <w:tc>
          <w:tcPr>
            <w:tcW w:w="2471" w:type="dxa"/>
            <w:tcBorders>
              <w:top w:val="nil"/>
              <w:left w:val="nil"/>
              <w:bottom w:val="single" w:sz="8" w:space="0" w:color="007DBE"/>
              <w:right w:val="nil"/>
            </w:tcBorders>
            <w:tcMar>
              <w:top w:w="0" w:type="dxa"/>
              <w:left w:w="57" w:type="dxa"/>
              <w:bottom w:w="0" w:type="dxa"/>
              <w:right w:w="57" w:type="dxa"/>
            </w:tcMar>
            <w:hideMark/>
          </w:tcPr>
          <w:p w14:paraId="48436530" w14:textId="1F2033E8" w:rsidR="009448BC" w:rsidRPr="00A1009A" w:rsidRDefault="009448BC" w:rsidP="00DE5F14">
            <w:pPr>
              <w:pStyle w:val="Tabletext"/>
              <w:rPr>
                <w:spacing w:val="2"/>
              </w:rPr>
            </w:pPr>
            <w:r w:rsidRPr="00817786">
              <w:t>Hold training prior to the commencement of the 2020</w:t>
            </w:r>
            <w:r>
              <w:noBreakHyphen/>
            </w:r>
            <w:r w:rsidRPr="00817786">
              <w:t xml:space="preserve">21 </w:t>
            </w:r>
            <w:r w:rsidR="00394E6E">
              <w:t>b</w:t>
            </w:r>
            <w:r w:rsidR="00ED61FD" w:rsidRPr="00817786">
              <w:t xml:space="preserve">udget </w:t>
            </w:r>
            <w:r w:rsidRPr="00817786">
              <w:t>process</w:t>
            </w:r>
            <w:r w:rsidR="001F14DF">
              <w:t>.</w:t>
            </w:r>
          </w:p>
        </w:tc>
      </w:tr>
      <w:tr w:rsidR="009448BC" w14:paraId="4A5E6330" w14:textId="77777777" w:rsidTr="00DE5F14">
        <w:trPr>
          <w:cantSplit/>
        </w:trPr>
        <w:tc>
          <w:tcPr>
            <w:tcW w:w="2127" w:type="dxa"/>
            <w:tcBorders>
              <w:top w:val="nil"/>
              <w:left w:val="nil"/>
              <w:bottom w:val="single" w:sz="8" w:space="0" w:color="007DBE"/>
              <w:right w:val="nil"/>
            </w:tcBorders>
            <w:tcMar>
              <w:top w:w="0" w:type="dxa"/>
              <w:left w:w="57" w:type="dxa"/>
              <w:bottom w:w="0" w:type="dxa"/>
              <w:right w:w="57" w:type="dxa"/>
            </w:tcMar>
            <w:hideMark/>
          </w:tcPr>
          <w:p w14:paraId="4731824C" w14:textId="56877203" w:rsidR="009448BC" w:rsidRPr="009448BC" w:rsidRDefault="009448BC" w:rsidP="00DE5F14">
            <w:pPr>
              <w:pStyle w:val="Tabletext"/>
              <w:rPr>
                <w:b/>
                <w:bCs w:val="0"/>
                <w:spacing w:val="2"/>
              </w:rPr>
            </w:pPr>
            <w:r w:rsidRPr="009448BC">
              <w:rPr>
                <w:b/>
                <w:bCs w:val="0"/>
              </w:rPr>
              <w:t xml:space="preserve">Develop a framework to help budget analysts apply </w:t>
            </w:r>
            <w:r w:rsidR="00DE7D2E">
              <w:rPr>
                <w:b/>
                <w:bCs w:val="0"/>
              </w:rPr>
              <w:t>c</w:t>
            </w:r>
            <w:r w:rsidRPr="009448BC">
              <w:rPr>
                <w:b/>
                <w:bCs w:val="0"/>
              </w:rPr>
              <w:t xml:space="preserve">ultural </w:t>
            </w:r>
            <w:r w:rsidR="00DE7D2E">
              <w:rPr>
                <w:b/>
                <w:bCs w:val="0"/>
              </w:rPr>
              <w:t>s</w:t>
            </w:r>
            <w:r w:rsidRPr="009448BC">
              <w:rPr>
                <w:b/>
                <w:bCs w:val="0"/>
              </w:rPr>
              <w:t xml:space="preserve">afety and </w:t>
            </w:r>
            <w:r w:rsidR="00DE7D2E">
              <w:rPr>
                <w:b/>
                <w:bCs w:val="0"/>
              </w:rPr>
              <w:t>s</w:t>
            </w:r>
            <w:r w:rsidRPr="009448BC">
              <w:rPr>
                <w:b/>
                <w:bCs w:val="0"/>
              </w:rPr>
              <w:t>elf-</w:t>
            </w:r>
            <w:r w:rsidR="00DE7D2E">
              <w:rPr>
                <w:b/>
                <w:bCs w:val="0"/>
              </w:rPr>
              <w:t>d</w:t>
            </w:r>
            <w:r w:rsidRPr="009448BC">
              <w:rPr>
                <w:b/>
                <w:bCs w:val="0"/>
              </w:rPr>
              <w:t>etermination principles to their work</w:t>
            </w:r>
          </w:p>
        </w:tc>
        <w:tc>
          <w:tcPr>
            <w:tcW w:w="3118" w:type="dxa"/>
            <w:tcBorders>
              <w:top w:val="nil"/>
              <w:left w:val="nil"/>
              <w:bottom w:val="single" w:sz="8" w:space="0" w:color="007DBE"/>
              <w:right w:val="nil"/>
            </w:tcBorders>
            <w:tcMar>
              <w:top w:w="0" w:type="dxa"/>
              <w:left w:w="57" w:type="dxa"/>
              <w:bottom w:w="0" w:type="dxa"/>
              <w:right w:w="57" w:type="dxa"/>
            </w:tcMar>
            <w:hideMark/>
          </w:tcPr>
          <w:p w14:paraId="51607B45" w14:textId="1882A6CF" w:rsidR="009448BC" w:rsidRPr="00A1009A" w:rsidRDefault="009448BC" w:rsidP="00DE5F14">
            <w:pPr>
              <w:pStyle w:val="Tabletext"/>
              <w:rPr>
                <w:spacing w:val="2"/>
              </w:rPr>
            </w:pPr>
            <w:r w:rsidRPr="00817786">
              <w:t xml:space="preserve">Preparation of guidance material to support budget analysts in identifying positive contributors towards </w:t>
            </w:r>
            <w:r w:rsidR="002F0381">
              <w:t>c</w:t>
            </w:r>
            <w:r w:rsidRPr="00817786">
              <w:t xml:space="preserve">ultural </w:t>
            </w:r>
            <w:r w:rsidR="002F0381">
              <w:t>s</w:t>
            </w:r>
            <w:r w:rsidRPr="00817786">
              <w:t xml:space="preserve">afety and Aboriginal </w:t>
            </w:r>
            <w:r w:rsidR="002F0381">
              <w:t>s</w:t>
            </w:r>
            <w:r w:rsidRPr="00817786">
              <w:t>elf-</w:t>
            </w:r>
            <w:r w:rsidR="002F0381">
              <w:t>d</w:t>
            </w:r>
            <w:r w:rsidRPr="00817786">
              <w:t>etermination through the budget process, consistent with the principles of the VAAF and SDRF.</w:t>
            </w:r>
          </w:p>
        </w:tc>
        <w:tc>
          <w:tcPr>
            <w:tcW w:w="1701" w:type="dxa"/>
            <w:tcBorders>
              <w:top w:val="nil"/>
              <w:left w:val="nil"/>
              <w:bottom w:val="single" w:sz="8" w:space="0" w:color="007DBE"/>
              <w:right w:val="nil"/>
            </w:tcBorders>
            <w:tcMar>
              <w:top w:w="0" w:type="dxa"/>
              <w:left w:w="57" w:type="dxa"/>
              <w:bottom w:w="0" w:type="dxa"/>
              <w:right w:w="57" w:type="dxa"/>
            </w:tcMar>
            <w:hideMark/>
          </w:tcPr>
          <w:p w14:paraId="7D65E1DA" w14:textId="7325583E" w:rsidR="009448BC" w:rsidRPr="00A1009A" w:rsidRDefault="009448BC" w:rsidP="00DE5F14">
            <w:pPr>
              <w:pStyle w:val="Tabletext"/>
              <w:rPr>
                <w:spacing w:val="2"/>
              </w:rPr>
            </w:pPr>
            <w:r w:rsidRPr="00817786">
              <w:t>People</w:t>
            </w:r>
          </w:p>
        </w:tc>
        <w:tc>
          <w:tcPr>
            <w:tcW w:w="2471" w:type="dxa"/>
            <w:tcBorders>
              <w:top w:val="nil"/>
              <w:left w:val="nil"/>
              <w:bottom w:val="single" w:sz="8" w:space="0" w:color="007DBE"/>
              <w:right w:val="nil"/>
            </w:tcBorders>
            <w:tcMar>
              <w:top w:w="0" w:type="dxa"/>
              <w:left w:w="57" w:type="dxa"/>
              <w:bottom w:w="0" w:type="dxa"/>
              <w:right w:w="57" w:type="dxa"/>
            </w:tcMar>
            <w:hideMark/>
          </w:tcPr>
          <w:p w14:paraId="48965597" w14:textId="31740CC5" w:rsidR="009448BC" w:rsidRPr="00A1009A" w:rsidRDefault="009448BC" w:rsidP="00DE5F14">
            <w:pPr>
              <w:pStyle w:val="Tabletext"/>
              <w:rPr>
                <w:spacing w:val="2"/>
              </w:rPr>
            </w:pPr>
            <w:r w:rsidRPr="00817786">
              <w:t xml:space="preserve">The framework is provided as part of the 2020-21 </w:t>
            </w:r>
            <w:r w:rsidR="00394E6E">
              <w:t>b</w:t>
            </w:r>
            <w:r w:rsidRPr="00817786">
              <w:t>udget, informing their review of business cases, and advice to Government</w:t>
            </w:r>
            <w:r w:rsidR="00E8799A">
              <w:t>.</w:t>
            </w:r>
          </w:p>
        </w:tc>
      </w:tr>
      <w:tr w:rsidR="009448BC" w14:paraId="4EFBB370" w14:textId="77777777" w:rsidTr="00DE5F14">
        <w:trPr>
          <w:cantSplit/>
        </w:trPr>
        <w:tc>
          <w:tcPr>
            <w:tcW w:w="2127" w:type="dxa"/>
            <w:tcBorders>
              <w:top w:val="nil"/>
              <w:left w:val="nil"/>
              <w:bottom w:val="single" w:sz="8" w:space="0" w:color="007DBE"/>
              <w:right w:val="nil"/>
            </w:tcBorders>
            <w:tcMar>
              <w:top w:w="0" w:type="dxa"/>
              <w:left w:w="57" w:type="dxa"/>
              <w:bottom w:w="0" w:type="dxa"/>
              <w:right w:w="57" w:type="dxa"/>
            </w:tcMar>
            <w:hideMark/>
          </w:tcPr>
          <w:p w14:paraId="22100068" w14:textId="6853942A" w:rsidR="009448BC" w:rsidRPr="009448BC" w:rsidRDefault="009448BC" w:rsidP="00DE5F14">
            <w:pPr>
              <w:pStyle w:val="Tabletext"/>
              <w:rPr>
                <w:b/>
                <w:bCs w:val="0"/>
                <w:spacing w:val="2"/>
              </w:rPr>
            </w:pPr>
            <w:r w:rsidRPr="009448BC">
              <w:rPr>
                <w:b/>
                <w:bCs w:val="0"/>
              </w:rPr>
              <w:t xml:space="preserve">Apply authoritative reports on Aboriginal </w:t>
            </w:r>
            <w:r w:rsidR="00DE7D2E">
              <w:rPr>
                <w:b/>
                <w:bCs w:val="0"/>
              </w:rPr>
              <w:t>a</w:t>
            </w:r>
            <w:r w:rsidRPr="009448BC">
              <w:rPr>
                <w:b/>
                <w:bCs w:val="0"/>
              </w:rPr>
              <w:t>ffairs to budget submission advice provided to Government</w:t>
            </w:r>
          </w:p>
        </w:tc>
        <w:tc>
          <w:tcPr>
            <w:tcW w:w="3118" w:type="dxa"/>
            <w:tcBorders>
              <w:top w:val="nil"/>
              <w:left w:val="nil"/>
              <w:bottom w:val="single" w:sz="8" w:space="0" w:color="007DBE"/>
              <w:right w:val="nil"/>
            </w:tcBorders>
            <w:tcMar>
              <w:top w:w="0" w:type="dxa"/>
              <w:left w:w="57" w:type="dxa"/>
              <w:bottom w:w="0" w:type="dxa"/>
              <w:right w:w="57" w:type="dxa"/>
            </w:tcMar>
            <w:hideMark/>
          </w:tcPr>
          <w:p w14:paraId="5AEC52B2" w14:textId="6C21C147" w:rsidR="009448BC" w:rsidRPr="00A1009A" w:rsidRDefault="009448BC" w:rsidP="00DE5F14">
            <w:pPr>
              <w:pStyle w:val="Tabletext"/>
              <w:rPr>
                <w:spacing w:val="2"/>
              </w:rPr>
            </w:pPr>
            <w:r w:rsidRPr="00817786">
              <w:t xml:space="preserve">Ensure advice to Government applies findings and recommendations from authoritative reports on Aboriginal </w:t>
            </w:r>
            <w:r w:rsidR="00E8799A">
              <w:t>a</w:t>
            </w:r>
            <w:r w:rsidRPr="00817786">
              <w:t>ffairs, including those related to service demand driven by Aboriginal population growth, and systematic responses to address this.</w:t>
            </w:r>
          </w:p>
        </w:tc>
        <w:tc>
          <w:tcPr>
            <w:tcW w:w="1701" w:type="dxa"/>
            <w:tcBorders>
              <w:top w:val="nil"/>
              <w:left w:val="nil"/>
              <w:bottom w:val="single" w:sz="8" w:space="0" w:color="007DBE"/>
              <w:right w:val="nil"/>
            </w:tcBorders>
            <w:tcMar>
              <w:top w:w="0" w:type="dxa"/>
              <w:left w:w="57" w:type="dxa"/>
              <w:bottom w:w="0" w:type="dxa"/>
              <w:right w:w="57" w:type="dxa"/>
            </w:tcMar>
            <w:hideMark/>
          </w:tcPr>
          <w:p w14:paraId="372D6A5B" w14:textId="37241D3D" w:rsidR="009448BC" w:rsidRPr="00A1009A" w:rsidRDefault="009448BC" w:rsidP="00DE5F14">
            <w:pPr>
              <w:pStyle w:val="Tabletext"/>
              <w:rPr>
                <w:spacing w:val="2"/>
              </w:rPr>
            </w:pPr>
            <w:r w:rsidRPr="00817786">
              <w:t>Systems</w:t>
            </w:r>
          </w:p>
        </w:tc>
        <w:tc>
          <w:tcPr>
            <w:tcW w:w="2471" w:type="dxa"/>
            <w:tcBorders>
              <w:top w:val="nil"/>
              <w:left w:val="nil"/>
              <w:bottom w:val="single" w:sz="8" w:space="0" w:color="007DBE"/>
              <w:right w:val="nil"/>
            </w:tcBorders>
            <w:tcMar>
              <w:top w:w="0" w:type="dxa"/>
              <w:left w:w="57" w:type="dxa"/>
              <w:bottom w:w="0" w:type="dxa"/>
              <w:right w:w="57" w:type="dxa"/>
            </w:tcMar>
            <w:hideMark/>
          </w:tcPr>
          <w:p w14:paraId="6455E9EA" w14:textId="4C1AB1F7" w:rsidR="009448BC" w:rsidRPr="00A1009A" w:rsidRDefault="009448BC" w:rsidP="00DE5F14">
            <w:pPr>
              <w:pStyle w:val="Tabletext"/>
              <w:rPr>
                <w:spacing w:val="2"/>
              </w:rPr>
            </w:pPr>
            <w:r w:rsidRPr="00817786">
              <w:t xml:space="preserve">Advice to Government as part of the 2020-21 </w:t>
            </w:r>
            <w:r w:rsidR="00394E6E">
              <w:t>b</w:t>
            </w:r>
            <w:r w:rsidRPr="00817786">
              <w:t>udget incorporates these findings and recommendations</w:t>
            </w:r>
            <w:r w:rsidR="00E8799A">
              <w:t>.</w:t>
            </w:r>
          </w:p>
        </w:tc>
      </w:tr>
      <w:tr w:rsidR="009448BC" w14:paraId="6E1FA175" w14:textId="77777777" w:rsidTr="00DE5F14">
        <w:trPr>
          <w:cantSplit/>
        </w:trPr>
        <w:tc>
          <w:tcPr>
            <w:tcW w:w="2127" w:type="dxa"/>
            <w:tcBorders>
              <w:top w:val="nil"/>
              <w:left w:val="nil"/>
              <w:bottom w:val="single" w:sz="8" w:space="0" w:color="007DBE"/>
              <w:right w:val="nil"/>
            </w:tcBorders>
            <w:tcMar>
              <w:top w:w="0" w:type="dxa"/>
              <w:left w:w="57" w:type="dxa"/>
              <w:bottom w:w="0" w:type="dxa"/>
              <w:right w:w="57" w:type="dxa"/>
            </w:tcMar>
            <w:hideMark/>
          </w:tcPr>
          <w:p w14:paraId="291FAC13" w14:textId="14EDEAF2" w:rsidR="009448BC" w:rsidRPr="009448BC" w:rsidRDefault="009448BC" w:rsidP="00DE5F14">
            <w:pPr>
              <w:pStyle w:val="Tabletext"/>
              <w:rPr>
                <w:b/>
                <w:bCs w:val="0"/>
                <w:spacing w:val="2"/>
              </w:rPr>
            </w:pPr>
            <w:r w:rsidRPr="009448BC">
              <w:rPr>
                <w:b/>
                <w:bCs w:val="0"/>
              </w:rPr>
              <w:lastRenderedPageBreak/>
              <w:t xml:space="preserve">Reduce the reporting burden on the Aboriginal </w:t>
            </w:r>
            <w:r>
              <w:rPr>
                <w:b/>
                <w:bCs w:val="0"/>
              </w:rPr>
              <w:t>c</w:t>
            </w:r>
            <w:r w:rsidRPr="009448BC">
              <w:rPr>
                <w:b/>
                <w:bCs w:val="0"/>
              </w:rPr>
              <w:t>ommunity</w:t>
            </w:r>
          </w:p>
        </w:tc>
        <w:tc>
          <w:tcPr>
            <w:tcW w:w="3118" w:type="dxa"/>
            <w:tcBorders>
              <w:top w:val="nil"/>
              <w:left w:val="nil"/>
              <w:bottom w:val="single" w:sz="8" w:space="0" w:color="007DBE"/>
              <w:right w:val="nil"/>
            </w:tcBorders>
            <w:tcMar>
              <w:top w:w="0" w:type="dxa"/>
              <w:left w:w="57" w:type="dxa"/>
              <w:bottom w:w="0" w:type="dxa"/>
              <w:right w:w="57" w:type="dxa"/>
            </w:tcMar>
            <w:hideMark/>
          </w:tcPr>
          <w:p w14:paraId="3F192D51" w14:textId="372A26C0" w:rsidR="009448BC" w:rsidRPr="00A1009A" w:rsidRDefault="009448BC" w:rsidP="00DE5F14">
            <w:pPr>
              <w:pStyle w:val="Tabletext"/>
              <w:rPr>
                <w:spacing w:val="2"/>
              </w:rPr>
            </w:pPr>
            <w:r w:rsidRPr="00817786">
              <w:t xml:space="preserve">Ensure initiatives funded through the 2020-21 </w:t>
            </w:r>
            <w:r w:rsidR="00394E6E">
              <w:t>b</w:t>
            </w:r>
            <w:r w:rsidRPr="00817786">
              <w:t xml:space="preserve">udget do not increase the overall reporting burden on the Aboriginal </w:t>
            </w:r>
            <w:r>
              <w:t>c</w:t>
            </w:r>
            <w:r w:rsidRPr="00817786">
              <w:t>ommunity.</w:t>
            </w:r>
          </w:p>
        </w:tc>
        <w:tc>
          <w:tcPr>
            <w:tcW w:w="1701" w:type="dxa"/>
            <w:tcBorders>
              <w:top w:val="nil"/>
              <w:left w:val="nil"/>
              <w:bottom w:val="single" w:sz="8" w:space="0" w:color="007DBE"/>
              <w:right w:val="nil"/>
            </w:tcBorders>
            <w:tcMar>
              <w:top w:w="0" w:type="dxa"/>
              <w:left w:w="57" w:type="dxa"/>
              <w:bottom w:w="0" w:type="dxa"/>
              <w:right w:w="57" w:type="dxa"/>
            </w:tcMar>
            <w:hideMark/>
          </w:tcPr>
          <w:p w14:paraId="43EC6327" w14:textId="45B437B1" w:rsidR="009448BC" w:rsidRPr="00A1009A" w:rsidRDefault="009448BC" w:rsidP="00DE5F14">
            <w:pPr>
              <w:pStyle w:val="Tabletext"/>
              <w:rPr>
                <w:spacing w:val="2"/>
              </w:rPr>
            </w:pPr>
            <w:r w:rsidRPr="00817786">
              <w:t>Outcomes</w:t>
            </w:r>
          </w:p>
        </w:tc>
        <w:tc>
          <w:tcPr>
            <w:tcW w:w="2471" w:type="dxa"/>
            <w:tcBorders>
              <w:top w:val="nil"/>
              <w:left w:val="nil"/>
              <w:bottom w:val="single" w:sz="8" w:space="0" w:color="007DBE"/>
              <w:right w:val="nil"/>
            </w:tcBorders>
            <w:tcMar>
              <w:top w:w="0" w:type="dxa"/>
              <w:left w:w="57" w:type="dxa"/>
              <w:bottom w:w="0" w:type="dxa"/>
              <w:right w:w="57" w:type="dxa"/>
            </w:tcMar>
            <w:hideMark/>
          </w:tcPr>
          <w:p w14:paraId="5EA4AA21" w14:textId="2D3B11ED" w:rsidR="009448BC" w:rsidRPr="00A1009A" w:rsidRDefault="009448BC" w:rsidP="00DE5F14">
            <w:pPr>
              <w:pStyle w:val="Tabletext"/>
              <w:rPr>
                <w:spacing w:val="2"/>
              </w:rPr>
            </w:pPr>
            <w:r w:rsidRPr="00817786">
              <w:t xml:space="preserve">Overall department mandated reporting for Aboriginal </w:t>
            </w:r>
            <w:r w:rsidR="00E8799A">
              <w:t>a</w:t>
            </w:r>
            <w:r w:rsidRPr="00817786">
              <w:t>ffairs initiatives does not increase and processes are streamlined to reduce duplicated requests.</w:t>
            </w:r>
          </w:p>
        </w:tc>
      </w:tr>
    </w:tbl>
    <w:p w14:paraId="1A4E21BB" w14:textId="4270C240" w:rsidR="00A1009A" w:rsidRDefault="00A1009A" w:rsidP="00A1009A"/>
    <w:p w14:paraId="15ECFEC6" w14:textId="6C44AB15" w:rsidR="008408D1" w:rsidRDefault="008408D1" w:rsidP="008408D1">
      <w:r w:rsidRPr="008408D1">
        <w:t xml:space="preserve">As at 1 May </w:t>
      </w:r>
      <w:r>
        <w:t xml:space="preserve">2020, </w:t>
      </w:r>
      <w:r w:rsidRPr="008408D1">
        <w:t>DTF has completed actions 1-4, and action 5 will be finalised as part of the 2020-21</w:t>
      </w:r>
      <w:r w:rsidRPr="008408D1">
        <w:rPr>
          <w:rFonts w:ascii="Cambria" w:hAnsi="Cambria" w:cs="Cambria"/>
        </w:rPr>
        <w:t> </w:t>
      </w:r>
      <w:r w:rsidR="00394E6E">
        <w:t>b</w:t>
      </w:r>
      <w:r w:rsidRPr="008408D1">
        <w:t xml:space="preserve">udget which has been deferred </w:t>
      </w:r>
      <w:r w:rsidRPr="008408D1">
        <w:rPr>
          <w:lang w:val="en-US"/>
        </w:rPr>
        <w:t xml:space="preserve">in line with all other Australian </w:t>
      </w:r>
      <w:r w:rsidR="006A7B60">
        <w:rPr>
          <w:lang w:val="en-US"/>
        </w:rPr>
        <w:t>g</w:t>
      </w:r>
      <w:r w:rsidRPr="008408D1">
        <w:rPr>
          <w:lang w:val="en-US"/>
        </w:rPr>
        <w:t>overnments due to the coronavirus pandemic</w:t>
      </w:r>
      <w:r>
        <w:rPr>
          <w:lang w:val="en-US"/>
        </w:rPr>
        <w:t>.</w:t>
      </w:r>
    </w:p>
    <w:p w14:paraId="7E8753C2" w14:textId="28A545AB" w:rsidR="00A1009A" w:rsidRDefault="00A1009A" w:rsidP="00A1009A"/>
    <w:p w14:paraId="676E8543" w14:textId="77777777" w:rsidR="00A1009A" w:rsidRPr="00A1009A" w:rsidRDefault="00A1009A" w:rsidP="00A1009A"/>
    <w:p w14:paraId="36FEAE02" w14:textId="77777777" w:rsidR="00C06836" w:rsidRDefault="00C06836">
      <w:pPr>
        <w:spacing w:after="0" w:line="240" w:lineRule="auto"/>
        <w:rPr>
          <w:rFonts w:asciiTheme="majorHAnsi" w:hAnsiTheme="majorHAnsi"/>
          <w:b/>
          <w:caps/>
          <w:color w:val="C95C1A"/>
          <w:sz w:val="48"/>
          <w:szCs w:val="52"/>
        </w:rPr>
      </w:pPr>
      <w:bookmarkStart w:id="116" w:name="_Toc41653105"/>
      <w:r>
        <w:br w:type="page"/>
      </w:r>
    </w:p>
    <w:p w14:paraId="6858FF96" w14:textId="77777777" w:rsidR="00C06836" w:rsidRDefault="00C06836">
      <w:pPr>
        <w:spacing w:after="0" w:line="240" w:lineRule="auto"/>
        <w:rPr>
          <w:rFonts w:asciiTheme="majorHAnsi" w:hAnsiTheme="majorHAnsi"/>
          <w:b/>
          <w:caps/>
          <w:color w:val="C95C1A"/>
          <w:sz w:val="48"/>
          <w:szCs w:val="52"/>
        </w:rPr>
      </w:pPr>
      <w:r>
        <w:lastRenderedPageBreak/>
        <w:br w:type="page"/>
      </w:r>
    </w:p>
    <w:p w14:paraId="749C3C56" w14:textId="6366585E" w:rsidR="00654BD7" w:rsidRDefault="00654BD7" w:rsidP="00654BD7">
      <w:pPr>
        <w:pStyle w:val="Heading1"/>
      </w:pPr>
      <w:r>
        <w:lastRenderedPageBreak/>
        <w:t>Reporting</w:t>
      </w:r>
      <w:bookmarkEnd w:id="115"/>
      <w:bookmarkEnd w:id="116"/>
    </w:p>
    <w:p w14:paraId="28C3B763" w14:textId="488CC568" w:rsidR="00654BD7" w:rsidRDefault="00654BD7" w:rsidP="00654BD7">
      <w:pPr>
        <w:spacing w:after="200"/>
      </w:pPr>
      <w:r>
        <w:t xml:space="preserve">This section notes the questions DTF </w:t>
      </w:r>
      <w:r w:rsidR="002C5772">
        <w:t xml:space="preserve">will </w:t>
      </w:r>
      <w:r>
        <w:t>be required to report against yearly fr</w:t>
      </w:r>
      <w:r w:rsidR="00AE3A82">
        <w:t>o</w:t>
      </w:r>
      <w:r>
        <w:t>m June</w:t>
      </w:r>
      <w:r w:rsidR="00AE3A82">
        <w:rPr>
          <w:rFonts w:ascii="Cambria" w:hAnsi="Cambria"/>
        </w:rPr>
        <w:t> </w:t>
      </w:r>
      <w:r>
        <w:t>2020.</w:t>
      </w:r>
    </w:p>
    <w:p w14:paraId="19392FAA" w14:textId="338E518F" w:rsidR="00654BD7" w:rsidRDefault="00654BD7" w:rsidP="00654BD7">
      <w:pPr>
        <w:spacing w:after="200"/>
        <w:rPr>
          <w:szCs w:val="20"/>
        </w:rPr>
      </w:pPr>
      <w:bookmarkStart w:id="117" w:name="_Toc25053509"/>
      <w:bookmarkStart w:id="118" w:name="_Toc24707752"/>
      <w:bookmarkStart w:id="119" w:name="_Toc32238817"/>
      <w:bookmarkStart w:id="120" w:name="_Toc32240777"/>
      <w:bookmarkStart w:id="121" w:name="_Toc32240797"/>
      <w:bookmarkStart w:id="122" w:name="_Toc32490415"/>
      <w:bookmarkStart w:id="123" w:name="_Toc37246856"/>
      <w:bookmarkStart w:id="124" w:name="_Toc37254983"/>
      <w:bookmarkStart w:id="125" w:name="_Toc37255121"/>
      <w:bookmarkStart w:id="126" w:name="_Toc41653106"/>
      <w:bookmarkStart w:id="127" w:name="_Hlk33200089"/>
      <w:r>
        <w:rPr>
          <w:rStyle w:val="Heading2Char"/>
        </w:rPr>
        <w:t>Section 1</w:t>
      </w:r>
      <w:r w:rsidR="000B0889">
        <w:rPr>
          <w:rStyle w:val="Heading2Char"/>
        </w:rPr>
        <w:t>:</w:t>
      </w:r>
      <w:r>
        <w:rPr>
          <w:rStyle w:val="Heading2Char"/>
        </w:rPr>
        <w:t xml:space="preserve"> Self-determination</w:t>
      </w:r>
      <w:bookmarkEnd w:id="117"/>
      <w:bookmarkEnd w:id="118"/>
      <w:bookmarkEnd w:id="119"/>
      <w:bookmarkEnd w:id="120"/>
      <w:bookmarkEnd w:id="121"/>
      <w:bookmarkEnd w:id="122"/>
      <w:bookmarkEnd w:id="123"/>
      <w:bookmarkEnd w:id="124"/>
      <w:bookmarkEnd w:id="125"/>
      <w:bookmarkEnd w:id="126"/>
    </w:p>
    <w:p w14:paraId="41E65836" w14:textId="77777777" w:rsidR="00654BD7" w:rsidRDefault="00654BD7" w:rsidP="00654BD7">
      <w:pPr>
        <w:spacing w:after="200"/>
      </w:pPr>
      <w:r>
        <w:t xml:space="preserve">What do you say publicly about your commitment to self-determination? </w:t>
      </w:r>
    </w:p>
    <w:p w14:paraId="3CD2E616" w14:textId="77777777" w:rsidR="00654BD7" w:rsidRDefault="00654BD7" w:rsidP="00654BD7">
      <w:pPr>
        <w:spacing w:after="200"/>
      </w:pPr>
      <w:r>
        <w:t>How do you ensure the systematic application of the self-determination guiding principles in the development of policy, programs and initiatives?</w:t>
      </w:r>
    </w:p>
    <w:p w14:paraId="01D1A500" w14:textId="6F26F8D8" w:rsidR="00654BD7" w:rsidRDefault="00654BD7" w:rsidP="00654BD7">
      <w:pPr>
        <w:spacing w:after="200"/>
      </w:pPr>
      <w:r>
        <w:t xml:space="preserve">Do you have examples or case studies of approaches that have enabled or hindered enabling self-determination across the </w:t>
      </w:r>
      <w:r w:rsidR="00E62F05">
        <w:t>D</w:t>
      </w:r>
      <w:r>
        <w:t>epartment?</w:t>
      </w:r>
    </w:p>
    <w:p w14:paraId="62B39DA8" w14:textId="03C0F055" w:rsidR="00654BD7" w:rsidRDefault="00654BD7" w:rsidP="00654BD7">
      <w:pPr>
        <w:spacing w:after="200"/>
        <w:rPr>
          <w:rStyle w:val="Heading2Char"/>
        </w:rPr>
      </w:pPr>
      <w:bookmarkStart w:id="128" w:name="_Toc25053510"/>
      <w:bookmarkStart w:id="129" w:name="_Toc24707753"/>
      <w:bookmarkStart w:id="130" w:name="_Toc32238818"/>
      <w:bookmarkStart w:id="131" w:name="_Toc32240778"/>
      <w:bookmarkStart w:id="132" w:name="_Toc32240798"/>
      <w:bookmarkStart w:id="133" w:name="_Toc32490416"/>
      <w:bookmarkStart w:id="134" w:name="_Toc37246857"/>
      <w:bookmarkStart w:id="135" w:name="_Toc37254984"/>
      <w:bookmarkStart w:id="136" w:name="_Toc37255122"/>
      <w:bookmarkStart w:id="137" w:name="_Toc41653107"/>
      <w:r>
        <w:rPr>
          <w:rStyle w:val="Heading2Char"/>
        </w:rPr>
        <w:t>Section 2</w:t>
      </w:r>
      <w:r w:rsidR="000B0889">
        <w:rPr>
          <w:rStyle w:val="Heading2Char"/>
        </w:rPr>
        <w:t>:</w:t>
      </w:r>
      <w:r>
        <w:rPr>
          <w:rStyle w:val="Heading2Char"/>
        </w:rPr>
        <w:t xml:space="preserve"> Actions – </w:t>
      </w:r>
      <w:r w:rsidR="00005C0E">
        <w:rPr>
          <w:rStyle w:val="Heading2Char"/>
        </w:rPr>
        <w:t>W</w:t>
      </w:r>
      <w:r>
        <w:rPr>
          <w:rStyle w:val="Heading2Char"/>
        </w:rPr>
        <w:t>hole of government and departmental</w:t>
      </w:r>
      <w:bookmarkEnd w:id="128"/>
      <w:bookmarkEnd w:id="129"/>
      <w:bookmarkEnd w:id="130"/>
      <w:bookmarkEnd w:id="131"/>
      <w:bookmarkEnd w:id="132"/>
      <w:bookmarkEnd w:id="133"/>
      <w:bookmarkEnd w:id="134"/>
      <w:bookmarkEnd w:id="135"/>
      <w:bookmarkEnd w:id="136"/>
      <w:bookmarkEnd w:id="137"/>
    </w:p>
    <w:p w14:paraId="1FB419C4" w14:textId="4E2B8132" w:rsidR="00654BD7" w:rsidRDefault="00654BD7" w:rsidP="00654BD7">
      <w:pPr>
        <w:spacing w:after="200"/>
        <w:rPr>
          <w:szCs w:val="20"/>
        </w:rPr>
      </w:pPr>
      <w:r>
        <w:t xml:space="preserve">What actions is the </w:t>
      </w:r>
      <w:r w:rsidR="00E8799A">
        <w:t>D</w:t>
      </w:r>
      <w:r>
        <w:t>epartment currently undertaking to achieve the goal?</w:t>
      </w:r>
    </w:p>
    <w:p w14:paraId="5B4D359D" w14:textId="4195941D" w:rsidR="00654BD7" w:rsidRDefault="00654BD7" w:rsidP="00654BD7">
      <w:pPr>
        <w:spacing w:after="200"/>
      </w:pPr>
      <w:r>
        <w:t xml:space="preserve">What outcomes has the </w:t>
      </w:r>
      <w:r w:rsidR="00E62F05">
        <w:t>De</w:t>
      </w:r>
      <w:r>
        <w:t>partment seen because of these actions?</w:t>
      </w:r>
    </w:p>
    <w:p w14:paraId="3C0EB7D4" w14:textId="0115798A" w:rsidR="00654BD7" w:rsidRDefault="00654BD7" w:rsidP="00117C3E">
      <w:pPr>
        <w:tabs>
          <w:tab w:val="left" w:pos="7470"/>
        </w:tabs>
        <w:spacing w:after="200"/>
      </w:pPr>
      <w:r>
        <w:t xml:space="preserve">How can the </w:t>
      </w:r>
      <w:r w:rsidR="00E8799A">
        <w:t>D</w:t>
      </w:r>
      <w:r>
        <w:t>epartment improve its actions to achieve the goal?</w:t>
      </w:r>
      <w:bookmarkEnd w:id="127"/>
    </w:p>
    <w:p w14:paraId="2FE45B08" w14:textId="77777777" w:rsidR="00DE5F14" w:rsidRDefault="00DE5F14" w:rsidP="00117C3E">
      <w:pPr>
        <w:tabs>
          <w:tab w:val="left" w:pos="7470"/>
        </w:tabs>
        <w:spacing w:after="200"/>
      </w:pPr>
    </w:p>
    <w:p w14:paraId="7CCCCDCB" w14:textId="77777777" w:rsidR="00117C3E" w:rsidRDefault="00117C3E" w:rsidP="000B0889">
      <w:pPr>
        <w:tabs>
          <w:tab w:val="left" w:pos="7470"/>
        </w:tabs>
        <w:spacing w:after="200"/>
        <w:sectPr w:rsidR="00117C3E" w:rsidSect="00C06836">
          <w:footerReference w:type="even" r:id="rId19"/>
          <w:footerReference w:type="default" r:id="rId20"/>
          <w:headerReference w:type="first" r:id="rId21"/>
          <w:footerReference w:type="first" r:id="rId22"/>
          <w:type w:val="oddPage"/>
          <w:pgSz w:w="11909" w:h="16834" w:code="9"/>
          <w:pgMar w:top="1729" w:right="1440" w:bottom="1729" w:left="1440" w:header="709" w:footer="289" w:gutter="0"/>
          <w:pgNumType w:start="1"/>
          <w:cols w:space="180"/>
          <w:docGrid w:linePitch="360"/>
        </w:sectPr>
      </w:pPr>
    </w:p>
    <w:p w14:paraId="55CCEB6E" w14:textId="71845564" w:rsidR="000B0889" w:rsidRDefault="000B0889" w:rsidP="000B0889">
      <w:pPr>
        <w:tabs>
          <w:tab w:val="left" w:pos="7470"/>
        </w:tabs>
        <w:spacing w:after="200"/>
      </w:pPr>
    </w:p>
    <w:p w14:paraId="0E8F075C" w14:textId="77777777" w:rsidR="00654BD7" w:rsidRDefault="00654BD7" w:rsidP="00F5024F"/>
    <w:sectPr w:rsidR="00654BD7" w:rsidSect="00117C3E">
      <w:headerReference w:type="even" r:id="rId23"/>
      <w:footerReference w:type="even" r:id="rId24"/>
      <w:type w:val="evenPage"/>
      <w:pgSz w:w="11909" w:h="16834" w:code="9"/>
      <w:pgMar w:top="1728" w:right="1440" w:bottom="1728" w:left="1440" w:header="706" w:footer="288" w:gutter="0"/>
      <w:pgNumType w:start="1"/>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68665" w14:textId="77777777" w:rsidR="00754291" w:rsidRDefault="00754291" w:rsidP="00A45D7D">
      <w:r>
        <w:separator/>
      </w:r>
    </w:p>
  </w:endnote>
  <w:endnote w:type="continuationSeparator" w:id="0">
    <w:p w14:paraId="5239A53E" w14:textId="77777777" w:rsidR="00754291" w:rsidRDefault="00754291" w:rsidP="00A4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IC SemiBold">
    <w:panose1 w:val="000007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948E0" w14:textId="0972E98A" w:rsidR="00FE696C" w:rsidRPr="00D00461" w:rsidRDefault="00FE696C" w:rsidP="000665EA">
    <w:pPr>
      <w:pStyle w:val="Footer"/>
      <w:ind w:left="-360"/>
      <w:rPr>
        <w:color w:val="auto"/>
      </w:rPr>
    </w:pPr>
    <w:r>
      <w:rPr>
        <w:noProof/>
        <w:lang w:eastAsia="en-AU"/>
      </w:rPr>
      <w:drawing>
        <wp:inline distT="0" distB="0" distL="0" distR="0" wp14:anchorId="64E8D846" wp14:editId="187619A5">
          <wp:extent cx="1531765" cy="457200"/>
          <wp:effectExtent l="0" t="0" r="0" b="0"/>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t\AppData\Local\Temp\7zE571E.tmp\(DTF) Insignia PMS541 Right Aligned.jpg"/>
                  <pic:cNvPicPr>
                    <a:picLocks noChangeAspect="1" noChangeArrowheads="1"/>
                  </pic:cNvPicPr>
                </pic:nvPicPr>
                <pic:blipFill>
                  <a:blip r:embed="rId1"/>
                  <a:stretch>
                    <a:fillRect/>
                  </a:stretch>
                </pic:blipFill>
                <pic:spPr bwMode="auto">
                  <a:xfrm>
                    <a:off x="0" y="0"/>
                    <a:ext cx="1531765" cy="457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22251" w14:textId="6DA1309C" w:rsidR="00F70034" w:rsidRPr="00383066" w:rsidRDefault="00367E11" w:rsidP="00070545">
    <w:pPr>
      <w:tabs>
        <w:tab w:val="right" w:pos="9270"/>
      </w:tabs>
      <w:jc w:val="right"/>
    </w:pPr>
    <w:r w:rsidRPr="00F5325D">
      <w:rPr>
        <w:caps/>
        <w:color w:val="0072CE"/>
      </w:rPr>
      <w:t>Advancing self-determination in DTF</w:t>
    </w:r>
    <w:r w:rsidRPr="00A247E3">
      <w:rPr>
        <w:caps/>
      </w:rPr>
      <w:t xml:space="preserve">     </w:t>
    </w:r>
    <w:r w:rsidR="008136D3" w:rsidRPr="00F70034">
      <w:rPr>
        <w:sz w:val="24"/>
      </w:rPr>
      <w:fldChar w:fldCharType="begin"/>
    </w:r>
    <w:r w:rsidR="008136D3" w:rsidRPr="00F70034">
      <w:rPr>
        <w:sz w:val="24"/>
      </w:rPr>
      <w:instrText xml:space="preserve"> PAGE </w:instrText>
    </w:r>
    <w:r w:rsidR="008136D3" w:rsidRPr="00F70034">
      <w:rPr>
        <w:sz w:val="24"/>
      </w:rPr>
      <w:fldChar w:fldCharType="separate"/>
    </w:r>
    <w:r w:rsidR="008136D3">
      <w:rPr>
        <w:noProof/>
        <w:sz w:val="24"/>
      </w:rPr>
      <w:t>i</w:t>
    </w:r>
    <w:r w:rsidR="008136D3" w:rsidRPr="00F70034">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1E537" w14:textId="47E70472" w:rsidR="00367E11" w:rsidRPr="00383066" w:rsidRDefault="00367E11" w:rsidP="00070545">
    <w:pPr>
      <w:pStyle w:val="Footer"/>
      <w:spacing w:after="120"/>
    </w:pPr>
    <w:r w:rsidRPr="00367E11">
      <w:rPr>
        <w:color w:val="auto"/>
        <w:sz w:val="24"/>
      </w:rPr>
      <w:fldChar w:fldCharType="begin"/>
    </w:r>
    <w:r w:rsidRPr="00367E11">
      <w:rPr>
        <w:color w:val="auto"/>
        <w:sz w:val="24"/>
      </w:rPr>
      <w:instrText xml:space="preserve"> PAGE </w:instrText>
    </w:r>
    <w:r w:rsidRPr="00367E11">
      <w:rPr>
        <w:color w:val="auto"/>
        <w:sz w:val="24"/>
      </w:rPr>
      <w:fldChar w:fldCharType="separate"/>
    </w:r>
    <w:r w:rsidRPr="00367E11">
      <w:rPr>
        <w:color w:val="auto"/>
        <w:sz w:val="24"/>
      </w:rPr>
      <w:t>2</w:t>
    </w:r>
    <w:r w:rsidRPr="00367E11">
      <w:rPr>
        <w:color w:val="auto"/>
        <w:sz w:val="24"/>
      </w:rPr>
      <w:fldChar w:fldCharType="end"/>
    </w:r>
    <w:r w:rsidRPr="00F5325D">
      <w:rPr>
        <w:color w:val="0072CE"/>
      </w:rPr>
      <w:t xml:space="preserve">      Advancing self-determination in DTF</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2A504" w14:textId="5BD2C46F" w:rsidR="00367E11" w:rsidRPr="00383066" w:rsidRDefault="00367E11" w:rsidP="00070545">
    <w:pPr>
      <w:pStyle w:val="Footer"/>
      <w:spacing w:after="120"/>
      <w:jc w:val="right"/>
    </w:pPr>
    <w:r w:rsidRPr="00F5325D">
      <w:rPr>
        <w:color w:val="0072CE"/>
      </w:rPr>
      <w:t>Advancing self-determination in DTF</w:t>
    </w:r>
    <w:r w:rsidRPr="00771656">
      <w:rPr>
        <w:color w:val="auto"/>
      </w:rPr>
      <w:t xml:space="preserve">     </w:t>
    </w:r>
    <w:r w:rsidRPr="007A23A3">
      <w:rPr>
        <w:color w:val="auto"/>
        <w:sz w:val="24"/>
      </w:rPr>
      <w:fldChar w:fldCharType="begin"/>
    </w:r>
    <w:r w:rsidRPr="007A23A3">
      <w:rPr>
        <w:color w:val="auto"/>
        <w:sz w:val="24"/>
      </w:rPr>
      <w:instrText xml:space="preserve"> PAGE </w:instrText>
    </w:r>
    <w:r w:rsidRPr="007A23A3">
      <w:rPr>
        <w:color w:val="auto"/>
        <w:sz w:val="24"/>
      </w:rPr>
      <w:fldChar w:fldCharType="separate"/>
    </w:r>
    <w:r w:rsidRPr="007A23A3">
      <w:rPr>
        <w:noProof/>
        <w:color w:val="auto"/>
        <w:sz w:val="24"/>
      </w:rPr>
      <w:t>i</w:t>
    </w:r>
    <w:r w:rsidRPr="007A23A3">
      <w:rPr>
        <w:color w:val="auto"/>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5F329" w14:textId="23CFB1AE" w:rsidR="00FE696C" w:rsidRPr="00680B61" w:rsidRDefault="00D13816" w:rsidP="00367E11">
    <w:pPr>
      <w:pStyle w:val="Footer"/>
    </w:pPr>
    <w:r>
      <w:rPr>
        <w:noProof/>
      </w:rPr>
      <mc:AlternateContent>
        <mc:Choice Requires="wps">
          <w:drawing>
            <wp:anchor distT="0" distB="0" distL="114300" distR="114300" simplePos="1" relativeHeight="251664896" behindDoc="0" locked="0" layoutInCell="0" allowOverlap="1" wp14:anchorId="71E01F00" wp14:editId="557A8D0E">
              <wp:simplePos x="0" y="10232390"/>
              <wp:positionH relativeFrom="page">
                <wp:posOffset>0</wp:posOffset>
              </wp:positionH>
              <wp:positionV relativeFrom="page">
                <wp:posOffset>10232390</wp:posOffset>
              </wp:positionV>
              <wp:extent cx="7562215" cy="266700"/>
              <wp:effectExtent l="0" t="0" r="0" b="0"/>
              <wp:wrapNone/>
              <wp:docPr id="13" name="MSIPCMdb0b48ba8202cf3af84117a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2567A0" w14:textId="14AE5957" w:rsidR="00D13816" w:rsidRPr="00D13816" w:rsidRDefault="00D13816" w:rsidP="00D13816">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E01F00" id="_x0000_t202" coordsize="21600,21600" o:spt="202" path="m,l,21600r21600,l21600,xe">
              <v:stroke joinstyle="miter"/>
              <v:path gradientshapeok="t" o:connecttype="rect"/>
            </v:shapetype>
            <v:shape id="MSIPCMdb0b48ba8202cf3af84117a5" o:spid="_x0000_s1033" type="#_x0000_t202" style="position:absolute;margin-left:0;margin-top:805.7pt;width:595.45pt;height:21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" o:allowincell="f" filled="f" stroked="f" strokeweight=".5pt">
              <v:textbox inset="20pt,0,,0">
                <w:txbxContent>
                  <w:p w14:paraId="592567A0" w14:textId="14AE5957" w:rsidR="00D13816" w:rsidRPr="00D13816" w:rsidRDefault="00D13816" w:rsidP="00D13816">
                    <w:pPr>
                      <w:spacing w:after="0"/>
                      <w:rPr>
                        <w:rFonts w:ascii="Calibri" w:hAnsi="Calibri" w:cs="Calibri"/>
                        <w:color w:val="000000"/>
                        <w:sz w:val="22"/>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BEE9A" w14:textId="77777777" w:rsidR="00117C3E" w:rsidRPr="00117C3E" w:rsidRDefault="00117C3E" w:rsidP="00117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66DA6" w14:textId="77777777" w:rsidR="00754291" w:rsidRDefault="00754291" w:rsidP="00A45D7D">
      <w:r>
        <w:separator/>
      </w:r>
    </w:p>
  </w:footnote>
  <w:footnote w:type="continuationSeparator" w:id="0">
    <w:p w14:paraId="5BB21FB8" w14:textId="77777777" w:rsidR="00754291" w:rsidRDefault="00754291" w:rsidP="00A45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FEB10" w14:textId="5F76065B" w:rsidR="00467647" w:rsidRDefault="00467647">
    <w:pPr>
      <w:pStyle w:val="Header"/>
    </w:pPr>
    <w:r>
      <w:rPr>
        <w:noProof/>
      </w:rPr>
      <w:drawing>
        <wp:anchor distT="0" distB="0" distL="114300" distR="114300" simplePos="0" relativeHeight="251666944" behindDoc="1" locked="0" layoutInCell="1" allowOverlap="1" wp14:anchorId="4DDEC3C6" wp14:editId="4D852407">
          <wp:simplePos x="0" y="0"/>
          <wp:positionH relativeFrom="page">
            <wp:align>left</wp:align>
          </wp:positionH>
          <wp:positionV relativeFrom="paragraph">
            <wp:posOffset>-448471</wp:posOffset>
          </wp:positionV>
          <wp:extent cx="7562088" cy="10692788"/>
          <wp:effectExtent l="0" t="0" r="1270" b="0"/>
          <wp:wrapNone/>
          <wp:docPr id="44" name="Picture 44" descr="A picture containing table,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DTF COVERS March 20-01.png"/>
                  <pic:cNvPicPr/>
                </pic:nvPicPr>
                <pic:blipFill>
                  <a:blip r:embed="rId1" cstate="screen">
                    <a:extLst>
                      <a:ext uri="{28A0092B-C50C-407E-A947-70E740481C1C}">
                        <a14:useLocalDpi xmlns:a14="http://schemas.microsoft.com/office/drawing/2010/main"/>
                      </a:ext>
                    </a:extLst>
                  </a:blip>
                  <a:stretch>
                    <a:fillRect/>
                  </a:stretch>
                </pic:blipFill>
                <pic:spPr>
                  <a:xfrm>
                    <a:off x="0" y="0"/>
                    <a:ext cx="7561531"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AEF86" w14:textId="77777777" w:rsidR="00F70034" w:rsidRDefault="00F700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5EB7D" w14:textId="77777777" w:rsidR="00367E11" w:rsidRDefault="00367E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F3122" w14:textId="69C43B9E" w:rsidR="00117C3E" w:rsidRDefault="00467647">
    <w:pPr>
      <w:pStyle w:val="Header"/>
    </w:pPr>
    <w:r>
      <w:rPr>
        <w:noProof/>
      </w:rPr>
      <w:drawing>
        <wp:anchor distT="0" distB="0" distL="114300" distR="114300" simplePos="0" relativeHeight="251665920" behindDoc="1" locked="0" layoutInCell="1" allowOverlap="1" wp14:anchorId="28300DD7" wp14:editId="07C3FEA8">
          <wp:simplePos x="0" y="0"/>
          <wp:positionH relativeFrom="page">
            <wp:align>left</wp:align>
          </wp:positionH>
          <wp:positionV relativeFrom="paragraph">
            <wp:posOffset>-448471</wp:posOffset>
          </wp:positionV>
          <wp:extent cx="7596035" cy="10740788"/>
          <wp:effectExtent l="0" t="0" r="5080" b="381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DTF COVERS March 20-02.png"/>
                  <pic:cNvPicPr/>
                </pic:nvPicPr>
                <pic:blipFill>
                  <a:blip r:embed="rId1" cstate="screen">
                    <a:extLst>
                      <a:ext uri="{28A0092B-C50C-407E-A947-70E740481C1C}">
                        <a14:useLocalDpi xmlns:a14="http://schemas.microsoft.com/office/drawing/2010/main"/>
                      </a:ext>
                    </a:extLst>
                  </a:blip>
                  <a:stretch>
                    <a:fillRect/>
                  </a:stretch>
                </pic:blipFill>
                <pic:spPr>
                  <a:xfrm>
                    <a:off x="0" y="0"/>
                    <a:ext cx="7605386" cy="1075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4687"/>
    <w:multiLevelType w:val="hybridMultilevel"/>
    <w:tmpl w:val="C1DA6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16280"/>
    <w:multiLevelType w:val="hybridMultilevel"/>
    <w:tmpl w:val="4E0ED7D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79E3C7F"/>
    <w:multiLevelType w:val="hybridMultilevel"/>
    <w:tmpl w:val="0D00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04AA5"/>
    <w:multiLevelType w:val="hybridMultilevel"/>
    <w:tmpl w:val="1982EF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CA05124"/>
    <w:multiLevelType w:val="hybridMultilevel"/>
    <w:tmpl w:val="99C6DD78"/>
    <w:lvl w:ilvl="0" w:tplc="FAB6ACC4">
      <w:start w:val="1"/>
      <w:numFmt w:val="lowerLetter"/>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2A7503"/>
    <w:multiLevelType w:val="hybridMultilevel"/>
    <w:tmpl w:val="C660E158"/>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start w:val="1"/>
      <w:numFmt w:val="decimal"/>
      <w:lvlText w:val="%7."/>
      <w:lvlJc w:val="left"/>
      <w:pPr>
        <w:ind w:left="4822" w:hanging="360"/>
      </w:pPr>
    </w:lvl>
    <w:lvl w:ilvl="7" w:tplc="0C090019">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6" w15:restartNumberingAfterBreak="0">
    <w:nsid w:val="228A32F6"/>
    <w:multiLevelType w:val="hybridMultilevel"/>
    <w:tmpl w:val="89AE42AE"/>
    <w:lvl w:ilvl="0" w:tplc="8D50B71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5072B"/>
    <w:multiLevelType w:val="hybridMultilevel"/>
    <w:tmpl w:val="60DC61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18F03DC"/>
    <w:multiLevelType w:val="hybridMultilevel"/>
    <w:tmpl w:val="664622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6133AAF"/>
    <w:multiLevelType w:val="hybridMultilevel"/>
    <w:tmpl w:val="037AB326"/>
    <w:lvl w:ilvl="0" w:tplc="6AA6B86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1975A2"/>
    <w:multiLevelType w:val="hybridMultilevel"/>
    <w:tmpl w:val="7528F3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E9352C"/>
    <w:multiLevelType w:val="hybridMultilevel"/>
    <w:tmpl w:val="170CA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5843DA"/>
    <w:multiLevelType w:val="hybridMultilevel"/>
    <w:tmpl w:val="AA283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6717AD6"/>
    <w:multiLevelType w:val="hybridMultilevel"/>
    <w:tmpl w:val="549C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362B1"/>
    <w:multiLevelType w:val="hybridMultilevel"/>
    <w:tmpl w:val="99AE4948"/>
    <w:lvl w:ilvl="0" w:tplc="AB729E5E">
      <w:start w:val="1"/>
      <w:numFmt w:val="bullet"/>
      <w:pStyle w:val="Body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D855AF"/>
    <w:multiLevelType w:val="hybridMultilevel"/>
    <w:tmpl w:val="CE682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E6F784F"/>
    <w:multiLevelType w:val="hybridMultilevel"/>
    <w:tmpl w:val="8F88C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35F536D"/>
    <w:multiLevelType w:val="hybridMultilevel"/>
    <w:tmpl w:val="ACA6D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E52978"/>
    <w:multiLevelType w:val="hybridMultilevel"/>
    <w:tmpl w:val="B548434A"/>
    <w:lvl w:ilvl="0" w:tplc="BC48C702">
      <w:start w:val="1"/>
      <w:numFmt w:val="decimal"/>
      <w:lvlText w:val="%1."/>
      <w:lvlJc w:val="left"/>
      <w:pPr>
        <w:ind w:left="720" w:hanging="360"/>
      </w:pPr>
      <w:rPr>
        <w:rFonts w:asciiTheme="minorHAnsi" w:eastAsiaTheme="minorEastAsia" w:hAnsiTheme="minorHAnsi" w:cstheme="minorBid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A7E12E5"/>
    <w:multiLevelType w:val="hybridMultilevel"/>
    <w:tmpl w:val="EDFA2F36"/>
    <w:lvl w:ilvl="0" w:tplc="1674E718">
      <w:start w:val="1"/>
      <w:numFmt w:val="decimal"/>
      <w:pStyle w:val="Numpara"/>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3"/>
  </w:num>
  <w:num w:numId="2">
    <w:abstractNumId w:val="6"/>
  </w:num>
  <w:num w:numId="3">
    <w:abstractNumId w:val="2"/>
  </w:num>
  <w:num w:numId="4">
    <w:abstractNumId w:val="4"/>
  </w:num>
  <w:num w:numId="5">
    <w:abstractNumId w:val="1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lvlOverride w:ilvl="2"/>
    <w:lvlOverride w:ilvl="3"/>
    <w:lvlOverride w:ilvl="4"/>
    <w:lvlOverride w:ilvl="5"/>
    <w:lvlOverride w:ilvl="6"/>
    <w:lvlOverride w:ilvl="7"/>
    <w:lvlOverride w:ilvl="8"/>
  </w:num>
  <w:num w:numId="13">
    <w:abstractNumId w:val="19"/>
  </w:num>
  <w:num w:numId="14">
    <w:abstractNumId w:val="18"/>
  </w:num>
  <w:num w:numId="15">
    <w:abstractNumId w:val="19"/>
    <w:lvlOverride w:ilvl="0">
      <w:startOverride w:val="1"/>
    </w:lvlOverride>
  </w:num>
  <w:num w:numId="16">
    <w:abstractNumId w:val="8"/>
  </w:num>
  <w:num w:numId="17">
    <w:abstractNumId w:val="15"/>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14"/>
  </w:num>
  <w:num w:numId="22">
    <w:abstractNumId w:val="16"/>
  </w:num>
  <w:num w:numId="23">
    <w:abstractNumId w:val="12"/>
  </w:num>
  <w:num w:numId="24">
    <w:abstractNumId w:val="7"/>
  </w:num>
  <w:num w:numId="25">
    <w:abstractNumId w:val="7"/>
  </w:num>
  <w:num w:numId="26">
    <w:abstractNumId w:val="11"/>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num>
  <w:num w:numId="32">
    <w:abstractNumId w:val="19"/>
    <w:lvlOverride w:ilvl="0">
      <w:startOverride w:val="1"/>
    </w:lvlOverride>
  </w:num>
  <w:num w:numId="33">
    <w:abstractNumId w:val="19"/>
    <w:lvlOverride w:ilvl="0">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num>
  <w:num w:numId="40">
    <w:abstractNumId w:val="0"/>
  </w:num>
  <w:num w:numId="41">
    <w:abstractNumId w:val="17"/>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removePersonalInformation/>
  <w:removeDateAndTime/>
  <w:proofState w:spelling="clean" w:grammar="clean"/>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06"/>
    <w:rsid w:val="00000273"/>
    <w:rsid w:val="00002DA2"/>
    <w:rsid w:val="00005C0E"/>
    <w:rsid w:val="00020DAD"/>
    <w:rsid w:val="00025036"/>
    <w:rsid w:val="00026FAC"/>
    <w:rsid w:val="00050748"/>
    <w:rsid w:val="000539EF"/>
    <w:rsid w:val="00064F48"/>
    <w:rsid w:val="00065984"/>
    <w:rsid w:val="000665EA"/>
    <w:rsid w:val="00070545"/>
    <w:rsid w:val="00081600"/>
    <w:rsid w:val="00082BAA"/>
    <w:rsid w:val="00083C34"/>
    <w:rsid w:val="000867C9"/>
    <w:rsid w:val="000A0C0E"/>
    <w:rsid w:val="000A47AA"/>
    <w:rsid w:val="000B0889"/>
    <w:rsid w:val="000B3E52"/>
    <w:rsid w:val="000B5B38"/>
    <w:rsid w:val="000C5597"/>
    <w:rsid w:val="000C7D9F"/>
    <w:rsid w:val="000D3A7C"/>
    <w:rsid w:val="000E0AC4"/>
    <w:rsid w:val="000E1AC9"/>
    <w:rsid w:val="000E214F"/>
    <w:rsid w:val="000E5C6B"/>
    <w:rsid w:val="000E742C"/>
    <w:rsid w:val="000F6E61"/>
    <w:rsid w:val="00101796"/>
    <w:rsid w:val="001070A9"/>
    <w:rsid w:val="0011588D"/>
    <w:rsid w:val="00117C3E"/>
    <w:rsid w:val="00122A04"/>
    <w:rsid w:val="0013502F"/>
    <w:rsid w:val="0014178A"/>
    <w:rsid w:val="001602A6"/>
    <w:rsid w:val="001706EC"/>
    <w:rsid w:val="00170898"/>
    <w:rsid w:val="00183E0B"/>
    <w:rsid w:val="001853E3"/>
    <w:rsid w:val="00187A96"/>
    <w:rsid w:val="00194F4A"/>
    <w:rsid w:val="00195E0A"/>
    <w:rsid w:val="00197110"/>
    <w:rsid w:val="001B305D"/>
    <w:rsid w:val="001C2198"/>
    <w:rsid w:val="001D216E"/>
    <w:rsid w:val="001E2D29"/>
    <w:rsid w:val="001F0DCD"/>
    <w:rsid w:val="001F14DF"/>
    <w:rsid w:val="001F7D84"/>
    <w:rsid w:val="00200131"/>
    <w:rsid w:val="00203549"/>
    <w:rsid w:val="002049F6"/>
    <w:rsid w:val="002115BC"/>
    <w:rsid w:val="00215119"/>
    <w:rsid w:val="002208B6"/>
    <w:rsid w:val="002229D3"/>
    <w:rsid w:val="00237097"/>
    <w:rsid w:val="0024624B"/>
    <w:rsid w:val="00253311"/>
    <w:rsid w:val="0025368C"/>
    <w:rsid w:val="00285EF1"/>
    <w:rsid w:val="002916B1"/>
    <w:rsid w:val="002A29E6"/>
    <w:rsid w:val="002C5772"/>
    <w:rsid w:val="002D5C95"/>
    <w:rsid w:val="002D6E86"/>
    <w:rsid w:val="002F0381"/>
    <w:rsid w:val="002F0442"/>
    <w:rsid w:val="002F0D1F"/>
    <w:rsid w:val="002F71EC"/>
    <w:rsid w:val="0031118B"/>
    <w:rsid w:val="003127CA"/>
    <w:rsid w:val="003137E5"/>
    <w:rsid w:val="003232A2"/>
    <w:rsid w:val="0032490E"/>
    <w:rsid w:val="00334479"/>
    <w:rsid w:val="00335337"/>
    <w:rsid w:val="0033757A"/>
    <w:rsid w:val="00342F3D"/>
    <w:rsid w:val="00343977"/>
    <w:rsid w:val="00361BD9"/>
    <w:rsid w:val="00367E11"/>
    <w:rsid w:val="00370497"/>
    <w:rsid w:val="00383066"/>
    <w:rsid w:val="003858A9"/>
    <w:rsid w:val="00387976"/>
    <w:rsid w:val="00391057"/>
    <w:rsid w:val="003945A8"/>
    <w:rsid w:val="00394E6E"/>
    <w:rsid w:val="003A4705"/>
    <w:rsid w:val="003B07AE"/>
    <w:rsid w:val="003B21DE"/>
    <w:rsid w:val="003B2A1A"/>
    <w:rsid w:val="003B6CFF"/>
    <w:rsid w:val="003B7B57"/>
    <w:rsid w:val="003C21F4"/>
    <w:rsid w:val="003D0757"/>
    <w:rsid w:val="003D1D09"/>
    <w:rsid w:val="003D63CB"/>
    <w:rsid w:val="003E0F5D"/>
    <w:rsid w:val="003E490E"/>
    <w:rsid w:val="003F7ABB"/>
    <w:rsid w:val="004158B2"/>
    <w:rsid w:val="00420228"/>
    <w:rsid w:val="00434FEE"/>
    <w:rsid w:val="004355DE"/>
    <w:rsid w:val="00435EE7"/>
    <w:rsid w:val="0043659E"/>
    <w:rsid w:val="004422AB"/>
    <w:rsid w:val="00453BFB"/>
    <w:rsid w:val="00467647"/>
    <w:rsid w:val="00467676"/>
    <w:rsid w:val="00472CAC"/>
    <w:rsid w:val="004749FA"/>
    <w:rsid w:val="004823ED"/>
    <w:rsid w:val="00497619"/>
    <w:rsid w:val="004B3800"/>
    <w:rsid w:val="004B6AE4"/>
    <w:rsid w:val="004D5E16"/>
    <w:rsid w:val="004E2786"/>
    <w:rsid w:val="004E4F24"/>
    <w:rsid w:val="004F610E"/>
    <w:rsid w:val="004F6540"/>
    <w:rsid w:val="00500E2F"/>
    <w:rsid w:val="00506962"/>
    <w:rsid w:val="005102EE"/>
    <w:rsid w:val="005147E2"/>
    <w:rsid w:val="00521287"/>
    <w:rsid w:val="00531E8C"/>
    <w:rsid w:val="00533A7B"/>
    <w:rsid w:val="005436F9"/>
    <w:rsid w:val="00551053"/>
    <w:rsid w:val="00556C0B"/>
    <w:rsid w:val="005679BA"/>
    <w:rsid w:val="00582573"/>
    <w:rsid w:val="005853D6"/>
    <w:rsid w:val="00585566"/>
    <w:rsid w:val="0058739C"/>
    <w:rsid w:val="00591623"/>
    <w:rsid w:val="00593A9C"/>
    <w:rsid w:val="005A406E"/>
    <w:rsid w:val="005A50BA"/>
    <w:rsid w:val="005A655F"/>
    <w:rsid w:val="005B4849"/>
    <w:rsid w:val="005C2DA9"/>
    <w:rsid w:val="005D095E"/>
    <w:rsid w:val="005E2F1B"/>
    <w:rsid w:val="005E5709"/>
    <w:rsid w:val="005E5E62"/>
    <w:rsid w:val="005E657A"/>
    <w:rsid w:val="005F1421"/>
    <w:rsid w:val="005F5F34"/>
    <w:rsid w:val="005F765D"/>
    <w:rsid w:val="00607916"/>
    <w:rsid w:val="00615679"/>
    <w:rsid w:val="00622896"/>
    <w:rsid w:val="006268D0"/>
    <w:rsid w:val="00626CA6"/>
    <w:rsid w:val="00631987"/>
    <w:rsid w:val="00632D54"/>
    <w:rsid w:val="006417B9"/>
    <w:rsid w:val="0064204D"/>
    <w:rsid w:val="00654BD7"/>
    <w:rsid w:val="00660E1D"/>
    <w:rsid w:val="006620C1"/>
    <w:rsid w:val="0066287D"/>
    <w:rsid w:val="006658CB"/>
    <w:rsid w:val="00680B61"/>
    <w:rsid w:val="00697E91"/>
    <w:rsid w:val="006A018F"/>
    <w:rsid w:val="006A3537"/>
    <w:rsid w:val="006A7B60"/>
    <w:rsid w:val="006B328A"/>
    <w:rsid w:val="006B3680"/>
    <w:rsid w:val="006B39B2"/>
    <w:rsid w:val="006C1D1D"/>
    <w:rsid w:val="006C20A1"/>
    <w:rsid w:val="006D623E"/>
    <w:rsid w:val="006E025E"/>
    <w:rsid w:val="006E16A8"/>
    <w:rsid w:val="006E299A"/>
    <w:rsid w:val="006E65C3"/>
    <w:rsid w:val="006F1CA7"/>
    <w:rsid w:val="00705DD2"/>
    <w:rsid w:val="00711E36"/>
    <w:rsid w:val="00725478"/>
    <w:rsid w:val="00733A4F"/>
    <w:rsid w:val="00734F40"/>
    <w:rsid w:val="00752D41"/>
    <w:rsid w:val="00754291"/>
    <w:rsid w:val="00754564"/>
    <w:rsid w:val="00756B9E"/>
    <w:rsid w:val="00757F9F"/>
    <w:rsid w:val="0076339E"/>
    <w:rsid w:val="00771656"/>
    <w:rsid w:val="00772DF2"/>
    <w:rsid w:val="00790645"/>
    <w:rsid w:val="00793924"/>
    <w:rsid w:val="007A23A3"/>
    <w:rsid w:val="007A41AE"/>
    <w:rsid w:val="007B2C0A"/>
    <w:rsid w:val="007B79D3"/>
    <w:rsid w:val="007C5DF1"/>
    <w:rsid w:val="007D0EAC"/>
    <w:rsid w:val="007D0EAF"/>
    <w:rsid w:val="007D3375"/>
    <w:rsid w:val="007D477A"/>
    <w:rsid w:val="007D6C90"/>
    <w:rsid w:val="007E0C97"/>
    <w:rsid w:val="007F1E07"/>
    <w:rsid w:val="007F4864"/>
    <w:rsid w:val="00806273"/>
    <w:rsid w:val="00811837"/>
    <w:rsid w:val="00812E46"/>
    <w:rsid w:val="008136D3"/>
    <w:rsid w:val="00815537"/>
    <w:rsid w:val="008155B5"/>
    <w:rsid w:val="00816606"/>
    <w:rsid w:val="0082025F"/>
    <w:rsid w:val="00820A75"/>
    <w:rsid w:val="0082465D"/>
    <w:rsid w:val="00837AD7"/>
    <w:rsid w:val="00837D81"/>
    <w:rsid w:val="008408D1"/>
    <w:rsid w:val="00866D4B"/>
    <w:rsid w:val="0087564B"/>
    <w:rsid w:val="00882256"/>
    <w:rsid w:val="00882E99"/>
    <w:rsid w:val="00883A03"/>
    <w:rsid w:val="00887D0B"/>
    <w:rsid w:val="0089733D"/>
    <w:rsid w:val="00897DED"/>
    <w:rsid w:val="008A4BDB"/>
    <w:rsid w:val="008A5705"/>
    <w:rsid w:val="008A6B01"/>
    <w:rsid w:val="008B38A1"/>
    <w:rsid w:val="008C4F42"/>
    <w:rsid w:val="008C744F"/>
    <w:rsid w:val="008D1E52"/>
    <w:rsid w:val="008E7C10"/>
    <w:rsid w:val="008F3AB2"/>
    <w:rsid w:val="009110F3"/>
    <w:rsid w:val="00914FC3"/>
    <w:rsid w:val="00920C2B"/>
    <w:rsid w:val="009255F4"/>
    <w:rsid w:val="009403F6"/>
    <w:rsid w:val="009427E4"/>
    <w:rsid w:val="009442AB"/>
    <w:rsid w:val="009448BC"/>
    <w:rsid w:val="00945485"/>
    <w:rsid w:val="009649CA"/>
    <w:rsid w:val="00973EBE"/>
    <w:rsid w:val="00977AAA"/>
    <w:rsid w:val="00987E6B"/>
    <w:rsid w:val="00995551"/>
    <w:rsid w:val="009A2C01"/>
    <w:rsid w:val="009A3BB3"/>
    <w:rsid w:val="009A5ED3"/>
    <w:rsid w:val="009C774C"/>
    <w:rsid w:val="009D2A8E"/>
    <w:rsid w:val="009E3D11"/>
    <w:rsid w:val="009E674D"/>
    <w:rsid w:val="009E6956"/>
    <w:rsid w:val="009F05A5"/>
    <w:rsid w:val="009F288E"/>
    <w:rsid w:val="00A011FC"/>
    <w:rsid w:val="00A0604C"/>
    <w:rsid w:val="00A1009A"/>
    <w:rsid w:val="00A14ADD"/>
    <w:rsid w:val="00A247E3"/>
    <w:rsid w:val="00A31375"/>
    <w:rsid w:val="00A4368A"/>
    <w:rsid w:val="00A45D7D"/>
    <w:rsid w:val="00A46ADA"/>
    <w:rsid w:val="00A52549"/>
    <w:rsid w:val="00A539D2"/>
    <w:rsid w:val="00A5668C"/>
    <w:rsid w:val="00A74AE7"/>
    <w:rsid w:val="00A9013B"/>
    <w:rsid w:val="00AA0A8B"/>
    <w:rsid w:val="00AA3C46"/>
    <w:rsid w:val="00AA4102"/>
    <w:rsid w:val="00AB5546"/>
    <w:rsid w:val="00AB6EAC"/>
    <w:rsid w:val="00AC05AF"/>
    <w:rsid w:val="00AC137B"/>
    <w:rsid w:val="00AD3846"/>
    <w:rsid w:val="00AD67F5"/>
    <w:rsid w:val="00AD7CDD"/>
    <w:rsid w:val="00AE35AB"/>
    <w:rsid w:val="00AE393D"/>
    <w:rsid w:val="00AE3A82"/>
    <w:rsid w:val="00AE40D1"/>
    <w:rsid w:val="00AF5E72"/>
    <w:rsid w:val="00B100A9"/>
    <w:rsid w:val="00B11FB6"/>
    <w:rsid w:val="00B12271"/>
    <w:rsid w:val="00B14635"/>
    <w:rsid w:val="00B221A9"/>
    <w:rsid w:val="00B35170"/>
    <w:rsid w:val="00B357BD"/>
    <w:rsid w:val="00B36208"/>
    <w:rsid w:val="00B37183"/>
    <w:rsid w:val="00B40C63"/>
    <w:rsid w:val="00B45B51"/>
    <w:rsid w:val="00B46314"/>
    <w:rsid w:val="00B510B6"/>
    <w:rsid w:val="00B62FDD"/>
    <w:rsid w:val="00B63BD7"/>
    <w:rsid w:val="00B65982"/>
    <w:rsid w:val="00B8593E"/>
    <w:rsid w:val="00B86F9D"/>
    <w:rsid w:val="00B912E5"/>
    <w:rsid w:val="00B91A8C"/>
    <w:rsid w:val="00B9298F"/>
    <w:rsid w:val="00B962CA"/>
    <w:rsid w:val="00BA3087"/>
    <w:rsid w:val="00BB5645"/>
    <w:rsid w:val="00BD3B7F"/>
    <w:rsid w:val="00BE7615"/>
    <w:rsid w:val="00BF0719"/>
    <w:rsid w:val="00BF1AD2"/>
    <w:rsid w:val="00BF5984"/>
    <w:rsid w:val="00C06836"/>
    <w:rsid w:val="00C11B51"/>
    <w:rsid w:val="00C12FBE"/>
    <w:rsid w:val="00C258FC"/>
    <w:rsid w:val="00C26099"/>
    <w:rsid w:val="00C26859"/>
    <w:rsid w:val="00C350E9"/>
    <w:rsid w:val="00C4117E"/>
    <w:rsid w:val="00C472FD"/>
    <w:rsid w:val="00C5012B"/>
    <w:rsid w:val="00C51570"/>
    <w:rsid w:val="00C569D6"/>
    <w:rsid w:val="00C679CC"/>
    <w:rsid w:val="00C709B0"/>
    <w:rsid w:val="00C7665B"/>
    <w:rsid w:val="00C90B8C"/>
    <w:rsid w:val="00C97684"/>
    <w:rsid w:val="00CA5441"/>
    <w:rsid w:val="00CA77A4"/>
    <w:rsid w:val="00CA7D6E"/>
    <w:rsid w:val="00CB133B"/>
    <w:rsid w:val="00CC34B4"/>
    <w:rsid w:val="00CD029A"/>
    <w:rsid w:val="00D00461"/>
    <w:rsid w:val="00D10C2E"/>
    <w:rsid w:val="00D13816"/>
    <w:rsid w:val="00D14E26"/>
    <w:rsid w:val="00D174D4"/>
    <w:rsid w:val="00D250EC"/>
    <w:rsid w:val="00D25980"/>
    <w:rsid w:val="00D40B02"/>
    <w:rsid w:val="00D43556"/>
    <w:rsid w:val="00D43B02"/>
    <w:rsid w:val="00D511DB"/>
    <w:rsid w:val="00D533C0"/>
    <w:rsid w:val="00D53C56"/>
    <w:rsid w:val="00D54ECF"/>
    <w:rsid w:val="00D7777B"/>
    <w:rsid w:val="00D80BC2"/>
    <w:rsid w:val="00D8679E"/>
    <w:rsid w:val="00D867CF"/>
    <w:rsid w:val="00D92875"/>
    <w:rsid w:val="00D959FF"/>
    <w:rsid w:val="00DA79A7"/>
    <w:rsid w:val="00DB0E32"/>
    <w:rsid w:val="00DB7F2C"/>
    <w:rsid w:val="00DE3329"/>
    <w:rsid w:val="00DE5F14"/>
    <w:rsid w:val="00DE7D2E"/>
    <w:rsid w:val="00DF1185"/>
    <w:rsid w:val="00E04FA5"/>
    <w:rsid w:val="00E14F3F"/>
    <w:rsid w:val="00E226D8"/>
    <w:rsid w:val="00E233A7"/>
    <w:rsid w:val="00E32E39"/>
    <w:rsid w:val="00E336CD"/>
    <w:rsid w:val="00E4128E"/>
    <w:rsid w:val="00E44F22"/>
    <w:rsid w:val="00E50FB5"/>
    <w:rsid w:val="00E522BC"/>
    <w:rsid w:val="00E54479"/>
    <w:rsid w:val="00E62F05"/>
    <w:rsid w:val="00E63019"/>
    <w:rsid w:val="00E72848"/>
    <w:rsid w:val="00E729E3"/>
    <w:rsid w:val="00E761C6"/>
    <w:rsid w:val="00E8666A"/>
    <w:rsid w:val="00E8799A"/>
    <w:rsid w:val="00E87FB6"/>
    <w:rsid w:val="00E9795F"/>
    <w:rsid w:val="00EA0DAC"/>
    <w:rsid w:val="00EA2B49"/>
    <w:rsid w:val="00EB1F44"/>
    <w:rsid w:val="00EC7874"/>
    <w:rsid w:val="00ED61FD"/>
    <w:rsid w:val="00EE2BD7"/>
    <w:rsid w:val="00EF5596"/>
    <w:rsid w:val="00F16A7C"/>
    <w:rsid w:val="00F17F60"/>
    <w:rsid w:val="00F3506D"/>
    <w:rsid w:val="00F5024F"/>
    <w:rsid w:val="00F5325D"/>
    <w:rsid w:val="00F542F6"/>
    <w:rsid w:val="00F55276"/>
    <w:rsid w:val="00F61C46"/>
    <w:rsid w:val="00F62F02"/>
    <w:rsid w:val="00F70034"/>
    <w:rsid w:val="00F74846"/>
    <w:rsid w:val="00F760C6"/>
    <w:rsid w:val="00F82536"/>
    <w:rsid w:val="00F84A18"/>
    <w:rsid w:val="00F968B3"/>
    <w:rsid w:val="00FA2A83"/>
    <w:rsid w:val="00FA4FE7"/>
    <w:rsid w:val="00FB3B29"/>
    <w:rsid w:val="00FB4B2B"/>
    <w:rsid w:val="00FB5601"/>
    <w:rsid w:val="00FB6F53"/>
    <w:rsid w:val="00FC0715"/>
    <w:rsid w:val="00FC0DCF"/>
    <w:rsid w:val="00FC28B9"/>
    <w:rsid w:val="00FE696C"/>
    <w:rsid w:val="00FF40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5BDFC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2A2"/>
    <w:pPr>
      <w:spacing w:after="120" w:line="264" w:lineRule="auto"/>
    </w:pPr>
    <w:rPr>
      <w:sz w:val="20"/>
    </w:rPr>
  </w:style>
  <w:style w:type="paragraph" w:styleId="Heading1">
    <w:name w:val="heading 1"/>
    <w:basedOn w:val="Subtitleheading"/>
    <w:next w:val="Normal"/>
    <w:link w:val="Heading1Char"/>
    <w:uiPriority w:val="9"/>
    <w:qFormat/>
    <w:rsid w:val="002115BC"/>
    <w:pPr>
      <w:pageBreakBefore/>
      <w:spacing w:before="800" w:after="240" w:line="216" w:lineRule="auto"/>
      <w:outlineLvl w:val="0"/>
    </w:pPr>
    <w:rPr>
      <w:spacing w:val="0"/>
      <w:sz w:val="48"/>
    </w:rPr>
  </w:style>
  <w:style w:type="paragraph" w:styleId="Heading2">
    <w:name w:val="heading 2"/>
    <w:next w:val="Normal"/>
    <w:link w:val="Heading2Char"/>
    <w:uiPriority w:val="9"/>
    <w:unhideWhenUsed/>
    <w:qFormat/>
    <w:rsid w:val="00771656"/>
    <w:pPr>
      <w:keepNext/>
      <w:spacing w:before="240" w:after="180"/>
      <w:outlineLvl w:val="1"/>
    </w:pPr>
    <w:rPr>
      <w:rFonts w:asciiTheme="majorHAnsi" w:hAnsiTheme="majorHAnsi"/>
      <w:b/>
      <w:color w:val="0072CE"/>
      <w:sz w:val="32"/>
      <w:szCs w:val="36"/>
    </w:rPr>
  </w:style>
  <w:style w:type="paragraph" w:styleId="Heading3">
    <w:name w:val="heading 3"/>
    <w:next w:val="Normal"/>
    <w:link w:val="Heading3Char"/>
    <w:uiPriority w:val="9"/>
    <w:unhideWhenUsed/>
    <w:qFormat/>
    <w:rsid w:val="002115BC"/>
    <w:pPr>
      <w:spacing w:before="240" w:after="40"/>
      <w:outlineLvl w:val="2"/>
    </w:pPr>
    <w:rPr>
      <w:rFonts w:asciiTheme="majorHAnsi" w:hAnsiTheme="majorHAnsi"/>
      <w:b/>
      <w:bCs/>
      <w:color w:val="007DBE"/>
      <w:szCs w:val="22"/>
    </w:rPr>
  </w:style>
  <w:style w:type="paragraph" w:styleId="Heading4">
    <w:name w:val="heading 4"/>
    <w:basedOn w:val="Normal"/>
    <w:next w:val="Normal"/>
    <w:link w:val="Heading4Char"/>
    <w:uiPriority w:val="9"/>
    <w:semiHidden/>
    <w:qFormat/>
    <w:rsid w:val="00B62FD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C7874"/>
    <w:pPr>
      <w:spacing w:before="60" w:after="60"/>
    </w:pPr>
    <w:rPr>
      <w:sz w:val="18"/>
    </w:rPr>
  </w:style>
  <w:style w:type="character" w:customStyle="1" w:styleId="BodyTextChar">
    <w:name w:val="Body Text Char"/>
    <w:basedOn w:val="DefaultParagraphFont"/>
    <w:link w:val="BodyText"/>
    <w:uiPriority w:val="99"/>
    <w:rsid w:val="00EC7874"/>
    <w:rPr>
      <w:rFonts w:ascii="Calibri" w:hAnsi="Calibri"/>
      <w:sz w:val="18"/>
    </w:rPr>
  </w:style>
  <w:style w:type="character" w:styleId="Hyperlink">
    <w:name w:val="Hyperlink"/>
    <w:basedOn w:val="DefaultParagraphFont"/>
    <w:uiPriority w:val="99"/>
    <w:unhideWhenUsed/>
    <w:rsid w:val="00920C2B"/>
    <w:rPr>
      <w:rFonts w:ascii="Calibri" w:hAnsi="Calibri"/>
      <w:color w:val="00679E"/>
      <w:u w:val="none"/>
    </w:rPr>
  </w:style>
  <w:style w:type="paragraph" w:styleId="BalloonText">
    <w:name w:val="Balloon Text"/>
    <w:basedOn w:val="Normal"/>
    <w:link w:val="BalloonTextChar"/>
    <w:uiPriority w:val="99"/>
    <w:semiHidden/>
    <w:unhideWhenUsed/>
    <w:rsid w:val="001602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02A6"/>
    <w:rPr>
      <w:rFonts w:ascii="Lucida Grande" w:hAnsi="Lucida Grande" w:cs="Lucida Grande"/>
      <w:sz w:val="18"/>
      <w:szCs w:val="18"/>
    </w:rPr>
  </w:style>
  <w:style w:type="paragraph" w:customStyle="1" w:styleId="Bullet">
    <w:name w:val="Bullet"/>
    <w:basedOn w:val="Normal"/>
    <w:qFormat/>
    <w:rsid w:val="002115BC"/>
    <w:pPr>
      <w:numPr>
        <w:numId w:val="2"/>
      </w:numPr>
      <w:contextualSpacing/>
    </w:pPr>
  </w:style>
  <w:style w:type="paragraph" w:customStyle="1" w:styleId="Copyrighttext">
    <w:name w:val="Copyright text"/>
    <w:qFormat/>
    <w:rsid w:val="0064204D"/>
    <w:pPr>
      <w:ind w:right="2837"/>
    </w:pPr>
    <w:rPr>
      <w:rFonts w:asciiTheme="majorHAnsi" w:hAnsiTheme="majorHAnsi"/>
      <w:sz w:val="18"/>
      <w:szCs w:val="20"/>
    </w:rPr>
  </w:style>
  <w:style w:type="paragraph" w:styleId="Footer">
    <w:name w:val="footer"/>
    <w:basedOn w:val="Normal"/>
    <w:link w:val="FooterChar"/>
    <w:uiPriority w:val="99"/>
    <w:unhideWhenUsed/>
    <w:rsid w:val="00D00461"/>
    <w:pPr>
      <w:tabs>
        <w:tab w:val="right" w:pos="9270"/>
      </w:tabs>
      <w:spacing w:after="0"/>
    </w:pPr>
    <w:rPr>
      <w:caps/>
      <w:color w:val="E35205"/>
    </w:rPr>
  </w:style>
  <w:style w:type="character" w:customStyle="1" w:styleId="FooterChar">
    <w:name w:val="Footer Char"/>
    <w:basedOn w:val="DefaultParagraphFont"/>
    <w:link w:val="Footer"/>
    <w:uiPriority w:val="99"/>
    <w:rsid w:val="00D00461"/>
    <w:rPr>
      <w:caps/>
      <w:color w:val="E35205"/>
      <w:sz w:val="20"/>
    </w:rPr>
  </w:style>
  <w:style w:type="paragraph" w:styleId="Header">
    <w:name w:val="header"/>
    <w:basedOn w:val="Normal"/>
    <w:link w:val="HeaderChar"/>
    <w:uiPriority w:val="99"/>
    <w:unhideWhenUsed/>
    <w:rsid w:val="00AC05AF"/>
    <w:pPr>
      <w:tabs>
        <w:tab w:val="center" w:pos="4320"/>
        <w:tab w:val="right" w:pos="8640"/>
      </w:tabs>
    </w:pPr>
  </w:style>
  <w:style w:type="character" w:customStyle="1" w:styleId="HeaderChar">
    <w:name w:val="Header Char"/>
    <w:basedOn w:val="DefaultParagraphFont"/>
    <w:link w:val="Header"/>
    <w:uiPriority w:val="99"/>
    <w:rsid w:val="00AC05AF"/>
  </w:style>
  <w:style w:type="character" w:customStyle="1" w:styleId="Heading1Char">
    <w:name w:val="Heading 1 Char"/>
    <w:basedOn w:val="DefaultParagraphFont"/>
    <w:link w:val="Heading1"/>
    <w:uiPriority w:val="9"/>
    <w:rsid w:val="002115BC"/>
    <w:rPr>
      <w:rFonts w:asciiTheme="majorHAnsi" w:hAnsiTheme="majorHAnsi"/>
      <w:b/>
      <w:caps/>
      <w:color w:val="C95C1A"/>
      <w:sz w:val="48"/>
      <w:szCs w:val="52"/>
    </w:rPr>
  </w:style>
  <w:style w:type="character" w:customStyle="1" w:styleId="Heading2Char">
    <w:name w:val="Heading 2 Char"/>
    <w:basedOn w:val="DefaultParagraphFont"/>
    <w:link w:val="Heading2"/>
    <w:uiPriority w:val="9"/>
    <w:rsid w:val="00771656"/>
    <w:rPr>
      <w:rFonts w:asciiTheme="majorHAnsi" w:hAnsiTheme="majorHAnsi"/>
      <w:b/>
      <w:color w:val="0072CE"/>
      <w:sz w:val="32"/>
      <w:szCs w:val="36"/>
    </w:rPr>
  </w:style>
  <w:style w:type="character" w:customStyle="1" w:styleId="Heading3Char">
    <w:name w:val="Heading 3 Char"/>
    <w:basedOn w:val="DefaultParagraphFont"/>
    <w:link w:val="Heading3"/>
    <w:uiPriority w:val="9"/>
    <w:rsid w:val="002115BC"/>
    <w:rPr>
      <w:rFonts w:asciiTheme="majorHAnsi" w:hAnsiTheme="majorHAnsi"/>
      <w:b/>
      <w:bCs/>
      <w:color w:val="007DBE"/>
      <w:szCs w:val="22"/>
    </w:rPr>
  </w:style>
  <w:style w:type="paragraph" w:customStyle="1" w:styleId="Highlight">
    <w:name w:val="Highlight"/>
    <w:basedOn w:val="Normal"/>
    <w:qFormat/>
    <w:rsid w:val="0031118B"/>
    <w:rPr>
      <w:rFonts w:asciiTheme="majorHAnsi" w:hAnsiTheme="majorHAnsi"/>
      <w:b/>
      <w:color w:val="943634" w:themeColor="accent2" w:themeShade="BF"/>
      <w:sz w:val="36"/>
      <w:szCs w:val="36"/>
    </w:rPr>
  </w:style>
  <w:style w:type="paragraph" w:customStyle="1" w:styleId="Subtitleheading">
    <w:name w:val="Subtitle heading"/>
    <w:qFormat/>
    <w:rsid w:val="00DE3329"/>
    <w:pPr>
      <w:spacing w:after="120"/>
    </w:pPr>
    <w:rPr>
      <w:rFonts w:asciiTheme="majorHAnsi" w:hAnsiTheme="majorHAnsi"/>
      <w:b/>
      <w:caps/>
      <w:color w:val="C95C1A"/>
      <w:spacing w:val="20"/>
      <w:sz w:val="52"/>
      <w:szCs w:val="52"/>
    </w:rPr>
  </w:style>
  <w:style w:type="paragraph" w:customStyle="1" w:styleId="VicBudgetSubTitle">
    <w:name w:val="VicBudgetSubTitle"/>
    <w:basedOn w:val="Normal"/>
    <w:qFormat/>
    <w:rsid w:val="0031118B"/>
    <w:rPr>
      <w:rFonts w:asciiTheme="majorHAnsi" w:hAnsiTheme="majorHAnsi"/>
    </w:rPr>
  </w:style>
  <w:style w:type="paragraph" w:customStyle="1" w:styleId="Titlemain">
    <w:name w:val="Title main"/>
    <w:basedOn w:val="Normal"/>
    <w:qFormat/>
    <w:rsid w:val="00C11B51"/>
    <w:pPr>
      <w:ind w:left="2070"/>
    </w:pPr>
    <w:rPr>
      <w:rFonts w:asciiTheme="majorHAnsi" w:hAnsiTheme="majorHAnsi"/>
      <w:b/>
      <w:color w:val="007DBE"/>
      <w:sz w:val="72"/>
      <w:szCs w:val="72"/>
    </w:rPr>
  </w:style>
  <w:style w:type="paragraph" w:customStyle="1" w:styleId="Footnote">
    <w:name w:val="Footnote"/>
    <w:qFormat/>
    <w:rsid w:val="0064204D"/>
    <w:pPr>
      <w:spacing w:before="2400"/>
    </w:pPr>
    <w:rPr>
      <w:rFonts w:ascii="Calibri" w:hAnsi="Calibri"/>
      <w:sz w:val="16"/>
      <w:szCs w:val="21"/>
    </w:rPr>
  </w:style>
  <w:style w:type="table" w:styleId="TableGrid">
    <w:name w:val="Table Grid"/>
    <w:basedOn w:val="TableNormal"/>
    <w:uiPriority w:val="59"/>
    <w:rsid w:val="00AA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A0A8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AA0A8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AA0A8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A0A8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ablewhitetext">
    <w:name w:val="Table white text"/>
    <w:basedOn w:val="Normal"/>
    <w:qFormat/>
    <w:rsid w:val="00EC7874"/>
    <w:pPr>
      <w:spacing w:before="40" w:after="40"/>
      <w:ind w:left="187"/>
    </w:pPr>
    <w:rPr>
      <w:bCs/>
      <w:color w:val="FFFFFF" w:themeColor="background1"/>
      <w:szCs w:val="21"/>
    </w:rPr>
  </w:style>
  <w:style w:type="paragraph" w:customStyle="1" w:styleId="spacer">
    <w:name w:val="spacer"/>
    <w:basedOn w:val="Normal"/>
    <w:qFormat/>
    <w:rsid w:val="003F7ABB"/>
    <w:rPr>
      <w:sz w:val="12"/>
      <w:szCs w:val="21"/>
    </w:rPr>
  </w:style>
  <w:style w:type="paragraph" w:customStyle="1" w:styleId="Normalsmall">
    <w:name w:val="Normal small"/>
    <w:basedOn w:val="Normal"/>
    <w:qFormat/>
    <w:rsid w:val="00725478"/>
    <w:pPr>
      <w:spacing w:before="60" w:after="60"/>
    </w:pPr>
    <w:rPr>
      <w:szCs w:val="20"/>
    </w:rPr>
  </w:style>
  <w:style w:type="paragraph" w:customStyle="1" w:styleId="Titlemainorange">
    <w:name w:val="Title main orange"/>
    <w:basedOn w:val="Titlemain"/>
    <w:qFormat/>
    <w:rsid w:val="009F288E"/>
    <w:pPr>
      <w:ind w:left="0" w:right="2396"/>
    </w:pPr>
    <w:rPr>
      <w:color w:val="C95C1A"/>
      <w:sz w:val="68"/>
      <w:szCs w:val="68"/>
    </w:rPr>
  </w:style>
  <w:style w:type="paragraph" w:styleId="NormalIndent">
    <w:name w:val="Normal Indent"/>
    <w:basedOn w:val="Normal"/>
    <w:uiPriority w:val="9"/>
    <w:unhideWhenUsed/>
    <w:qFormat/>
    <w:rsid w:val="00D43B02"/>
    <w:pPr>
      <w:ind w:left="270" w:hanging="270"/>
    </w:pPr>
  </w:style>
  <w:style w:type="paragraph" w:styleId="FootnoteText">
    <w:name w:val="footnote text"/>
    <w:basedOn w:val="Normal"/>
    <w:link w:val="FootnoteTextChar"/>
    <w:uiPriority w:val="99"/>
    <w:semiHidden/>
    <w:unhideWhenUsed/>
    <w:rsid w:val="00195E0A"/>
    <w:pPr>
      <w:spacing w:after="0"/>
    </w:pPr>
    <w:rPr>
      <w:szCs w:val="20"/>
    </w:rPr>
  </w:style>
  <w:style w:type="character" w:customStyle="1" w:styleId="FootnoteTextChar">
    <w:name w:val="Footnote Text Char"/>
    <w:basedOn w:val="DefaultParagraphFont"/>
    <w:link w:val="FootnoteText"/>
    <w:uiPriority w:val="99"/>
    <w:semiHidden/>
    <w:rsid w:val="00195E0A"/>
    <w:rPr>
      <w:rFonts w:ascii="Calibri" w:hAnsi="Calibri"/>
      <w:sz w:val="20"/>
      <w:szCs w:val="20"/>
    </w:rPr>
  </w:style>
  <w:style w:type="character" w:styleId="FootnoteReference">
    <w:name w:val="footnote reference"/>
    <w:basedOn w:val="DefaultParagraphFont"/>
    <w:uiPriority w:val="99"/>
    <w:semiHidden/>
    <w:unhideWhenUsed/>
    <w:rsid w:val="00195E0A"/>
    <w:rPr>
      <w:vertAlign w:val="superscript"/>
    </w:rPr>
  </w:style>
  <w:style w:type="paragraph" w:styleId="TOCHeading">
    <w:name w:val="TOC Heading"/>
    <w:next w:val="Normal"/>
    <w:uiPriority w:val="39"/>
    <w:unhideWhenUsed/>
    <w:qFormat/>
    <w:rsid w:val="00472CAC"/>
    <w:pPr>
      <w:spacing w:before="2000" w:after="360"/>
    </w:pPr>
    <w:rPr>
      <w:rFonts w:asciiTheme="majorHAnsi" w:hAnsiTheme="majorHAnsi"/>
      <w:b/>
      <w:caps/>
      <w:color w:val="C95C1A"/>
      <w:sz w:val="56"/>
      <w:szCs w:val="52"/>
    </w:rPr>
  </w:style>
  <w:style w:type="paragraph" w:styleId="TOC1">
    <w:name w:val="toc 1"/>
    <w:basedOn w:val="Heading2"/>
    <w:next w:val="Normal"/>
    <w:autoRedefine/>
    <w:uiPriority w:val="39"/>
    <w:unhideWhenUsed/>
    <w:rsid w:val="00E50FB5"/>
    <w:pPr>
      <w:tabs>
        <w:tab w:val="right" w:pos="9586"/>
      </w:tabs>
      <w:spacing w:after="120"/>
    </w:pPr>
    <w:rPr>
      <w:b w:val="0"/>
      <w:noProof/>
      <w:sz w:val="24"/>
      <w:szCs w:val="24"/>
    </w:rPr>
  </w:style>
  <w:style w:type="paragraph" w:styleId="TOC2">
    <w:name w:val="toc 2"/>
    <w:basedOn w:val="Titlemainorange"/>
    <w:next w:val="Normal"/>
    <w:autoRedefine/>
    <w:uiPriority w:val="39"/>
    <w:unhideWhenUsed/>
    <w:rsid w:val="00F5325D"/>
    <w:pPr>
      <w:tabs>
        <w:tab w:val="right" w:pos="9586"/>
      </w:tabs>
      <w:spacing w:after="80"/>
      <w:ind w:left="360" w:right="1559"/>
    </w:pPr>
    <w:rPr>
      <w:b w:val="0"/>
      <w:noProof/>
      <w:color w:val="53565A"/>
      <w:sz w:val="22"/>
      <w:szCs w:val="22"/>
    </w:rPr>
  </w:style>
  <w:style w:type="paragraph" w:customStyle="1" w:styleId="Heading3grey">
    <w:name w:val="Heading 3 grey"/>
    <w:basedOn w:val="Normal"/>
    <w:qFormat/>
    <w:rsid w:val="00812E46"/>
    <w:pPr>
      <w:keepNext/>
      <w:spacing w:after="140"/>
      <w:ind w:right="-66"/>
      <w:outlineLvl w:val="1"/>
    </w:pPr>
    <w:rPr>
      <w:rFonts w:asciiTheme="majorHAnsi" w:hAnsiTheme="majorHAnsi"/>
      <w:b/>
      <w:color w:val="757575"/>
      <w:sz w:val="21"/>
      <w:szCs w:val="22"/>
    </w:rPr>
  </w:style>
  <w:style w:type="paragraph" w:customStyle="1" w:styleId="Tableheader">
    <w:name w:val="Table header"/>
    <w:basedOn w:val="Normal"/>
    <w:qFormat/>
    <w:rsid w:val="00654BD7"/>
    <w:pPr>
      <w:spacing w:before="100"/>
    </w:pPr>
    <w:rPr>
      <w:rFonts w:eastAsiaTheme="minorHAnsi"/>
      <w:b/>
      <w:color w:val="FFFFFF" w:themeColor="background1"/>
      <w:spacing w:val="2"/>
      <w:sz w:val="18"/>
      <w:szCs w:val="21"/>
    </w:rPr>
  </w:style>
  <w:style w:type="paragraph" w:customStyle="1" w:styleId="Tabletext">
    <w:name w:val="Table text"/>
    <w:basedOn w:val="BodyText"/>
    <w:qFormat/>
    <w:rsid w:val="002115BC"/>
    <w:rPr>
      <w:bCs/>
    </w:rPr>
  </w:style>
  <w:style w:type="paragraph" w:styleId="List">
    <w:name w:val="List"/>
    <w:basedOn w:val="NormalIndent"/>
    <w:uiPriority w:val="99"/>
    <w:rsid w:val="00A14ADD"/>
    <w:pPr>
      <w:numPr>
        <w:numId w:val="4"/>
      </w:numPr>
      <w:ind w:left="360"/>
    </w:pPr>
  </w:style>
  <w:style w:type="paragraph" w:customStyle="1" w:styleId="NormalTight">
    <w:name w:val="Normal Tight"/>
    <w:uiPriority w:val="99"/>
    <w:semiHidden/>
    <w:rsid w:val="00D250EC"/>
    <w:pPr>
      <w:ind w:right="2366"/>
    </w:pPr>
    <w:rPr>
      <w:rFonts w:eastAsia="Times New Roman" w:cs="Calibri"/>
      <w:sz w:val="18"/>
      <w:szCs w:val="19"/>
    </w:rPr>
  </w:style>
  <w:style w:type="paragraph" w:customStyle="1" w:styleId="Numpara">
    <w:name w:val="Num para"/>
    <w:basedOn w:val="ListParagraph"/>
    <w:uiPriority w:val="2"/>
    <w:qFormat/>
    <w:rsid w:val="002115BC"/>
    <w:pPr>
      <w:numPr>
        <w:numId w:val="13"/>
      </w:numPr>
      <w:tabs>
        <w:tab w:val="left" w:pos="540"/>
      </w:tabs>
      <w:spacing w:before="100" w:after="100"/>
      <w:contextualSpacing w:val="0"/>
    </w:pPr>
    <w:rPr>
      <w:spacing w:val="2"/>
      <w:szCs w:val="20"/>
      <w:lang w:eastAsia="en-AU"/>
    </w:rPr>
  </w:style>
  <w:style w:type="paragraph" w:styleId="ListParagraph">
    <w:name w:val="List Paragraph"/>
    <w:basedOn w:val="Normal"/>
    <w:uiPriority w:val="34"/>
    <w:qFormat/>
    <w:rsid w:val="008136D3"/>
    <w:pPr>
      <w:ind w:left="720"/>
      <w:contextualSpacing/>
    </w:pPr>
  </w:style>
  <w:style w:type="table" w:customStyle="1" w:styleId="DTFtexttable">
    <w:name w:val="DTF text table"/>
    <w:basedOn w:val="TableGrid"/>
    <w:uiPriority w:val="99"/>
    <w:rsid w:val="00F5325D"/>
    <w:pPr>
      <w:spacing w:before="30" w:after="30" w:line="264" w:lineRule="auto"/>
    </w:pPr>
    <w:rPr>
      <w:rFonts w:eastAsiaTheme="minorHAnsi"/>
      <w:spacing w:val="2"/>
      <w:sz w:val="17"/>
      <w:szCs w:val="21"/>
    </w:rPr>
    <w:tblPr>
      <w:tblStyleRowBandSize w:val="1"/>
      <w:tblStyleColBandSize w:val="1"/>
      <w:tblInd w:w="0" w:type="nil"/>
      <w:tblBorders>
        <w:top w:val="single" w:sz="6" w:space="0" w:color="007DBE"/>
        <w:left w:val="none" w:sz="0" w:space="0" w:color="auto"/>
        <w:bottom w:val="single" w:sz="12" w:space="0" w:color="007DBE"/>
        <w:right w:val="none" w:sz="0" w:space="0" w:color="auto"/>
        <w:insideH w:val="single" w:sz="6" w:space="0" w:color="007DBE"/>
        <w:insideV w:val="none" w:sz="0" w:space="0" w:color="auto"/>
      </w:tblBorders>
      <w:tblCellMar>
        <w:left w:w="57" w:type="dxa"/>
        <w:right w:w="57" w:type="dxa"/>
      </w:tblCellMar>
    </w:tblPr>
    <w:trPr>
      <w:cantSplit/>
    </w:trPr>
    <w:tblStylePr w:type="firstRow">
      <w:pPr>
        <w:keepLines/>
        <w:widowControl/>
        <w:suppressLineNumbers w:val="0"/>
        <w:wordWrap/>
        <w:spacing w:beforeLines="0" w:before="100" w:beforeAutospacing="1" w:afterLines="0" w:after="100" w:afterAutospacing="1"/>
        <w:jc w:val="left"/>
      </w:pPr>
      <w:rPr>
        <w:b w:val="0"/>
        <w:i w:val="0"/>
        <w:color w:val="53565A"/>
      </w:rPr>
      <w:tblPr/>
      <w:tcPr>
        <w:shd w:val="clear" w:color="auto" w:fill="0072CE"/>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rPr>
        <w:b/>
      </w:r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2Horz">
      <w:tblPr/>
      <w:tcPr>
        <w:shd w:val="clear" w:color="auto" w:fill="E5F6FF"/>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BodyTextBullet">
    <w:name w:val="Body Text Bullet"/>
    <w:basedOn w:val="BodyText"/>
    <w:qFormat/>
    <w:rsid w:val="00070545"/>
    <w:pPr>
      <w:numPr>
        <w:numId w:val="21"/>
      </w:numPr>
      <w:spacing w:before="40" w:after="40" w:line="240" w:lineRule="auto"/>
      <w:ind w:left="289" w:hanging="289"/>
    </w:pPr>
    <w:rPr>
      <w:rFonts w:eastAsiaTheme="minorHAnsi"/>
      <w:spacing w:val="2"/>
      <w:sz w:val="20"/>
      <w:szCs w:val="21"/>
    </w:rPr>
  </w:style>
  <w:style w:type="character" w:styleId="UnresolvedMention">
    <w:name w:val="Unresolved Mention"/>
    <w:basedOn w:val="DefaultParagraphFont"/>
    <w:uiPriority w:val="99"/>
    <w:semiHidden/>
    <w:unhideWhenUsed/>
    <w:rsid w:val="00D13816"/>
    <w:rPr>
      <w:color w:val="605E5C"/>
      <w:shd w:val="clear" w:color="auto" w:fill="E1DFDD"/>
    </w:rPr>
  </w:style>
  <w:style w:type="character" w:customStyle="1" w:styleId="Heading4Char">
    <w:name w:val="Heading 4 Char"/>
    <w:basedOn w:val="DefaultParagraphFont"/>
    <w:link w:val="Heading4"/>
    <w:uiPriority w:val="9"/>
    <w:semiHidden/>
    <w:rsid w:val="00B62FDD"/>
    <w:rPr>
      <w:rFonts w:asciiTheme="majorHAnsi" w:eastAsiaTheme="majorEastAsia" w:hAnsiTheme="majorHAnsi" w:cstheme="majorBidi"/>
      <w:i/>
      <w:iCs/>
      <w:color w:val="365F91" w:themeColor="accent1" w:themeShade="BF"/>
      <w:sz w:val="20"/>
    </w:rPr>
  </w:style>
  <w:style w:type="character" w:styleId="CommentReference">
    <w:name w:val="annotation reference"/>
    <w:basedOn w:val="DefaultParagraphFont"/>
    <w:uiPriority w:val="99"/>
    <w:semiHidden/>
    <w:unhideWhenUsed/>
    <w:rsid w:val="00FF40CA"/>
    <w:rPr>
      <w:sz w:val="16"/>
      <w:szCs w:val="16"/>
    </w:rPr>
  </w:style>
  <w:style w:type="paragraph" w:styleId="CommentText">
    <w:name w:val="annotation text"/>
    <w:basedOn w:val="Normal"/>
    <w:link w:val="CommentTextChar"/>
    <w:uiPriority w:val="99"/>
    <w:semiHidden/>
    <w:unhideWhenUsed/>
    <w:rsid w:val="00FF40CA"/>
    <w:rPr>
      <w:szCs w:val="20"/>
    </w:rPr>
  </w:style>
  <w:style w:type="character" w:customStyle="1" w:styleId="CommentTextChar">
    <w:name w:val="Comment Text Char"/>
    <w:basedOn w:val="DefaultParagraphFont"/>
    <w:link w:val="CommentText"/>
    <w:uiPriority w:val="99"/>
    <w:semiHidden/>
    <w:rsid w:val="00FF40CA"/>
    <w:rPr>
      <w:sz w:val="20"/>
      <w:szCs w:val="20"/>
    </w:rPr>
  </w:style>
  <w:style w:type="paragraph" w:styleId="CommentSubject">
    <w:name w:val="annotation subject"/>
    <w:basedOn w:val="CommentText"/>
    <w:next w:val="CommentText"/>
    <w:link w:val="CommentSubjectChar"/>
    <w:uiPriority w:val="99"/>
    <w:semiHidden/>
    <w:unhideWhenUsed/>
    <w:rsid w:val="00FF40CA"/>
    <w:rPr>
      <w:b/>
      <w:bCs/>
    </w:rPr>
  </w:style>
  <w:style w:type="character" w:customStyle="1" w:styleId="CommentSubjectChar">
    <w:name w:val="Comment Subject Char"/>
    <w:basedOn w:val="CommentTextChar"/>
    <w:link w:val="CommentSubject"/>
    <w:uiPriority w:val="99"/>
    <w:semiHidden/>
    <w:rsid w:val="00FF40CA"/>
    <w:rPr>
      <w:b/>
      <w:bCs/>
      <w:sz w:val="20"/>
      <w:szCs w:val="20"/>
    </w:rPr>
  </w:style>
  <w:style w:type="paragraph" w:styleId="Revision">
    <w:name w:val="Revision"/>
    <w:hidden/>
    <w:uiPriority w:val="99"/>
    <w:semiHidden/>
    <w:rsid w:val="00E50FB5"/>
    <w:rPr>
      <w:sz w:val="20"/>
    </w:rPr>
  </w:style>
  <w:style w:type="paragraph" w:customStyle="1" w:styleId="Tablebullet">
    <w:name w:val="Table bullet"/>
    <w:basedOn w:val="Tabletext"/>
    <w:qFormat/>
    <w:rsid w:val="002115BC"/>
    <w:pPr>
      <w:numPr>
        <w:numId w:val="42"/>
      </w:numPr>
      <w:ind w:left="342"/>
    </w:pPr>
    <w:rPr>
      <w:rFonts w:eastAsiaTheme="minorHAnsi"/>
      <w:spacing w:val="2"/>
      <w:szCs w:val="21"/>
    </w:rPr>
  </w:style>
  <w:style w:type="paragraph" w:customStyle="1" w:styleId="xxmsobodytext">
    <w:name w:val="x_x_msobodytext"/>
    <w:basedOn w:val="Normal"/>
    <w:rsid w:val="00A1009A"/>
    <w:pPr>
      <w:spacing w:before="60" w:after="60" w:line="240" w:lineRule="auto"/>
    </w:pPr>
    <w:rPr>
      <w:rFonts w:ascii="Calibri" w:eastAsiaTheme="minorHAnsi" w:hAnsi="Calibri" w:cs="Calibri"/>
      <w:sz w:val="18"/>
      <w:szCs w:val="18"/>
      <w:lang w:eastAsia="en-AU"/>
    </w:rPr>
  </w:style>
  <w:style w:type="paragraph" w:customStyle="1" w:styleId="xxtableheader">
    <w:name w:val="x_x_tableheader"/>
    <w:basedOn w:val="Normal"/>
    <w:rsid w:val="00A1009A"/>
    <w:pPr>
      <w:spacing w:before="100"/>
    </w:pPr>
    <w:rPr>
      <w:rFonts w:ascii="Calibri" w:eastAsiaTheme="minorHAnsi" w:hAnsi="Calibri" w:cs="Calibri"/>
      <w:b/>
      <w:bCs/>
      <w:color w:val="FFFFFF"/>
      <w:spacing w:val="2"/>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41593">
      <w:bodyDiv w:val="1"/>
      <w:marLeft w:val="0"/>
      <w:marRight w:val="0"/>
      <w:marTop w:val="0"/>
      <w:marBottom w:val="0"/>
      <w:divBdr>
        <w:top w:val="none" w:sz="0" w:space="0" w:color="auto"/>
        <w:left w:val="none" w:sz="0" w:space="0" w:color="auto"/>
        <w:bottom w:val="none" w:sz="0" w:space="0" w:color="auto"/>
        <w:right w:val="none" w:sz="0" w:space="0" w:color="auto"/>
      </w:divBdr>
    </w:div>
    <w:div w:id="186676604">
      <w:bodyDiv w:val="1"/>
      <w:marLeft w:val="0"/>
      <w:marRight w:val="0"/>
      <w:marTop w:val="0"/>
      <w:marBottom w:val="0"/>
      <w:divBdr>
        <w:top w:val="none" w:sz="0" w:space="0" w:color="auto"/>
        <w:left w:val="none" w:sz="0" w:space="0" w:color="auto"/>
        <w:bottom w:val="none" w:sz="0" w:space="0" w:color="auto"/>
        <w:right w:val="none" w:sz="0" w:space="0" w:color="auto"/>
      </w:divBdr>
    </w:div>
    <w:div w:id="385687895">
      <w:bodyDiv w:val="1"/>
      <w:marLeft w:val="0"/>
      <w:marRight w:val="0"/>
      <w:marTop w:val="0"/>
      <w:marBottom w:val="0"/>
      <w:divBdr>
        <w:top w:val="none" w:sz="0" w:space="0" w:color="auto"/>
        <w:left w:val="none" w:sz="0" w:space="0" w:color="auto"/>
        <w:bottom w:val="none" w:sz="0" w:space="0" w:color="auto"/>
        <w:right w:val="none" w:sz="0" w:space="0" w:color="auto"/>
      </w:divBdr>
    </w:div>
    <w:div w:id="394014743">
      <w:bodyDiv w:val="1"/>
      <w:marLeft w:val="0"/>
      <w:marRight w:val="0"/>
      <w:marTop w:val="0"/>
      <w:marBottom w:val="0"/>
      <w:divBdr>
        <w:top w:val="none" w:sz="0" w:space="0" w:color="auto"/>
        <w:left w:val="none" w:sz="0" w:space="0" w:color="auto"/>
        <w:bottom w:val="none" w:sz="0" w:space="0" w:color="auto"/>
        <w:right w:val="none" w:sz="0" w:space="0" w:color="auto"/>
      </w:divBdr>
    </w:div>
    <w:div w:id="627325424">
      <w:bodyDiv w:val="1"/>
      <w:marLeft w:val="0"/>
      <w:marRight w:val="0"/>
      <w:marTop w:val="0"/>
      <w:marBottom w:val="0"/>
      <w:divBdr>
        <w:top w:val="none" w:sz="0" w:space="0" w:color="auto"/>
        <w:left w:val="none" w:sz="0" w:space="0" w:color="auto"/>
        <w:bottom w:val="none" w:sz="0" w:space="0" w:color="auto"/>
        <w:right w:val="none" w:sz="0" w:space="0" w:color="auto"/>
      </w:divBdr>
    </w:div>
    <w:div w:id="692194277">
      <w:bodyDiv w:val="1"/>
      <w:marLeft w:val="0"/>
      <w:marRight w:val="0"/>
      <w:marTop w:val="0"/>
      <w:marBottom w:val="0"/>
      <w:divBdr>
        <w:top w:val="none" w:sz="0" w:space="0" w:color="auto"/>
        <w:left w:val="none" w:sz="0" w:space="0" w:color="auto"/>
        <w:bottom w:val="none" w:sz="0" w:space="0" w:color="auto"/>
        <w:right w:val="none" w:sz="0" w:space="0" w:color="auto"/>
      </w:divBdr>
    </w:div>
    <w:div w:id="811872869">
      <w:bodyDiv w:val="1"/>
      <w:marLeft w:val="0"/>
      <w:marRight w:val="0"/>
      <w:marTop w:val="0"/>
      <w:marBottom w:val="0"/>
      <w:divBdr>
        <w:top w:val="none" w:sz="0" w:space="0" w:color="auto"/>
        <w:left w:val="none" w:sz="0" w:space="0" w:color="auto"/>
        <w:bottom w:val="none" w:sz="0" w:space="0" w:color="auto"/>
        <w:right w:val="none" w:sz="0" w:space="0" w:color="auto"/>
      </w:divBdr>
    </w:div>
    <w:div w:id="857498547">
      <w:bodyDiv w:val="1"/>
      <w:marLeft w:val="0"/>
      <w:marRight w:val="0"/>
      <w:marTop w:val="0"/>
      <w:marBottom w:val="0"/>
      <w:divBdr>
        <w:top w:val="none" w:sz="0" w:space="0" w:color="auto"/>
        <w:left w:val="none" w:sz="0" w:space="0" w:color="auto"/>
        <w:bottom w:val="none" w:sz="0" w:space="0" w:color="auto"/>
        <w:right w:val="none" w:sz="0" w:space="0" w:color="auto"/>
      </w:divBdr>
    </w:div>
    <w:div w:id="1058240206">
      <w:bodyDiv w:val="1"/>
      <w:marLeft w:val="0"/>
      <w:marRight w:val="0"/>
      <w:marTop w:val="0"/>
      <w:marBottom w:val="0"/>
      <w:divBdr>
        <w:top w:val="none" w:sz="0" w:space="0" w:color="auto"/>
        <w:left w:val="none" w:sz="0" w:space="0" w:color="auto"/>
        <w:bottom w:val="none" w:sz="0" w:space="0" w:color="auto"/>
        <w:right w:val="none" w:sz="0" w:space="0" w:color="auto"/>
      </w:divBdr>
    </w:div>
    <w:div w:id="1070426679">
      <w:bodyDiv w:val="1"/>
      <w:marLeft w:val="0"/>
      <w:marRight w:val="0"/>
      <w:marTop w:val="0"/>
      <w:marBottom w:val="0"/>
      <w:divBdr>
        <w:top w:val="none" w:sz="0" w:space="0" w:color="auto"/>
        <w:left w:val="none" w:sz="0" w:space="0" w:color="auto"/>
        <w:bottom w:val="none" w:sz="0" w:space="0" w:color="auto"/>
        <w:right w:val="none" w:sz="0" w:space="0" w:color="auto"/>
      </w:divBdr>
    </w:div>
    <w:div w:id="1131286857">
      <w:bodyDiv w:val="1"/>
      <w:marLeft w:val="0"/>
      <w:marRight w:val="0"/>
      <w:marTop w:val="0"/>
      <w:marBottom w:val="0"/>
      <w:divBdr>
        <w:top w:val="none" w:sz="0" w:space="0" w:color="auto"/>
        <w:left w:val="none" w:sz="0" w:space="0" w:color="auto"/>
        <w:bottom w:val="none" w:sz="0" w:space="0" w:color="auto"/>
        <w:right w:val="none" w:sz="0" w:space="0" w:color="auto"/>
      </w:divBdr>
    </w:div>
    <w:div w:id="1172333059">
      <w:bodyDiv w:val="1"/>
      <w:marLeft w:val="0"/>
      <w:marRight w:val="0"/>
      <w:marTop w:val="0"/>
      <w:marBottom w:val="0"/>
      <w:divBdr>
        <w:top w:val="none" w:sz="0" w:space="0" w:color="auto"/>
        <w:left w:val="none" w:sz="0" w:space="0" w:color="auto"/>
        <w:bottom w:val="none" w:sz="0" w:space="0" w:color="auto"/>
        <w:right w:val="none" w:sz="0" w:space="0" w:color="auto"/>
      </w:divBdr>
    </w:div>
    <w:div w:id="1192182246">
      <w:bodyDiv w:val="1"/>
      <w:marLeft w:val="0"/>
      <w:marRight w:val="0"/>
      <w:marTop w:val="0"/>
      <w:marBottom w:val="0"/>
      <w:divBdr>
        <w:top w:val="none" w:sz="0" w:space="0" w:color="auto"/>
        <w:left w:val="none" w:sz="0" w:space="0" w:color="auto"/>
        <w:bottom w:val="none" w:sz="0" w:space="0" w:color="auto"/>
        <w:right w:val="none" w:sz="0" w:space="0" w:color="auto"/>
      </w:divBdr>
    </w:div>
    <w:div w:id="1295599988">
      <w:bodyDiv w:val="1"/>
      <w:marLeft w:val="0"/>
      <w:marRight w:val="0"/>
      <w:marTop w:val="0"/>
      <w:marBottom w:val="0"/>
      <w:divBdr>
        <w:top w:val="none" w:sz="0" w:space="0" w:color="auto"/>
        <w:left w:val="none" w:sz="0" w:space="0" w:color="auto"/>
        <w:bottom w:val="none" w:sz="0" w:space="0" w:color="auto"/>
        <w:right w:val="none" w:sz="0" w:space="0" w:color="auto"/>
      </w:divBdr>
    </w:div>
    <w:div w:id="1302157189">
      <w:bodyDiv w:val="1"/>
      <w:marLeft w:val="0"/>
      <w:marRight w:val="0"/>
      <w:marTop w:val="0"/>
      <w:marBottom w:val="0"/>
      <w:divBdr>
        <w:top w:val="none" w:sz="0" w:space="0" w:color="auto"/>
        <w:left w:val="none" w:sz="0" w:space="0" w:color="auto"/>
        <w:bottom w:val="none" w:sz="0" w:space="0" w:color="auto"/>
        <w:right w:val="none" w:sz="0" w:space="0" w:color="auto"/>
      </w:divBdr>
    </w:div>
    <w:div w:id="1304501504">
      <w:bodyDiv w:val="1"/>
      <w:marLeft w:val="0"/>
      <w:marRight w:val="0"/>
      <w:marTop w:val="0"/>
      <w:marBottom w:val="0"/>
      <w:divBdr>
        <w:top w:val="none" w:sz="0" w:space="0" w:color="auto"/>
        <w:left w:val="none" w:sz="0" w:space="0" w:color="auto"/>
        <w:bottom w:val="none" w:sz="0" w:space="0" w:color="auto"/>
        <w:right w:val="none" w:sz="0" w:space="0" w:color="auto"/>
      </w:divBdr>
    </w:div>
    <w:div w:id="1363941381">
      <w:bodyDiv w:val="1"/>
      <w:marLeft w:val="0"/>
      <w:marRight w:val="0"/>
      <w:marTop w:val="0"/>
      <w:marBottom w:val="0"/>
      <w:divBdr>
        <w:top w:val="none" w:sz="0" w:space="0" w:color="auto"/>
        <w:left w:val="none" w:sz="0" w:space="0" w:color="auto"/>
        <w:bottom w:val="none" w:sz="0" w:space="0" w:color="auto"/>
        <w:right w:val="none" w:sz="0" w:space="0" w:color="auto"/>
      </w:divBdr>
    </w:div>
    <w:div w:id="1423994570">
      <w:bodyDiv w:val="1"/>
      <w:marLeft w:val="0"/>
      <w:marRight w:val="0"/>
      <w:marTop w:val="0"/>
      <w:marBottom w:val="0"/>
      <w:divBdr>
        <w:top w:val="none" w:sz="0" w:space="0" w:color="auto"/>
        <w:left w:val="none" w:sz="0" w:space="0" w:color="auto"/>
        <w:bottom w:val="none" w:sz="0" w:space="0" w:color="auto"/>
        <w:right w:val="none" w:sz="0" w:space="0" w:color="auto"/>
      </w:divBdr>
    </w:div>
    <w:div w:id="1559126853">
      <w:bodyDiv w:val="1"/>
      <w:marLeft w:val="0"/>
      <w:marRight w:val="0"/>
      <w:marTop w:val="0"/>
      <w:marBottom w:val="0"/>
      <w:divBdr>
        <w:top w:val="none" w:sz="0" w:space="0" w:color="auto"/>
        <w:left w:val="none" w:sz="0" w:space="0" w:color="auto"/>
        <w:bottom w:val="none" w:sz="0" w:space="0" w:color="auto"/>
        <w:right w:val="none" w:sz="0" w:space="0" w:color="auto"/>
      </w:divBdr>
    </w:div>
    <w:div w:id="1618760314">
      <w:bodyDiv w:val="1"/>
      <w:marLeft w:val="0"/>
      <w:marRight w:val="0"/>
      <w:marTop w:val="0"/>
      <w:marBottom w:val="0"/>
      <w:divBdr>
        <w:top w:val="none" w:sz="0" w:space="0" w:color="auto"/>
        <w:left w:val="none" w:sz="0" w:space="0" w:color="auto"/>
        <w:bottom w:val="none" w:sz="0" w:space="0" w:color="auto"/>
        <w:right w:val="none" w:sz="0" w:space="0" w:color="auto"/>
      </w:divBdr>
    </w:div>
    <w:div w:id="1629356938">
      <w:bodyDiv w:val="1"/>
      <w:marLeft w:val="0"/>
      <w:marRight w:val="0"/>
      <w:marTop w:val="0"/>
      <w:marBottom w:val="0"/>
      <w:divBdr>
        <w:top w:val="none" w:sz="0" w:space="0" w:color="auto"/>
        <w:left w:val="none" w:sz="0" w:space="0" w:color="auto"/>
        <w:bottom w:val="none" w:sz="0" w:space="0" w:color="auto"/>
        <w:right w:val="none" w:sz="0" w:space="0" w:color="auto"/>
      </w:divBdr>
    </w:div>
    <w:div w:id="1637566867">
      <w:bodyDiv w:val="1"/>
      <w:marLeft w:val="0"/>
      <w:marRight w:val="0"/>
      <w:marTop w:val="0"/>
      <w:marBottom w:val="0"/>
      <w:divBdr>
        <w:top w:val="none" w:sz="0" w:space="0" w:color="auto"/>
        <w:left w:val="none" w:sz="0" w:space="0" w:color="auto"/>
        <w:bottom w:val="none" w:sz="0" w:space="0" w:color="auto"/>
        <w:right w:val="none" w:sz="0" w:space="0" w:color="auto"/>
      </w:divBdr>
    </w:div>
    <w:div w:id="1696539677">
      <w:bodyDiv w:val="1"/>
      <w:marLeft w:val="0"/>
      <w:marRight w:val="0"/>
      <w:marTop w:val="0"/>
      <w:marBottom w:val="0"/>
      <w:divBdr>
        <w:top w:val="none" w:sz="0" w:space="0" w:color="auto"/>
        <w:left w:val="none" w:sz="0" w:space="0" w:color="auto"/>
        <w:bottom w:val="none" w:sz="0" w:space="0" w:color="auto"/>
        <w:right w:val="none" w:sz="0" w:space="0" w:color="auto"/>
      </w:divBdr>
    </w:div>
    <w:div w:id="1697197132">
      <w:bodyDiv w:val="1"/>
      <w:marLeft w:val="0"/>
      <w:marRight w:val="0"/>
      <w:marTop w:val="0"/>
      <w:marBottom w:val="0"/>
      <w:divBdr>
        <w:top w:val="none" w:sz="0" w:space="0" w:color="auto"/>
        <w:left w:val="none" w:sz="0" w:space="0" w:color="auto"/>
        <w:bottom w:val="none" w:sz="0" w:space="0" w:color="auto"/>
        <w:right w:val="none" w:sz="0" w:space="0" w:color="auto"/>
      </w:divBdr>
    </w:div>
    <w:div w:id="1776828621">
      <w:bodyDiv w:val="1"/>
      <w:marLeft w:val="0"/>
      <w:marRight w:val="0"/>
      <w:marTop w:val="0"/>
      <w:marBottom w:val="0"/>
      <w:divBdr>
        <w:top w:val="none" w:sz="0" w:space="0" w:color="auto"/>
        <w:left w:val="none" w:sz="0" w:space="0" w:color="auto"/>
        <w:bottom w:val="none" w:sz="0" w:space="0" w:color="auto"/>
        <w:right w:val="none" w:sz="0" w:space="0" w:color="auto"/>
      </w:divBdr>
    </w:div>
    <w:div w:id="1813060481">
      <w:bodyDiv w:val="1"/>
      <w:marLeft w:val="0"/>
      <w:marRight w:val="0"/>
      <w:marTop w:val="0"/>
      <w:marBottom w:val="0"/>
      <w:divBdr>
        <w:top w:val="none" w:sz="0" w:space="0" w:color="auto"/>
        <w:left w:val="none" w:sz="0" w:space="0" w:color="auto"/>
        <w:bottom w:val="none" w:sz="0" w:space="0" w:color="auto"/>
        <w:right w:val="none" w:sz="0" w:space="0" w:color="auto"/>
      </w:divBdr>
    </w:div>
    <w:div w:id="1817989740">
      <w:bodyDiv w:val="1"/>
      <w:marLeft w:val="0"/>
      <w:marRight w:val="0"/>
      <w:marTop w:val="0"/>
      <w:marBottom w:val="0"/>
      <w:divBdr>
        <w:top w:val="none" w:sz="0" w:space="0" w:color="auto"/>
        <w:left w:val="none" w:sz="0" w:space="0" w:color="auto"/>
        <w:bottom w:val="none" w:sz="0" w:space="0" w:color="auto"/>
        <w:right w:val="none" w:sz="0" w:space="0" w:color="auto"/>
      </w:divBdr>
    </w:div>
    <w:div w:id="1818835849">
      <w:bodyDiv w:val="1"/>
      <w:marLeft w:val="0"/>
      <w:marRight w:val="0"/>
      <w:marTop w:val="0"/>
      <w:marBottom w:val="0"/>
      <w:divBdr>
        <w:top w:val="none" w:sz="0" w:space="0" w:color="auto"/>
        <w:left w:val="none" w:sz="0" w:space="0" w:color="auto"/>
        <w:bottom w:val="none" w:sz="0" w:space="0" w:color="auto"/>
        <w:right w:val="none" w:sz="0" w:space="0" w:color="auto"/>
      </w:divBdr>
    </w:div>
    <w:div w:id="1846822574">
      <w:bodyDiv w:val="1"/>
      <w:marLeft w:val="0"/>
      <w:marRight w:val="0"/>
      <w:marTop w:val="0"/>
      <w:marBottom w:val="0"/>
      <w:divBdr>
        <w:top w:val="none" w:sz="0" w:space="0" w:color="auto"/>
        <w:left w:val="none" w:sz="0" w:space="0" w:color="auto"/>
        <w:bottom w:val="none" w:sz="0" w:space="0" w:color="auto"/>
        <w:right w:val="none" w:sz="0" w:space="0" w:color="auto"/>
      </w:divBdr>
    </w:div>
    <w:div w:id="2023890491">
      <w:bodyDiv w:val="1"/>
      <w:marLeft w:val="0"/>
      <w:marRight w:val="0"/>
      <w:marTop w:val="0"/>
      <w:marBottom w:val="0"/>
      <w:divBdr>
        <w:top w:val="none" w:sz="0" w:space="0" w:color="auto"/>
        <w:left w:val="none" w:sz="0" w:space="0" w:color="auto"/>
        <w:bottom w:val="none" w:sz="0" w:space="0" w:color="auto"/>
        <w:right w:val="none" w:sz="0" w:space="0" w:color="auto"/>
      </w:divBdr>
    </w:div>
    <w:div w:id="2042853397">
      <w:bodyDiv w:val="1"/>
      <w:marLeft w:val="0"/>
      <w:marRight w:val="0"/>
      <w:marTop w:val="0"/>
      <w:marBottom w:val="0"/>
      <w:divBdr>
        <w:top w:val="none" w:sz="0" w:space="0" w:color="auto"/>
        <w:left w:val="none" w:sz="0" w:space="0" w:color="auto"/>
        <w:bottom w:val="none" w:sz="0" w:space="0" w:color="auto"/>
        <w:right w:val="none" w:sz="0" w:space="0" w:color="auto"/>
      </w:divBdr>
    </w:div>
    <w:div w:id="2143961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tion@dtf.vic.gov.a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IPpolicy@dtf.vic.gov.au"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creativecommons.org/licenses/by/3.0/au/" TargetMode="External"/><Relationship Id="rId14" Type="http://schemas.openxmlformats.org/officeDocument/2006/relationships/hyperlink" Target="http://www.dtf.vic.gov.au"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DCAFF-8851-4CE8-81FB-0DAAEAF9D972}">
  <ds:schemaRefs>
    <ds:schemaRef ds:uri="http://www.w3.org/2001/XMLSchema"/>
  </ds:schemaRefs>
</ds:datastoreItem>
</file>

<file path=customXml/itemProps2.xml><?xml version="1.0" encoding="utf-8"?>
<ds:datastoreItem xmlns:ds="http://schemas.openxmlformats.org/officeDocument/2006/customXml" ds:itemID="{7C58D94A-206F-46C2-8FA4-A1DF5542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3613</Words>
  <Characters>22660</Characters>
  <Application>Microsoft Office Word</Application>
  <DocSecurity>0</DocSecurity>
  <Lines>871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2020-05-28T23:11:00Z</dcterms:created>
  <dcterms:modified xsi:type="dcterms:W3CDTF">2020-05-29T04:28:00Z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iteId">
    <vt:lpwstr>722ea0be-3e1c-4b11-ad6f-9401d6856e24</vt:lpwstr>
  </property>
  <property fmtid="{D5CDD505-2E9C-101B-9397-08002B2CF9AE}" pid="4" name="MSIP_Label_bb4ee517-5ca4-4fff-98d2-ed4f906edd6d_Owner">
    <vt:lpwstr>Deidre.Steain@dtf.vic.gov.au</vt:lpwstr>
  </property>
  <property fmtid="{D5CDD505-2E9C-101B-9397-08002B2CF9AE}" pid="5" name="MSIP_Label_bb4ee517-5ca4-4fff-98d2-ed4f906edd6d_SetDate">
    <vt:lpwstr>2020-02-13T01:27:48.3161294Z</vt:lpwstr>
  </property>
  <property fmtid="{D5CDD505-2E9C-101B-9397-08002B2CF9AE}" pid="6" name="MSIP_Label_bb4ee517-5ca4-4fff-98d2-ed4f906edd6d_Name">
    <vt:lpwstr>DoNotMark</vt:lpwstr>
  </property>
  <property fmtid="{D5CDD505-2E9C-101B-9397-08002B2CF9AE}" pid="7" name="MSIP_Label_bb4ee517-5ca4-4fff-98d2-ed4f906edd6d_Application">
    <vt:lpwstr>Microsoft Azure Information Protection</vt:lpwstr>
  </property>
  <property fmtid="{D5CDD505-2E9C-101B-9397-08002B2CF9AE}" pid="8" name="MSIP_Label_bb4ee517-5ca4-4fff-98d2-ed4f906edd6d_ActionId">
    <vt:lpwstr>afc399a2-fe64-42fb-a2be-4a9a89c66811</vt:lpwstr>
  </property>
  <property fmtid="{D5CDD505-2E9C-101B-9397-08002B2CF9AE}" pid="9" name="MSIP_Label_bb4ee517-5ca4-4fff-98d2-ed4f906edd6d_Extended_MSFT_Method">
    <vt:lpwstr>Manual</vt:lpwstr>
  </property>
  <property fmtid="{D5CDD505-2E9C-101B-9397-08002B2CF9AE}" pid="10" name="Sensitivity">
    <vt:lpwstr>DoNotMark</vt:lpwstr>
  </property>
</Properties>
</file>