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42780672"/>
    <w:p w14:paraId="2E09F130" w14:textId="5F6F9DA3" w:rsidR="00045296" w:rsidRPr="00EE7706" w:rsidRDefault="004C7125" w:rsidP="00C64E8E">
      <w:pPr>
        <w:pStyle w:val="Title"/>
        <w:spacing w:before="120"/>
      </w:pPr>
      <w:r>
        <w:rPr>
          <w:noProof/>
        </w:rPr>
        <mc:AlternateContent>
          <mc:Choice Requires="wpg">
            <w:drawing>
              <wp:anchor distT="0" distB="0" distL="114300" distR="114300" simplePos="0" relativeHeight="251658240" behindDoc="1" locked="0" layoutInCell="1" allowOverlap="1" wp14:anchorId="01678883" wp14:editId="7BECAA2E">
                <wp:simplePos x="0" y="0"/>
                <wp:positionH relativeFrom="column">
                  <wp:posOffset>-594360</wp:posOffset>
                </wp:positionH>
                <wp:positionV relativeFrom="paragraph">
                  <wp:posOffset>-514350</wp:posOffset>
                </wp:positionV>
                <wp:extent cx="5200762" cy="2962179"/>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00762" cy="2962179"/>
                          <a:chOff x="0" y="0"/>
                          <a:chExt cx="5200762" cy="2962179"/>
                        </a:xfrm>
                      </wpg:grpSpPr>
                      <wps:wsp>
                        <wps:cNvPr id="10" name="Shape 2"/>
                        <wps:cNvSpPr/>
                        <wps:spPr>
                          <a:xfrm>
                            <a:off x="0" y="10633"/>
                            <a:ext cx="5200762" cy="2951546"/>
                          </a:xfrm>
                          <a:custGeom>
                            <a:avLst/>
                            <a:gdLst>
                              <a:gd name="connsiteX0" fmla="*/ 3875056 w 3875055"/>
                              <a:gd name="connsiteY0" fmla="*/ 2201513 h 2201513"/>
                              <a:gd name="connsiteX1" fmla="*/ 2834449 w 3875055"/>
                              <a:gd name="connsiteY1" fmla="*/ 0 h 2201513"/>
                              <a:gd name="connsiteX2" fmla="*/ 0 w 3875055"/>
                              <a:gd name="connsiteY2" fmla="*/ 0 h 2201513"/>
                              <a:gd name="connsiteX3" fmla="*/ 0 w 3875055"/>
                              <a:gd name="connsiteY3" fmla="*/ 2201513 h 2201513"/>
                              <a:gd name="connsiteX4" fmla="*/ 3875056 w 3875055"/>
                              <a:gd name="connsiteY4" fmla="*/ 2201513 h 220151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875055" h="2201513">
                                <a:moveTo>
                                  <a:pt x="3875056" y="2201513"/>
                                </a:moveTo>
                                <a:lnTo>
                                  <a:pt x="2834449" y="0"/>
                                </a:lnTo>
                                <a:lnTo>
                                  <a:pt x="0" y="0"/>
                                </a:lnTo>
                                <a:lnTo>
                                  <a:pt x="0" y="2201513"/>
                                </a:lnTo>
                                <a:lnTo>
                                  <a:pt x="3875056" y="2201513"/>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1"/>
                        <wps:cNvSpPr/>
                        <wps:spPr>
                          <a:xfrm>
                            <a:off x="0" y="0"/>
                            <a:ext cx="4229846" cy="2697677"/>
                          </a:xfrm>
                          <a:custGeom>
                            <a:avLst/>
                            <a:gdLst>
                              <a:gd name="connsiteX0" fmla="*/ 3151632 w 3151632"/>
                              <a:gd name="connsiteY0" fmla="*/ 2012156 h 2012156"/>
                              <a:gd name="connsiteX1" fmla="*/ 3151632 w 3151632"/>
                              <a:gd name="connsiteY1" fmla="*/ 0 h 2012156"/>
                              <a:gd name="connsiteX2" fmla="*/ 0 w 3151632"/>
                              <a:gd name="connsiteY2" fmla="*/ 0 h 2012156"/>
                              <a:gd name="connsiteX3" fmla="*/ 0 w 3151632"/>
                              <a:gd name="connsiteY3" fmla="*/ 1112520 h 2012156"/>
                              <a:gd name="connsiteX4" fmla="*/ 425291 w 3151632"/>
                              <a:gd name="connsiteY4" fmla="*/ 2012156 h 2012156"/>
                              <a:gd name="connsiteX5" fmla="*/ 3151632 w 3151632"/>
                              <a:gd name="connsiteY5" fmla="*/ 2012156 h 20121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51632" h="2012156">
                                <a:moveTo>
                                  <a:pt x="3151632" y="2012156"/>
                                </a:moveTo>
                                <a:lnTo>
                                  <a:pt x="3151632" y="0"/>
                                </a:lnTo>
                                <a:lnTo>
                                  <a:pt x="0" y="0"/>
                                </a:lnTo>
                                <a:lnTo>
                                  <a:pt x="0" y="1112520"/>
                                </a:lnTo>
                                <a:lnTo>
                                  <a:pt x="425291" y="2012156"/>
                                </a:lnTo>
                                <a:lnTo>
                                  <a:pt x="3151632" y="2012156"/>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Line"/>
                        <wps:cNvCnPr/>
                        <wps:spPr>
                          <a:xfrm flipV="1">
                            <a:off x="2849526" y="1582036"/>
                            <a:ext cx="990765" cy="0"/>
                          </a:xfrm>
                          <a:prstGeom prst="line">
                            <a:avLst/>
                          </a:prstGeom>
                          <a:ln w="57150">
                            <a:solidFill>
                              <a:schemeClr val="accent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2BF24A3" id="Group 1" o:spid="_x0000_s1026" alt="&quot;&quot;" style="position:absolute;margin-left:-46.8pt;margin-top:-40.5pt;width:409.5pt;height:233.25pt;z-index:-251658240" coordsize="52007,2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">
                <v:shape id="Shape 2" o:spid="_x0000_s1027" style="position:absolute;top:106;width:52007;height:29515;visibility:visible;mso-wrap-style:square;v-text-anchor:middle" coordsize="3875055,220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" path="m3875056,2201513l2834449,,,,,2201513r3875056,xe" fillcolor="#00bac7 [3204]" stroked="f">
                  <v:stroke joinstyle="miter"/>
                  <v:path arrowok="t" o:connecttype="custom" o:connectlocs="5200763,2951546;3804151,0;0,0;0,2951546;5200763,2951546" o:connectangles="0,0,0,0,0"/>
                </v:shape>
                <v:shape id="Shape 1" o:spid="_x0000_s1028" style="position:absolute;width:42298;height:26976;visibility:visible;mso-wrap-style:square;v-text-anchor:middle" coordsize="3151632,201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" path="m3151632,2012156l3151632,,,,,1112520r425291,899636l3151632,2012156xe" fillcolor="#232b39 [3213]" stroked="f">
                  <v:stroke joinstyle="miter"/>
                  <v:path arrowok="t" o:connecttype="custom" o:connectlocs="4229846,2697677;4229846,0;0,0;0,1491544;570789,2697677;4229846,2697677" o:connectangles="0,0,0,0,0,0"/>
                </v:shape>
                <v:line id="Line" o:spid="_x0000_s1029" style="position:absolute;flip:y;visibility:visible;mso-wrap-style:square" from="28495,15820" to="38402,1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" strokecolor="#00bac7 [3204]" strokeweight="4.5pt"/>
              </v:group>
            </w:pict>
          </mc:Fallback>
        </mc:AlternateContent>
      </w:r>
      <w:r w:rsidR="00C64E8E">
        <w:rPr>
          <w:noProof/>
        </w:rPr>
        <w:t>Commercial and Industrial Property Tax Reform</w:t>
      </w:r>
    </w:p>
    <w:p w14:paraId="4E767EF3" w14:textId="34BE264F" w:rsidR="00522F8A" w:rsidRPr="00125514" w:rsidRDefault="005129A3" w:rsidP="00E32AC9">
      <w:pPr>
        <w:pStyle w:val="Subtitle"/>
        <w:spacing w:before="600"/>
      </w:pPr>
      <w:bookmarkStart w:id="1" w:name="_Hlk168411034"/>
      <w:r w:rsidRPr="00125514">
        <w:t>Fact</w:t>
      </w:r>
      <w:r w:rsidR="001B73E4">
        <w:t xml:space="preserve"> </w:t>
      </w:r>
      <w:r w:rsidRPr="00125514">
        <w:t>sheet</w:t>
      </w:r>
      <w:r w:rsidR="00E32AC9">
        <w:t xml:space="preserve"> – transition loan</w:t>
      </w:r>
    </w:p>
    <w:p w14:paraId="32F1192E" w14:textId="3296B9BA" w:rsidR="00522F8A" w:rsidRPr="00E32AC9" w:rsidRDefault="00C64E8E" w:rsidP="00632680">
      <w:pPr>
        <w:pStyle w:val="CM"/>
        <w:shd w:val="clear" w:color="auto" w:fill="232B39" w:themeFill="text1"/>
        <w:rPr>
          <w:sz w:val="26"/>
          <w:szCs w:val="26"/>
        </w:rPr>
      </w:pPr>
      <w:r w:rsidRPr="00E32AC9">
        <w:rPr>
          <w:sz w:val="26"/>
          <w:szCs w:val="26"/>
        </w:rPr>
        <w:t>key design elements</w:t>
      </w:r>
    </w:p>
    <w:bookmarkEnd w:id="1"/>
    <w:p w14:paraId="665FB893" w14:textId="77777777" w:rsidR="00822DEC" w:rsidRDefault="00822DEC" w:rsidP="0096774E">
      <w:pPr>
        <w:pStyle w:val="Heading1"/>
        <w:sectPr w:rsidR="00822DEC" w:rsidSect="00B107CA">
          <w:headerReference w:type="even" r:id="rId12"/>
          <w:headerReference w:type="default" r:id="rId13"/>
          <w:footerReference w:type="even" r:id="rId14"/>
          <w:footerReference w:type="default" r:id="rId15"/>
          <w:headerReference w:type="first" r:id="rId16"/>
          <w:footerReference w:type="first" r:id="rId17"/>
          <w:pgSz w:w="11906" w:h="16838" w:code="9"/>
          <w:pgMar w:top="810" w:right="936" w:bottom="1728" w:left="936" w:header="450" w:footer="461" w:gutter="0"/>
          <w:cols w:space="708"/>
          <w:titlePg/>
          <w:docGrid w:linePitch="360"/>
        </w:sectPr>
      </w:pPr>
    </w:p>
    <w:p w14:paraId="0138C875" w14:textId="454D0E4D" w:rsidR="00045296" w:rsidRPr="00690B7B" w:rsidRDefault="00EE5024" w:rsidP="00774846">
      <w:pPr>
        <w:pStyle w:val="Heading1"/>
        <w:shd w:val="clear" w:color="auto" w:fill="F2F2F2" w:themeFill="background1" w:themeFillShade="F2"/>
        <w:rPr>
          <w:b/>
          <w:bCs w:val="0"/>
          <w:sz w:val="32"/>
          <w:szCs w:val="24"/>
        </w:rPr>
      </w:pPr>
      <w:r w:rsidRPr="00690B7B">
        <w:rPr>
          <w:bCs w:val="0"/>
          <w:sz w:val="32"/>
          <w:szCs w:val="24"/>
        </w:rPr>
        <w:t>About the reform</w:t>
      </w:r>
    </w:p>
    <w:p w14:paraId="340183D9" w14:textId="0F60FD4B" w:rsidR="00774846" w:rsidRDefault="00774846" w:rsidP="00774846">
      <w:pPr>
        <w:shd w:val="clear" w:color="auto" w:fill="F2F2F2" w:themeFill="background1" w:themeFillShade="F2"/>
      </w:pPr>
      <w:r>
        <w:t xml:space="preserve">As announced in the </w:t>
      </w:r>
      <w:r w:rsidRPr="002F5093">
        <w:rPr>
          <w:i/>
          <w:iCs/>
        </w:rPr>
        <w:t>2023-24 Budget</w:t>
      </w:r>
      <w:r>
        <w:t>, the Victorian Government is progressively abolishing stamp duty on commercial and industrial property and replacing it with a more efficient annual tax based on unimproved land value – to be called the ‘Commercial and Industrial Property Tax’</w:t>
      </w:r>
      <w:r w:rsidR="008C0FE9">
        <w:t xml:space="preserve"> (CIPT)</w:t>
      </w:r>
      <w:r>
        <w:t>.</w:t>
      </w:r>
    </w:p>
    <w:p w14:paraId="4B9BBF4D" w14:textId="14F1ADEB" w:rsidR="00E66374" w:rsidRDefault="00E66374" w:rsidP="00774846">
      <w:pPr>
        <w:shd w:val="clear" w:color="auto" w:fill="F2F2F2" w:themeFill="background1" w:themeFillShade="F2"/>
      </w:pPr>
      <w:r>
        <w:t xml:space="preserve">From 1 July 2024, </w:t>
      </w:r>
      <w:r w:rsidR="00613D56">
        <w:t xml:space="preserve">eligible </w:t>
      </w:r>
      <w:r>
        <w:t>first purchasers of a commercial or industrial property entering the reform will have the option of accessing a government transition loan</w:t>
      </w:r>
      <w:r w:rsidR="001F37D7">
        <w:t xml:space="preserve"> </w:t>
      </w:r>
      <w:r w:rsidR="638EC1D0">
        <w:t>on equivalent to commercial terms to</w:t>
      </w:r>
      <w:r>
        <w:t xml:space="preserve"> finance the final upfront stamp duty liability</w:t>
      </w:r>
      <w:r w:rsidR="00613D56">
        <w:t xml:space="preserve"> on their purchase</w:t>
      </w:r>
      <w:r>
        <w:t>.</w:t>
      </w:r>
    </w:p>
    <w:p w14:paraId="602A479C" w14:textId="4A483AE2" w:rsidR="00774846" w:rsidRDefault="00774846" w:rsidP="00774846">
      <w:pPr>
        <w:shd w:val="clear" w:color="auto" w:fill="F2F2F2" w:themeFill="background1" w:themeFillShade="F2"/>
      </w:pPr>
      <w:r>
        <w:t>A</w:t>
      </w:r>
      <w:r w:rsidR="00E32AC9">
        <w:t>n</w:t>
      </w:r>
      <w:r w:rsidR="003C49A1">
        <w:t xml:space="preserve"> information</w:t>
      </w:r>
      <w:r>
        <w:t xml:space="preserve"> sheet was released in </w:t>
      </w:r>
      <w:r w:rsidR="003C49A1">
        <w:t>December</w:t>
      </w:r>
      <w:r w:rsidR="00613D56">
        <w:rPr>
          <w:rFonts w:ascii="Calibri" w:hAnsi="Calibri" w:cs="Calibri"/>
        </w:rPr>
        <w:t> </w:t>
      </w:r>
      <w:r>
        <w:t xml:space="preserve">2023 providing further detail on the </w:t>
      </w:r>
      <w:r w:rsidR="003C49A1">
        <w:t>final design features</w:t>
      </w:r>
      <w:r>
        <w:t xml:space="preserve"> of the reform.</w:t>
      </w:r>
      <w:r w:rsidR="003C49A1">
        <w:t xml:space="preserve"> </w:t>
      </w:r>
      <w:r w:rsidR="00E41DFB">
        <w:t>The information sheet stated that f</w:t>
      </w:r>
      <w:r w:rsidR="00E41DFB" w:rsidRPr="00E41DFB">
        <w:t xml:space="preserve">urther details on the </w:t>
      </w:r>
      <w:r w:rsidR="00E66374">
        <w:t>transition loan</w:t>
      </w:r>
      <w:r w:rsidR="00E41DFB">
        <w:t xml:space="preserve"> would </w:t>
      </w:r>
      <w:r w:rsidR="00E41DFB" w:rsidRPr="00E41DFB">
        <w:t xml:space="preserve">be </w:t>
      </w:r>
      <w:r w:rsidR="00E41DFB">
        <w:t xml:space="preserve">made </w:t>
      </w:r>
      <w:r w:rsidR="00E41DFB" w:rsidRPr="00E41DFB">
        <w:t>available in 2024</w:t>
      </w:r>
      <w:r w:rsidR="003C49A1" w:rsidRPr="003C49A1">
        <w:t>.</w:t>
      </w:r>
    </w:p>
    <w:p w14:paraId="609EEE83" w14:textId="7E8EF9FF" w:rsidR="00045296" w:rsidRDefault="00774846" w:rsidP="00774846">
      <w:pPr>
        <w:shd w:val="clear" w:color="auto" w:fill="F2F2F2" w:themeFill="background1" w:themeFillShade="F2"/>
      </w:pPr>
      <w:r>
        <w:t xml:space="preserve">This </w:t>
      </w:r>
      <w:r w:rsidR="003C49A1">
        <w:t>fact sheet</w:t>
      </w:r>
      <w:r>
        <w:t xml:space="preserve"> provides further detail on the </w:t>
      </w:r>
      <w:r w:rsidR="00E41DFB">
        <w:t xml:space="preserve">key </w:t>
      </w:r>
      <w:r w:rsidR="003C49A1">
        <w:t>design elements of the transition loan,</w:t>
      </w:r>
      <w:r w:rsidR="003C49A1" w:rsidRPr="003C49A1">
        <w:t xml:space="preserve"> which have been informed by consultation</w:t>
      </w:r>
      <w:r w:rsidR="003C49A1">
        <w:t xml:space="preserve"> undertaken to date</w:t>
      </w:r>
      <w:r>
        <w:t>.</w:t>
      </w:r>
      <w:r w:rsidRPr="006805B9">
        <w:t xml:space="preserve"> </w:t>
      </w:r>
    </w:p>
    <w:p w14:paraId="1E7B4756" w14:textId="16A9DB3A" w:rsidR="00E41DFB" w:rsidRPr="006805B9" w:rsidRDefault="00E41DFB" w:rsidP="00774846">
      <w:pPr>
        <w:shd w:val="clear" w:color="auto" w:fill="F2F2F2" w:themeFill="background1" w:themeFillShade="F2"/>
      </w:pPr>
      <w:r>
        <w:t xml:space="preserve">Further information on the transition loan, such as how to apply and the </w:t>
      </w:r>
      <w:r w:rsidR="00C837A9">
        <w:t>key terms of the loan</w:t>
      </w:r>
      <w:r w:rsidR="00E66374">
        <w:t>,</w:t>
      </w:r>
      <w:r>
        <w:t xml:space="preserve"> </w:t>
      </w:r>
      <w:r w:rsidR="00D3792A">
        <w:t>will be published by Treasury Corporation of Victoria</w:t>
      </w:r>
      <w:r w:rsidR="000D738C">
        <w:t xml:space="preserve"> (TCV)</w:t>
      </w:r>
      <w:r w:rsidR="00D3792A">
        <w:t xml:space="preserve"> prior to the commencement of the reform on 1 July 2024.</w:t>
      </w:r>
    </w:p>
    <w:p w14:paraId="56C00CF7" w14:textId="32099BD2" w:rsidR="005129A3" w:rsidRPr="00690B7B" w:rsidRDefault="005129A3" w:rsidP="00CE0E38">
      <w:pPr>
        <w:pStyle w:val="Heading1"/>
        <w:spacing w:before="0"/>
        <w:rPr>
          <w:b/>
          <w:bCs w:val="0"/>
          <w:sz w:val="32"/>
          <w:szCs w:val="24"/>
        </w:rPr>
      </w:pPr>
      <w:r>
        <w:br w:type="column"/>
      </w:r>
      <w:r w:rsidR="00D3792A" w:rsidRPr="00690B7B">
        <w:rPr>
          <w:bCs w:val="0"/>
          <w:sz w:val="32"/>
          <w:szCs w:val="24"/>
        </w:rPr>
        <w:t>Guide to this Fact Sheet</w:t>
      </w:r>
    </w:p>
    <w:p w14:paraId="3E52E315" w14:textId="582AF9A9" w:rsidR="00D3792A" w:rsidRDefault="00E66374" w:rsidP="006805B9">
      <w:r>
        <w:t>This fact sheet provides</w:t>
      </w:r>
      <w:r w:rsidR="00DA7A75">
        <w:t xml:space="preserve"> detail on </w:t>
      </w:r>
      <w:r w:rsidR="004F5395">
        <w:t xml:space="preserve">eligibility, exclusions and conditions </w:t>
      </w:r>
      <w:r w:rsidR="00DA7A75">
        <w:t xml:space="preserve">of the transition loan. </w:t>
      </w:r>
    </w:p>
    <w:p w14:paraId="6F6C6D07" w14:textId="2DD63E16" w:rsidR="00DA7A75" w:rsidRDefault="005822E4" w:rsidP="006805B9">
      <w:r>
        <w:t>Please refer to the following sections of this document for further information:</w:t>
      </w:r>
    </w:p>
    <w:p w14:paraId="060C28D5" w14:textId="63EC1D49" w:rsidR="005822E4" w:rsidRDefault="005822E4" w:rsidP="00F140F6">
      <w:pPr>
        <w:pStyle w:val="Bullet1"/>
        <w:numPr>
          <w:ilvl w:val="0"/>
          <w:numId w:val="1"/>
        </w:numPr>
        <w:spacing w:before="120" w:after="120"/>
        <w:ind w:left="357" w:hanging="357"/>
        <w:contextualSpacing w:val="0"/>
      </w:pPr>
      <w:r>
        <w:t xml:space="preserve">Eligible entities, activities and properties – refer to Page </w:t>
      </w:r>
      <w:r w:rsidR="000D738C">
        <w:t>3</w:t>
      </w:r>
      <w:r w:rsidR="00861218">
        <w:t>.</w:t>
      </w:r>
      <w:r w:rsidR="00264E70">
        <w:t xml:space="preserve"> </w:t>
      </w:r>
    </w:p>
    <w:p w14:paraId="145EC764" w14:textId="742C5B4C" w:rsidR="005822E4" w:rsidRDefault="005822E4" w:rsidP="00F140F6">
      <w:pPr>
        <w:pStyle w:val="Bullet1"/>
        <w:numPr>
          <w:ilvl w:val="0"/>
          <w:numId w:val="1"/>
        </w:numPr>
        <w:spacing w:before="120" w:after="120"/>
        <w:ind w:left="357" w:hanging="357"/>
        <w:contextualSpacing w:val="0"/>
      </w:pPr>
      <w:r>
        <w:t xml:space="preserve">Exclusions from eligibility– refer to Page </w:t>
      </w:r>
      <w:r w:rsidR="000D738C">
        <w:t>4</w:t>
      </w:r>
      <w:r w:rsidR="00861218">
        <w:t>.</w:t>
      </w:r>
      <w:r w:rsidR="005700BA">
        <w:t xml:space="preserve"> </w:t>
      </w:r>
    </w:p>
    <w:p w14:paraId="3F3906B4" w14:textId="64B77462" w:rsidR="00434054" w:rsidRDefault="00286991" w:rsidP="00F140F6">
      <w:pPr>
        <w:pStyle w:val="Bullet1"/>
        <w:numPr>
          <w:ilvl w:val="0"/>
          <w:numId w:val="1"/>
        </w:numPr>
        <w:spacing w:before="120" w:after="120"/>
        <w:ind w:left="357" w:hanging="357"/>
        <w:contextualSpacing w:val="0"/>
      </w:pPr>
      <w:r>
        <w:t>Key lending terms</w:t>
      </w:r>
      <w:r w:rsidR="00F933D7">
        <w:t xml:space="preserve"> </w:t>
      </w:r>
      <w:r w:rsidR="000D738C">
        <w:t>following</w:t>
      </w:r>
      <w:r w:rsidR="00F933D7">
        <w:t xml:space="preserve"> loan approval</w:t>
      </w:r>
      <w:r w:rsidR="005822E4">
        <w:t xml:space="preserve"> – refer to Page </w:t>
      </w:r>
      <w:r w:rsidR="63B6D14E">
        <w:t>5</w:t>
      </w:r>
      <w:r w:rsidR="00861218">
        <w:t>.</w:t>
      </w:r>
    </w:p>
    <w:p w14:paraId="6E6ECCE0" w14:textId="6CF8C484" w:rsidR="005700BA" w:rsidRDefault="005700BA" w:rsidP="00F140F6">
      <w:pPr>
        <w:pStyle w:val="Bullet1"/>
        <w:numPr>
          <w:ilvl w:val="0"/>
          <w:numId w:val="1"/>
        </w:numPr>
        <w:spacing w:before="120" w:after="120"/>
        <w:ind w:left="357" w:hanging="357"/>
        <w:contextualSpacing w:val="0"/>
      </w:pPr>
      <w:r>
        <w:t xml:space="preserve">Security requirements – refer to page </w:t>
      </w:r>
      <w:r w:rsidR="666A84ED">
        <w:t>5</w:t>
      </w:r>
      <w:r w:rsidR="00861218">
        <w:t>.</w:t>
      </w:r>
    </w:p>
    <w:p w14:paraId="4B4A98AB" w14:textId="1E97F1E5" w:rsidR="005700BA" w:rsidRDefault="00697F09" w:rsidP="00F140F6">
      <w:pPr>
        <w:pStyle w:val="Bullet1"/>
        <w:numPr>
          <w:ilvl w:val="0"/>
          <w:numId w:val="1"/>
        </w:numPr>
        <w:spacing w:before="120" w:after="120"/>
        <w:ind w:left="357" w:hanging="357"/>
        <w:contextualSpacing w:val="0"/>
      </w:pPr>
      <w:r>
        <w:t>Processes for events of default</w:t>
      </w:r>
      <w:r w:rsidR="00F933D7">
        <w:t xml:space="preserve"> for approved loans</w:t>
      </w:r>
      <w:r w:rsidR="00434054">
        <w:t xml:space="preserve"> – refer to Page </w:t>
      </w:r>
      <w:r w:rsidR="008A5BBE">
        <w:t>6</w:t>
      </w:r>
      <w:r w:rsidR="00861218">
        <w:t>.</w:t>
      </w:r>
    </w:p>
    <w:p w14:paraId="0F3FF6C6" w14:textId="46278E12" w:rsidR="00434054" w:rsidRDefault="005700BA" w:rsidP="159B79A6">
      <w:pPr>
        <w:pStyle w:val="Bullet1"/>
        <w:numPr>
          <w:ilvl w:val="0"/>
          <w:numId w:val="1"/>
        </w:numPr>
        <w:spacing w:before="60" w:after="60"/>
      </w:pPr>
      <w:r>
        <w:t xml:space="preserve">Other terms relating to </w:t>
      </w:r>
      <w:r w:rsidR="00341866">
        <w:t xml:space="preserve">early repayments, </w:t>
      </w:r>
      <w:r>
        <w:t xml:space="preserve">variations and </w:t>
      </w:r>
      <w:r w:rsidR="00341866">
        <w:t>notification</w:t>
      </w:r>
      <w:r>
        <w:t xml:space="preserve"> – refer to</w:t>
      </w:r>
      <w:r w:rsidR="349C24DE">
        <w:t xml:space="preserve"> Page 6</w:t>
      </w:r>
      <w:r w:rsidR="00861218">
        <w:t>.</w:t>
      </w:r>
    </w:p>
    <w:p w14:paraId="24A1F4DE" w14:textId="77777777" w:rsidR="005822E4" w:rsidRDefault="005822E4" w:rsidP="006805B9"/>
    <w:p w14:paraId="20BE543F" w14:textId="77777777" w:rsidR="00822DEC" w:rsidRDefault="00822DEC" w:rsidP="006805B9">
      <w:pPr>
        <w:pStyle w:val="Caption"/>
        <w:sectPr w:rsidR="00822DEC" w:rsidSect="00B107CA">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648" w:right="1152" w:bottom="1728" w:left="1152" w:header="706" w:footer="461" w:gutter="0"/>
          <w:cols w:num="2" w:space="708"/>
          <w:titlePg/>
          <w:docGrid w:linePitch="360"/>
        </w:sectPr>
      </w:pPr>
      <w:bookmarkStart w:id="2" w:name="_Hlk49950924"/>
      <w:bookmarkEnd w:id="0"/>
    </w:p>
    <w:p w14:paraId="177B3CB0" w14:textId="77777777" w:rsidR="00E32AC9" w:rsidRDefault="00E32AC9" w:rsidP="006805B9">
      <w:pPr>
        <w:pStyle w:val="Caption"/>
        <w:sectPr w:rsidR="00E32AC9" w:rsidSect="00B107CA">
          <w:type w:val="continuous"/>
          <w:pgSz w:w="11906" w:h="16838" w:code="9"/>
          <w:pgMar w:top="648" w:right="1152" w:bottom="1728" w:left="1152" w:header="706" w:footer="461" w:gutter="0"/>
          <w:cols w:space="708"/>
          <w:titlePg/>
          <w:docGrid w:linePitch="360"/>
        </w:sectPr>
      </w:pPr>
    </w:p>
    <w:p w14:paraId="67EE44F2" w14:textId="6C049494" w:rsidR="00E32AC9" w:rsidRPr="00690B7B" w:rsidRDefault="00950ED9" w:rsidP="00F832F0">
      <w:pPr>
        <w:pStyle w:val="Heading1"/>
        <w:spacing w:before="0"/>
        <w:rPr>
          <w:b/>
          <w:bCs w:val="0"/>
          <w:sz w:val="32"/>
          <w:szCs w:val="24"/>
        </w:rPr>
      </w:pPr>
      <w:r w:rsidRPr="00690B7B">
        <w:rPr>
          <w:bCs w:val="0"/>
          <w:sz w:val="32"/>
          <w:szCs w:val="24"/>
        </w:rPr>
        <w:lastRenderedPageBreak/>
        <w:t xml:space="preserve">Overview of the </w:t>
      </w:r>
      <w:r w:rsidR="00D91512" w:rsidRPr="00690B7B">
        <w:rPr>
          <w:bCs w:val="0"/>
          <w:sz w:val="32"/>
          <w:szCs w:val="24"/>
        </w:rPr>
        <w:t xml:space="preserve">reform and </w:t>
      </w:r>
      <w:r w:rsidRPr="00690B7B">
        <w:rPr>
          <w:bCs w:val="0"/>
          <w:sz w:val="32"/>
          <w:szCs w:val="24"/>
        </w:rPr>
        <w:t>transition loan</w:t>
      </w:r>
    </w:p>
    <w:p w14:paraId="6C93E1CC" w14:textId="77777777" w:rsidR="00AC6D58" w:rsidRDefault="00AC6D58" w:rsidP="00950ED9">
      <w:pPr>
        <w:sectPr w:rsidR="00AC6D58" w:rsidSect="00B107CA">
          <w:headerReference w:type="even" r:id="rId24"/>
          <w:headerReference w:type="default" r:id="rId25"/>
          <w:footerReference w:type="even" r:id="rId26"/>
          <w:footerReference w:type="default" r:id="rId27"/>
          <w:headerReference w:type="first" r:id="rId28"/>
          <w:footerReference w:type="first" r:id="rId29"/>
          <w:pgSz w:w="11906" w:h="16838" w:code="9"/>
          <w:pgMar w:top="648" w:right="1152" w:bottom="1728" w:left="1152" w:header="706" w:footer="461" w:gutter="0"/>
          <w:cols w:space="708"/>
          <w:titlePg/>
          <w:docGrid w:linePitch="360"/>
        </w:sectPr>
      </w:pPr>
    </w:p>
    <w:p w14:paraId="3DE6ED31" w14:textId="3C1DDC8E" w:rsidR="00950ED9" w:rsidRDefault="00950ED9" w:rsidP="00950ED9">
      <w:r>
        <w:t>The new tax system will apply to commercial and industrial property transactions with both a contract and settlement date on or after 1 July 2024. For these properties</w:t>
      </w:r>
      <w:r w:rsidR="004101FB">
        <w:t>,</w:t>
      </w:r>
      <w:r>
        <w:t xml:space="preserve"> stamp duty will be paid one final time on the property if and when it is transacted, and the new annual </w:t>
      </w:r>
      <w:r w:rsidR="00BF02BA">
        <w:t>CIPT</w:t>
      </w:r>
      <w:r>
        <w:t xml:space="preserve"> will be payable 10 years after the final stamp duty payment, regardless of whether that property has </w:t>
      </w:r>
      <w:r w:rsidR="005A1A09">
        <w:t>bee</w:t>
      </w:r>
      <w:r w:rsidR="00BA75D4">
        <w:t xml:space="preserve">n </w:t>
      </w:r>
      <w:r w:rsidR="00143D6F">
        <w:t xml:space="preserve">sold </w:t>
      </w:r>
      <w:r>
        <w:t xml:space="preserve">again. </w:t>
      </w:r>
    </w:p>
    <w:p w14:paraId="5F264CD0" w14:textId="77777777" w:rsidR="00950ED9" w:rsidRDefault="00950ED9" w:rsidP="00950ED9">
      <w:r>
        <w:t xml:space="preserve">If a property is sold again, stamp duty will not apply if the property continues to be used for commercial and industrial purposes. </w:t>
      </w:r>
    </w:p>
    <w:p w14:paraId="5B5DA380" w14:textId="41E7F54A" w:rsidR="00950ED9" w:rsidRDefault="00950ED9" w:rsidP="00950ED9">
      <w:r>
        <w:t>To smooth the transition to the new tax system, the Government will give purchasers of commercial or industrial property (who meet the eligibility criteria as outlined in this information sheet) the option of accessing a government transition loan</w:t>
      </w:r>
      <w:r w:rsidR="00AD0053" w:rsidRPr="00AD0053">
        <w:t xml:space="preserve"> on equivalent </w:t>
      </w:r>
      <w:r w:rsidR="009628C5">
        <w:t xml:space="preserve">to commercial </w:t>
      </w:r>
      <w:r w:rsidR="00AD0053" w:rsidRPr="00AD0053">
        <w:t>terms</w:t>
      </w:r>
      <w:r w:rsidR="00F933D7">
        <w:t xml:space="preserve"> from the</w:t>
      </w:r>
      <w:r w:rsidR="000D738C">
        <w:t xml:space="preserve"> </w:t>
      </w:r>
      <w:r w:rsidR="00F933D7">
        <w:t>TCV</w:t>
      </w:r>
      <w:r>
        <w:t xml:space="preserve"> as an alternative to </w:t>
      </w:r>
      <w:r w:rsidR="00D91512">
        <w:t>self-financing</w:t>
      </w:r>
      <w:r>
        <w:t xml:space="preserve"> the upfront stamp duty amount.</w:t>
      </w:r>
    </w:p>
    <w:p w14:paraId="32563A78" w14:textId="49231C44" w:rsidR="00950ED9" w:rsidRDefault="00950ED9" w:rsidP="00950ED9">
      <w:r>
        <w:t>In this way, eligible purchasers who choose the transition loan option transition to an annual repayment from the time of purchase – freeing up capital businesses can use to invest in expanding and emplo</w:t>
      </w:r>
      <w:r w:rsidR="00D01B54">
        <w:t>y</w:t>
      </w:r>
      <w:r w:rsidR="00CA7749">
        <w:t>ing</w:t>
      </w:r>
      <w:r>
        <w:t xml:space="preserve"> more workers.</w:t>
      </w:r>
    </w:p>
    <w:p w14:paraId="3BD13BA1" w14:textId="77777777" w:rsidR="00053EF2" w:rsidRDefault="00053EF2" w:rsidP="00AC6D58">
      <w:pPr>
        <w:pStyle w:val="Heading3shaded"/>
        <w:sectPr w:rsidR="00053EF2" w:rsidSect="00053EF2">
          <w:headerReference w:type="even" r:id="rId30"/>
          <w:headerReference w:type="default" r:id="rId31"/>
          <w:footerReference w:type="even" r:id="rId32"/>
          <w:footerReference w:type="default" r:id="rId33"/>
          <w:footerReference w:type="first" r:id="rId34"/>
          <w:type w:val="continuous"/>
          <w:pgSz w:w="11906" w:h="16838" w:code="9"/>
          <w:pgMar w:top="648" w:right="1152" w:bottom="1411" w:left="1152" w:header="706" w:footer="461" w:gutter="0"/>
          <w:cols w:num="2" w:space="708"/>
          <w:titlePg/>
          <w:docGrid w:linePitch="360"/>
        </w:sectPr>
      </w:pPr>
    </w:p>
    <w:p w14:paraId="7F81B12A" w14:textId="2571720F" w:rsidR="00AC6D58" w:rsidRDefault="00AC6D58" w:rsidP="00AC6D58">
      <w:pPr>
        <w:pStyle w:val="Heading3shaded"/>
      </w:pPr>
      <w:r w:rsidRPr="009E4EBC">
        <w:t>Purchase of a high-street shop</w:t>
      </w:r>
    </w:p>
    <w:p w14:paraId="57BCF18F" w14:textId="60E5AEFC" w:rsidR="00AC6D58" w:rsidRPr="00053EF2" w:rsidRDefault="00AC6D58" w:rsidP="00AC6D58">
      <w:pPr>
        <w:pStyle w:val="Normalshaded"/>
        <w:rPr>
          <w:color w:val="008B95" w:themeColor="accent1" w:themeShade="BF"/>
          <w:sz w:val="18"/>
          <w:szCs w:val="18"/>
        </w:rPr>
      </w:pPr>
      <w:r w:rsidRPr="00053EF2">
        <w:rPr>
          <w:color w:val="008B95" w:themeColor="accent1" w:themeShade="BF"/>
          <w:sz w:val="18"/>
          <w:szCs w:val="18"/>
        </w:rPr>
        <w:t>A small online business has grown, the owner wants to purchase a physical shop.</w:t>
      </w:r>
    </w:p>
    <w:p w14:paraId="08EF2EF1" w14:textId="0DBAAC0E" w:rsidR="00053EF2" w:rsidRPr="00323E1E" w:rsidRDefault="00053EF2" w:rsidP="00323E1E">
      <w:pPr>
        <w:pStyle w:val="Bulletshaded"/>
      </w:pPr>
      <w:r w:rsidRPr="00323E1E">
        <w:t xml:space="preserve">Purchase price: </w:t>
      </w:r>
      <w:r w:rsidRPr="00323E1E">
        <w:rPr>
          <w:b/>
          <w:bCs/>
        </w:rPr>
        <w:t>$1.8 million</w:t>
      </w:r>
    </w:p>
    <w:p w14:paraId="5AE88946" w14:textId="650C16A9" w:rsidR="00053EF2" w:rsidRPr="00323E1E" w:rsidRDefault="00053EF2" w:rsidP="00323E1E">
      <w:pPr>
        <w:pStyle w:val="Bulletshaded"/>
      </w:pPr>
      <w:r w:rsidRPr="00323E1E">
        <w:t xml:space="preserve">Site value: </w:t>
      </w:r>
      <w:r w:rsidRPr="00323E1E">
        <w:rPr>
          <w:b/>
          <w:bCs/>
        </w:rPr>
        <w:t>$830</w:t>
      </w:r>
      <w:r w:rsidR="00B87B4A">
        <w:rPr>
          <w:rFonts w:ascii="Calibri" w:hAnsi="Calibri"/>
          <w:b/>
          <w:bCs/>
        </w:rPr>
        <w:t> </w:t>
      </w:r>
      <w:r w:rsidRPr="00323E1E">
        <w:rPr>
          <w:b/>
          <w:bCs/>
        </w:rPr>
        <w:t>000</w:t>
      </w:r>
    </w:p>
    <w:p w14:paraId="25E72556" w14:textId="51B073B3" w:rsidR="00053EF2" w:rsidRPr="00323E1E" w:rsidRDefault="00053EF2" w:rsidP="00323E1E">
      <w:pPr>
        <w:pStyle w:val="Bulletshaded"/>
      </w:pPr>
      <w:r w:rsidRPr="00323E1E">
        <w:t xml:space="preserve">Stamp duty: </w:t>
      </w:r>
      <w:r w:rsidRPr="00323E1E">
        <w:rPr>
          <w:b/>
          <w:bCs/>
        </w:rPr>
        <w:t>$99</w:t>
      </w:r>
      <w:r w:rsidR="00B87B4A">
        <w:rPr>
          <w:rFonts w:ascii="Calibri" w:hAnsi="Calibri"/>
          <w:b/>
          <w:bCs/>
        </w:rPr>
        <w:t> </w:t>
      </w:r>
      <w:r w:rsidRPr="00323E1E">
        <w:rPr>
          <w:b/>
          <w:bCs/>
        </w:rPr>
        <w:t xml:space="preserve">000 </w:t>
      </w:r>
      <w:r w:rsidRPr="00323E1E">
        <w:rPr>
          <w:color w:val="FFC000"/>
        </w:rPr>
        <w:t>(yellow)</w:t>
      </w:r>
    </w:p>
    <w:p w14:paraId="2F902517" w14:textId="1023CDBF" w:rsidR="00053EF2" w:rsidRPr="00323E1E" w:rsidRDefault="00053EF2" w:rsidP="00323E1E">
      <w:pPr>
        <w:pStyle w:val="Bulletshaded"/>
      </w:pPr>
      <w:r w:rsidRPr="00323E1E">
        <w:t xml:space="preserve">Transition loan repayment </w:t>
      </w:r>
      <w:r w:rsidRPr="00323E1E">
        <w:rPr>
          <w:color w:val="00B050"/>
        </w:rPr>
        <w:t>(green)</w:t>
      </w:r>
      <w:r w:rsidRPr="00323E1E">
        <w:t xml:space="preserve"> is </w:t>
      </w:r>
      <w:r w:rsidRPr="00323E1E">
        <w:rPr>
          <w:b/>
          <w:bCs/>
        </w:rPr>
        <w:t>$14</w:t>
      </w:r>
      <w:r w:rsidR="00B87B4A">
        <w:rPr>
          <w:rFonts w:ascii="Calibri" w:hAnsi="Calibri"/>
          <w:b/>
          <w:bCs/>
        </w:rPr>
        <w:t> </w:t>
      </w:r>
      <w:r w:rsidRPr="00323E1E">
        <w:rPr>
          <w:b/>
          <w:bCs/>
        </w:rPr>
        <w:t xml:space="preserve">174 </w:t>
      </w:r>
      <w:r w:rsidRPr="00323E1E">
        <w:t>in each year it applies.</w:t>
      </w:r>
    </w:p>
    <w:p w14:paraId="47EBBCD2" w14:textId="2C75050F" w:rsidR="00053EF2" w:rsidRPr="00323E1E" w:rsidRDefault="00053EF2" w:rsidP="00323E1E">
      <w:pPr>
        <w:pStyle w:val="Bulletshaded"/>
      </w:pPr>
      <w:r w:rsidRPr="00323E1E">
        <w:t>Year 11 property tax</w:t>
      </w:r>
      <w:r w:rsidRPr="00323E1E">
        <w:rPr>
          <w:color w:val="0072CE"/>
        </w:rPr>
        <w:t xml:space="preserve"> </w:t>
      </w:r>
      <w:r w:rsidRPr="00323E1E">
        <w:rPr>
          <w:color w:val="004C97"/>
        </w:rPr>
        <w:t xml:space="preserve">(blue) </w:t>
      </w:r>
      <w:r w:rsidRPr="00323E1E">
        <w:t xml:space="preserve">approximately </w:t>
      </w:r>
      <w:r w:rsidRPr="00323E1E">
        <w:rPr>
          <w:b/>
          <w:bCs/>
        </w:rPr>
        <w:t>$11</w:t>
      </w:r>
      <w:r w:rsidR="00B87B4A">
        <w:rPr>
          <w:rFonts w:ascii="Calibri" w:hAnsi="Calibri"/>
          <w:b/>
          <w:bCs/>
        </w:rPr>
        <w:t> </w:t>
      </w:r>
      <w:r w:rsidRPr="00323E1E">
        <w:rPr>
          <w:b/>
          <w:bCs/>
        </w:rPr>
        <w:t>100*</w:t>
      </w:r>
      <w:r w:rsidRPr="00323E1E">
        <w:t>.</w:t>
      </w:r>
    </w:p>
    <w:p w14:paraId="39B7997C" w14:textId="4E548421" w:rsidR="00053EF2" w:rsidRDefault="00053EF2" w:rsidP="00053EF2">
      <w:pPr>
        <w:pStyle w:val="Normalshaded"/>
      </w:pPr>
      <w:r>
        <w:t xml:space="preserve">Land tax </w:t>
      </w:r>
      <w:r>
        <w:rPr>
          <w:color w:val="C00000"/>
        </w:rPr>
        <w:t xml:space="preserve">(red) </w:t>
      </w:r>
      <w:r>
        <w:t xml:space="preserve">includes the </w:t>
      </w:r>
      <w:r>
        <w:rPr>
          <w:i/>
          <w:iCs/>
        </w:rPr>
        <w:t xml:space="preserve">COVID Debt Levy – Landholdings. </w:t>
      </w:r>
      <w:r>
        <w:t xml:space="preserve">Purchaser is assumed to own an additional property with a </w:t>
      </w:r>
      <w:r>
        <w:rPr>
          <w:b/>
          <w:bCs/>
        </w:rPr>
        <w:t xml:space="preserve">$600,000 </w:t>
      </w:r>
      <w:r>
        <w:t>site value (land tax is levied on the aggregated value of both).</w:t>
      </w:r>
    </w:p>
    <w:p w14:paraId="5387F1AD" w14:textId="5198C743" w:rsidR="00053EF2" w:rsidRDefault="00053EF2" w:rsidP="00053EF2">
      <w:pPr>
        <w:pStyle w:val="Normalshaded"/>
      </w:pPr>
      <w:r w:rsidRPr="002D57ED">
        <w:t>Under the tax reform the taxpayer can choose to either (i) pay the stamp duty using their own finances or (ii) using a state-facilitated transition loan.</w:t>
      </w:r>
    </w:p>
    <w:p w14:paraId="467B4B09" w14:textId="69CC07D9" w:rsidR="00053EF2" w:rsidRPr="00323E1E" w:rsidRDefault="00053EF2" w:rsidP="00053EF2">
      <w:pPr>
        <w:shd w:val="clear" w:color="auto" w:fill="F2F2F2" w:themeFill="background1" w:themeFillShade="F2"/>
        <w:tabs>
          <w:tab w:val="left" w:pos="4860"/>
        </w:tabs>
        <w:spacing w:after="0"/>
        <w:rPr>
          <w:rFonts w:ascii="VIC" w:hAnsi="VIC" w:cs="Levenim MT"/>
          <w:color w:val="008B95" w:themeColor="accent1" w:themeShade="BF"/>
          <w:kern w:val="24"/>
          <w:sz w:val="16"/>
          <w:szCs w:val="16"/>
        </w:rPr>
      </w:pPr>
      <w:r w:rsidRPr="00053EF2">
        <w:rPr>
          <w:rFonts w:asciiTheme="majorHAnsi" w:hAnsiTheme="majorHAnsi" w:cs="Levenim MT"/>
          <w:color w:val="008B95" w:themeColor="accent1" w:themeShade="BF"/>
          <w:kern w:val="24"/>
          <w:sz w:val="16"/>
          <w:szCs w:val="16"/>
        </w:rPr>
        <w:t>Choice (i)</w:t>
      </w:r>
      <w:r w:rsidRPr="00053EF2">
        <w:rPr>
          <w:rFonts w:ascii="VIC" w:hAnsi="VIC" w:cs="Levenim MT"/>
          <w:b/>
          <w:bCs/>
          <w:color w:val="008B95" w:themeColor="accent1" w:themeShade="BF"/>
          <w:kern w:val="24"/>
          <w:sz w:val="16"/>
          <w:szCs w:val="16"/>
        </w:rPr>
        <w:t xml:space="preserve"> – </w:t>
      </w:r>
      <w:r w:rsidRPr="00053EF2">
        <w:rPr>
          <w:rFonts w:ascii="VIC" w:hAnsi="VIC" w:cs="Levenim MT"/>
          <w:color w:val="008B95" w:themeColor="accent1" w:themeShade="BF"/>
          <w:kern w:val="24"/>
          <w:sz w:val="16"/>
          <w:szCs w:val="16"/>
        </w:rPr>
        <w:t>Use of own finances to pay stamp duty</w:t>
      </w:r>
      <w:r w:rsidRPr="00053EF2">
        <w:rPr>
          <w:rFonts w:ascii="VIC" w:hAnsi="VIC" w:cs="Levenim MT"/>
          <w:color w:val="008B95" w:themeColor="accent1" w:themeShade="BF"/>
          <w:kern w:val="24"/>
          <w:sz w:val="16"/>
          <w:szCs w:val="16"/>
        </w:rPr>
        <w:tab/>
      </w:r>
      <w:r w:rsidRPr="00053EF2">
        <w:rPr>
          <w:rFonts w:asciiTheme="majorHAnsi" w:hAnsiTheme="majorHAnsi" w:cs="Levenim MT"/>
          <w:color w:val="008B95" w:themeColor="accent1" w:themeShade="BF"/>
          <w:kern w:val="24"/>
          <w:sz w:val="16"/>
          <w:szCs w:val="16"/>
        </w:rPr>
        <w:t>Choice (ii)</w:t>
      </w:r>
      <w:r w:rsidRPr="00053EF2">
        <w:rPr>
          <w:rFonts w:ascii="Calibri" w:hAnsi="Calibri" w:cs="Calibri"/>
          <w:b/>
          <w:bCs/>
          <w:color w:val="008B95" w:themeColor="accent1" w:themeShade="BF"/>
          <w:kern w:val="24"/>
          <w:sz w:val="16"/>
          <w:szCs w:val="16"/>
        </w:rPr>
        <w:t xml:space="preserve"> – </w:t>
      </w:r>
      <w:r w:rsidR="002937F1">
        <w:rPr>
          <w:rFonts w:ascii="VIC" w:hAnsi="VIC" w:cs="Levenim MT"/>
          <w:color w:val="008B95" w:themeColor="accent1" w:themeShade="BF"/>
          <w:kern w:val="24"/>
          <w:sz w:val="16"/>
          <w:szCs w:val="16"/>
        </w:rPr>
        <w:t>Government</w:t>
      </w:r>
      <w:r w:rsidRPr="00053EF2">
        <w:rPr>
          <w:rFonts w:ascii="VIC" w:hAnsi="VIC" w:cs="Levenim MT"/>
          <w:color w:val="008B95" w:themeColor="accent1" w:themeShade="BF"/>
          <w:kern w:val="24"/>
          <w:sz w:val="16"/>
          <w:szCs w:val="16"/>
        </w:rPr>
        <w:t xml:space="preserve"> transition loan*</w:t>
      </w:r>
    </w:p>
    <w:bookmarkEnd w:id="2"/>
    <w:p w14:paraId="1E5810F3" w14:textId="4F08614E" w:rsidR="00053EF2" w:rsidRDefault="00E439B1" w:rsidP="00053EF2">
      <w:pPr>
        <w:pStyle w:val="Normalshaded"/>
        <w:tabs>
          <w:tab w:val="left" w:pos="4860"/>
        </w:tabs>
        <w:spacing w:before="60"/>
      </w:pPr>
      <w:r>
        <w:rPr>
          <w:noProof/>
        </w:rPr>
        <w:drawing>
          <wp:inline distT="0" distB="0" distL="0" distR="0" wp14:anchorId="789D19F8" wp14:editId="53A0778E">
            <wp:extent cx="2743200" cy="2464622"/>
            <wp:effectExtent l="0" t="0" r="0" b="0"/>
            <wp:docPr id="51" name="Chart 51">
              <a:extLst xmlns:a="http://schemas.openxmlformats.org/drawingml/2006/main">
                <a:ext uri="{FF2B5EF4-FFF2-40B4-BE49-F238E27FC236}">
                  <a16:creationId xmlns:a16="http://schemas.microsoft.com/office/drawing/2014/main" id="{AFFFB8CC-9D16-4CE2-92D0-4F38091E06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00053EF2">
        <w:tab/>
      </w:r>
      <w:r w:rsidR="00663470">
        <w:rPr>
          <w:noProof/>
        </w:rPr>
        <w:drawing>
          <wp:inline distT="0" distB="0" distL="0" distR="0" wp14:anchorId="1E000A50" wp14:editId="4E175502">
            <wp:extent cx="2743200" cy="2472856"/>
            <wp:effectExtent l="0" t="0" r="0" b="3810"/>
            <wp:docPr id="3" name="Chart 3">
              <a:extLst xmlns:a="http://schemas.openxmlformats.org/drawingml/2006/main">
                <a:ext uri="{FF2B5EF4-FFF2-40B4-BE49-F238E27FC236}">
                  <a16:creationId xmlns:a16="http://schemas.microsoft.com/office/drawing/2014/main" id="{34D02864-189D-4CDD-B80E-61C8B762C1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7810E4E" w14:textId="6F7969FF" w:rsidR="00A11F28" w:rsidRPr="008307D3" w:rsidRDefault="00A11F28" w:rsidP="00053EF2">
      <w:pPr>
        <w:pStyle w:val="Normalshaded"/>
        <w:tabs>
          <w:tab w:val="left" w:pos="4860"/>
        </w:tabs>
        <w:spacing w:before="60"/>
        <w:rPr>
          <w:i/>
          <w:iCs/>
          <w:sz w:val="14"/>
        </w:rPr>
      </w:pPr>
      <w:r w:rsidRPr="008307D3">
        <w:rPr>
          <w:i/>
          <w:iCs/>
          <w:sz w:val="14"/>
        </w:rPr>
        <w:t xml:space="preserve">*Assumed the purchase is in 2024-25. Note that the Choice </w:t>
      </w:r>
      <w:r w:rsidR="008307D3">
        <w:rPr>
          <w:i/>
          <w:iCs/>
          <w:sz w:val="14"/>
        </w:rPr>
        <w:t>(</w:t>
      </w:r>
      <w:r w:rsidRPr="008307D3">
        <w:rPr>
          <w:i/>
          <w:iCs/>
          <w:sz w:val="14"/>
        </w:rPr>
        <w:t>ii) chart does not include the borrower’s cash payment of stamp duty in year 1 as</w:t>
      </w:r>
      <w:r w:rsidR="008307D3">
        <w:rPr>
          <w:rFonts w:ascii="Calibri" w:hAnsi="Calibri" w:cs="Calibri"/>
          <w:i/>
          <w:iCs/>
          <w:sz w:val="14"/>
        </w:rPr>
        <w:t> </w:t>
      </w:r>
      <w:r w:rsidRPr="008307D3">
        <w:rPr>
          <w:i/>
          <w:iCs/>
          <w:sz w:val="14"/>
        </w:rPr>
        <w:t>the loan proceeds received from TCV will be used to fund their stamp duty obligation.</w:t>
      </w:r>
    </w:p>
    <w:p w14:paraId="0CE7DAED" w14:textId="77777777" w:rsidR="00053EF2" w:rsidRDefault="00053EF2" w:rsidP="00053EF2">
      <w:pPr>
        <w:pStyle w:val="Normalshaded"/>
        <w:tabs>
          <w:tab w:val="left" w:pos="4860"/>
        </w:tabs>
        <w:spacing w:before="60"/>
      </w:pPr>
    </w:p>
    <w:p w14:paraId="3DA474B4" w14:textId="77777777" w:rsidR="00053EF2" w:rsidRDefault="00053EF2" w:rsidP="00053EF2">
      <w:pPr>
        <w:pStyle w:val="Normalshaded"/>
        <w:tabs>
          <w:tab w:val="left" w:pos="4860"/>
        </w:tabs>
        <w:spacing w:before="60"/>
        <w:sectPr w:rsidR="00053EF2" w:rsidSect="00053EF2">
          <w:type w:val="continuous"/>
          <w:pgSz w:w="11906" w:h="16838" w:code="9"/>
          <w:pgMar w:top="648" w:right="1152" w:bottom="1411" w:left="1152" w:header="706" w:footer="461" w:gutter="0"/>
          <w:cols w:space="708"/>
          <w:titlePg/>
          <w:docGrid w:linePitch="360"/>
        </w:sectPr>
      </w:pPr>
    </w:p>
    <w:p w14:paraId="3B034130" w14:textId="07CD948C" w:rsidR="002E535A" w:rsidRPr="00B87B4A" w:rsidRDefault="00A93552" w:rsidP="00B87B4A">
      <w:pPr>
        <w:pStyle w:val="Heading1"/>
      </w:pPr>
      <w:r w:rsidRPr="00B87B4A">
        <w:lastRenderedPageBreak/>
        <w:t>Eligible entities, activities and properties</w:t>
      </w:r>
    </w:p>
    <w:p w14:paraId="6DA8E64C" w14:textId="1942364C" w:rsidR="006D295E" w:rsidRPr="00F67F85" w:rsidRDefault="006D295E" w:rsidP="00562BF6">
      <w:pPr>
        <w:spacing w:after="240"/>
        <w:rPr>
          <w:szCs w:val="18"/>
        </w:rPr>
      </w:pPr>
      <w:r w:rsidRPr="00F67F85">
        <w:rPr>
          <w:szCs w:val="18"/>
          <w:shd w:val="clear" w:color="auto" w:fill="FFFFFF"/>
        </w:rPr>
        <w:t xml:space="preserve">Applications must meet the following criteria to be eligible to </w:t>
      </w:r>
      <w:r w:rsidR="0094087F" w:rsidRPr="00F67F85">
        <w:rPr>
          <w:szCs w:val="18"/>
          <w:shd w:val="clear" w:color="auto" w:fill="FFFFFF"/>
        </w:rPr>
        <w:t>apply for</w:t>
      </w:r>
      <w:r w:rsidRPr="00F67F85">
        <w:rPr>
          <w:szCs w:val="18"/>
          <w:shd w:val="clear" w:color="auto" w:fill="FFFFFF"/>
        </w:rPr>
        <w:t xml:space="preserve"> a transition loan.</w:t>
      </w:r>
      <w:r w:rsidR="00584E1E" w:rsidRPr="00F67F85">
        <w:rPr>
          <w:szCs w:val="18"/>
          <w:shd w:val="clear" w:color="auto" w:fill="FFFFFF"/>
        </w:rPr>
        <w:t xml:space="preserve"> Please note this list is not exhaustive.</w:t>
      </w:r>
    </w:p>
    <w:tbl>
      <w:tblPr>
        <w:tblStyle w:val="DTFtexttable2"/>
        <w:tblW w:w="5019" w:type="pct"/>
        <w:tblLook w:val="04A0" w:firstRow="1" w:lastRow="0" w:firstColumn="1" w:lastColumn="0" w:noHBand="0" w:noVBand="1"/>
      </w:tblPr>
      <w:tblGrid>
        <w:gridCol w:w="1702"/>
        <w:gridCol w:w="7936"/>
      </w:tblGrid>
      <w:tr w:rsidR="001B3406" w:rsidRPr="008D2085" w14:paraId="24D606BD" w14:textId="5633F6C9" w:rsidTr="009D1E2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83" w:type="pct"/>
          </w:tcPr>
          <w:p w14:paraId="26EAD58F" w14:textId="6B5C37F3" w:rsidR="001B3406" w:rsidRPr="008D2085" w:rsidRDefault="009D66BC" w:rsidP="00B87B4A">
            <w:pPr>
              <w:pStyle w:val="Tableheader"/>
            </w:pPr>
            <w:r w:rsidRPr="008D2085">
              <w:t>Category</w:t>
            </w:r>
          </w:p>
        </w:tc>
        <w:tc>
          <w:tcPr>
            <w:tcW w:w="4117" w:type="pct"/>
            <w:hideMark/>
          </w:tcPr>
          <w:p w14:paraId="41884BF0" w14:textId="34C4C03F" w:rsidR="001B3406" w:rsidRPr="008D2085" w:rsidRDefault="00F933D7" w:rsidP="00B87B4A">
            <w:pPr>
              <w:pStyle w:val="Tableheader"/>
              <w:cnfStyle w:val="100000000000" w:firstRow="1" w:lastRow="0" w:firstColumn="0" w:lastColumn="0" w:oddVBand="0" w:evenVBand="0" w:oddHBand="0" w:evenHBand="0" w:firstRowFirstColumn="0" w:firstRowLastColumn="0" w:lastRowFirstColumn="0" w:lastRowLastColumn="0"/>
            </w:pPr>
            <w:r w:rsidRPr="008D2085">
              <w:t>Key eligibility features</w:t>
            </w:r>
          </w:p>
        </w:tc>
      </w:tr>
      <w:tr w:rsidR="00E439B1" w:rsidRPr="008D2085" w14:paraId="163853EE" w14:textId="77777777" w:rsidTr="009D1E26">
        <w:tc>
          <w:tcPr>
            <w:cnfStyle w:val="001000000000" w:firstRow="0" w:lastRow="0" w:firstColumn="1" w:lastColumn="0" w:oddVBand="0" w:evenVBand="0" w:oddHBand="0" w:evenHBand="0" w:firstRowFirstColumn="0" w:firstRowLastColumn="0" w:lastRowFirstColumn="0" w:lastRowLastColumn="0"/>
            <w:tcW w:w="883" w:type="pct"/>
          </w:tcPr>
          <w:p w14:paraId="45DD93B8" w14:textId="14B5218D" w:rsidR="00E439B1" w:rsidRPr="008D2085" w:rsidRDefault="00E439B1" w:rsidP="00B87B4A">
            <w:pPr>
              <w:pStyle w:val="Tabletext"/>
              <w:rPr>
                <w:rFonts w:asciiTheme="majorHAnsi" w:hAnsiTheme="majorHAnsi"/>
                <w:b w:val="0"/>
                <w:bCs w:val="0"/>
              </w:rPr>
            </w:pPr>
            <w:r w:rsidRPr="008D2085">
              <w:rPr>
                <w:rFonts w:asciiTheme="majorHAnsi" w:hAnsiTheme="majorHAnsi"/>
                <w:b w:val="0"/>
                <w:bCs w:val="0"/>
              </w:rPr>
              <w:t xml:space="preserve">Eligible transactions </w:t>
            </w:r>
          </w:p>
        </w:tc>
        <w:tc>
          <w:tcPr>
            <w:tcW w:w="4117" w:type="pct"/>
            <w:shd w:val="clear" w:color="auto" w:fill="auto"/>
          </w:tcPr>
          <w:p w14:paraId="03D4D0CE" w14:textId="77777777" w:rsidR="00E439B1" w:rsidRPr="008D2085" w:rsidRDefault="00E439B1" w:rsidP="00B87B4A">
            <w:pPr>
              <w:pStyle w:val="Tabletext"/>
              <w:cnfStyle w:val="000000000000" w:firstRow="0" w:lastRow="0" w:firstColumn="0" w:lastColumn="0" w:oddVBand="0" w:evenVBand="0" w:oddHBand="0" w:evenHBand="0" w:firstRowFirstColumn="0" w:firstRowLastColumn="0" w:lastRowFirstColumn="0" w:lastRowLastColumn="0"/>
            </w:pPr>
            <w:r w:rsidRPr="008D2085">
              <w:t>The applicant is the first purchaser of a commercial or industrial property in Victoria where:</w:t>
            </w:r>
          </w:p>
          <w:p w14:paraId="2509C581" w14:textId="35152E5D" w:rsidR="001A74B1" w:rsidRPr="008D2085" w:rsidRDefault="00E439B1" w:rsidP="00B87B4A">
            <w:pPr>
              <w:pStyle w:val="Tablebullet"/>
              <w:cnfStyle w:val="000000000000" w:firstRow="0" w:lastRow="0" w:firstColumn="0" w:lastColumn="0" w:oddVBand="0" w:evenVBand="0" w:oddHBand="0" w:evenHBand="0" w:firstRowFirstColumn="0" w:firstRowLastColumn="0" w:lastRowFirstColumn="0" w:lastRowLastColumn="0"/>
            </w:pPr>
            <w:r w:rsidRPr="008D2085">
              <w:t>settlement occurs for contracts entered into on or after 1</w:t>
            </w:r>
            <w:r w:rsidRPr="008D2085">
              <w:rPr>
                <w:rFonts w:ascii="Calibri" w:hAnsi="Calibri" w:cs="Calibri"/>
              </w:rPr>
              <w:t> </w:t>
            </w:r>
            <w:r w:rsidRPr="008D2085">
              <w:t>July</w:t>
            </w:r>
            <w:r w:rsidRPr="008D2085">
              <w:rPr>
                <w:rFonts w:ascii="Calibri" w:hAnsi="Calibri" w:cs="Calibri"/>
              </w:rPr>
              <w:t> </w:t>
            </w:r>
            <w:r w:rsidRPr="008D2085">
              <w:t>2024</w:t>
            </w:r>
            <w:r w:rsidR="00A54515" w:rsidRPr="008D2085">
              <w:t>; and</w:t>
            </w:r>
            <w:r w:rsidRPr="008D2085">
              <w:t xml:space="preserve"> </w:t>
            </w:r>
          </w:p>
          <w:p w14:paraId="6078D2B5" w14:textId="58C5F2A8" w:rsidR="00E439B1" w:rsidRPr="008D2085" w:rsidRDefault="00E439B1" w:rsidP="00B87B4A">
            <w:pPr>
              <w:pStyle w:val="Tablebullet"/>
              <w:cnfStyle w:val="000000000000" w:firstRow="0" w:lastRow="0" w:firstColumn="0" w:lastColumn="0" w:oddVBand="0" w:evenVBand="0" w:oddHBand="0" w:evenHBand="0" w:firstRowFirstColumn="0" w:firstRowLastColumn="0" w:lastRowFirstColumn="0" w:lastRowLastColumn="0"/>
            </w:pPr>
            <w:r w:rsidRPr="008D2085">
              <w:t>the transaction incurs a positive dutiable transaction (other than dutiable</w:t>
            </w:r>
            <w:r w:rsidR="00BA19AC" w:rsidRPr="008D2085">
              <w:t xml:space="preserve"> </w:t>
            </w:r>
            <w:r w:rsidR="00FD330B" w:rsidRPr="00AD4AA7">
              <w:t>n</w:t>
            </w:r>
            <w:r w:rsidR="00BA19AC" w:rsidRPr="008D2085">
              <w:t xml:space="preserve">on-standard property </w:t>
            </w:r>
            <w:r w:rsidRPr="008D2085">
              <w:t xml:space="preserve">transactions </w:t>
            </w:r>
            <w:r w:rsidR="00BA19AC" w:rsidRPr="00AD4AA7">
              <w:t>listed under</w:t>
            </w:r>
            <w:r w:rsidR="00FD330B" w:rsidRPr="00AD4AA7">
              <w:t xml:space="preserve"> the</w:t>
            </w:r>
            <w:r w:rsidR="00BA19AC" w:rsidRPr="00AD4AA7">
              <w:t xml:space="preserve"> “Exclusions” </w:t>
            </w:r>
            <w:r w:rsidR="00FD330B" w:rsidRPr="00AD4AA7">
              <w:t xml:space="preserve">section </w:t>
            </w:r>
            <w:r w:rsidR="00BA19AC" w:rsidRPr="00AD4AA7">
              <w:t>below</w:t>
            </w:r>
            <w:r w:rsidRPr="008D2085">
              <w:t xml:space="preserve">). </w:t>
            </w:r>
          </w:p>
        </w:tc>
      </w:tr>
      <w:tr w:rsidR="00E439B1" w:rsidRPr="008D2085" w14:paraId="073BAAAD" w14:textId="77777777" w:rsidTr="009D1E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pct"/>
          </w:tcPr>
          <w:p w14:paraId="4F35BB85" w14:textId="77777777" w:rsidR="00E439B1" w:rsidRPr="008D2085" w:rsidRDefault="00E439B1" w:rsidP="00B87B4A">
            <w:pPr>
              <w:pStyle w:val="Tabletext"/>
              <w:rPr>
                <w:rFonts w:asciiTheme="majorHAnsi" w:hAnsiTheme="majorHAnsi"/>
                <w:b w:val="0"/>
                <w:bCs w:val="0"/>
              </w:rPr>
            </w:pPr>
            <w:r w:rsidRPr="008D2085">
              <w:rPr>
                <w:rFonts w:asciiTheme="majorHAnsi" w:hAnsiTheme="majorHAnsi"/>
                <w:b w:val="0"/>
                <w:bCs w:val="0"/>
              </w:rPr>
              <w:t xml:space="preserve">Eligible properties </w:t>
            </w:r>
          </w:p>
        </w:tc>
        <w:tc>
          <w:tcPr>
            <w:tcW w:w="4117" w:type="pct"/>
            <w:shd w:val="clear" w:color="auto" w:fill="auto"/>
          </w:tcPr>
          <w:p w14:paraId="5B67BC40" w14:textId="77777777" w:rsidR="00E439B1" w:rsidRPr="008D2085" w:rsidRDefault="00E439B1" w:rsidP="00B87B4A">
            <w:pPr>
              <w:pStyle w:val="Tabletext"/>
              <w:cnfStyle w:val="000000010000" w:firstRow="0" w:lastRow="0" w:firstColumn="0" w:lastColumn="0" w:oddVBand="0" w:evenVBand="0" w:oddHBand="0" w:evenHBand="1" w:firstRowFirstColumn="0" w:firstRowLastColumn="0" w:lastRowFirstColumn="0" w:lastRowLastColumn="0"/>
            </w:pPr>
            <w:r w:rsidRPr="008D2085">
              <w:t>Properties must meet one of the following conditions:</w:t>
            </w:r>
          </w:p>
          <w:p w14:paraId="35ADC269" w14:textId="1D58B110" w:rsidR="00E439B1" w:rsidRPr="008D2085" w:rsidRDefault="00E439B1" w:rsidP="00B87B4A">
            <w:pPr>
              <w:pStyle w:val="Tablebullet"/>
              <w:cnfStyle w:val="000000010000" w:firstRow="0" w:lastRow="0" w:firstColumn="0" w:lastColumn="0" w:oddVBand="0" w:evenVBand="0" w:oddHBand="0" w:evenHBand="1" w:firstRowFirstColumn="0" w:firstRowLastColumn="0" w:lastRowFirstColumn="0" w:lastRowLastColumn="0"/>
            </w:pPr>
            <w:r w:rsidRPr="008D2085">
              <w:t>has an Australian Valuation Property Classification Code (AVPCC) of 200</w:t>
            </w:r>
            <w:r w:rsidRPr="008D2085">
              <w:noBreakHyphen/>
              <w:t>499 or 600-699</w:t>
            </w:r>
            <w:r w:rsidR="00BE2ADD" w:rsidRPr="008D2085">
              <w:t>;</w:t>
            </w:r>
            <w:r w:rsidRPr="008D2085">
              <w:t xml:space="preserve"> or</w:t>
            </w:r>
          </w:p>
          <w:p w14:paraId="660803D8" w14:textId="0133F57B" w:rsidR="00E439B1" w:rsidRPr="008D2085" w:rsidRDefault="00E439B1" w:rsidP="00B87B4A">
            <w:pPr>
              <w:pStyle w:val="Tablebullet"/>
              <w:cnfStyle w:val="000000010000" w:firstRow="0" w:lastRow="0" w:firstColumn="0" w:lastColumn="0" w:oddVBand="0" w:evenVBand="0" w:oddHBand="0" w:evenHBand="1" w:firstRowFirstColumn="0" w:firstRowLastColumn="0" w:lastRowFirstColumn="0" w:lastRowLastColumn="0"/>
            </w:pPr>
            <w:r w:rsidRPr="008D2085">
              <w:t xml:space="preserve">is a property used </w:t>
            </w:r>
            <w:r w:rsidR="00235B25" w:rsidRPr="008D2085">
              <w:t>solely or primarily f</w:t>
            </w:r>
            <w:r w:rsidRPr="008D2085">
              <w:t>or student accommodation</w:t>
            </w:r>
            <w:r w:rsidR="004208E1" w:rsidRPr="00AD4AA7">
              <w:t xml:space="preserve"> </w:t>
            </w:r>
            <w:r w:rsidR="00B86BB4">
              <w:t>being residential premises designed for occupation, occupied or available for occupation by students of a higher education provider, and are considered</w:t>
            </w:r>
            <w:r w:rsidRPr="008D2085">
              <w:t xml:space="preserve"> ‘commercial residential premises’ in the </w:t>
            </w:r>
            <w:r w:rsidRPr="008D2085">
              <w:rPr>
                <w:i/>
                <w:iCs/>
              </w:rPr>
              <w:t>A New Tax System</w:t>
            </w:r>
            <w:r w:rsidR="003B1848" w:rsidRPr="008D2085">
              <w:rPr>
                <w:i/>
                <w:iCs/>
              </w:rPr>
              <w:t xml:space="preserve"> </w:t>
            </w:r>
            <w:r w:rsidRPr="008D2085">
              <w:rPr>
                <w:i/>
                <w:iCs/>
              </w:rPr>
              <w:t>(Goods and Services Tax) Act 1999</w:t>
            </w:r>
            <w:r w:rsidR="00B86BB4">
              <w:rPr>
                <w:i/>
                <w:iCs/>
              </w:rPr>
              <w:t xml:space="preserve"> (Cth)</w:t>
            </w:r>
            <w:r w:rsidRPr="008D2085">
              <w:t>.</w:t>
            </w:r>
          </w:p>
          <w:p w14:paraId="5C885D2B" w14:textId="77777777" w:rsidR="00E439B1" w:rsidRPr="008D2085" w:rsidRDefault="00E439B1" w:rsidP="00B87B4A">
            <w:pPr>
              <w:pStyle w:val="Tabletext"/>
              <w:cnfStyle w:val="000000010000" w:firstRow="0" w:lastRow="0" w:firstColumn="0" w:lastColumn="0" w:oddVBand="0" w:evenVBand="0" w:oddHBand="0" w:evenHBand="1" w:firstRowFirstColumn="0" w:firstRowLastColumn="0" w:lastRowFirstColumn="0" w:lastRowLastColumn="0"/>
            </w:pPr>
            <w:r w:rsidRPr="008D2085">
              <w:t>Properties must be owner occupied or investor owned.</w:t>
            </w:r>
          </w:p>
          <w:p w14:paraId="766B2371" w14:textId="415D2E66" w:rsidR="00514202" w:rsidRPr="008D2085" w:rsidRDefault="00E439B1" w:rsidP="00514202">
            <w:pPr>
              <w:pStyle w:val="Tabletext"/>
              <w:cnfStyle w:val="000000010000" w:firstRow="0" w:lastRow="0" w:firstColumn="0" w:lastColumn="0" w:oddVBand="0" w:evenVBand="0" w:oddHBand="0" w:evenHBand="1" w:firstRowFirstColumn="0" w:firstRowLastColumn="0" w:lastRowFirstColumn="0" w:lastRowLastColumn="0"/>
            </w:pPr>
            <w:r w:rsidRPr="008D2085">
              <w:t xml:space="preserve">The property must be on a title or titles on the Land Use Victoria </w:t>
            </w:r>
            <w:r w:rsidR="00755BDD" w:rsidRPr="00AD4AA7">
              <w:t>R</w:t>
            </w:r>
            <w:r w:rsidRPr="008D2085">
              <w:t>egister.</w:t>
            </w:r>
          </w:p>
        </w:tc>
      </w:tr>
      <w:tr w:rsidR="00E439B1" w:rsidRPr="008D2085" w14:paraId="6E8CF14E" w14:textId="77777777" w:rsidTr="009D1E26">
        <w:tc>
          <w:tcPr>
            <w:cnfStyle w:val="001000000000" w:firstRow="0" w:lastRow="0" w:firstColumn="1" w:lastColumn="0" w:oddVBand="0" w:evenVBand="0" w:oddHBand="0" w:evenHBand="0" w:firstRowFirstColumn="0" w:firstRowLastColumn="0" w:lastRowFirstColumn="0" w:lastRowLastColumn="0"/>
            <w:tcW w:w="883" w:type="pct"/>
          </w:tcPr>
          <w:p w14:paraId="6F213992" w14:textId="77EAFEF7" w:rsidR="00E439B1" w:rsidRPr="008D2085" w:rsidRDefault="00E439B1" w:rsidP="00B87B4A">
            <w:pPr>
              <w:pStyle w:val="Tabletext"/>
              <w:rPr>
                <w:rFonts w:asciiTheme="majorHAnsi" w:hAnsiTheme="majorHAnsi"/>
                <w:b w:val="0"/>
                <w:bCs w:val="0"/>
              </w:rPr>
            </w:pPr>
            <w:r w:rsidRPr="008D2085">
              <w:rPr>
                <w:rFonts w:asciiTheme="majorHAnsi" w:hAnsiTheme="majorHAnsi"/>
                <w:b w:val="0"/>
                <w:bCs w:val="0"/>
              </w:rPr>
              <w:t>Maximum value</w:t>
            </w:r>
          </w:p>
        </w:tc>
        <w:tc>
          <w:tcPr>
            <w:tcW w:w="4117" w:type="pct"/>
            <w:shd w:val="clear" w:color="auto" w:fill="auto"/>
          </w:tcPr>
          <w:p w14:paraId="68AA7665" w14:textId="1276FCCB" w:rsidR="00E439B1" w:rsidRPr="008D2085" w:rsidRDefault="00E439B1" w:rsidP="00B87B4A">
            <w:pPr>
              <w:pStyle w:val="Tabletext"/>
              <w:cnfStyle w:val="000000000000" w:firstRow="0" w:lastRow="0" w:firstColumn="0" w:lastColumn="0" w:oddVBand="0" w:evenVBand="0" w:oddHBand="0" w:evenHBand="0" w:firstRowFirstColumn="0" w:firstRowLastColumn="0" w:lastRowFirstColumn="0" w:lastRowLastColumn="0"/>
            </w:pPr>
            <w:r w:rsidRPr="008D2085">
              <w:t xml:space="preserve">Eligible property transactions with a </w:t>
            </w:r>
            <w:r w:rsidR="00580CF7" w:rsidRPr="008D2085">
              <w:t xml:space="preserve">sale price </w:t>
            </w:r>
            <w:r w:rsidRPr="008D2085">
              <w:t>of up to $30</w:t>
            </w:r>
            <w:r w:rsidRPr="008D2085">
              <w:rPr>
                <w:rFonts w:ascii="Calibri" w:hAnsi="Calibri" w:cs="Calibri"/>
              </w:rPr>
              <w:t> </w:t>
            </w:r>
            <w:r w:rsidRPr="008D2085">
              <w:t xml:space="preserve">million </w:t>
            </w:r>
            <w:r w:rsidR="00225470" w:rsidRPr="00AD4AA7">
              <w:t>and incurs a</w:t>
            </w:r>
            <w:r w:rsidRPr="008D2085">
              <w:t xml:space="preserve"> maximum of $1.93 million in land transfer duty payable.</w:t>
            </w:r>
          </w:p>
        </w:tc>
      </w:tr>
      <w:tr w:rsidR="00E439B1" w:rsidRPr="008D2085" w14:paraId="7D9FB0BC" w14:textId="77777777" w:rsidTr="009D1E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pct"/>
          </w:tcPr>
          <w:p w14:paraId="46308267" w14:textId="5C0C5E20" w:rsidR="00E439B1" w:rsidRPr="008D2085" w:rsidRDefault="00E439B1" w:rsidP="00B87B4A">
            <w:pPr>
              <w:pStyle w:val="Tabletext"/>
              <w:rPr>
                <w:rFonts w:asciiTheme="majorHAnsi" w:hAnsiTheme="majorHAnsi"/>
                <w:b w:val="0"/>
                <w:bCs w:val="0"/>
              </w:rPr>
            </w:pPr>
            <w:r w:rsidRPr="008D2085">
              <w:rPr>
                <w:rFonts w:asciiTheme="majorHAnsi" w:hAnsiTheme="majorHAnsi"/>
                <w:b w:val="0"/>
                <w:bCs w:val="0"/>
              </w:rPr>
              <w:t xml:space="preserve">Eligible applicants </w:t>
            </w:r>
          </w:p>
        </w:tc>
        <w:tc>
          <w:tcPr>
            <w:tcW w:w="4117" w:type="pct"/>
            <w:shd w:val="clear" w:color="auto" w:fill="auto"/>
          </w:tcPr>
          <w:p w14:paraId="324C67C0" w14:textId="58A828C2" w:rsidR="00E439B1" w:rsidRPr="008D2085" w:rsidRDefault="00E439B1" w:rsidP="00B87B4A">
            <w:pPr>
              <w:pStyle w:val="Tabletext"/>
              <w:cnfStyle w:val="000000010000" w:firstRow="0" w:lastRow="0" w:firstColumn="0" w:lastColumn="0" w:oddVBand="0" w:evenVBand="0" w:oddHBand="0" w:evenHBand="1" w:firstRowFirstColumn="0" w:firstRowLastColumn="0" w:lastRowFirstColumn="0" w:lastRowLastColumn="0"/>
            </w:pPr>
            <w:r w:rsidRPr="008D2085">
              <w:t>Applicants can be:</w:t>
            </w:r>
          </w:p>
          <w:p w14:paraId="3835074B" w14:textId="568507DA" w:rsidR="00E439B1" w:rsidRPr="008D2085" w:rsidRDefault="00E439B1" w:rsidP="00B87B4A">
            <w:pPr>
              <w:pStyle w:val="Tablebullet"/>
              <w:cnfStyle w:val="000000010000" w:firstRow="0" w:lastRow="0" w:firstColumn="0" w:lastColumn="0" w:oddVBand="0" w:evenVBand="0" w:oddHBand="0" w:evenHBand="1" w:firstRowFirstColumn="0" w:firstRowLastColumn="0" w:lastRowFirstColumn="0" w:lastRowLastColumn="0"/>
            </w:pPr>
            <w:r w:rsidRPr="008D2085">
              <w:t xml:space="preserve">an Australian business (organisation, company, trustee </w:t>
            </w:r>
            <w:r w:rsidR="009B508D" w:rsidRPr="008D2085">
              <w:t xml:space="preserve">on behalf of a trust </w:t>
            </w:r>
            <w:r w:rsidRPr="008D2085">
              <w:t>or other body or entity or partnership)</w:t>
            </w:r>
            <w:r w:rsidR="0090744B" w:rsidRPr="008D2085">
              <w:t>;</w:t>
            </w:r>
            <w:r w:rsidRPr="008D2085">
              <w:t xml:space="preserve"> or </w:t>
            </w:r>
          </w:p>
          <w:p w14:paraId="1CD39FA1" w14:textId="0CC9AF2B" w:rsidR="00E439B1" w:rsidRPr="008D2085" w:rsidRDefault="00E439B1" w:rsidP="00B87B4A">
            <w:pPr>
              <w:pStyle w:val="Tablebullet"/>
              <w:cnfStyle w:val="000000010000" w:firstRow="0" w:lastRow="0" w:firstColumn="0" w:lastColumn="0" w:oddVBand="0" w:evenVBand="0" w:oddHBand="0" w:evenHBand="1" w:firstRowFirstColumn="0" w:firstRowLastColumn="0" w:lastRowFirstColumn="0" w:lastRowLastColumn="0"/>
            </w:pPr>
            <w:r w:rsidRPr="008D2085">
              <w:t>a natural person who is at least the age of 18 at the time of settlement and an Australian citizen or permanent Australian resident (as long as the natural person will not use the property for predominantly personal, domestic or household purposes, including residential property investment).</w:t>
            </w:r>
          </w:p>
        </w:tc>
      </w:tr>
      <w:tr w:rsidR="00E439B1" w:rsidRPr="008D2085" w14:paraId="0FD0BE61" w14:textId="77777777" w:rsidTr="009D1E26">
        <w:tc>
          <w:tcPr>
            <w:cnfStyle w:val="001000000000" w:firstRow="0" w:lastRow="0" w:firstColumn="1" w:lastColumn="0" w:oddVBand="0" w:evenVBand="0" w:oddHBand="0" w:evenHBand="0" w:firstRowFirstColumn="0" w:firstRowLastColumn="0" w:lastRowFirstColumn="0" w:lastRowLastColumn="0"/>
            <w:tcW w:w="883" w:type="pct"/>
          </w:tcPr>
          <w:p w14:paraId="0B93902F" w14:textId="6836FE01" w:rsidR="00E439B1" w:rsidRPr="008D2085" w:rsidRDefault="00E439B1" w:rsidP="00B87B4A">
            <w:pPr>
              <w:pStyle w:val="Tabletext"/>
              <w:rPr>
                <w:rFonts w:asciiTheme="majorHAnsi" w:hAnsiTheme="majorHAnsi"/>
                <w:b w:val="0"/>
                <w:bCs w:val="0"/>
              </w:rPr>
            </w:pPr>
            <w:r w:rsidRPr="008D2085">
              <w:rPr>
                <w:rFonts w:asciiTheme="majorHAnsi" w:hAnsiTheme="majorHAnsi"/>
                <w:b w:val="0"/>
                <w:bCs w:val="0"/>
              </w:rPr>
              <w:t>Evidence of finance pre</w:t>
            </w:r>
            <w:r w:rsidR="00717734" w:rsidRPr="008D2085">
              <w:rPr>
                <w:rFonts w:asciiTheme="majorHAnsi" w:hAnsiTheme="majorHAnsi"/>
                <w:b w:val="0"/>
                <w:bCs w:val="0"/>
              </w:rPr>
              <w:noBreakHyphen/>
            </w:r>
            <w:r w:rsidRPr="008D2085">
              <w:rPr>
                <w:rFonts w:asciiTheme="majorHAnsi" w:hAnsiTheme="majorHAnsi"/>
                <w:b w:val="0"/>
                <w:bCs w:val="0"/>
              </w:rPr>
              <w:t>approval on subject property</w:t>
            </w:r>
          </w:p>
        </w:tc>
        <w:tc>
          <w:tcPr>
            <w:tcW w:w="4117" w:type="pct"/>
            <w:shd w:val="clear" w:color="auto" w:fill="auto"/>
          </w:tcPr>
          <w:p w14:paraId="370F1BF7" w14:textId="77777777" w:rsidR="00E439B1" w:rsidRPr="008D2085" w:rsidRDefault="00E439B1" w:rsidP="00B87B4A">
            <w:pPr>
              <w:pStyle w:val="Tabletext"/>
              <w:cnfStyle w:val="000000000000" w:firstRow="0" w:lastRow="0" w:firstColumn="0" w:lastColumn="0" w:oddVBand="0" w:evenVBand="0" w:oddHBand="0" w:evenHBand="0" w:firstRowFirstColumn="0" w:firstRowLastColumn="0" w:lastRowFirstColumn="0" w:lastRowLastColumn="0"/>
            </w:pPr>
            <w:r w:rsidRPr="008D2085">
              <w:t>The applicant must have received finance pre-approval on the subject property from:</w:t>
            </w:r>
          </w:p>
          <w:p w14:paraId="59B0A8BD" w14:textId="2ADC06A9" w:rsidR="00E439B1" w:rsidRPr="008D2085" w:rsidRDefault="00E439B1" w:rsidP="00B87B4A">
            <w:pPr>
              <w:pStyle w:val="Tablebullet"/>
              <w:cnfStyle w:val="000000000000" w:firstRow="0" w:lastRow="0" w:firstColumn="0" w:lastColumn="0" w:oddVBand="0" w:evenVBand="0" w:oddHBand="0" w:evenHBand="0" w:firstRowFirstColumn="0" w:firstRowLastColumn="0" w:lastRowFirstColumn="0" w:lastRowLastColumn="0"/>
            </w:pPr>
            <w:r w:rsidRPr="008D2085">
              <w:t>an authorised deposit-taking institution (ADI) regulated by the Australian Prudential Regulatory Authority (APRA), excluding ‘restricted ADIs’ and ‘providers of purchased payment facilities’</w:t>
            </w:r>
            <w:r w:rsidR="00D36D34" w:rsidRPr="008D2085">
              <w:t>;</w:t>
            </w:r>
            <w:r w:rsidRPr="008D2085">
              <w:t xml:space="preserve"> or</w:t>
            </w:r>
          </w:p>
          <w:p w14:paraId="6946394B" w14:textId="79CCC0F3" w:rsidR="00E439B1" w:rsidRPr="008D2085" w:rsidRDefault="00E439B1" w:rsidP="00B87B4A">
            <w:pPr>
              <w:pStyle w:val="Tablebullet"/>
              <w:cnfStyle w:val="000000000000" w:firstRow="0" w:lastRow="0" w:firstColumn="0" w:lastColumn="0" w:oddVBand="0" w:evenVBand="0" w:oddHBand="0" w:evenHBand="0" w:firstRowFirstColumn="0" w:firstRowLastColumn="0" w:lastRowFirstColumn="0" w:lastRowLastColumn="0"/>
            </w:pPr>
            <w:r w:rsidRPr="008D2085">
              <w:t>another lender holding an Australian Credit Licence</w:t>
            </w:r>
            <w:r w:rsidR="007769E8">
              <w:t xml:space="preserve"> issued by the Australian Securities and Investment Commission</w:t>
            </w:r>
            <w:r w:rsidR="00225470" w:rsidRPr="008D2085">
              <w:t xml:space="preserve"> </w:t>
            </w:r>
            <w:r w:rsidRPr="008D2085">
              <w:t>and listed by APRA as a registered financial corporation.</w:t>
            </w:r>
          </w:p>
          <w:p w14:paraId="4610DBE5" w14:textId="459100EE" w:rsidR="00E439B1" w:rsidRPr="008D2085" w:rsidRDefault="00E439B1" w:rsidP="00B87B4A">
            <w:pPr>
              <w:pStyle w:val="Tabletext"/>
              <w:cnfStyle w:val="000000000000" w:firstRow="0" w:lastRow="0" w:firstColumn="0" w:lastColumn="0" w:oddVBand="0" w:evenVBand="0" w:oddHBand="0" w:evenHBand="0" w:firstRowFirstColumn="0" w:firstRowLastColumn="0" w:lastRowFirstColumn="0" w:lastRowLastColumn="0"/>
            </w:pPr>
            <w:r w:rsidRPr="008D2085">
              <w:t>Applicants will be required to provide to TCV all documentation provided to obtain their finance pre-approval.</w:t>
            </w:r>
          </w:p>
        </w:tc>
      </w:tr>
      <w:tr w:rsidR="00E439B1" w:rsidRPr="00785C7C" w14:paraId="649F8F4C" w14:textId="77777777" w:rsidTr="009D1E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pct"/>
          </w:tcPr>
          <w:p w14:paraId="180A055C" w14:textId="7294894F" w:rsidR="00E439B1" w:rsidRPr="008D2085" w:rsidRDefault="00E439B1" w:rsidP="00B87B4A">
            <w:pPr>
              <w:pStyle w:val="Tabletext"/>
              <w:rPr>
                <w:rFonts w:asciiTheme="majorHAnsi" w:hAnsiTheme="majorHAnsi"/>
                <w:b w:val="0"/>
                <w:bCs w:val="0"/>
              </w:rPr>
            </w:pPr>
            <w:r w:rsidRPr="008D2085">
              <w:rPr>
                <w:rFonts w:asciiTheme="majorHAnsi" w:hAnsiTheme="majorHAnsi"/>
                <w:b w:val="0"/>
                <w:bCs w:val="0"/>
              </w:rPr>
              <w:t>Other requirements</w:t>
            </w:r>
          </w:p>
        </w:tc>
        <w:tc>
          <w:tcPr>
            <w:tcW w:w="4117" w:type="pct"/>
            <w:shd w:val="clear" w:color="auto" w:fill="auto"/>
          </w:tcPr>
          <w:p w14:paraId="20E26225" w14:textId="255EF685" w:rsidR="008105FA" w:rsidRPr="008D2085" w:rsidRDefault="008105FA" w:rsidP="00B87B4A">
            <w:pPr>
              <w:pStyle w:val="Tabletext"/>
              <w:cnfStyle w:val="000000010000" w:firstRow="0" w:lastRow="0" w:firstColumn="0" w:lastColumn="0" w:oddVBand="0" w:evenVBand="0" w:oddHBand="0" w:evenHBand="1" w:firstRowFirstColumn="0" w:firstRowLastColumn="0" w:lastRowFirstColumn="0" w:lastRowLastColumn="0"/>
            </w:pPr>
            <w:r w:rsidRPr="008D2085">
              <w:t xml:space="preserve">The </w:t>
            </w:r>
            <w:r w:rsidR="00E439B1" w:rsidRPr="008D2085">
              <w:t>property</w:t>
            </w:r>
            <w:r w:rsidRPr="008D2085">
              <w:t xml:space="preserve"> </w:t>
            </w:r>
            <w:r w:rsidR="000B3C04">
              <w:t>has not</w:t>
            </w:r>
            <w:r w:rsidRPr="008D2085">
              <w:t xml:space="preserve"> previously been the subject of a transition loan.</w:t>
            </w:r>
          </w:p>
          <w:p w14:paraId="2EAB1FA4" w14:textId="65B4DB8F" w:rsidR="00E439B1" w:rsidRPr="008D2085" w:rsidRDefault="00E439B1" w:rsidP="00B87B4A">
            <w:pPr>
              <w:pStyle w:val="Tabletext"/>
              <w:cnfStyle w:val="000000010000" w:firstRow="0" w:lastRow="0" w:firstColumn="0" w:lastColumn="0" w:oddVBand="0" w:evenVBand="0" w:oddHBand="0" w:evenHBand="1" w:firstRowFirstColumn="0" w:firstRowLastColumn="0" w:lastRowFirstColumn="0" w:lastRowLastColumn="0"/>
            </w:pPr>
            <w:r w:rsidRPr="008D2085">
              <w:t xml:space="preserve">Multiple owners of the property would be able to </w:t>
            </w:r>
            <w:r w:rsidRPr="008D2085">
              <w:rPr>
                <w:u w:val="single"/>
              </w:rPr>
              <w:t>jointly</w:t>
            </w:r>
            <w:r w:rsidRPr="008D2085">
              <w:t xml:space="preserve"> apply and be jointly responsible for repaying the transition loan, subject to the transaction not being subject to an exclusion.</w:t>
            </w:r>
          </w:p>
          <w:p w14:paraId="25E3DA5D" w14:textId="4A04947F" w:rsidR="00E439B1" w:rsidRPr="008D2085" w:rsidRDefault="00E439B1" w:rsidP="00B87B4A">
            <w:pPr>
              <w:pStyle w:val="Tabletext"/>
              <w:cnfStyle w:val="000000010000" w:firstRow="0" w:lastRow="0" w:firstColumn="0" w:lastColumn="0" w:oddVBand="0" w:evenVBand="0" w:oddHBand="0" w:evenHBand="1" w:firstRowFirstColumn="0" w:firstRowLastColumn="0" w:lastRowFirstColumn="0" w:lastRowLastColumn="0"/>
            </w:pPr>
            <w:r w:rsidRPr="008D2085">
              <w:t>The applicant enter</w:t>
            </w:r>
            <w:r w:rsidR="009D1E26">
              <w:t>s</w:t>
            </w:r>
            <w:r w:rsidRPr="008D2085">
              <w:t xml:space="preserve"> into a TCV Loan Agreement with non-negotiable terms and conditions.</w:t>
            </w:r>
          </w:p>
          <w:p w14:paraId="2B816730" w14:textId="434CCEEE" w:rsidR="00E439B1" w:rsidRPr="008D2085" w:rsidRDefault="00E439B1" w:rsidP="00B87B4A">
            <w:pPr>
              <w:pStyle w:val="Tabletext"/>
              <w:cnfStyle w:val="000000010000" w:firstRow="0" w:lastRow="0" w:firstColumn="0" w:lastColumn="0" w:oddVBand="0" w:evenVBand="0" w:oddHBand="0" w:evenHBand="1" w:firstRowFirstColumn="0" w:firstRowLastColumn="0" w:lastRowFirstColumn="0" w:lastRowLastColumn="0"/>
            </w:pPr>
            <w:r w:rsidRPr="008D2085">
              <w:t>TCV will undertake a credit assessment to assess the applicant’s capacity to repay the loan</w:t>
            </w:r>
            <w:r w:rsidR="00EA6E3D" w:rsidRPr="008D2085">
              <w:t xml:space="preserve"> in accordance with its credit policy</w:t>
            </w:r>
            <w:r w:rsidRPr="008D2085">
              <w:t>. To enable this to occur, the applicant must:</w:t>
            </w:r>
          </w:p>
          <w:p w14:paraId="12DE9F0F" w14:textId="3E8EE9A4" w:rsidR="00E439B1" w:rsidRPr="008D2085" w:rsidRDefault="00E439B1" w:rsidP="00B87B4A">
            <w:pPr>
              <w:pStyle w:val="Tablebullet"/>
              <w:cnfStyle w:val="000000010000" w:firstRow="0" w:lastRow="0" w:firstColumn="0" w:lastColumn="0" w:oddVBand="0" w:evenVBand="0" w:oddHBand="0" w:evenHBand="1" w:firstRowFirstColumn="0" w:firstRowLastColumn="0" w:lastRowFirstColumn="0" w:lastRowLastColumn="0"/>
            </w:pPr>
            <w:r w:rsidRPr="008D2085">
              <w:t xml:space="preserve">confirm that it has the requisite </w:t>
            </w:r>
            <w:r w:rsidR="00FE16AF" w:rsidRPr="00AD4AA7">
              <w:t xml:space="preserve">legal capacity and </w:t>
            </w:r>
            <w:r w:rsidRPr="008D2085">
              <w:t>power to enter into a loan agreement with TCV</w:t>
            </w:r>
            <w:r w:rsidR="00FE16AF" w:rsidRPr="008D2085">
              <w:t xml:space="preserve"> and provide security</w:t>
            </w:r>
            <w:r w:rsidR="006945CA" w:rsidRPr="008D2085">
              <w:t>; and</w:t>
            </w:r>
          </w:p>
          <w:p w14:paraId="66B90FC9" w14:textId="4B2A1FA4" w:rsidR="00E439B1" w:rsidRPr="008D2085" w:rsidRDefault="00E439B1" w:rsidP="00B87B4A">
            <w:pPr>
              <w:pStyle w:val="Tablebullet"/>
              <w:cnfStyle w:val="000000010000" w:firstRow="0" w:lastRow="0" w:firstColumn="0" w:lastColumn="0" w:oddVBand="0" w:evenVBand="0" w:oddHBand="0" w:evenHBand="1" w:firstRowFirstColumn="0" w:firstRowLastColumn="0" w:lastRowFirstColumn="0" w:lastRowLastColumn="0"/>
            </w:pPr>
            <w:r w:rsidRPr="008D2085">
              <w:t>self-attest that</w:t>
            </w:r>
            <w:r w:rsidR="0067611C">
              <w:t xml:space="preserve"> the</w:t>
            </w:r>
            <w:r w:rsidRPr="008D2085">
              <w:t xml:space="preserve"> information provided is true and accurate.</w:t>
            </w:r>
          </w:p>
        </w:tc>
      </w:tr>
    </w:tbl>
    <w:p w14:paraId="4FCF4FD2" w14:textId="0346D465" w:rsidR="00D26193" w:rsidRPr="00690B7B" w:rsidRDefault="00F00B16" w:rsidP="00B87B4A">
      <w:pPr>
        <w:pStyle w:val="Heading1"/>
        <w:rPr>
          <w:b/>
        </w:rPr>
      </w:pPr>
      <w:r w:rsidRPr="00690B7B">
        <w:lastRenderedPageBreak/>
        <w:t>E</w:t>
      </w:r>
      <w:r w:rsidR="00D26193" w:rsidRPr="00690B7B">
        <w:t>xclusions</w:t>
      </w:r>
    </w:p>
    <w:p w14:paraId="628CE0C5" w14:textId="6AF3BF3A" w:rsidR="006D295E" w:rsidRPr="00F67F85" w:rsidRDefault="00FC5BC3" w:rsidP="00B87B4A">
      <w:r w:rsidRPr="00F67F85">
        <w:rPr>
          <w:shd w:val="clear" w:color="auto" w:fill="FFFFFF"/>
        </w:rPr>
        <w:t xml:space="preserve">The following exclusions </w:t>
      </w:r>
      <w:r w:rsidR="00E74FFF" w:rsidRPr="00F67F85">
        <w:rPr>
          <w:shd w:val="clear" w:color="auto" w:fill="FFFFFF"/>
        </w:rPr>
        <w:t>apply</w:t>
      </w:r>
      <w:r w:rsidR="00F1132B" w:rsidRPr="00F67F85">
        <w:rPr>
          <w:shd w:val="clear" w:color="auto" w:fill="FFFFFF"/>
        </w:rPr>
        <w:t>. Please note this list is not exhaustive.</w:t>
      </w:r>
      <w:r w:rsidRPr="00F67F85">
        <w:rPr>
          <w:shd w:val="clear" w:color="auto" w:fill="FFFFFF"/>
        </w:rPr>
        <w:t xml:space="preserve"> </w:t>
      </w:r>
    </w:p>
    <w:tbl>
      <w:tblPr>
        <w:tblStyle w:val="DTFtexttable2"/>
        <w:tblW w:w="5000" w:type="pct"/>
        <w:tblLook w:val="04A0" w:firstRow="1" w:lastRow="0" w:firstColumn="1" w:lastColumn="0" w:noHBand="0" w:noVBand="1"/>
      </w:tblPr>
      <w:tblGrid>
        <w:gridCol w:w="1986"/>
        <w:gridCol w:w="7616"/>
      </w:tblGrid>
      <w:tr w:rsidR="00D26193" w:rsidRPr="008D2085" w14:paraId="75990108" w14:textId="77777777" w:rsidTr="008A5BB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4" w:type="pct"/>
          </w:tcPr>
          <w:p w14:paraId="32E160D0" w14:textId="759A0260" w:rsidR="00D26193" w:rsidRPr="008D2085" w:rsidRDefault="009D66BC">
            <w:pPr>
              <w:pStyle w:val="Reconum"/>
              <w:numPr>
                <w:ilvl w:val="0"/>
                <w:numId w:val="0"/>
              </w:numPr>
              <w:tabs>
                <w:tab w:val="left" w:pos="720"/>
              </w:tabs>
              <w:spacing w:before="120"/>
              <w:rPr>
                <w:rFonts w:asciiTheme="majorHAnsi" w:hAnsiTheme="majorHAnsi" w:cstheme="majorHAnsi"/>
                <w:szCs w:val="22"/>
              </w:rPr>
            </w:pPr>
            <w:r w:rsidRPr="008D2085">
              <w:rPr>
                <w:rFonts w:asciiTheme="majorHAnsi" w:hAnsiTheme="majorHAnsi" w:cstheme="majorHAnsi"/>
                <w:szCs w:val="22"/>
              </w:rPr>
              <w:t>Category</w:t>
            </w:r>
          </w:p>
        </w:tc>
        <w:tc>
          <w:tcPr>
            <w:tcW w:w="3966" w:type="pct"/>
            <w:hideMark/>
          </w:tcPr>
          <w:p w14:paraId="0B4BCA35" w14:textId="6044CCCF" w:rsidR="00D26193" w:rsidRPr="008D2085" w:rsidRDefault="00F933D7">
            <w:pPr>
              <w:pStyle w:val="Reconum"/>
              <w:numPr>
                <w:ilvl w:val="0"/>
                <w:numId w:val="0"/>
              </w:numPr>
              <w:tabs>
                <w:tab w:val="left" w:pos="720"/>
              </w:tabs>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2"/>
              </w:rPr>
            </w:pPr>
            <w:r w:rsidRPr="008D2085">
              <w:rPr>
                <w:rFonts w:asciiTheme="majorHAnsi" w:hAnsiTheme="majorHAnsi" w:cstheme="majorHAnsi"/>
                <w:szCs w:val="22"/>
              </w:rPr>
              <w:t xml:space="preserve">Key exclusions </w:t>
            </w:r>
            <w:r w:rsidR="00345262" w:rsidRPr="008D2085">
              <w:rPr>
                <w:rFonts w:asciiTheme="majorHAnsi" w:hAnsiTheme="majorHAnsi" w:cstheme="majorHAnsi"/>
                <w:szCs w:val="22"/>
              </w:rPr>
              <w:t>relating to applications</w:t>
            </w:r>
          </w:p>
        </w:tc>
      </w:tr>
      <w:tr w:rsidR="00D26193" w:rsidRPr="008D2085" w14:paraId="47C35D63" w14:textId="77777777" w:rsidTr="008A5BBE">
        <w:tc>
          <w:tcPr>
            <w:cnfStyle w:val="001000000000" w:firstRow="0" w:lastRow="0" w:firstColumn="1" w:lastColumn="0" w:oddVBand="0" w:evenVBand="0" w:oddHBand="0" w:evenHBand="0" w:firstRowFirstColumn="0" w:firstRowLastColumn="0" w:lastRowFirstColumn="0" w:lastRowLastColumn="0"/>
            <w:tcW w:w="1034" w:type="pct"/>
            <w:tcBorders>
              <w:top w:val="single" w:sz="4" w:space="0" w:color="BFBFBF" w:themeColor="background1" w:themeShade="BF"/>
            </w:tcBorders>
          </w:tcPr>
          <w:p w14:paraId="5BADB412" w14:textId="2C441E43" w:rsidR="00774FC2" w:rsidRPr="008D2085" w:rsidRDefault="001D4E94" w:rsidP="00B87B4A">
            <w:pPr>
              <w:pStyle w:val="Tabletext"/>
              <w:rPr>
                <w:rFonts w:asciiTheme="majorHAnsi" w:hAnsiTheme="majorHAnsi"/>
                <w:b w:val="0"/>
                <w:bCs w:val="0"/>
              </w:rPr>
            </w:pPr>
            <w:r w:rsidRPr="008D2085">
              <w:rPr>
                <w:rFonts w:asciiTheme="majorHAnsi" w:hAnsiTheme="majorHAnsi"/>
                <w:b w:val="0"/>
                <w:bCs w:val="0"/>
              </w:rPr>
              <w:t>Properties excluded from the reform</w:t>
            </w:r>
          </w:p>
        </w:tc>
        <w:tc>
          <w:tcPr>
            <w:tcW w:w="3966" w:type="pct"/>
            <w:tcBorders>
              <w:top w:val="single" w:sz="4" w:space="0" w:color="BFBFBF" w:themeColor="background1" w:themeShade="BF"/>
            </w:tcBorders>
            <w:shd w:val="clear" w:color="auto" w:fill="auto"/>
          </w:tcPr>
          <w:p w14:paraId="1399AC85" w14:textId="0F232A1D" w:rsidR="00E74FFF" w:rsidRPr="008D2085" w:rsidRDefault="001D4E94" w:rsidP="00B87B4A">
            <w:pPr>
              <w:pStyle w:val="Tabletext"/>
              <w:cnfStyle w:val="000000000000" w:firstRow="0" w:lastRow="0" w:firstColumn="0" w:lastColumn="0" w:oddVBand="0" w:evenVBand="0" w:oddHBand="0" w:evenHBand="0" w:firstRowFirstColumn="0" w:firstRowLastColumn="0" w:lastRowFirstColumn="0" w:lastRowLastColumn="0"/>
            </w:pPr>
            <w:r w:rsidRPr="008D2085">
              <w:t xml:space="preserve">Properties that are not </w:t>
            </w:r>
            <w:r w:rsidR="00D26193" w:rsidRPr="008D2085">
              <w:t xml:space="preserve">classified as commercial or industrial under the AVPCC classification identified for entry into the </w:t>
            </w:r>
            <w:r w:rsidR="00AC6950" w:rsidRPr="008D2085">
              <w:t>r</w:t>
            </w:r>
            <w:r w:rsidR="00D26193" w:rsidRPr="008D2085">
              <w:t>eform</w:t>
            </w:r>
            <w:r w:rsidRPr="008D2085">
              <w:t xml:space="preserve">. </w:t>
            </w:r>
            <w:r w:rsidR="007502B5" w:rsidRPr="008D2085">
              <w:t>These include properties with the</w:t>
            </w:r>
            <w:r w:rsidR="000747F2" w:rsidRPr="008D2085">
              <w:t xml:space="preserve"> following AVPCC classification categories</w:t>
            </w:r>
            <w:r w:rsidRPr="008D2085">
              <w:t xml:space="preserve">: </w:t>
            </w:r>
          </w:p>
          <w:p w14:paraId="0D977053" w14:textId="106FC0A1" w:rsidR="00E74FFF" w:rsidRPr="008D2085" w:rsidRDefault="001D4E94" w:rsidP="00B87B4A">
            <w:pPr>
              <w:pStyle w:val="Tablebullet"/>
              <w:cnfStyle w:val="000000000000" w:firstRow="0" w:lastRow="0" w:firstColumn="0" w:lastColumn="0" w:oddVBand="0" w:evenVBand="0" w:oddHBand="0" w:evenHBand="0" w:firstRowFirstColumn="0" w:firstRowLastColumn="0" w:lastRowFirstColumn="0" w:lastRowLastColumn="0"/>
            </w:pPr>
            <w:r w:rsidRPr="008D2085">
              <w:t>residential</w:t>
            </w:r>
            <w:r w:rsidR="00017295" w:rsidRPr="008D2085">
              <w:t>;</w:t>
            </w:r>
          </w:p>
          <w:p w14:paraId="33D357F4" w14:textId="2A3D9C5C" w:rsidR="00E74FFF" w:rsidRPr="008D2085" w:rsidRDefault="001D4E94" w:rsidP="00B87B4A">
            <w:pPr>
              <w:pStyle w:val="Tablebullet"/>
              <w:cnfStyle w:val="000000000000" w:firstRow="0" w:lastRow="0" w:firstColumn="0" w:lastColumn="0" w:oddVBand="0" w:evenVBand="0" w:oddHBand="0" w:evenHBand="0" w:firstRowFirstColumn="0" w:firstRowLastColumn="0" w:lastRowFirstColumn="0" w:lastRowLastColumn="0"/>
            </w:pPr>
            <w:r w:rsidRPr="008D2085">
              <w:t>primary production</w:t>
            </w:r>
            <w:r w:rsidR="00017295" w:rsidRPr="008D2085">
              <w:t>;</w:t>
            </w:r>
          </w:p>
          <w:p w14:paraId="781E5A51" w14:textId="18A42DEC" w:rsidR="00E74FFF" w:rsidRPr="008D2085" w:rsidRDefault="000747F2" w:rsidP="00B87B4A">
            <w:pPr>
              <w:pStyle w:val="Tablebullet"/>
              <w:cnfStyle w:val="000000000000" w:firstRow="0" w:lastRow="0" w:firstColumn="0" w:lastColumn="0" w:oddVBand="0" w:evenVBand="0" w:oddHBand="0" w:evenHBand="0" w:firstRowFirstColumn="0" w:firstRowLastColumn="0" w:lastRowFirstColumn="0" w:lastRowLastColumn="0"/>
            </w:pPr>
            <w:r w:rsidRPr="008D2085">
              <w:t>community services</w:t>
            </w:r>
            <w:r w:rsidR="00017295" w:rsidRPr="008D2085">
              <w:t>;</w:t>
            </w:r>
          </w:p>
          <w:p w14:paraId="42F233FD" w14:textId="254A22D6" w:rsidR="00E74FFF" w:rsidRPr="008D2085" w:rsidRDefault="000747F2" w:rsidP="00B87B4A">
            <w:pPr>
              <w:pStyle w:val="Tablebullet"/>
              <w:cnfStyle w:val="000000000000" w:firstRow="0" w:lastRow="0" w:firstColumn="0" w:lastColumn="0" w:oddVBand="0" w:evenVBand="0" w:oddHBand="0" w:evenHBand="0" w:firstRowFirstColumn="0" w:firstRowLastColumn="0" w:lastRowFirstColumn="0" w:lastRowLastColumn="0"/>
            </w:pPr>
            <w:r w:rsidRPr="008D2085">
              <w:t>sport, heritage &amp; culture</w:t>
            </w:r>
            <w:r w:rsidR="00C010E9" w:rsidRPr="008D2085">
              <w:t>; and</w:t>
            </w:r>
          </w:p>
          <w:p w14:paraId="31E20AC1" w14:textId="3534BAE2" w:rsidR="00D26193" w:rsidRPr="008D2085" w:rsidRDefault="000747F2" w:rsidP="00B87B4A">
            <w:pPr>
              <w:pStyle w:val="Tablebullet"/>
              <w:cnfStyle w:val="000000000000" w:firstRow="0" w:lastRow="0" w:firstColumn="0" w:lastColumn="0" w:oddVBand="0" w:evenVBand="0" w:oddHBand="0" w:evenHBand="0" w:firstRowFirstColumn="0" w:firstRowLastColumn="0" w:lastRowFirstColumn="0" w:lastRowLastColumn="0"/>
            </w:pPr>
            <w:r w:rsidRPr="008D2085">
              <w:t>national parks, conservation areas, forest reserves and natural water reserves.</w:t>
            </w:r>
          </w:p>
        </w:tc>
      </w:tr>
      <w:tr w:rsidR="00D26193" w:rsidRPr="008D2085" w14:paraId="3348B6C7" w14:textId="77777777" w:rsidTr="008A5B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pct"/>
          </w:tcPr>
          <w:p w14:paraId="2CE27F8D" w14:textId="171E80F3" w:rsidR="00D26193" w:rsidRPr="008D2085" w:rsidRDefault="000747F2" w:rsidP="00B87B4A">
            <w:pPr>
              <w:pStyle w:val="Tabletext"/>
              <w:rPr>
                <w:rFonts w:asciiTheme="majorHAnsi" w:hAnsiTheme="majorHAnsi"/>
                <w:b w:val="0"/>
                <w:bCs w:val="0"/>
              </w:rPr>
            </w:pPr>
            <w:r w:rsidRPr="008D2085">
              <w:rPr>
                <w:rFonts w:asciiTheme="majorHAnsi" w:hAnsiTheme="majorHAnsi"/>
                <w:b w:val="0"/>
                <w:bCs w:val="0"/>
              </w:rPr>
              <w:t>Properties already in the reform</w:t>
            </w:r>
          </w:p>
        </w:tc>
        <w:tc>
          <w:tcPr>
            <w:tcW w:w="3966" w:type="pct"/>
            <w:shd w:val="clear" w:color="auto" w:fill="auto"/>
          </w:tcPr>
          <w:p w14:paraId="0843FCDF" w14:textId="691F73FF" w:rsidR="00D26193" w:rsidRPr="008D2085" w:rsidRDefault="007502B5" w:rsidP="00B87B4A">
            <w:pPr>
              <w:pStyle w:val="Tabletext"/>
              <w:cnfStyle w:val="000000010000" w:firstRow="0" w:lastRow="0" w:firstColumn="0" w:lastColumn="0" w:oddVBand="0" w:evenVBand="0" w:oddHBand="0" w:evenHBand="1" w:firstRowFirstColumn="0" w:firstRowLastColumn="0" w:lastRowFirstColumn="0" w:lastRowLastColumn="0"/>
            </w:pPr>
            <w:r w:rsidRPr="008D2085">
              <w:t xml:space="preserve">Commercial </w:t>
            </w:r>
            <w:r w:rsidR="00D26193" w:rsidRPr="008D2085">
              <w:t xml:space="preserve">or industrial property that is already in the </w:t>
            </w:r>
            <w:r w:rsidR="00AC6950" w:rsidRPr="008D2085">
              <w:t>r</w:t>
            </w:r>
            <w:r w:rsidR="00D26193" w:rsidRPr="008D2085">
              <w:t xml:space="preserve">eform and </w:t>
            </w:r>
            <w:r w:rsidR="005409EA" w:rsidRPr="008D2085">
              <w:t>has previously been subject</w:t>
            </w:r>
            <w:r w:rsidR="00A152CD" w:rsidRPr="008D2085">
              <w:t xml:space="preserve"> </w:t>
            </w:r>
            <w:r w:rsidR="00770E8E">
              <w:t>to</w:t>
            </w:r>
            <w:r w:rsidR="00770E8E" w:rsidRPr="008D2085">
              <w:t xml:space="preserve"> </w:t>
            </w:r>
            <w:r w:rsidR="00A152CD" w:rsidRPr="008D2085">
              <w:t>the transition loan</w:t>
            </w:r>
            <w:r w:rsidR="00D26193" w:rsidRPr="008D2085">
              <w:t>.</w:t>
            </w:r>
          </w:p>
        </w:tc>
      </w:tr>
      <w:tr w:rsidR="00D26193" w:rsidRPr="008D2085" w14:paraId="40AD57C9" w14:textId="77777777" w:rsidTr="008A5BBE">
        <w:tc>
          <w:tcPr>
            <w:cnfStyle w:val="001000000000" w:firstRow="0" w:lastRow="0" w:firstColumn="1" w:lastColumn="0" w:oddVBand="0" w:evenVBand="0" w:oddHBand="0" w:evenHBand="0" w:firstRowFirstColumn="0" w:firstRowLastColumn="0" w:lastRowFirstColumn="0" w:lastRowLastColumn="0"/>
            <w:tcW w:w="1034" w:type="pct"/>
          </w:tcPr>
          <w:p w14:paraId="0798B9E0" w14:textId="0337461B" w:rsidR="00D26193" w:rsidRPr="008D2085" w:rsidRDefault="005314EF" w:rsidP="00B87B4A">
            <w:pPr>
              <w:pStyle w:val="Tabletext"/>
              <w:rPr>
                <w:rFonts w:asciiTheme="majorHAnsi" w:hAnsiTheme="majorHAnsi"/>
                <w:b w:val="0"/>
                <w:bCs w:val="0"/>
              </w:rPr>
            </w:pPr>
            <w:r w:rsidRPr="008D2085">
              <w:rPr>
                <w:rFonts w:asciiTheme="majorHAnsi" w:hAnsiTheme="majorHAnsi"/>
                <w:b w:val="0"/>
                <w:bCs w:val="0"/>
              </w:rPr>
              <w:t>Excluded types of p</w:t>
            </w:r>
            <w:r w:rsidR="00F00B16" w:rsidRPr="008D2085">
              <w:rPr>
                <w:rFonts w:asciiTheme="majorHAnsi" w:hAnsiTheme="majorHAnsi"/>
                <w:b w:val="0"/>
                <w:bCs w:val="0"/>
              </w:rPr>
              <w:t xml:space="preserve">roperty purchases </w:t>
            </w:r>
          </w:p>
        </w:tc>
        <w:tc>
          <w:tcPr>
            <w:tcW w:w="3966" w:type="pct"/>
            <w:shd w:val="clear" w:color="auto" w:fill="auto"/>
          </w:tcPr>
          <w:p w14:paraId="014D8209" w14:textId="76B1DB98" w:rsidR="00D26193" w:rsidRPr="008D2085" w:rsidRDefault="002B67C4" w:rsidP="00B87B4A">
            <w:pPr>
              <w:pStyle w:val="Tabletext"/>
              <w:cnfStyle w:val="000000000000" w:firstRow="0" w:lastRow="0" w:firstColumn="0" w:lastColumn="0" w:oddVBand="0" w:evenVBand="0" w:oddHBand="0" w:evenHBand="0" w:firstRowFirstColumn="0" w:firstRowLastColumn="0" w:lastRowFirstColumn="0" w:lastRowLastColumn="0"/>
            </w:pPr>
            <w:r>
              <w:t>The sale price of a property is</w:t>
            </w:r>
            <w:r w:rsidR="00D26193" w:rsidRPr="008D2085">
              <w:t xml:space="preserve"> above $30</w:t>
            </w:r>
            <w:r w:rsidR="00F00B16" w:rsidRPr="008D2085">
              <w:rPr>
                <w:rFonts w:ascii="Calibri" w:hAnsi="Calibri" w:cs="Calibri"/>
              </w:rPr>
              <w:t> </w:t>
            </w:r>
            <w:r w:rsidR="00D26193" w:rsidRPr="008D2085">
              <w:t>million</w:t>
            </w:r>
            <w:r w:rsidR="005F0248" w:rsidRPr="008D2085">
              <w:t xml:space="preserve">, equivalent to </w:t>
            </w:r>
            <w:r w:rsidR="00F00B16" w:rsidRPr="008D2085">
              <w:t>land transfer duty payable that exceeds $1.93</w:t>
            </w:r>
            <w:r w:rsidR="00F00B16" w:rsidRPr="008D2085">
              <w:rPr>
                <w:rFonts w:ascii="Calibri" w:hAnsi="Calibri" w:cs="Calibri"/>
              </w:rPr>
              <w:t> </w:t>
            </w:r>
            <w:r w:rsidR="00F00B16" w:rsidRPr="008D2085">
              <w:t>million</w:t>
            </w:r>
            <w:r w:rsidR="00D26193" w:rsidRPr="008D2085">
              <w:t>.</w:t>
            </w:r>
          </w:p>
          <w:p w14:paraId="344E7362" w14:textId="6762A6EB" w:rsidR="005314EF" w:rsidRPr="008D2085" w:rsidRDefault="005314EF" w:rsidP="00B87B4A">
            <w:pPr>
              <w:pStyle w:val="Tabletext"/>
              <w:cnfStyle w:val="000000000000" w:firstRow="0" w:lastRow="0" w:firstColumn="0" w:lastColumn="0" w:oddVBand="0" w:evenVBand="0" w:oddHBand="0" w:evenHBand="0" w:firstRowFirstColumn="0" w:firstRowLastColumn="0" w:lastRowFirstColumn="0" w:lastRowLastColumn="0"/>
            </w:pPr>
            <w:r w:rsidRPr="008D2085">
              <w:t xml:space="preserve">Properties purchased by </w:t>
            </w:r>
            <w:r w:rsidR="00A152CD" w:rsidRPr="008D2085">
              <w:t xml:space="preserve">foreign purchasers </w:t>
            </w:r>
            <w:r w:rsidR="00032F5F" w:rsidRPr="008D2085">
              <w:t xml:space="preserve">or </w:t>
            </w:r>
            <w:r w:rsidRPr="008D2085">
              <w:t>self-managed superannuation fund</w:t>
            </w:r>
            <w:r w:rsidR="00A152CD" w:rsidRPr="008D2085">
              <w:t>s</w:t>
            </w:r>
            <w:r w:rsidRPr="008D2085">
              <w:t>.</w:t>
            </w:r>
          </w:p>
        </w:tc>
      </w:tr>
      <w:tr w:rsidR="00D26193" w:rsidRPr="008D2085" w14:paraId="1162E41E" w14:textId="77777777" w:rsidTr="008A5B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pct"/>
          </w:tcPr>
          <w:p w14:paraId="550D840C" w14:textId="1BFA6B9F" w:rsidR="00D26193" w:rsidRPr="008D2085" w:rsidRDefault="00F00B16" w:rsidP="00B87B4A">
            <w:pPr>
              <w:pStyle w:val="Tabletext"/>
              <w:rPr>
                <w:rFonts w:asciiTheme="majorHAnsi" w:hAnsiTheme="majorHAnsi"/>
                <w:b w:val="0"/>
                <w:bCs w:val="0"/>
              </w:rPr>
            </w:pPr>
            <w:r w:rsidRPr="008D2085">
              <w:rPr>
                <w:rFonts w:asciiTheme="majorHAnsi" w:hAnsiTheme="majorHAnsi"/>
                <w:b w:val="0"/>
                <w:bCs w:val="0"/>
              </w:rPr>
              <w:t>Non-standard property transactions</w:t>
            </w:r>
          </w:p>
        </w:tc>
        <w:tc>
          <w:tcPr>
            <w:tcW w:w="3966" w:type="pct"/>
            <w:shd w:val="clear" w:color="auto" w:fill="auto"/>
          </w:tcPr>
          <w:p w14:paraId="04030852" w14:textId="468C7B68" w:rsidR="000747F2" w:rsidRPr="008D2085" w:rsidRDefault="00D26193" w:rsidP="00B87B4A">
            <w:pPr>
              <w:pStyle w:val="Tabletext"/>
              <w:cnfStyle w:val="000000010000" w:firstRow="0" w:lastRow="0" w:firstColumn="0" w:lastColumn="0" w:oddVBand="0" w:evenVBand="0" w:oddHBand="0" w:evenHBand="1" w:firstRowFirstColumn="0" w:firstRowLastColumn="0" w:lastRowFirstColumn="0" w:lastRowLastColumn="0"/>
            </w:pPr>
            <w:r w:rsidRPr="008D2085">
              <w:t xml:space="preserve">Non-standard property transactions </w:t>
            </w:r>
            <w:r w:rsidR="000747F2" w:rsidRPr="008D2085">
              <w:t>subject to the following types of land transfer duty events:</w:t>
            </w:r>
          </w:p>
          <w:p w14:paraId="2554A1BA" w14:textId="250AF8A2" w:rsidR="00F00B16" w:rsidRPr="008D2085" w:rsidRDefault="00321839" w:rsidP="00B87B4A">
            <w:pPr>
              <w:pStyle w:val="Tablebullet"/>
              <w:cnfStyle w:val="000000010000" w:firstRow="0" w:lastRow="0" w:firstColumn="0" w:lastColumn="0" w:oddVBand="0" w:evenVBand="0" w:oddHBand="0" w:evenHBand="1" w:firstRowFirstColumn="0" w:firstRowLastColumn="0" w:lastRowFirstColumn="0" w:lastRowLastColumn="0"/>
            </w:pPr>
            <w:r w:rsidRPr="008D2085">
              <w:t>l</w:t>
            </w:r>
            <w:r w:rsidR="00D26193" w:rsidRPr="008D2085">
              <w:t>andholder</w:t>
            </w:r>
            <w:r w:rsidR="00F00B16" w:rsidRPr="008D2085">
              <w:t xml:space="preserve"> duty</w:t>
            </w:r>
            <w:r w:rsidR="000B72EC" w:rsidRPr="008D2085">
              <w:t>;</w:t>
            </w:r>
          </w:p>
          <w:p w14:paraId="2F7EF0D2" w14:textId="30F11494" w:rsidR="00F00B16" w:rsidRPr="008D2085" w:rsidRDefault="00321839" w:rsidP="00B87B4A">
            <w:pPr>
              <w:pStyle w:val="Tablebullet"/>
              <w:cnfStyle w:val="000000010000" w:firstRow="0" w:lastRow="0" w:firstColumn="0" w:lastColumn="0" w:oddVBand="0" w:evenVBand="0" w:oddHBand="0" w:evenHBand="1" w:firstRowFirstColumn="0" w:firstRowLastColumn="0" w:lastRowFirstColumn="0" w:lastRowLastColumn="0"/>
            </w:pPr>
            <w:r w:rsidRPr="008D2085">
              <w:t>d</w:t>
            </w:r>
            <w:r w:rsidR="00975A7E" w:rsidRPr="008D2085">
              <w:t>uty on e</w:t>
            </w:r>
            <w:r w:rsidR="00D26193" w:rsidRPr="008D2085">
              <w:t>conomic entitlement</w:t>
            </w:r>
            <w:r w:rsidR="00F00B16" w:rsidRPr="008D2085">
              <w:t xml:space="preserve"> </w:t>
            </w:r>
            <w:r w:rsidR="00975A7E" w:rsidRPr="008D2085">
              <w:t>arrangements in relation to land</w:t>
            </w:r>
            <w:r w:rsidR="000B72EC" w:rsidRPr="008D2085">
              <w:t>;</w:t>
            </w:r>
          </w:p>
          <w:p w14:paraId="62DAC5C4" w14:textId="4467BC71" w:rsidR="009B7ABA" w:rsidRPr="008D2085" w:rsidRDefault="00321839" w:rsidP="00B87B4A">
            <w:pPr>
              <w:pStyle w:val="Tablebullet"/>
              <w:cnfStyle w:val="000000010000" w:firstRow="0" w:lastRow="0" w:firstColumn="0" w:lastColumn="0" w:oddVBand="0" w:evenVBand="0" w:oddHBand="0" w:evenHBand="1" w:firstRowFirstColumn="0" w:firstRowLastColumn="0" w:lastRowFirstColumn="0" w:lastRowLastColumn="0"/>
            </w:pPr>
            <w:r w:rsidRPr="008D2085">
              <w:t>d</w:t>
            </w:r>
            <w:r w:rsidR="009B7ABA" w:rsidRPr="008D2085">
              <w:t>uty on l</w:t>
            </w:r>
            <w:r w:rsidR="00F00B16" w:rsidRPr="008D2085">
              <w:t xml:space="preserve">ong-term </w:t>
            </w:r>
            <w:r w:rsidR="00D26193" w:rsidRPr="008D2085">
              <w:t>lease</w:t>
            </w:r>
            <w:r w:rsidR="009B7ABA" w:rsidRPr="008D2085">
              <w:t xml:space="preserve"> arrangements</w:t>
            </w:r>
            <w:r w:rsidR="00B129A8" w:rsidRPr="008D2085">
              <w:t>; and</w:t>
            </w:r>
          </w:p>
          <w:p w14:paraId="5CC1C9AD" w14:textId="576A7C14" w:rsidR="00D26193" w:rsidRPr="008D2085" w:rsidRDefault="00321839" w:rsidP="00B87B4A">
            <w:pPr>
              <w:pStyle w:val="Tablebullet"/>
              <w:cnfStyle w:val="000000010000" w:firstRow="0" w:lastRow="0" w:firstColumn="0" w:lastColumn="0" w:oddVBand="0" w:evenVBand="0" w:oddHBand="0" w:evenHBand="1" w:firstRowFirstColumn="0" w:firstRowLastColumn="0" w:lastRowFirstColumn="0" w:lastRowLastColumn="0"/>
            </w:pPr>
            <w:r w:rsidRPr="008D2085">
              <w:t>d</w:t>
            </w:r>
            <w:r w:rsidR="005314EF" w:rsidRPr="008D2085">
              <w:t>uty on c</w:t>
            </w:r>
            <w:r w:rsidR="00D26193" w:rsidRPr="008D2085">
              <w:t>hanges in beneficial ownership.</w:t>
            </w:r>
          </w:p>
        </w:tc>
      </w:tr>
      <w:tr w:rsidR="00096FFA" w:rsidRPr="00F67F85" w14:paraId="26CFB505" w14:textId="77777777" w:rsidTr="008A5BBE">
        <w:tc>
          <w:tcPr>
            <w:cnfStyle w:val="001000000000" w:firstRow="0" w:lastRow="0" w:firstColumn="1" w:lastColumn="0" w:oddVBand="0" w:evenVBand="0" w:oddHBand="0" w:evenHBand="0" w:firstRowFirstColumn="0" w:firstRowLastColumn="0" w:lastRowFirstColumn="0" w:lastRowLastColumn="0"/>
            <w:tcW w:w="1034" w:type="pct"/>
          </w:tcPr>
          <w:p w14:paraId="19D61D74" w14:textId="319BFC8D" w:rsidR="00096FFA" w:rsidRPr="008D2085" w:rsidRDefault="00096FFA" w:rsidP="00B87B4A">
            <w:pPr>
              <w:pStyle w:val="Tabletext"/>
              <w:rPr>
                <w:rFonts w:asciiTheme="majorHAnsi" w:eastAsia="Times New Roman" w:hAnsiTheme="majorHAnsi"/>
                <w:b w:val="0"/>
                <w:bCs w:val="0"/>
              </w:rPr>
            </w:pPr>
            <w:r w:rsidRPr="008D2085">
              <w:rPr>
                <w:rFonts w:asciiTheme="majorHAnsi" w:eastAsia="Times New Roman" w:hAnsiTheme="majorHAnsi"/>
                <w:b w:val="0"/>
                <w:bCs w:val="0"/>
              </w:rPr>
              <w:t>Prohibited activities or entities</w:t>
            </w:r>
          </w:p>
        </w:tc>
        <w:tc>
          <w:tcPr>
            <w:tcW w:w="3966" w:type="pct"/>
            <w:shd w:val="clear" w:color="auto" w:fill="auto"/>
          </w:tcPr>
          <w:p w14:paraId="4634BAB7" w14:textId="77777777" w:rsidR="00096FFA" w:rsidRPr="008D2085" w:rsidRDefault="00096FFA" w:rsidP="00B87B4A">
            <w:pPr>
              <w:pStyle w:val="Tabletext"/>
              <w:cnfStyle w:val="000000000000" w:firstRow="0" w:lastRow="0" w:firstColumn="0" w:lastColumn="0" w:oddVBand="0" w:evenVBand="0" w:oddHBand="0" w:evenHBand="0" w:firstRowFirstColumn="0" w:firstRowLastColumn="0" w:lastRowFirstColumn="0" w:lastRowLastColumn="0"/>
            </w:pPr>
            <w:bookmarkStart w:id="3" w:name="_Hlk168412350"/>
            <w:r w:rsidRPr="008D2085">
              <w:t>The applicant is ineligible if they:</w:t>
            </w:r>
          </w:p>
          <w:bookmarkEnd w:id="3"/>
          <w:p w14:paraId="6FEBD492" w14:textId="0318F54F" w:rsidR="00096FFA" w:rsidRPr="008D2085" w:rsidRDefault="00096FFA" w:rsidP="00B87B4A">
            <w:pPr>
              <w:pStyle w:val="Tablebullet"/>
              <w:cnfStyle w:val="000000000000" w:firstRow="0" w:lastRow="0" w:firstColumn="0" w:lastColumn="0" w:oddVBand="0" w:evenVBand="0" w:oddHBand="0" w:evenHBand="0" w:firstRowFirstColumn="0" w:firstRowLastColumn="0" w:lastRowFirstColumn="0" w:lastRowLastColumn="0"/>
            </w:pPr>
            <w:r w:rsidRPr="008D2085">
              <w:t>engage in prohibited activities including those that are illegal under Australian laws including, without limitation, labour hire licensing and other state and federal industrial relations laws, equal opportunity, anti-discrimination and affirmative action legislation</w:t>
            </w:r>
            <w:r w:rsidR="000B72EC" w:rsidRPr="008D2085">
              <w:t>;</w:t>
            </w:r>
          </w:p>
          <w:p w14:paraId="4546D9ED" w14:textId="7A905D8B" w:rsidR="00096FFA" w:rsidRPr="008D2085" w:rsidRDefault="00096FFA" w:rsidP="00B87B4A">
            <w:pPr>
              <w:pStyle w:val="Tablebullet"/>
              <w:cnfStyle w:val="000000000000" w:firstRow="0" w:lastRow="0" w:firstColumn="0" w:lastColumn="0" w:oddVBand="0" w:evenVBand="0" w:oddHBand="0" w:evenHBand="0" w:firstRowFirstColumn="0" w:firstRowLastColumn="0" w:lastRowFirstColumn="0" w:lastRowLastColumn="0"/>
            </w:pPr>
            <w:r w:rsidRPr="008D2085">
              <w:t>have been placed, or notice has been given that it will be placed, under external administration</w:t>
            </w:r>
            <w:r w:rsidR="000B72EC" w:rsidRPr="008D2085">
              <w:t>;</w:t>
            </w:r>
          </w:p>
          <w:p w14:paraId="4A2340B9" w14:textId="0F619D54" w:rsidR="00096FFA" w:rsidRPr="008D2085" w:rsidRDefault="00096FFA" w:rsidP="00B87B4A">
            <w:pPr>
              <w:pStyle w:val="Tablebullet"/>
              <w:cnfStyle w:val="000000000000" w:firstRow="0" w:lastRow="0" w:firstColumn="0" w:lastColumn="0" w:oddVBand="0" w:evenVBand="0" w:oddHBand="0" w:evenHBand="0" w:firstRowFirstColumn="0" w:firstRowLastColumn="0" w:lastRowFirstColumn="0" w:lastRowLastColumn="0"/>
            </w:pPr>
            <w:r w:rsidRPr="008D2085">
              <w:t>are subject to a petition for bankruptcy or to wind up, dissolve or deregister a company or business</w:t>
            </w:r>
            <w:r w:rsidR="000B72EC" w:rsidRPr="008D2085">
              <w:t>;</w:t>
            </w:r>
          </w:p>
          <w:p w14:paraId="4576DB10" w14:textId="5AB51809" w:rsidR="00096FFA" w:rsidRPr="008D2085" w:rsidRDefault="00096FFA" w:rsidP="00B87B4A">
            <w:pPr>
              <w:pStyle w:val="Tablebullet"/>
              <w:cnfStyle w:val="000000000000" w:firstRow="0" w:lastRow="0" w:firstColumn="0" w:lastColumn="0" w:oddVBand="0" w:evenVBand="0" w:oddHBand="0" w:evenHBand="0" w:firstRowFirstColumn="0" w:firstRowLastColumn="0" w:lastRowFirstColumn="0" w:lastRowLastColumn="0"/>
            </w:pPr>
            <w:r w:rsidRPr="008D2085">
              <w:t>are or have become deregistered or unregistered (including cancellation or lapse in registration or any relevant permit)</w:t>
            </w:r>
            <w:r w:rsidR="00B129A8" w:rsidRPr="008D2085">
              <w:t>;</w:t>
            </w:r>
            <w:r w:rsidRPr="008D2085">
              <w:t xml:space="preserve"> and/or</w:t>
            </w:r>
          </w:p>
          <w:p w14:paraId="6A2A4087" w14:textId="38FBCC4D" w:rsidR="00096FFA" w:rsidRPr="008D2085" w:rsidRDefault="00096FFA" w:rsidP="00B87B4A">
            <w:pPr>
              <w:pStyle w:val="Tablebullet"/>
              <w:cnfStyle w:val="000000000000" w:firstRow="0" w:lastRow="0" w:firstColumn="0" w:lastColumn="0" w:oddVBand="0" w:evenVBand="0" w:oddHBand="0" w:evenHBand="0" w:firstRowFirstColumn="0" w:firstRowLastColumn="0" w:lastRowFirstColumn="0" w:lastRowLastColumn="0"/>
            </w:pPr>
            <w:bookmarkStart w:id="4" w:name="_Hlk168412365"/>
            <w:r w:rsidRPr="008D2085">
              <w:t>are subject to</w:t>
            </w:r>
            <w:r w:rsidR="00997534" w:rsidRPr="00AD4AA7">
              <w:t xml:space="preserve"> material</w:t>
            </w:r>
            <w:r w:rsidRPr="008D2085">
              <w:t xml:space="preserve"> adverse findings by a federal or state government agency or local council regarding their business, activities or operations.</w:t>
            </w:r>
          </w:p>
          <w:bookmarkEnd w:id="4"/>
          <w:p w14:paraId="2499DDF3" w14:textId="08265731" w:rsidR="007622FD" w:rsidRPr="008D2085" w:rsidRDefault="007622FD" w:rsidP="00B87B4A">
            <w:pPr>
              <w:pStyle w:val="Tabletext"/>
              <w:cnfStyle w:val="000000000000" w:firstRow="0" w:lastRow="0" w:firstColumn="0" w:lastColumn="0" w:oddVBand="0" w:evenVBand="0" w:oddHBand="0" w:evenHBand="0" w:firstRowFirstColumn="0" w:firstRowLastColumn="0" w:lastRowFirstColumn="0" w:lastRowLastColumn="0"/>
            </w:pPr>
            <w:r w:rsidRPr="008D2085">
              <w:t>The applicant must provide a</w:t>
            </w:r>
            <w:r w:rsidR="00B33F1B" w:rsidRPr="00AD4AA7">
              <w:t xml:space="preserve">n </w:t>
            </w:r>
            <w:r w:rsidRPr="008D2085">
              <w:t xml:space="preserve">attestation that it is not subject to any of the </w:t>
            </w:r>
            <w:r w:rsidR="00147BD3" w:rsidRPr="008D2085">
              <w:t>events listed above</w:t>
            </w:r>
            <w:r w:rsidRPr="008D2085">
              <w:t xml:space="preserve"> when applying for the transition loan. </w:t>
            </w:r>
          </w:p>
          <w:p w14:paraId="71FA73F9" w14:textId="5BE58CFA" w:rsidR="00096FFA" w:rsidRPr="008D2085" w:rsidRDefault="00096FFA" w:rsidP="00B87B4A">
            <w:pPr>
              <w:pStyle w:val="Tabletext"/>
              <w:cnfStyle w:val="000000000000" w:firstRow="0" w:lastRow="0" w:firstColumn="0" w:lastColumn="0" w:oddVBand="0" w:evenVBand="0" w:oddHBand="0" w:evenHBand="0" w:firstRowFirstColumn="0" w:firstRowLastColumn="0" w:lastRowFirstColumn="0" w:lastRowLastColumn="0"/>
            </w:pPr>
            <w:r w:rsidRPr="008D2085">
              <w:t>The occurrence of prohibited activities or entities after the loan is approved may trigger repayment of the transition loan.</w:t>
            </w:r>
          </w:p>
          <w:p w14:paraId="30401E1B" w14:textId="743AB1C1" w:rsidR="00096FFA" w:rsidRPr="00F67F85" w:rsidRDefault="007622FD" w:rsidP="00B87B4A">
            <w:pPr>
              <w:pStyle w:val="Tabletext"/>
              <w:cnfStyle w:val="000000000000" w:firstRow="0" w:lastRow="0" w:firstColumn="0" w:lastColumn="0" w:oddVBand="0" w:evenVBand="0" w:oddHBand="0" w:evenHBand="0" w:firstRowFirstColumn="0" w:firstRowLastColumn="0" w:lastRowFirstColumn="0" w:lastRowLastColumn="0"/>
            </w:pPr>
            <w:r w:rsidRPr="008D2085">
              <w:t>The applicant must notify TCV if one of the events listed above occurs during the term of the loan</w:t>
            </w:r>
            <w:r w:rsidR="00BC4C06" w:rsidRPr="008D2085">
              <w:t>.</w:t>
            </w:r>
          </w:p>
        </w:tc>
      </w:tr>
    </w:tbl>
    <w:p w14:paraId="4EE6A93C" w14:textId="1775C3B1" w:rsidR="00790B18" w:rsidRPr="00690B7B" w:rsidRDefault="00550265" w:rsidP="00B87B4A">
      <w:pPr>
        <w:pStyle w:val="Heading1"/>
        <w:rPr>
          <w:b/>
        </w:rPr>
      </w:pPr>
      <w:r w:rsidRPr="00690B7B">
        <w:lastRenderedPageBreak/>
        <w:t>Key lending terms</w:t>
      </w:r>
    </w:p>
    <w:p w14:paraId="1C3A4DF3" w14:textId="5562E83F" w:rsidR="00321839" w:rsidRPr="00F67F85" w:rsidRDefault="00321839" w:rsidP="00B87B4A">
      <w:pPr>
        <w:keepNext/>
        <w:rPr>
          <w:shd w:val="clear" w:color="auto" w:fill="FFFFFF"/>
        </w:rPr>
      </w:pPr>
      <w:r w:rsidRPr="00F67F85">
        <w:rPr>
          <w:shd w:val="clear" w:color="auto" w:fill="FFFFFF"/>
        </w:rPr>
        <w:t xml:space="preserve">The following </w:t>
      </w:r>
      <w:r w:rsidR="009D66BC" w:rsidRPr="00F67F85">
        <w:rPr>
          <w:shd w:val="clear" w:color="auto" w:fill="FFFFFF"/>
        </w:rPr>
        <w:t xml:space="preserve">key </w:t>
      </w:r>
      <w:r w:rsidRPr="00F67F85">
        <w:rPr>
          <w:shd w:val="clear" w:color="auto" w:fill="FFFFFF"/>
        </w:rPr>
        <w:t>loan terms will be available to eligible applications:</w:t>
      </w:r>
    </w:p>
    <w:tbl>
      <w:tblPr>
        <w:tblStyle w:val="DTFtexttable1"/>
        <w:tblW w:w="5000" w:type="pct"/>
        <w:tblLayout w:type="fixed"/>
        <w:tblLook w:val="04A0" w:firstRow="1" w:lastRow="0" w:firstColumn="1" w:lastColumn="0" w:noHBand="0" w:noVBand="1"/>
      </w:tblPr>
      <w:tblGrid>
        <w:gridCol w:w="2268"/>
        <w:gridCol w:w="7334"/>
      </w:tblGrid>
      <w:tr w:rsidR="00325198" w:rsidRPr="008D2085" w14:paraId="4D719517" w14:textId="77777777" w:rsidTr="008A5BB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81" w:type="pct"/>
          </w:tcPr>
          <w:p w14:paraId="7E7808FD" w14:textId="3C3D5085" w:rsidR="00325198" w:rsidRPr="008D2085" w:rsidRDefault="00325198" w:rsidP="00B47066">
            <w:pPr>
              <w:pStyle w:val="Tableheader"/>
            </w:pPr>
            <w:r w:rsidRPr="008D2085">
              <w:t>Element</w:t>
            </w:r>
          </w:p>
        </w:tc>
        <w:tc>
          <w:tcPr>
            <w:tcW w:w="3819" w:type="pct"/>
          </w:tcPr>
          <w:p w14:paraId="6B58EC63" w14:textId="6514E7BC" w:rsidR="00325198" w:rsidRPr="008D2085" w:rsidRDefault="00325198" w:rsidP="00B47066">
            <w:pPr>
              <w:pStyle w:val="Tableheader"/>
              <w:cnfStyle w:val="100000000000" w:firstRow="1" w:lastRow="0" w:firstColumn="0" w:lastColumn="0" w:oddVBand="0" w:evenVBand="0" w:oddHBand="0" w:evenHBand="0" w:firstRowFirstColumn="0" w:firstRowLastColumn="0" w:lastRowFirstColumn="0" w:lastRowLastColumn="0"/>
            </w:pPr>
            <w:r w:rsidRPr="008D2085">
              <w:t>Lending terms</w:t>
            </w:r>
          </w:p>
        </w:tc>
      </w:tr>
      <w:tr w:rsidR="00325198" w:rsidRPr="008D2085" w14:paraId="4FE7BAE7" w14:textId="77777777" w:rsidTr="008A5BBE">
        <w:tc>
          <w:tcPr>
            <w:cnfStyle w:val="001000000000" w:firstRow="0" w:lastRow="0" w:firstColumn="1" w:lastColumn="0" w:oddVBand="0" w:evenVBand="0" w:oddHBand="0" w:evenHBand="0" w:firstRowFirstColumn="0" w:firstRowLastColumn="0" w:lastRowFirstColumn="0" w:lastRowLastColumn="0"/>
            <w:tcW w:w="1181" w:type="pct"/>
          </w:tcPr>
          <w:p w14:paraId="2EBEF11D" w14:textId="212317E1" w:rsidR="00325198" w:rsidRPr="008D2085" w:rsidRDefault="00325198" w:rsidP="00B87B4A">
            <w:pPr>
              <w:pStyle w:val="Tabletext"/>
              <w:rPr>
                <w:rFonts w:asciiTheme="majorHAnsi" w:hAnsiTheme="majorHAnsi"/>
                <w:b w:val="0"/>
                <w:bCs w:val="0"/>
              </w:rPr>
            </w:pPr>
            <w:r w:rsidRPr="008D2085">
              <w:rPr>
                <w:rFonts w:asciiTheme="majorHAnsi" w:hAnsiTheme="majorHAnsi"/>
                <w:b w:val="0"/>
                <w:bCs w:val="0"/>
              </w:rPr>
              <w:t>Principal amount</w:t>
            </w:r>
          </w:p>
        </w:tc>
        <w:tc>
          <w:tcPr>
            <w:tcW w:w="3819" w:type="pct"/>
            <w:shd w:val="clear" w:color="auto" w:fill="auto"/>
          </w:tcPr>
          <w:p w14:paraId="77D56099" w14:textId="41EB9651" w:rsidR="00325198" w:rsidRPr="00AD4AA7" w:rsidRDefault="00325198" w:rsidP="00B87B4A">
            <w:pPr>
              <w:pStyle w:val="Tabletext"/>
              <w:cnfStyle w:val="000000000000" w:firstRow="0" w:lastRow="0" w:firstColumn="0" w:lastColumn="0" w:oddVBand="0" w:evenVBand="0" w:oddHBand="0" w:evenHBand="0" w:firstRowFirstColumn="0" w:firstRowLastColumn="0" w:lastRowFirstColumn="0" w:lastRowLastColumn="0"/>
            </w:pPr>
            <w:r w:rsidRPr="008D2085">
              <w:t>Up to or equal to the land transfer duty that becomes payable</w:t>
            </w:r>
            <w:r w:rsidR="00E012BC" w:rsidRPr="00AD4AA7">
              <w:t xml:space="preserve"> by the borrower</w:t>
            </w:r>
            <w:r w:rsidRPr="008D2085">
              <w:t xml:space="preserve"> upon the first settlement of a property for contracts entered into on or after 1</w:t>
            </w:r>
            <w:r w:rsidRPr="008D2085">
              <w:rPr>
                <w:rFonts w:ascii="Calibri" w:hAnsi="Calibri" w:cs="Calibri"/>
              </w:rPr>
              <w:t> </w:t>
            </w:r>
            <w:r w:rsidRPr="008D2085">
              <w:t>July</w:t>
            </w:r>
            <w:r w:rsidRPr="008D2085">
              <w:rPr>
                <w:rFonts w:ascii="Calibri" w:hAnsi="Calibri" w:cs="Calibri"/>
              </w:rPr>
              <w:t> </w:t>
            </w:r>
            <w:r w:rsidRPr="008D2085">
              <w:t>2024 up to the maximum value set out in the eligibility requirements.</w:t>
            </w:r>
          </w:p>
        </w:tc>
      </w:tr>
      <w:tr w:rsidR="00325198" w:rsidRPr="008D2085" w14:paraId="38644D61" w14:textId="77777777" w:rsidTr="00E75A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1" w:type="pct"/>
            <w:tcBorders>
              <w:bottom w:val="single" w:sz="6" w:space="0" w:color="A6A6A6" w:themeColor="background1" w:themeShade="A6"/>
            </w:tcBorders>
          </w:tcPr>
          <w:p w14:paraId="68E154E3" w14:textId="7AE51DE4" w:rsidR="00325198" w:rsidRPr="008D2085" w:rsidDel="00321839" w:rsidRDefault="00325198" w:rsidP="00B87B4A">
            <w:pPr>
              <w:pStyle w:val="Tabletext"/>
              <w:rPr>
                <w:rFonts w:asciiTheme="majorHAnsi" w:hAnsiTheme="majorHAnsi"/>
                <w:b w:val="0"/>
                <w:bCs w:val="0"/>
              </w:rPr>
            </w:pPr>
            <w:r w:rsidRPr="008D2085">
              <w:rPr>
                <w:rFonts w:asciiTheme="majorHAnsi" w:hAnsiTheme="majorHAnsi"/>
                <w:b w:val="0"/>
                <w:bCs w:val="0"/>
              </w:rPr>
              <w:t>Facility</w:t>
            </w:r>
          </w:p>
        </w:tc>
        <w:tc>
          <w:tcPr>
            <w:tcW w:w="3819" w:type="pct"/>
            <w:tcBorders>
              <w:bottom w:val="single" w:sz="6" w:space="0" w:color="A6A6A6" w:themeColor="background1" w:themeShade="A6"/>
            </w:tcBorders>
            <w:shd w:val="clear" w:color="auto" w:fill="auto"/>
          </w:tcPr>
          <w:p w14:paraId="5D80964C" w14:textId="56B86D24" w:rsidR="00875375" w:rsidRPr="008D2085" w:rsidRDefault="00875375" w:rsidP="00B87B4A">
            <w:pPr>
              <w:pStyle w:val="Tabletext"/>
              <w:cnfStyle w:val="000000010000" w:firstRow="0" w:lastRow="0" w:firstColumn="0" w:lastColumn="0" w:oddVBand="0" w:evenVBand="0" w:oddHBand="0" w:evenHBand="1" w:firstRowFirstColumn="0" w:firstRowLastColumn="0" w:lastRowFirstColumn="0" w:lastRowLastColumn="0"/>
            </w:pPr>
            <w:r w:rsidRPr="008D2085">
              <w:t>Princip</w:t>
            </w:r>
            <w:r w:rsidR="00BC4C06" w:rsidRPr="008D2085">
              <w:t>al</w:t>
            </w:r>
            <w:r w:rsidRPr="008D2085">
              <w:t xml:space="preserve"> and interest</w:t>
            </w:r>
            <w:r w:rsidR="00B71BC1" w:rsidRPr="008D2085">
              <w:t xml:space="preserve"> only</w:t>
            </w:r>
            <w:r w:rsidR="002F49D6" w:rsidRPr="008D2085">
              <w:t>.</w:t>
            </w:r>
          </w:p>
          <w:p w14:paraId="61DCAD3F" w14:textId="05F27F04" w:rsidR="00325198" w:rsidRPr="008D2085" w:rsidRDefault="00325198" w:rsidP="00B87B4A">
            <w:pPr>
              <w:pStyle w:val="Tabletext"/>
              <w:cnfStyle w:val="000000010000" w:firstRow="0" w:lastRow="0" w:firstColumn="0" w:lastColumn="0" w:oddVBand="0" w:evenVBand="0" w:oddHBand="0" w:evenHBand="1" w:firstRowFirstColumn="0" w:firstRowLastColumn="0" w:lastRowFirstColumn="0" w:lastRowLastColumn="0"/>
            </w:pPr>
            <w:r w:rsidRPr="008D2085">
              <w:t>10 years from date of settlement</w:t>
            </w:r>
            <w:r w:rsidR="00A4245D" w:rsidRPr="00AD4AA7">
              <w:t xml:space="preserve"> of </w:t>
            </w:r>
            <w:r w:rsidRPr="008D2085">
              <w:t>contracts entered into on or after 1</w:t>
            </w:r>
            <w:r w:rsidR="00B47066" w:rsidRPr="008D2085">
              <w:rPr>
                <w:rFonts w:ascii="Calibri" w:hAnsi="Calibri" w:cs="Calibri"/>
              </w:rPr>
              <w:t> </w:t>
            </w:r>
            <w:r w:rsidRPr="008D2085">
              <w:t>July 2024.</w:t>
            </w:r>
          </w:p>
          <w:p w14:paraId="53C7F08E" w14:textId="4E6CABAD" w:rsidR="00325198" w:rsidRPr="008D2085" w:rsidRDefault="00325198" w:rsidP="00B87B4A">
            <w:pPr>
              <w:pStyle w:val="Tabletext"/>
              <w:cnfStyle w:val="000000010000" w:firstRow="0" w:lastRow="0" w:firstColumn="0" w:lastColumn="0" w:oddVBand="0" w:evenVBand="0" w:oddHBand="0" w:evenHBand="1" w:firstRowFirstColumn="0" w:firstRowLastColumn="0" w:lastRowFirstColumn="0" w:lastRowLastColumn="0"/>
            </w:pPr>
            <w:r w:rsidRPr="008D2085">
              <w:t>No repayment can go beyond the 10-year term to avoid overlap with the CIPT</w:t>
            </w:r>
            <w:r w:rsidR="00EA7EA7" w:rsidRPr="008D2085">
              <w:t xml:space="preserve"> on the property</w:t>
            </w:r>
            <w:r w:rsidRPr="008D2085">
              <w:t>, which separately commences from year 11 onwards.</w:t>
            </w:r>
          </w:p>
        </w:tc>
      </w:tr>
      <w:tr w:rsidR="00325198" w:rsidRPr="008D2085" w14:paraId="770BF245" w14:textId="77777777" w:rsidTr="00E75A81">
        <w:tc>
          <w:tcPr>
            <w:cnfStyle w:val="001000000000" w:firstRow="0" w:lastRow="0" w:firstColumn="1" w:lastColumn="0" w:oddVBand="0" w:evenVBand="0" w:oddHBand="0" w:evenHBand="0" w:firstRowFirstColumn="0" w:firstRowLastColumn="0" w:lastRowFirstColumn="0" w:lastRowLastColumn="0"/>
            <w:tcW w:w="1181" w:type="pct"/>
            <w:tcBorders>
              <w:top w:val="single" w:sz="6" w:space="0" w:color="A6A6A6" w:themeColor="background1" w:themeShade="A6"/>
              <w:bottom w:val="nil"/>
            </w:tcBorders>
          </w:tcPr>
          <w:p w14:paraId="3C0C72E6" w14:textId="1D3AF964" w:rsidR="00325198" w:rsidRPr="008D2085" w:rsidRDefault="00325198" w:rsidP="00B87B4A">
            <w:pPr>
              <w:pStyle w:val="Tabletext"/>
              <w:rPr>
                <w:rFonts w:asciiTheme="majorHAnsi" w:hAnsiTheme="majorHAnsi"/>
                <w:b w:val="0"/>
                <w:bCs w:val="0"/>
              </w:rPr>
            </w:pPr>
            <w:r w:rsidRPr="008D2085">
              <w:rPr>
                <w:rFonts w:asciiTheme="majorHAnsi" w:hAnsiTheme="majorHAnsi"/>
                <w:b w:val="0"/>
                <w:bCs w:val="0"/>
              </w:rPr>
              <w:t>Interest rate</w:t>
            </w:r>
          </w:p>
        </w:tc>
        <w:tc>
          <w:tcPr>
            <w:tcW w:w="3819" w:type="pct"/>
            <w:tcBorders>
              <w:top w:val="single" w:sz="6" w:space="0" w:color="A6A6A6" w:themeColor="background1" w:themeShade="A6"/>
              <w:bottom w:val="nil"/>
            </w:tcBorders>
          </w:tcPr>
          <w:p w14:paraId="635C5F72" w14:textId="1EA2579F" w:rsidR="009B07CA" w:rsidRPr="008D2085" w:rsidRDefault="00325198" w:rsidP="00B87B4A">
            <w:pPr>
              <w:pStyle w:val="Tabletext"/>
              <w:cnfStyle w:val="000000000000" w:firstRow="0" w:lastRow="0" w:firstColumn="0" w:lastColumn="0" w:oddVBand="0" w:evenVBand="0" w:oddHBand="0" w:evenHBand="0" w:firstRowFirstColumn="0" w:firstRowLastColumn="0" w:lastRowFirstColumn="0" w:lastRowLastColumn="0"/>
            </w:pPr>
            <w:r w:rsidRPr="008D2085">
              <w:t>Fixed interest rate</w:t>
            </w:r>
            <w:r w:rsidR="00096FFA" w:rsidRPr="008D2085">
              <w:t xml:space="preserve"> </w:t>
            </w:r>
            <w:r w:rsidR="009B07CA" w:rsidRPr="008D2085">
              <w:t>only</w:t>
            </w:r>
            <w:r w:rsidR="002F49D6" w:rsidRPr="008D2085">
              <w:t>.</w:t>
            </w:r>
          </w:p>
          <w:p w14:paraId="40EAD7ED" w14:textId="6EDE9F84" w:rsidR="00BC4C06" w:rsidRPr="008D2085" w:rsidRDefault="009B07CA" w:rsidP="00B87B4A">
            <w:pPr>
              <w:pStyle w:val="Tabletext"/>
              <w:cnfStyle w:val="000000000000" w:firstRow="0" w:lastRow="0" w:firstColumn="0" w:lastColumn="0" w:oddVBand="0" w:evenVBand="0" w:oddHBand="0" w:evenHBand="0" w:firstRowFirstColumn="0" w:firstRowLastColumn="0" w:lastRowFirstColumn="0" w:lastRowLastColumn="0"/>
            </w:pPr>
            <w:bookmarkStart w:id="5" w:name="_Hlk168412522"/>
            <w:r w:rsidRPr="008D2085">
              <w:t>Interest will be calculated at the start of each loan and</w:t>
            </w:r>
            <w:r w:rsidR="0074137F" w:rsidRPr="00AD4AA7">
              <w:t xml:space="preserve"> the rate</w:t>
            </w:r>
            <w:r w:rsidRPr="008D2085">
              <w:t xml:space="preserve"> will not change over the life of the facility</w:t>
            </w:r>
            <w:r w:rsidR="00381FB1" w:rsidRPr="00AD4AA7">
              <w:t xml:space="preserve"> except as</w:t>
            </w:r>
            <w:r w:rsidR="00381FB1" w:rsidRPr="008D2085">
              <w:t xml:space="preserve"> contemplated in t</w:t>
            </w:r>
            <w:r w:rsidR="0074137F" w:rsidRPr="00AD4AA7">
              <w:t>he</w:t>
            </w:r>
            <w:r w:rsidR="00381FB1" w:rsidRPr="008D2085">
              <w:t xml:space="preserve"> Transition Loan Notice</w:t>
            </w:r>
            <w:r w:rsidR="00DA402D">
              <w:rPr>
                <w:rStyle w:val="FootnoteReference"/>
              </w:rPr>
              <w:footnoteReference w:id="2"/>
            </w:r>
            <w:r w:rsidR="00BC4C06" w:rsidRPr="008D2085">
              <w:t>.</w:t>
            </w:r>
          </w:p>
          <w:bookmarkEnd w:id="5"/>
          <w:p w14:paraId="2D5FB791" w14:textId="5C44009C" w:rsidR="00422A52" w:rsidRPr="008D2085" w:rsidRDefault="009B07CA" w:rsidP="00B87B4A">
            <w:pPr>
              <w:pStyle w:val="Tabletext"/>
              <w:cnfStyle w:val="000000000000" w:firstRow="0" w:lastRow="0" w:firstColumn="0" w:lastColumn="0" w:oddVBand="0" w:evenVBand="0" w:oddHBand="0" w:evenHBand="0" w:firstRowFirstColumn="0" w:firstRowLastColumn="0" w:lastRowFirstColumn="0" w:lastRowLastColumn="0"/>
            </w:pPr>
            <w:r w:rsidRPr="008D2085">
              <w:t xml:space="preserve">The fixed interest rate will </w:t>
            </w:r>
            <w:r w:rsidR="00360CC5" w:rsidRPr="008D2085">
              <w:t xml:space="preserve">be set </w:t>
            </w:r>
            <w:r w:rsidR="001C0259" w:rsidRPr="008D2085">
              <w:t>on</w:t>
            </w:r>
            <w:r w:rsidR="00234341" w:rsidRPr="008D2085">
              <w:t xml:space="preserve"> commercial terms and </w:t>
            </w:r>
            <w:r w:rsidR="00875375" w:rsidRPr="008D2085">
              <w:t>comprise</w:t>
            </w:r>
            <w:r w:rsidR="007502B5" w:rsidRPr="008D2085">
              <w:t xml:space="preserve"> the aggregate of</w:t>
            </w:r>
            <w:r w:rsidR="00875375" w:rsidRPr="008D2085">
              <w:t>:</w:t>
            </w:r>
          </w:p>
          <w:p w14:paraId="41DB8842" w14:textId="37D84CB8" w:rsidR="00422A52" w:rsidRPr="008D2085" w:rsidRDefault="006452D5" w:rsidP="00422A52">
            <w:pPr>
              <w:pStyle w:val="Tablenum1"/>
              <w:cnfStyle w:val="000000000000" w:firstRow="0" w:lastRow="0" w:firstColumn="0" w:lastColumn="0" w:oddVBand="0" w:evenVBand="0" w:oddHBand="0" w:evenHBand="0" w:firstRowFirstColumn="0" w:firstRowLastColumn="0" w:lastRowFirstColumn="0" w:lastRowLastColumn="0"/>
            </w:pPr>
            <w:r w:rsidRPr="008D2085">
              <w:t>a</w:t>
            </w:r>
            <w:r w:rsidR="00954DFC" w:rsidRPr="008D2085">
              <w:t xml:space="preserve"> base rate, based </w:t>
            </w:r>
            <w:r w:rsidR="001C0259" w:rsidRPr="008D2085">
              <w:t xml:space="preserve">on </w:t>
            </w:r>
            <w:r w:rsidR="00875375" w:rsidRPr="008D2085">
              <w:t>TCV</w:t>
            </w:r>
            <w:r w:rsidR="00954DFC" w:rsidRPr="008D2085">
              <w:t>’s yield curve which changes over time</w:t>
            </w:r>
            <w:r w:rsidR="00DD6595" w:rsidRPr="008D2085">
              <w:t>; and</w:t>
            </w:r>
          </w:p>
          <w:p w14:paraId="7AD2A809" w14:textId="36EFE25C" w:rsidR="00A24F1E" w:rsidRPr="008D2085" w:rsidRDefault="00875375" w:rsidP="00B87B4A">
            <w:pPr>
              <w:pStyle w:val="Tablenum1"/>
              <w:cnfStyle w:val="000000000000" w:firstRow="0" w:lastRow="0" w:firstColumn="0" w:lastColumn="0" w:oddVBand="0" w:evenVBand="0" w:oddHBand="0" w:evenHBand="0" w:firstRowFirstColumn="0" w:firstRowLastColumn="0" w:lastRowFirstColumn="0" w:lastRowLastColumn="0"/>
            </w:pPr>
            <w:r w:rsidRPr="008D2085">
              <w:t xml:space="preserve">a margin </w:t>
            </w:r>
            <w:r w:rsidR="00187629" w:rsidRPr="008D2085">
              <w:t xml:space="preserve">equal to the relevant Financial Accommodation Levy margin as </w:t>
            </w:r>
            <w:r w:rsidR="007502B5" w:rsidRPr="008D2085">
              <w:t>determined</w:t>
            </w:r>
            <w:r w:rsidRPr="008D2085">
              <w:t xml:space="preserve"> by the Treasurer</w:t>
            </w:r>
            <w:r w:rsidR="006452D5" w:rsidRPr="008D2085">
              <w:t xml:space="preserve"> per financial year</w:t>
            </w:r>
            <w:r w:rsidR="00A24F1E" w:rsidRPr="008D2085">
              <w:t>, and typically reconsidered prior to each new financial year</w:t>
            </w:r>
            <w:r w:rsidRPr="008D2085">
              <w:t>.</w:t>
            </w:r>
          </w:p>
          <w:p w14:paraId="36EE6F71" w14:textId="54006B2C" w:rsidR="00755BDD" w:rsidRPr="00AD4AA7" w:rsidRDefault="00E4087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i/>
                <w:iCs/>
              </w:rPr>
            </w:pPr>
            <w:r w:rsidRPr="008D2085">
              <w:t>The rate for each borrower will be fixed for the term of the loan.</w:t>
            </w:r>
          </w:p>
          <w:tbl>
            <w:tblPr>
              <w:tblStyle w:val="DTFtexttable1"/>
              <w:tblW w:w="7221" w:type="dxa"/>
              <w:tblLayout w:type="fixed"/>
              <w:tblLook w:val="0420" w:firstRow="1" w:lastRow="0" w:firstColumn="0" w:lastColumn="0" w:noHBand="0" w:noVBand="1"/>
            </w:tblPr>
            <w:tblGrid>
              <w:gridCol w:w="2901"/>
              <w:gridCol w:w="1080"/>
              <w:gridCol w:w="3240"/>
            </w:tblGrid>
            <w:tr w:rsidR="006E19A7" w:rsidRPr="008D2085" w14:paraId="351E9D7F" w14:textId="77777777" w:rsidTr="00F06BB6">
              <w:trPr>
                <w:cnfStyle w:val="100000000000" w:firstRow="1" w:lastRow="0" w:firstColumn="0" w:lastColumn="0" w:oddVBand="0" w:evenVBand="0" w:oddHBand="0" w:evenHBand="0" w:firstRowFirstColumn="0" w:firstRowLastColumn="0" w:lastRowFirstColumn="0" w:lastRowLastColumn="0"/>
                <w:trHeight w:val="294"/>
              </w:trPr>
              <w:tc>
                <w:tcPr>
                  <w:tcW w:w="2901" w:type="dxa"/>
                  <w:tcBorders>
                    <w:bottom w:val="single" w:sz="6" w:space="0" w:color="A6A6A6" w:themeColor="background1" w:themeShade="A6"/>
                  </w:tcBorders>
                  <w:noWrap/>
                  <w:hideMark/>
                </w:tcPr>
                <w:p w14:paraId="6D9C59EC" w14:textId="77777777" w:rsidR="006E19A7" w:rsidRPr="008D2085" w:rsidRDefault="006E19A7" w:rsidP="006E19A7">
                  <w:pPr>
                    <w:keepLines w:val="0"/>
                    <w:spacing w:before="40" w:after="40" w:line="240" w:lineRule="auto"/>
                    <w:rPr>
                      <w:rFonts w:ascii="VIC" w:eastAsia="Times New Roman" w:hAnsi="VIC" w:cs="Calibri"/>
                      <w:b w:val="0"/>
                      <w:bCs w:val="0"/>
                      <w:color w:val="000000"/>
                      <w:sz w:val="16"/>
                      <w:szCs w:val="16"/>
                    </w:rPr>
                  </w:pPr>
                  <w:r w:rsidRPr="008D2085">
                    <w:rPr>
                      <w:rFonts w:ascii="VIC" w:eastAsia="Times New Roman" w:hAnsi="VIC" w:cs="Calibri"/>
                      <w:color w:val="000000"/>
                      <w:sz w:val="16"/>
                      <w:szCs w:val="16"/>
                    </w:rPr>
                    <w:t>Component</w:t>
                  </w:r>
                </w:p>
              </w:tc>
              <w:tc>
                <w:tcPr>
                  <w:tcW w:w="1080" w:type="dxa"/>
                  <w:tcBorders>
                    <w:bottom w:val="single" w:sz="6" w:space="0" w:color="A6A6A6" w:themeColor="background1" w:themeShade="A6"/>
                  </w:tcBorders>
                  <w:noWrap/>
                  <w:hideMark/>
                </w:tcPr>
                <w:p w14:paraId="2232B6D6" w14:textId="77777777" w:rsidR="006E19A7" w:rsidRPr="008D2085" w:rsidRDefault="006E19A7" w:rsidP="006E19A7">
                  <w:pPr>
                    <w:keepLines w:val="0"/>
                    <w:spacing w:before="40" w:after="40" w:line="240" w:lineRule="auto"/>
                    <w:jc w:val="center"/>
                    <w:rPr>
                      <w:rFonts w:ascii="VIC" w:eastAsia="Times New Roman" w:hAnsi="VIC" w:cs="Calibri"/>
                      <w:b w:val="0"/>
                      <w:bCs w:val="0"/>
                      <w:color w:val="000000"/>
                      <w:sz w:val="16"/>
                      <w:szCs w:val="16"/>
                    </w:rPr>
                  </w:pPr>
                  <w:r w:rsidRPr="008D2085">
                    <w:rPr>
                      <w:rFonts w:ascii="VIC" w:eastAsia="Times New Roman" w:hAnsi="VIC" w:cs="Calibri"/>
                      <w:color w:val="000000"/>
                      <w:sz w:val="16"/>
                      <w:szCs w:val="16"/>
                    </w:rPr>
                    <w:t>Rate</w:t>
                  </w:r>
                </w:p>
              </w:tc>
              <w:tc>
                <w:tcPr>
                  <w:tcW w:w="3240" w:type="dxa"/>
                  <w:tcBorders>
                    <w:bottom w:val="single" w:sz="6" w:space="0" w:color="A6A6A6" w:themeColor="background1" w:themeShade="A6"/>
                  </w:tcBorders>
                </w:tcPr>
                <w:p w14:paraId="0E9CEC36" w14:textId="77777777" w:rsidR="006E19A7" w:rsidRPr="008D2085" w:rsidRDefault="006E19A7" w:rsidP="006E19A7">
                  <w:pPr>
                    <w:keepLines w:val="0"/>
                    <w:spacing w:before="40" w:after="40" w:line="240" w:lineRule="auto"/>
                    <w:jc w:val="center"/>
                    <w:rPr>
                      <w:rFonts w:ascii="VIC" w:eastAsia="Times New Roman" w:hAnsi="VIC" w:cs="Calibri"/>
                      <w:b w:val="0"/>
                      <w:bCs w:val="0"/>
                      <w:color w:val="000000"/>
                      <w:sz w:val="16"/>
                      <w:szCs w:val="16"/>
                    </w:rPr>
                  </w:pPr>
                  <w:r w:rsidRPr="008D2085">
                    <w:rPr>
                      <w:rFonts w:ascii="VIC" w:eastAsia="Times New Roman" w:hAnsi="VIC" w:cs="Calibri"/>
                      <w:color w:val="000000"/>
                      <w:sz w:val="16"/>
                      <w:szCs w:val="16"/>
                    </w:rPr>
                    <w:t>Notes</w:t>
                  </w:r>
                </w:p>
              </w:tc>
            </w:tr>
            <w:tr w:rsidR="006E19A7" w:rsidRPr="008D2085" w14:paraId="3376CC9F" w14:textId="77777777" w:rsidTr="00F06BB6">
              <w:trPr>
                <w:trHeight w:val="294"/>
              </w:trPr>
              <w:tc>
                <w:tcPr>
                  <w:tcW w:w="2901" w:type="dxa"/>
                  <w:tcBorders>
                    <w:top w:val="single" w:sz="6" w:space="0" w:color="A6A6A6" w:themeColor="background1" w:themeShade="A6"/>
                    <w:bottom w:val="nil"/>
                  </w:tcBorders>
                  <w:noWrap/>
                  <w:hideMark/>
                </w:tcPr>
                <w:p w14:paraId="728CEEB8" w14:textId="77777777" w:rsidR="006E19A7" w:rsidRPr="008D2085" w:rsidRDefault="006E19A7" w:rsidP="006E19A7">
                  <w:pPr>
                    <w:keepLines w:val="0"/>
                    <w:spacing w:before="40" w:after="40" w:line="240" w:lineRule="auto"/>
                    <w:rPr>
                      <w:rFonts w:ascii="VIC" w:eastAsia="Times New Roman" w:hAnsi="VIC" w:cs="Calibri"/>
                      <w:color w:val="000000"/>
                      <w:sz w:val="16"/>
                      <w:szCs w:val="16"/>
                    </w:rPr>
                  </w:pPr>
                  <w:r w:rsidRPr="008D2085">
                    <w:rPr>
                      <w:rFonts w:ascii="VIC" w:eastAsia="Times New Roman" w:hAnsi="VIC" w:cs="Calibri"/>
                      <w:color w:val="000000"/>
                      <w:sz w:val="16"/>
                      <w:szCs w:val="16"/>
                    </w:rPr>
                    <w:t>Base rate</w:t>
                  </w:r>
                </w:p>
              </w:tc>
              <w:tc>
                <w:tcPr>
                  <w:tcW w:w="1080" w:type="dxa"/>
                  <w:tcBorders>
                    <w:top w:val="single" w:sz="6" w:space="0" w:color="A6A6A6" w:themeColor="background1" w:themeShade="A6"/>
                    <w:bottom w:val="nil"/>
                  </w:tcBorders>
                  <w:noWrap/>
                  <w:hideMark/>
                </w:tcPr>
                <w:p w14:paraId="23AF0407" w14:textId="77777777" w:rsidR="006E19A7" w:rsidRPr="008D2085" w:rsidRDefault="006E19A7" w:rsidP="006E19A7">
                  <w:pPr>
                    <w:keepLines w:val="0"/>
                    <w:spacing w:before="40" w:after="40" w:line="240" w:lineRule="auto"/>
                    <w:jc w:val="center"/>
                    <w:rPr>
                      <w:rFonts w:ascii="VIC" w:eastAsia="Times New Roman" w:hAnsi="VIC" w:cs="Calibri"/>
                      <w:color w:val="000000"/>
                      <w:sz w:val="16"/>
                      <w:szCs w:val="16"/>
                    </w:rPr>
                  </w:pPr>
                  <w:r w:rsidRPr="008D2085">
                    <w:rPr>
                      <w:rFonts w:ascii="VIC" w:eastAsia="Times New Roman" w:hAnsi="VIC" w:cs="Calibri"/>
                      <w:color w:val="000000"/>
                      <w:sz w:val="16"/>
                      <w:szCs w:val="16"/>
                    </w:rPr>
                    <w:t>4.87%</w:t>
                  </w:r>
                </w:p>
              </w:tc>
              <w:tc>
                <w:tcPr>
                  <w:tcW w:w="3240" w:type="dxa"/>
                  <w:tcBorders>
                    <w:top w:val="single" w:sz="6" w:space="0" w:color="A6A6A6" w:themeColor="background1" w:themeShade="A6"/>
                    <w:bottom w:val="nil"/>
                  </w:tcBorders>
                </w:tcPr>
                <w:p w14:paraId="0C3A4BB3" w14:textId="77777777" w:rsidR="006E19A7" w:rsidRPr="008D2085" w:rsidRDefault="006E19A7" w:rsidP="006E19A7">
                  <w:pPr>
                    <w:keepLines w:val="0"/>
                    <w:spacing w:before="40" w:after="40" w:line="240" w:lineRule="auto"/>
                    <w:rPr>
                      <w:rFonts w:ascii="VIC" w:eastAsia="Times New Roman" w:hAnsi="VIC" w:cs="Calibri"/>
                      <w:color w:val="000000"/>
                      <w:sz w:val="16"/>
                      <w:szCs w:val="16"/>
                    </w:rPr>
                  </w:pPr>
                  <w:r w:rsidRPr="008D2085">
                    <w:rPr>
                      <w:sz w:val="16"/>
                      <w:szCs w:val="16"/>
                    </w:rPr>
                    <w:t>TCV’s yield curve*</w:t>
                  </w:r>
                </w:p>
              </w:tc>
            </w:tr>
            <w:tr w:rsidR="006E19A7" w:rsidRPr="008D2085" w14:paraId="6C126011" w14:textId="77777777" w:rsidTr="00F06BB6">
              <w:trPr>
                <w:cnfStyle w:val="000000010000" w:firstRow="0" w:lastRow="0" w:firstColumn="0" w:lastColumn="0" w:oddVBand="0" w:evenVBand="0" w:oddHBand="0" w:evenHBand="1" w:firstRowFirstColumn="0" w:firstRowLastColumn="0" w:lastRowFirstColumn="0" w:lastRowLastColumn="0"/>
                <w:trHeight w:val="294"/>
              </w:trPr>
              <w:tc>
                <w:tcPr>
                  <w:tcW w:w="2901" w:type="dxa"/>
                  <w:tcBorders>
                    <w:top w:val="nil"/>
                  </w:tcBorders>
                  <w:noWrap/>
                  <w:hideMark/>
                </w:tcPr>
                <w:p w14:paraId="6F94CB3F" w14:textId="77777777" w:rsidR="006E19A7" w:rsidRPr="008D2085" w:rsidRDefault="006E19A7" w:rsidP="006E19A7">
                  <w:pPr>
                    <w:keepLines w:val="0"/>
                    <w:spacing w:before="40" w:after="40" w:line="240" w:lineRule="auto"/>
                    <w:rPr>
                      <w:rFonts w:ascii="VIC" w:eastAsia="Times New Roman" w:hAnsi="VIC" w:cs="Calibri"/>
                      <w:color w:val="000000"/>
                      <w:sz w:val="16"/>
                      <w:szCs w:val="16"/>
                    </w:rPr>
                  </w:pPr>
                  <w:r w:rsidRPr="008D2085">
                    <w:rPr>
                      <w:rFonts w:ascii="VIC" w:eastAsia="Times New Roman" w:hAnsi="VIC" w:cs="Calibri"/>
                      <w:color w:val="000000"/>
                      <w:sz w:val="16"/>
                      <w:szCs w:val="16"/>
                    </w:rPr>
                    <w:t>Margin</w:t>
                  </w:r>
                </w:p>
              </w:tc>
              <w:tc>
                <w:tcPr>
                  <w:tcW w:w="1080" w:type="dxa"/>
                  <w:tcBorders>
                    <w:top w:val="nil"/>
                  </w:tcBorders>
                  <w:noWrap/>
                  <w:hideMark/>
                </w:tcPr>
                <w:p w14:paraId="3A4627C6" w14:textId="77777777" w:rsidR="006E19A7" w:rsidRPr="008D2085" w:rsidRDefault="006E19A7" w:rsidP="006E19A7">
                  <w:pPr>
                    <w:keepLines w:val="0"/>
                    <w:spacing w:before="40" w:after="40" w:line="240" w:lineRule="auto"/>
                    <w:jc w:val="center"/>
                    <w:rPr>
                      <w:rFonts w:ascii="VIC" w:eastAsia="Times New Roman" w:hAnsi="VIC" w:cs="Calibri"/>
                      <w:color w:val="000000"/>
                      <w:sz w:val="16"/>
                      <w:szCs w:val="16"/>
                    </w:rPr>
                  </w:pPr>
                  <w:r w:rsidRPr="008D2085">
                    <w:rPr>
                      <w:rFonts w:ascii="VIC" w:eastAsia="Times New Roman" w:hAnsi="VIC" w:cs="Calibri"/>
                      <w:color w:val="000000"/>
                      <w:sz w:val="16"/>
                      <w:szCs w:val="16"/>
                    </w:rPr>
                    <w:t>2.25%</w:t>
                  </w:r>
                </w:p>
              </w:tc>
              <w:tc>
                <w:tcPr>
                  <w:tcW w:w="3240" w:type="dxa"/>
                  <w:tcBorders>
                    <w:top w:val="nil"/>
                  </w:tcBorders>
                </w:tcPr>
                <w:p w14:paraId="3070A262" w14:textId="77777777" w:rsidR="006E19A7" w:rsidRPr="008D2085" w:rsidRDefault="006E19A7" w:rsidP="006E19A7">
                  <w:pPr>
                    <w:keepLines w:val="0"/>
                    <w:spacing w:before="40" w:after="40" w:line="240" w:lineRule="auto"/>
                    <w:rPr>
                      <w:rFonts w:ascii="VIC" w:eastAsia="Times New Roman" w:hAnsi="VIC" w:cs="Calibri"/>
                      <w:color w:val="000000"/>
                      <w:sz w:val="16"/>
                      <w:szCs w:val="16"/>
                    </w:rPr>
                  </w:pPr>
                  <w:r w:rsidRPr="008D2085">
                    <w:rPr>
                      <w:rFonts w:ascii="VIC" w:eastAsia="Times New Roman" w:hAnsi="VIC" w:cs="Calibri"/>
                      <w:color w:val="000000"/>
                      <w:sz w:val="16"/>
                      <w:szCs w:val="16"/>
                    </w:rPr>
                    <w:t xml:space="preserve">Set by the Treasurer for 2024-25 </w:t>
                  </w:r>
                </w:p>
              </w:tc>
            </w:tr>
            <w:tr w:rsidR="006E19A7" w:rsidRPr="008D2085" w14:paraId="43FA833D" w14:textId="77777777" w:rsidTr="00F06BB6">
              <w:trPr>
                <w:trHeight w:val="294"/>
              </w:trPr>
              <w:tc>
                <w:tcPr>
                  <w:tcW w:w="2901" w:type="dxa"/>
                  <w:noWrap/>
                  <w:hideMark/>
                </w:tcPr>
                <w:p w14:paraId="17FC5D8C" w14:textId="77777777" w:rsidR="006E19A7" w:rsidRPr="008D2085" w:rsidRDefault="006E19A7" w:rsidP="006E19A7">
                  <w:pPr>
                    <w:keepLines w:val="0"/>
                    <w:spacing w:before="40" w:after="40" w:line="240" w:lineRule="auto"/>
                    <w:rPr>
                      <w:rFonts w:ascii="VIC" w:eastAsia="Times New Roman" w:hAnsi="VIC" w:cs="Calibri"/>
                      <w:b/>
                      <w:bCs/>
                      <w:color w:val="000000"/>
                      <w:sz w:val="16"/>
                      <w:szCs w:val="16"/>
                    </w:rPr>
                  </w:pPr>
                  <w:r w:rsidRPr="008D2085">
                    <w:rPr>
                      <w:rFonts w:ascii="VIC" w:eastAsia="Times New Roman" w:hAnsi="VIC" w:cs="Calibri"/>
                      <w:b/>
                      <w:bCs/>
                      <w:color w:val="000000"/>
                      <w:sz w:val="16"/>
                      <w:szCs w:val="16"/>
                    </w:rPr>
                    <w:t>Illustrative fixed interest rate</w:t>
                  </w:r>
                </w:p>
              </w:tc>
              <w:tc>
                <w:tcPr>
                  <w:tcW w:w="1080" w:type="dxa"/>
                  <w:noWrap/>
                  <w:hideMark/>
                </w:tcPr>
                <w:p w14:paraId="479D7097" w14:textId="77777777" w:rsidR="006E19A7" w:rsidRPr="008D2085" w:rsidRDefault="006E19A7" w:rsidP="006E19A7">
                  <w:pPr>
                    <w:keepLines w:val="0"/>
                    <w:spacing w:before="40" w:after="40" w:line="240" w:lineRule="auto"/>
                    <w:jc w:val="center"/>
                    <w:rPr>
                      <w:rFonts w:ascii="VIC" w:eastAsia="Times New Roman" w:hAnsi="VIC" w:cs="Calibri"/>
                      <w:b/>
                      <w:bCs/>
                      <w:color w:val="000000"/>
                      <w:sz w:val="16"/>
                      <w:szCs w:val="16"/>
                    </w:rPr>
                  </w:pPr>
                  <w:r w:rsidRPr="008D2085">
                    <w:rPr>
                      <w:rFonts w:ascii="VIC" w:eastAsia="Times New Roman" w:hAnsi="VIC" w:cs="Calibri"/>
                      <w:b/>
                      <w:bCs/>
                      <w:color w:val="000000"/>
                      <w:sz w:val="16"/>
                      <w:szCs w:val="16"/>
                    </w:rPr>
                    <w:t>7.12%</w:t>
                  </w:r>
                </w:p>
              </w:tc>
              <w:tc>
                <w:tcPr>
                  <w:tcW w:w="3240" w:type="dxa"/>
                </w:tcPr>
                <w:p w14:paraId="7DF53B8D" w14:textId="77777777" w:rsidR="006E19A7" w:rsidRPr="008D2085" w:rsidRDefault="006E19A7" w:rsidP="006E19A7">
                  <w:pPr>
                    <w:keepLines w:val="0"/>
                    <w:spacing w:before="40" w:after="40" w:line="240" w:lineRule="auto"/>
                    <w:jc w:val="center"/>
                    <w:rPr>
                      <w:rFonts w:ascii="VIC" w:eastAsia="Times New Roman" w:hAnsi="VIC" w:cs="Calibri"/>
                      <w:b/>
                      <w:bCs/>
                      <w:color w:val="000000"/>
                      <w:sz w:val="16"/>
                      <w:szCs w:val="16"/>
                    </w:rPr>
                  </w:pPr>
                </w:p>
              </w:tc>
            </w:tr>
          </w:tbl>
          <w:p w14:paraId="7C898E1A" w14:textId="7CA59F72" w:rsidR="006E19A7" w:rsidRPr="008D2085" w:rsidRDefault="006E19A7" w:rsidP="006E19A7">
            <w:pPr>
              <w:pStyle w:val="Spacer"/>
              <w:cnfStyle w:val="000000000000" w:firstRow="0" w:lastRow="0" w:firstColumn="0" w:lastColumn="0" w:oddVBand="0" w:evenVBand="0" w:oddHBand="0" w:evenHBand="0" w:firstRowFirstColumn="0" w:firstRowLastColumn="0" w:lastRowFirstColumn="0" w:lastRowLastColumn="0"/>
              <w:rPr>
                <w:sz w:val="12"/>
                <w:szCs w:val="24"/>
              </w:rPr>
            </w:pPr>
            <w:r w:rsidRPr="008D2085">
              <w:rPr>
                <w:sz w:val="12"/>
                <w:szCs w:val="24"/>
              </w:rPr>
              <w:t>*The base rate is determined by the TCV yield curve which is primarily derived from observable TCV market funding rates across the maturity spectrum. Indicative 3-year and 10-year TCV bond yields are published monthly on TCV’s website</w:t>
            </w:r>
            <w:r w:rsidR="00624C32" w:rsidRPr="008D2085">
              <w:rPr>
                <w:sz w:val="12"/>
                <w:szCs w:val="24"/>
              </w:rPr>
              <w:t>,</w:t>
            </w:r>
            <w:r w:rsidRPr="008D2085">
              <w:rPr>
                <w:sz w:val="12"/>
                <w:szCs w:val="24"/>
              </w:rPr>
              <w:t xml:space="preserve"> www.tcv.vic.gov.au.</w:t>
            </w:r>
          </w:p>
          <w:p w14:paraId="625F2499" w14:textId="441D7E92" w:rsidR="006E19A7" w:rsidRPr="008D2085" w:rsidRDefault="006E19A7" w:rsidP="00C86275">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8D2085">
              <w:t>The prevailing loan interest rate will be available to applicants during the application process. It is important to note that TCV’s loan interest rates are subject to market movements and therefore the actual interest rate offered will be dependent on TCV’s yield curve at the start of the loan.</w:t>
            </w:r>
          </w:p>
        </w:tc>
      </w:tr>
      <w:tr w:rsidR="00325198" w:rsidRPr="00F67F85" w14:paraId="0065F287" w14:textId="77777777" w:rsidTr="008A5B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1" w:type="pct"/>
          </w:tcPr>
          <w:p w14:paraId="65C38459" w14:textId="7A54C888" w:rsidR="00325198" w:rsidRPr="008D2085" w:rsidRDefault="00325198" w:rsidP="00B87B4A">
            <w:pPr>
              <w:pStyle w:val="Tabletext"/>
              <w:rPr>
                <w:rFonts w:asciiTheme="majorHAnsi" w:hAnsiTheme="majorHAnsi"/>
                <w:b w:val="0"/>
                <w:bCs w:val="0"/>
              </w:rPr>
            </w:pPr>
            <w:r w:rsidRPr="008D2085">
              <w:rPr>
                <w:rFonts w:asciiTheme="majorHAnsi" w:hAnsiTheme="majorHAnsi"/>
                <w:b w:val="0"/>
                <w:bCs w:val="0"/>
              </w:rPr>
              <w:t>Repayment</w:t>
            </w:r>
          </w:p>
        </w:tc>
        <w:tc>
          <w:tcPr>
            <w:tcW w:w="3819" w:type="pct"/>
            <w:shd w:val="clear" w:color="auto" w:fill="auto"/>
          </w:tcPr>
          <w:p w14:paraId="25EFED0E" w14:textId="3AF4289E" w:rsidR="00325198" w:rsidRPr="00F67F85" w:rsidRDefault="008E4AC0" w:rsidP="00B87B4A">
            <w:pPr>
              <w:pStyle w:val="Tabletext"/>
              <w:cnfStyle w:val="000000010000" w:firstRow="0" w:lastRow="0" w:firstColumn="0" w:lastColumn="0" w:oddVBand="0" w:evenVBand="0" w:oddHBand="0" w:evenHBand="1" w:firstRowFirstColumn="0" w:firstRowLastColumn="0" w:lastRowFirstColumn="0" w:lastRowLastColumn="0"/>
            </w:pPr>
            <w:r w:rsidRPr="008D2085">
              <w:t xml:space="preserve">10 equal annual repayments comprising principal and </w:t>
            </w:r>
            <w:r w:rsidR="00325198" w:rsidRPr="008D2085">
              <w:t>interest</w:t>
            </w:r>
            <w:r w:rsidRPr="008D2085">
              <w:t>.</w:t>
            </w:r>
          </w:p>
        </w:tc>
      </w:tr>
    </w:tbl>
    <w:p w14:paraId="7628B198" w14:textId="77777777" w:rsidR="00717734" w:rsidRDefault="00717734" w:rsidP="00717734">
      <w:pPr>
        <w:pStyle w:val="Spacer"/>
      </w:pPr>
    </w:p>
    <w:p w14:paraId="404F2A2A" w14:textId="09EA220B" w:rsidR="008E4AC0" w:rsidRPr="00690B7B" w:rsidRDefault="008E4AC0" w:rsidP="00717734">
      <w:pPr>
        <w:pStyle w:val="Heading2"/>
        <w:rPr>
          <w:b/>
        </w:rPr>
      </w:pPr>
      <w:r w:rsidRPr="00690B7B">
        <w:t>Security</w:t>
      </w:r>
    </w:p>
    <w:p w14:paraId="38116453" w14:textId="5A85D96E" w:rsidR="008E4AC0" w:rsidRPr="00F67F85" w:rsidRDefault="008E4AC0" w:rsidP="009D1E26">
      <w:pPr>
        <w:keepNext/>
        <w:spacing w:after="0"/>
        <w:rPr>
          <w:szCs w:val="18"/>
        </w:rPr>
      </w:pPr>
      <w:r w:rsidRPr="008D2085">
        <w:rPr>
          <w:szCs w:val="18"/>
          <w:shd w:val="clear" w:color="auto" w:fill="FFFFFF"/>
        </w:rPr>
        <w:t xml:space="preserve">The loan will be secured by </w:t>
      </w:r>
      <w:r w:rsidR="00FB2002" w:rsidRPr="008D2085">
        <w:rPr>
          <w:szCs w:val="18"/>
        </w:rPr>
        <w:t xml:space="preserve">a first ranking statutory charge on the subject property </w:t>
      </w:r>
      <w:r w:rsidR="00C41992" w:rsidRPr="008D2085">
        <w:rPr>
          <w:szCs w:val="18"/>
        </w:rPr>
        <w:t>pursuant to section 36S of the T</w:t>
      </w:r>
      <w:r w:rsidR="00DA20CC">
        <w:rPr>
          <w:szCs w:val="18"/>
        </w:rPr>
        <w:t xml:space="preserve">reasury Corporation Victoria </w:t>
      </w:r>
      <w:r w:rsidR="00C41992" w:rsidRPr="008D2085">
        <w:rPr>
          <w:szCs w:val="18"/>
        </w:rPr>
        <w:t xml:space="preserve">Act </w:t>
      </w:r>
      <w:r w:rsidR="00FB2002" w:rsidRPr="008D2085">
        <w:rPr>
          <w:szCs w:val="18"/>
        </w:rPr>
        <w:t xml:space="preserve">(enacted as in the </w:t>
      </w:r>
      <w:r w:rsidR="00FB2002" w:rsidRPr="008D2085">
        <w:rPr>
          <w:i/>
          <w:iCs/>
          <w:szCs w:val="18"/>
        </w:rPr>
        <w:t xml:space="preserve">Commercial and Industrial Property Tax Reform </w:t>
      </w:r>
      <w:r w:rsidR="00C41992" w:rsidRPr="008D2085">
        <w:rPr>
          <w:i/>
          <w:iCs/>
          <w:szCs w:val="18"/>
        </w:rPr>
        <w:t xml:space="preserve">Act </w:t>
      </w:r>
      <w:r w:rsidR="00FB2002" w:rsidRPr="008D2085">
        <w:rPr>
          <w:i/>
          <w:iCs/>
          <w:szCs w:val="18"/>
        </w:rPr>
        <w:t>2024</w:t>
      </w:r>
      <w:r w:rsidR="00FB2002" w:rsidRPr="008D2085">
        <w:rPr>
          <w:szCs w:val="18"/>
        </w:rPr>
        <w:t>).</w:t>
      </w:r>
    </w:p>
    <w:p w14:paraId="3B31821F" w14:textId="77777777" w:rsidR="008A5BBE" w:rsidRDefault="008A5BBE">
      <w:pPr>
        <w:keepLines w:val="0"/>
        <w:spacing w:before="0" w:after="200" w:line="276" w:lineRule="auto"/>
        <w:rPr>
          <w:rFonts w:asciiTheme="majorHAnsi" w:eastAsiaTheme="majorEastAsia" w:hAnsiTheme="majorHAnsi" w:cstheme="majorBidi"/>
          <w:bCs/>
          <w:color w:val="3A3467" w:themeColor="text2"/>
          <w:sz w:val="28"/>
          <w:szCs w:val="26"/>
        </w:rPr>
      </w:pPr>
      <w:r>
        <w:br w:type="page"/>
      </w:r>
    </w:p>
    <w:p w14:paraId="7FB74B24" w14:textId="6C84BC1C" w:rsidR="0074789A" w:rsidRPr="00717734" w:rsidRDefault="008E4AC0" w:rsidP="00717734">
      <w:pPr>
        <w:pStyle w:val="Heading2"/>
      </w:pPr>
      <w:r w:rsidRPr="00717734">
        <w:lastRenderedPageBreak/>
        <w:t>E</w:t>
      </w:r>
      <w:r w:rsidR="00697F09" w:rsidRPr="00717734">
        <w:t>vents of default</w:t>
      </w:r>
    </w:p>
    <w:p w14:paraId="34FEC398" w14:textId="537817C0" w:rsidR="009D66BC" w:rsidRPr="00F67F85" w:rsidRDefault="009D66BC" w:rsidP="00717734">
      <w:pPr>
        <w:rPr>
          <w:shd w:val="clear" w:color="auto" w:fill="FFFFFF"/>
        </w:rPr>
      </w:pPr>
      <w:r w:rsidRPr="00F67F85">
        <w:rPr>
          <w:shd w:val="clear" w:color="auto" w:fill="FFFFFF"/>
        </w:rPr>
        <w:t xml:space="preserve">The following </w:t>
      </w:r>
      <w:r w:rsidR="008E4AC0" w:rsidRPr="00F67F85">
        <w:rPr>
          <w:shd w:val="clear" w:color="auto" w:fill="FFFFFF"/>
        </w:rPr>
        <w:t>events will result in the loan being cancelled and repayable in full</w:t>
      </w:r>
      <w:r w:rsidRPr="00F67F85">
        <w:rPr>
          <w:shd w:val="clear" w:color="auto" w:fill="FFFFFF"/>
        </w:rPr>
        <w:t>:</w:t>
      </w:r>
    </w:p>
    <w:tbl>
      <w:tblPr>
        <w:tblStyle w:val="DTFtexttable1"/>
        <w:tblW w:w="5000" w:type="pct"/>
        <w:tblLayout w:type="fixed"/>
        <w:tblLook w:val="04A0" w:firstRow="1" w:lastRow="0" w:firstColumn="1" w:lastColumn="0" w:noHBand="0" w:noVBand="1"/>
      </w:tblPr>
      <w:tblGrid>
        <w:gridCol w:w="2120"/>
        <w:gridCol w:w="7482"/>
      </w:tblGrid>
      <w:tr w:rsidR="00697F09" w:rsidRPr="008D2085" w14:paraId="3B212422" w14:textId="77777777" w:rsidTr="00F907B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04" w:type="pct"/>
          </w:tcPr>
          <w:p w14:paraId="6BA03D19" w14:textId="4C8DEE1D" w:rsidR="00697F09" w:rsidRPr="008D2085" w:rsidRDefault="009D66BC" w:rsidP="00B47066">
            <w:pPr>
              <w:pStyle w:val="Tableheader"/>
            </w:pPr>
            <w:r w:rsidRPr="008D2085">
              <w:t>Category</w:t>
            </w:r>
          </w:p>
        </w:tc>
        <w:tc>
          <w:tcPr>
            <w:tcW w:w="3896" w:type="pct"/>
          </w:tcPr>
          <w:p w14:paraId="7D54D94C" w14:textId="178FF521" w:rsidR="00697F09" w:rsidRPr="008D2085" w:rsidRDefault="003901EA" w:rsidP="00B47066">
            <w:pPr>
              <w:pStyle w:val="Tableheader"/>
              <w:cnfStyle w:val="100000000000" w:firstRow="1" w:lastRow="0" w:firstColumn="0" w:lastColumn="0" w:oddVBand="0" w:evenVBand="0" w:oddHBand="0" w:evenHBand="0" w:firstRowFirstColumn="0" w:firstRowLastColumn="0" w:lastRowFirstColumn="0" w:lastRowLastColumn="0"/>
            </w:pPr>
            <w:r w:rsidRPr="008D2085">
              <w:t>Key requirement</w:t>
            </w:r>
            <w:r w:rsidR="00431C16" w:rsidRPr="008D2085">
              <w:t>s</w:t>
            </w:r>
          </w:p>
        </w:tc>
      </w:tr>
      <w:tr w:rsidR="0084410B" w:rsidRPr="008D2085" w:rsidDel="00FB2002" w14:paraId="4303CE7F" w14:textId="77777777" w:rsidTr="005F08D8">
        <w:tc>
          <w:tcPr>
            <w:cnfStyle w:val="001000000000" w:firstRow="0" w:lastRow="0" w:firstColumn="1" w:lastColumn="0" w:oddVBand="0" w:evenVBand="0" w:oddHBand="0" w:evenHBand="0" w:firstRowFirstColumn="0" w:firstRowLastColumn="0" w:lastRowFirstColumn="0" w:lastRowLastColumn="0"/>
            <w:tcW w:w="1104" w:type="pct"/>
          </w:tcPr>
          <w:p w14:paraId="790895EF" w14:textId="2B2BBC45" w:rsidR="0084410B" w:rsidRPr="008D2085" w:rsidDel="00FB2002" w:rsidRDefault="0084410B" w:rsidP="00B87B4A">
            <w:pPr>
              <w:pStyle w:val="Tabletext"/>
              <w:rPr>
                <w:rFonts w:asciiTheme="majorHAnsi" w:hAnsiTheme="majorHAnsi"/>
                <w:b w:val="0"/>
                <w:bCs w:val="0"/>
              </w:rPr>
            </w:pPr>
            <w:r w:rsidRPr="008D2085">
              <w:rPr>
                <w:rFonts w:asciiTheme="majorHAnsi" w:hAnsiTheme="majorHAnsi"/>
                <w:b w:val="0"/>
                <w:bCs w:val="0"/>
              </w:rPr>
              <w:t>Mandatory repayment conditions</w:t>
            </w:r>
          </w:p>
        </w:tc>
        <w:tc>
          <w:tcPr>
            <w:tcW w:w="3896" w:type="pct"/>
            <w:shd w:val="clear" w:color="auto" w:fill="auto"/>
          </w:tcPr>
          <w:p w14:paraId="541E8DB5" w14:textId="378A8734" w:rsidR="0084410B" w:rsidRPr="008D2085" w:rsidRDefault="0084410B" w:rsidP="009D1E26">
            <w:pPr>
              <w:pStyle w:val="Tabletext"/>
              <w:spacing w:after="0"/>
              <w:cnfStyle w:val="000000000000" w:firstRow="0" w:lastRow="0" w:firstColumn="0" w:lastColumn="0" w:oddVBand="0" w:evenVBand="0" w:oddHBand="0" w:evenHBand="0" w:firstRowFirstColumn="0" w:firstRowLastColumn="0" w:lastRowFirstColumn="0" w:lastRowLastColumn="0"/>
              <w:rPr>
                <w:szCs w:val="17"/>
              </w:rPr>
            </w:pPr>
            <w:r w:rsidRPr="008D2085">
              <w:rPr>
                <w:szCs w:val="17"/>
              </w:rPr>
              <w:t xml:space="preserve">Typical events that will require the loan to be </w:t>
            </w:r>
            <w:r w:rsidR="002C175A" w:rsidRPr="008D2085">
              <w:rPr>
                <w:szCs w:val="17"/>
              </w:rPr>
              <w:t xml:space="preserve">immediately </w:t>
            </w:r>
            <w:r w:rsidRPr="008D2085">
              <w:rPr>
                <w:szCs w:val="17"/>
              </w:rPr>
              <w:t>repaid in full include:</w:t>
            </w:r>
          </w:p>
          <w:p w14:paraId="332F3631" w14:textId="1EB02EBA" w:rsidR="0084410B" w:rsidRPr="008D2085" w:rsidRDefault="0084410B" w:rsidP="009D1E26">
            <w:pPr>
              <w:pStyle w:val="ListParagraph"/>
              <w:keepLines w:val="0"/>
              <w:numPr>
                <w:ilvl w:val="0"/>
                <w:numId w:val="14"/>
              </w:numPr>
              <w:spacing w:before="40" w:after="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17"/>
                <w:szCs w:val="17"/>
              </w:rPr>
            </w:pPr>
            <w:r w:rsidRPr="008D2085">
              <w:rPr>
                <w:sz w:val="17"/>
                <w:szCs w:val="17"/>
              </w:rPr>
              <w:t xml:space="preserve">sale </w:t>
            </w:r>
            <w:r w:rsidR="00F915DF" w:rsidRPr="008D2085">
              <w:rPr>
                <w:sz w:val="17"/>
                <w:szCs w:val="17"/>
              </w:rPr>
              <w:t xml:space="preserve">or any other transfer of ownership of all, or any part </w:t>
            </w:r>
            <w:r w:rsidRPr="008D2085">
              <w:rPr>
                <w:sz w:val="17"/>
                <w:szCs w:val="17"/>
              </w:rPr>
              <w:t>of the property</w:t>
            </w:r>
            <w:r w:rsidR="00250CDB" w:rsidRPr="008D2085">
              <w:rPr>
                <w:sz w:val="17"/>
                <w:szCs w:val="17"/>
              </w:rPr>
              <w:t xml:space="preserve"> </w:t>
            </w:r>
            <w:r w:rsidRPr="008D2085">
              <w:rPr>
                <w:sz w:val="17"/>
                <w:szCs w:val="17"/>
              </w:rPr>
              <w:t xml:space="preserve">by the </w:t>
            </w:r>
            <w:r w:rsidR="000A7AA6" w:rsidRPr="008D2085">
              <w:rPr>
                <w:sz w:val="17"/>
                <w:szCs w:val="17"/>
              </w:rPr>
              <w:t>borrower</w:t>
            </w:r>
            <w:r w:rsidRPr="008D2085">
              <w:rPr>
                <w:sz w:val="17"/>
                <w:szCs w:val="17"/>
              </w:rPr>
              <w:t xml:space="preserve">; </w:t>
            </w:r>
          </w:p>
          <w:p w14:paraId="0FB3EEA9" w14:textId="023AEA22" w:rsidR="00653DDF" w:rsidRPr="00AD4AA7" w:rsidRDefault="0084410B" w:rsidP="009D1E26">
            <w:pPr>
              <w:pStyle w:val="ListParagraph"/>
              <w:keepLines w:val="0"/>
              <w:numPr>
                <w:ilvl w:val="0"/>
                <w:numId w:val="14"/>
              </w:numPr>
              <w:spacing w:before="40" w:after="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17"/>
                <w:szCs w:val="17"/>
              </w:rPr>
            </w:pPr>
            <w:r w:rsidRPr="008D2085">
              <w:rPr>
                <w:sz w:val="17"/>
                <w:szCs w:val="17"/>
              </w:rPr>
              <w:t xml:space="preserve">where the </w:t>
            </w:r>
            <w:r w:rsidR="00653DDF" w:rsidRPr="00AD4AA7">
              <w:rPr>
                <w:sz w:val="17"/>
                <w:szCs w:val="17"/>
              </w:rPr>
              <w:t>borrower is no longer eligible for the transition loan;</w:t>
            </w:r>
          </w:p>
          <w:p w14:paraId="353EBCAF" w14:textId="67FD5555" w:rsidR="0084410B" w:rsidRPr="008D2085" w:rsidRDefault="00653DDF" w:rsidP="009D1E26">
            <w:pPr>
              <w:pStyle w:val="ListParagraph"/>
              <w:keepLines w:val="0"/>
              <w:numPr>
                <w:ilvl w:val="0"/>
                <w:numId w:val="14"/>
              </w:numPr>
              <w:spacing w:before="40" w:after="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17"/>
                <w:szCs w:val="17"/>
              </w:rPr>
            </w:pPr>
            <w:r w:rsidRPr="00AD4AA7">
              <w:rPr>
                <w:sz w:val="17"/>
                <w:szCs w:val="17"/>
              </w:rPr>
              <w:t xml:space="preserve">where the </w:t>
            </w:r>
            <w:r w:rsidR="0084410B" w:rsidRPr="008D2085">
              <w:rPr>
                <w:sz w:val="17"/>
                <w:szCs w:val="17"/>
              </w:rPr>
              <w:t>property</w:t>
            </w:r>
            <w:r w:rsidR="00250CDB" w:rsidRPr="00AD4AA7">
              <w:rPr>
                <w:sz w:val="17"/>
                <w:szCs w:val="17"/>
              </w:rPr>
              <w:t xml:space="preserve"> is</w:t>
            </w:r>
            <w:r w:rsidR="0084410B" w:rsidRPr="008D2085">
              <w:rPr>
                <w:sz w:val="17"/>
                <w:szCs w:val="17"/>
              </w:rPr>
              <w:t xml:space="preserve"> no longer in the reform – e.g. a change in the property’s use from commercial or industrial to residential; </w:t>
            </w:r>
          </w:p>
          <w:p w14:paraId="653A62FF" w14:textId="77777777" w:rsidR="006E5C09" w:rsidRPr="00AD4AA7" w:rsidRDefault="006E5C09" w:rsidP="009D1E26">
            <w:pPr>
              <w:pStyle w:val="ListParagraph"/>
              <w:keepLines w:val="0"/>
              <w:numPr>
                <w:ilvl w:val="0"/>
                <w:numId w:val="14"/>
              </w:numPr>
              <w:spacing w:before="40" w:after="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17"/>
                <w:szCs w:val="17"/>
              </w:rPr>
            </w:pPr>
            <w:r w:rsidRPr="00AD4AA7">
              <w:rPr>
                <w:sz w:val="17"/>
                <w:szCs w:val="17"/>
              </w:rPr>
              <w:t>where the borrower fails to make a payment when due, is insolvent or bankrupt or has an adverse finding made against it;</w:t>
            </w:r>
          </w:p>
          <w:p w14:paraId="5E3D83B8" w14:textId="266EABAA" w:rsidR="007B3810" w:rsidRPr="008D2085" w:rsidRDefault="00250CDB" w:rsidP="009D1E26">
            <w:pPr>
              <w:pStyle w:val="ListParagraph"/>
              <w:keepLines w:val="0"/>
              <w:numPr>
                <w:ilvl w:val="0"/>
                <w:numId w:val="14"/>
              </w:numPr>
              <w:spacing w:before="40" w:after="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17"/>
                <w:szCs w:val="17"/>
              </w:rPr>
            </w:pPr>
            <w:r w:rsidRPr="008D2085">
              <w:rPr>
                <w:sz w:val="17"/>
                <w:szCs w:val="17"/>
              </w:rPr>
              <w:t xml:space="preserve">where </w:t>
            </w:r>
            <w:r w:rsidR="007B3810" w:rsidRPr="008D2085">
              <w:rPr>
                <w:sz w:val="17"/>
                <w:szCs w:val="17"/>
              </w:rPr>
              <w:t>the borrower engages in a</w:t>
            </w:r>
            <w:r w:rsidR="0084410B" w:rsidRPr="008D2085">
              <w:rPr>
                <w:sz w:val="17"/>
                <w:szCs w:val="17"/>
              </w:rPr>
              <w:t xml:space="preserve"> prohibited activity</w:t>
            </w:r>
            <w:r w:rsidR="003A0212" w:rsidRPr="008D2085">
              <w:rPr>
                <w:sz w:val="17"/>
                <w:szCs w:val="17"/>
              </w:rPr>
              <w:t xml:space="preserve">; </w:t>
            </w:r>
            <w:r w:rsidR="00494563">
              <w:rPr>
                <w:sz w:val="17"/>
                <w:szCs w:val="17"/>
              </w:rPr>
              <w:t>and</w:t>
            </w:r>
          </w:p>
          <w:p w14:paraId="4511DDB6" w14:textId="42981A28" w:rsidR="008D7B73" w:rsidRDefault="008D4862" w:rsidP="009D1E26">
            <w:pPr>
              <w:pStyle w:val="ListParagraph"/>
              <w:keepLines w:val="0"/>
              <w:numPr>
                <w:ilvl w:val="0"/>
                <w:numId w:val="14"/>
              </w:numPr>
              <w:spacing w:before="4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17"/>
                <w:szCs w:val="17"/>
              </w:rPr>
            </w:pPr>
            <w:r w:rsidRPr="008D2085">
              <w:rPr>
                <w:sz w:val="17"/>
                <w:szCs w:val="17"/>
              </w:rPr>
              <w:t>where TCV believes</w:t>
            </w:r>
            <w:r w:rsidRPr="008D2085">
              <w:t xml:space="preserve"> </w:t>
            </w:r>
            <w:r w:rsidRPr="008D2085">
              <w:rPr>
                <w:sz w:val="17"/>
                <w:szCs w:val="17"/>
              </w:rPr>
              <w:t>on reasonable grounds that the borrower has breached a la</w:t>
            </w:r>
            <w:r w:rsidR="00494563">
              <w:rPr>
                <w:sz w:val="17"/>
                <w:szCs w:val="17"/>
              </w:rPr>
              <w:t>w.</w:t>
            </w:r>
          </w:p>
          <w:p w14:paraId="2737024E" w14:textId="08E189EC" w:rsidR="0084410B" w:rsidRPr="008D2085" w:rsidRDefault="0084410B">
            <w:pPr>
              <w:pStyle w:val="Tabletext"/>
              <w:cnfStyle w:val="000000000000" w:firstRow="0" w:lastRow="0" w:firstColumn="0" w:lastColumn="0" w:oddVBand="0" w:evenVBand="0" w:oddHBand="0" w:evenHBand="0" w:firstRowFirstColumn="0" w:firstRowLastColumn="0" w:lastRowFirstColumn="0" w:lastRowLastColumn="0"/>
              <w:rPr>
                <w:szCs w:val="17"/>
              </w:rPr>
            </w:pPr>
            <w:r w:rsidRPr="008D2085">
              <w:rPr>
                <w:szCs w:val="17"/>
              </w:rPr>
              <w:t>Any voluntary sale of the property by the borrower must relate to the portion of the property that is owned by the borrower and subject to the transition loan.</w:t>
            </w:r>
          </w:p>
          <w:p w14:paraId="596CEE6E" w14:textId="582F8BDF" w:rsidR="0084410B" w:rsidRPr="008D2085" w:rsidDel="00FB2002" w:rsidRDefault="0084410B" w:rsidP="008D7B73">
            <w:pPr>
              <w:pStyle w:val="Tabletext"/>
              <w:cnfStyle w:val="000000000000" w:firstRow="0" w:lastRow="0" w:firstColumn="0" w:lastColumn="0" w:oddVBand="0" w:evenVBand="0" w:oddHBand="0" w:evenHBand="0" w:firstRowFirstColumn="0" w:firstRowLastColumn="0" w:lastRowFirstColumn="0" w:lastRowLastColumn="0"/>
            </w:pPr>
            <w:r w:rsidRPr="008D2085">
              <w:rPr>
                <w:szCs w:val="17"/>
              </w:rPr>
              <w:t xml:space="preserve">Subdivisions and consolidations will not require immediate repayment </w:t>
            </w:r>
            <w:r w:rsidRPr="008D2085">
              <w:rPr>
                <w:szCs w:val="17"/>
                <w:u w:val="single"/>
              </w:rPr>
              <w:t>unless</w:t>
            </w:r>
            <w:r w:rsidRPr="008D2085">
              <w:rPr>
                <w:szCs w:val="17"/>
              </w:rPr>
              <w:t xml:space="preserve"> the property is sold to another third party.</w:t>
            </w:r>
          </w:p>
        </w:tc>
      </w:tr>
      <w:tr w:rsidR="0084410B" w:rsidRPr="00F67F85" w14:paraId="793320EE" w14:textId="77777777" w:rsidTr="005F08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4" w:type="pct"/>
          </w:tcPr>
          <w:p w14:paraId="5FFE15DF" w14:textId="77777777" w:rsidR="0084410B" w:rsidRPr="008D2085" w:rsidRDefault="0084410B" w:rsidP="00B87B4A">
            <w:pPr>
              <w:pStyle w:val="Tabletext"/>
              <w:rPr>
                <w:rFonts w:asciiTheme="majorHAnsi" w:hAnsiTheme="majorHAnsi"/>
                <w:b w:val="0"/>
                <w:bCs w:val="0"/>
              </w:rPr>
            </w:pPr>
            <w:r w:rsidRPr="008D2085">
              <w:rPr>
                <w:rFonts w:asciiTheme="majorHAnsi" w:hAnsiTheme="majorHAnsi"/>
                <w:b w:val="0"/>
                <w:bCs w:val="0"/>
              </w:rPr>
              <w:t>Default interest rate</w:t>
            </w:r>
          </w:p>
        </w:tc>
        <w:tc>
          <w:tcPr>
            <w:tcW w:w="3896" w:type="pct"/>
          </w:tcPr>
          <w:p w14:paraId="3199ED58" w14:textId="451FD355" w:rsidR="0084410B" w:rsidRPr="008D2085" w:rsidRDefault="0084410B" w:rsidP="00B87B4A">
            <w:pPr>
              <w:pStyle w:val="Tabletext"/>
              <w:cnfStyle w:val="000000010000" w:firstRow="0" w:lastRow="0" w:firstColumn="0" w:lastColumn="0" w:oddVBand="0" w:evenVBand="0" w:oddHBand="0" w:evenHBand="1" w:firstRowFirstColumn="0" w:firstRowLastColumn="0" w:lastRowFirstColumn="0" w:lastRowLastColumn="0"/>
            </w:pPr>
            <w:r w:rsidRPr="008D2085">
              <w:t>In the event of a failure to make a payment,</w:t>
            </w:r>
            <w:r w:rsidR="00B36C42" w:rsidRPr="008D2085">
              <w:t xml:space="preserve"> TCV may charge default interest on overdue amounts</w:t>
            </w:r>
            <w:r w:rsidRPr="008D2085">
              <w:t xml:space="preserve"> </w:t>
            </w:r>
            <w:r w:rsidR="0074137F" w:rsidRPr="00AD4AA7">
              <w:t xml:space="preserve">at a rate </w:t>
            </w:r>
            <w:r w:rsidRPr="008D2085">
              <w:t>of 2.00</w:t>
            </w:r>
            <w:r w:rsidR="00D36D48" w:rsidRPr="008D2085">
              <w:rPr>
                <w:rFonts w:ascii="Calibri" w:hAnsi="Calibri" w:cs="Calibri"/>
              </w:rPr>
              <w:t> </w:t>
            </w:r>
            <w:r w:rsidR="00B15AB9" w:rsidRPr="008D2085">
              <w:t>per</w:t>
            </w:r>
            <w:r w:rsidR="00670891" w:rsidRPr="008D2085">
              <w:rPr>
                <w:rFonts w:ascii="Calibri" w:hAnsi="Calibri" w:cs="Calibri"/>
              </w:rPr>
              <w:t> </w:t>
            </w:r>
            <w:r w:rsidR="00B15AB9" w:rsidRPr="008D2085">
              <w:t>cent</w:t>
            </w:r>
            <w:r w:rsidRPr="008D2085">
              <w:t xml:space="preserve"> plus the</w:t>
            </w:r>
            <w:r w:rsidR="0074137F" w:rsidRPr="00AD4AA7">
              <w:t xml:space="preserve"> usual</w:t>
            </w:r>
            <w:r w:rsidRPr="008D2085">
              <w:t xml:space="preserve"> </w:t>
            </w:r>
            <w:r w:rsidR="00A87709" w:rsidRPr="008D2085">
              <w:t>i</w:t>
            </w:r>
            <w:r w:rsidRPr="008D2085">
              <w:t xml:space="preserve">nterest </w:t>
            </w:r>
            <w:r w:rsidR="00A87709" w:rsidRPr="008D2085">
              <w:t>r</w:t>
            </w:r>
            <w:r w:rsidRPr="008D2085">
              <w:t>ate.</w:t>
            </w:r>
          </w:p>
        </w:tc>
      </w:tr>
    </w:tbl>
    <w:p w14:paraId="7AF946EE" w14:textId="1326CC80" w:rsidR="006561B1" w:rsidRPr="00F67F85" w:rsidRDefault="006561B1" w:rsidP="00717734">
      <w:pPr>
        <w:pStyle w:val="Heading2"/>
        <w:rPr>
          <w:b/>
        </w:rPr>
      </w:pPr>
      <w:r w:rsidRPr="00F67F85">
        <w:t xml:space="preserve">Other </w:t>
      </w:r>
      <w:r w:rsidR="00D36D48">
        <w:t>T</w:t>
      </w:r>
      <w:r w:rsidR="00717734" w:rsidRPr="00F67F85">
        <w:t>erms</w:t>
      </w:r>
    </w:p>
    <w:p w14:paraId="28383692" w14:textId="537CC90C" w:rsidR="005700BA" w:rsidRPr="00F67F85" w:rsidRDefault="006561B1" w:rsidP="008A5BBE">
      <w:pPr>
        <w:keepNext/>
        <w:spacing w:after="0" w:line="360" w:lineRule="auto"/>
        <w:rPr>
          <w:szCs w:val="18"/>
          <w:shd w:val="clear" w:color="auto" w:fill="FFFFFF"/>
        </w:rPr>
      </w:pPr>
      <w:r w:rsidRPr="00F67F85">
        <w:rPr>
          <w:szCs w:val="18"/>
          <w:shd w:val="clear" w:color="auto" w:fill="FFFFFF"/>
        </w:rPr>
        <w:t xml:space="preserve">The following variance and settlement requirements will </w:t>
      </w:r>
      <w:r w:rsidR="005700BA" w:rsidRPr="00F67F85">
        <w:rPr>
          <w:szCs w:val="18"/>
          <w:shd w:val="clear" w:color="auto" w:fill="FFFFFF"/>
        </w:rPr>
        <w:t xml:space="preserve">also </w:t>
      </w:r>
      <w:r w:rsidRPr="00F67F85">
        <w:rPr>
          <w:szCs w:val="18"/>
          <w:shd w:val="clear" w:color="auto" w:fill="FFFFFF"/>
        </w:rPr>
        <w:t>apply</w:t>
      </w:r>
      <w:r w:rsidR="005700BA" w:rsidRPr="00F67F85">
        <w:rPr>
          <w:szCs w:val="18"/>
          <w:shd w:val="clear" w:color="auto" w:fill="FFFFFF"/>
        </w:rPr>
        <w:t>:</w:t>
      </w:r>
    </w:p>
    <w:tbl>
      <w:tblPr>
        <w:tblStyle w:val="DTFtexttable1"/>
        <w:tblW w:w="4946" w:type="pct"/>
        <w:tblLayout w:type="fixed"/>
        <w:tblLook w:val="04A0" w:firstRow="1" w:lastRow="0" w:firstColumn="1" w:lastColumn="0" w:noHBand="0" w:noVBand="1"/>
      </w:tblPr>
      <w:tblGrid>
        <w:gridCol w:w="2120"/>
        <w:gridCol w:w="7378"/>
      </w:tblGrid>
      <w:tr w:rsidR="006561B1" w:rsidRPr="008D2085" w14:paraId="2AC39907"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16" w:type="pct"/>
          </w:tcPr>
          <w:p w14:paraId="02B5C345" w14:textId="77777777" w:rsidR="006561B1" w:rsidRPr="008D2085" w:rsidRDefault="006561B1" w:rsidP="00B47066">
            <w:pPr>
              <w:pStyle w:val="Tableheader"/>
            </w:pPr>
            <w:r w:rsidRPr="008D2085">
              <w:t>Category</w:t>
            </w:r>
          </w:p>
        </w:tc>
        <w:tc>
          <w:tcPr>
            <w:tcW w:w="3884" w:type="pct"/>
          </w:tcPr>
          <w:p w14:paraId="1210D4E2" w14:textId="77777777" w:rsidR="006561B1" w:rsidRPr="008D2085" w:rsidRDefault="006561B1" w:rsidP="00B47066">
            <w:pPr>
              <w:pStyle w:val="Tableheader"/>
              <w:cnfStyle w:val="100000000000" w:firstRow="1" w:lastRow="0" w:firstColumn="0" w:lastColumn="0" w:oddVBand="0" w:evenVBand="0" w:oddHBand="0" w:evenHBand="0" w:firstRowFirstColumn="0" w:firstRowLastColumn="0" w:lastRowFirstColumn="0" w:lastRowLastColumn="0"/>
            </w:pPr>
            <w:r w:rsidRPr="008D2085">
              <w:t>Key requirements</w:t>
            </w:r>
          </w:p>
        </w:tc>
      </w:tr>
      <w:tr w:rsidR="006561B1" w:rsidRPr="008D2085" w14:paraId="58B5A714" w14:textId="77777777">
        <w:trPr>
          <w:cantSplit w:val="0"/>
        </w:trPr>
        <w:tc>
          <w:tcPr>
            <w:cnfStyle w:val="001000000000" w:firstRow="0" w:lastRow="0" w:firstColumn="1" w:lastColumn="0" w:oddVBand="0" w:evenVBand="0" w:oddHBand="0" w:evenHBand="0" w:firstRowFirstColumn="0" w:firstRowLastColumn="0" w:lastRowFirstColumn="0" w:lastRowLastColumn="0"/>
            <w:tcW w:w="1116" w:type="pct"/>
          </w:tcPr>
          <w:p w14:paraId="3D1AD9C0" w14:textId="77777777" w:rsidR="006561B1" w:rsidRPr="008D2085" w:rsidRDefault="006561B1" w:rsidP="00B87B4A">
            <w:pPr>
              <w:pStyle w:val="Tabletext"/>
              <w:rPr>
                <w:rFonts w:asciiTheme="majorHAnsi" w:hAnsiTheme="majorHAnsi"/>
                <w:b w:val="0"/>
                <w:bCs w:val="0"/>
              </w:rPr>
            </w:pPr>
            <w:r w:rsidRPr="008D2085">
              <w:rPr>
                <w:rFonts w:asciiTheme="majorHAnsi" w:hAnsiTheme="majorHAnsi"/>
                <w:b w:val="0"/>
                <w:bCs w:val="0"/>
              </w:rPr>
              <w:t>Prohibition on transfer of loan</w:t>
            </w:r>
          </w:p>
        </w:tc>
        <w:tc>
          <w:tcPr>
            <w:tcW w:w="3884" w:type="pct"/>
            <w:shd w:val="clear" w:color="auto" w:fill="auto"/>
          </w:tcPr>
          <w:p w14:paraId="4A206AFF" w14:textId="70FB4BE0" w:rsidR="006561B1" w:rsidRPr="008D2085" w:rsidRDefault="006561B1" w:rsidP="00B87B4A">
            <w:pPr>
              <w:pStyle w:val="Tabletext"/>
              <w:cnfStyle w:val="000000000000" w:firstRow="0" w:lastRow="0" w:firstColumn="0" w:lastColumn="0" w:oddVBand="0" w:evenVBand="0" w:oddHBand="0" w:evenHBand="0" w:firstRowFirstColumn="0" w:firstRowLastColumn="0" w:lastRowFirstColumn="0" w:lastRowLastColumn="0"/>
            </w:pPr>
            <w:r w:rsidRPr="008D2085">
              <w:t xml:space="preserve">The borrower is not permitted to </w:t>
            </w:r>
            <w:r w:rsidR="00991D52" w:rsidRPr="008D2085">
              <w:t>assign</w:t>
            </w:r>
            <w:r w:rsidRPr="008D2085">
              <w:t xml:space="preserve"> or transfer </w:t>
            </w:r>
            <w:r w:rsidR="00991D52" w:rsidRPr="008D2085">
              <w:t xml:space="preserve">its rights or obligations under </w:t>
            </w:r>
            <w:r w:rsidRPr="008D2085">
              <w:t xml:space="preserve">the transition loan </w:t>
            </w:r>
            <w:r w:rsidR="00991D52" w:rsidRPr="008D2085">
              <w:t xml:space="preserve">agreement </w:t>
            </w:r>
            <w:r w:rsidRPr="008D2085">
              <w:t>to a subsequent purchaser of the property.</w:t>
            </w:r>
          </w:p>
        </w:tc>
      </w:tr>
      <w:tr w:rsidR="006561B1" w:rsidRPr="008D2085" w14:paraId="653DE0A2" w14:textId="77777777" w:rsidTr="008A5BBE">
        <w:trPr>
          <w:cnfStyle w:val="000000010000" w:firstRow="0" w:lastRow="0" w:firstColumn="0" w:lastColumn="0" w:oddVBand="0" w:evenVBand="0" w:oddHBand="0" w:evenHBand="1" w:firstRowFirstColumn="0" w:firstRowLastColumn="0" w:lastRowFirstColumn="0" w:lastRowLastColumn="0"/>
          <w:trHeight w:val="1855"/>
        </w:trPr>
        <w:tc>
          <w:tcPr>
            <w:cnfStyle w:val="001000000000" w:firstRow="0" w:lastRow="0" w:firstColumn="1" w:lastColumn="0" w:oddVBand="0" w:evenVBand="0" w:oddHBand="0" w:evenHBand="0" w:firstRowFirstColumn="0" w:firstRowLastColumn="0" w:lastRowFirstColumn="0" w:lastRowLastColumn="0"/>
            <w:tcW w:w="1116" w:type="pct"/>
          </w:tcPr>
          <w:p w14:paraId="4BD7A06D" w14:textId="739AD512" w:rsidR="006561B1" w:rsidRPr="008D2085" w:rsidRDefault="00BE51FD" w:rsidP="00B87B4A">
            <w:pPr>
              <w:pStyle w:val="Tabletext"/>
              <w:rPr>
                <w:rFonts w:asciiTheme="majorHAnsi" w:hAnsiTheme="majorHAnsi"/>
                <w:b w:val="0"/>
                <w:bCs w:val="0"/>
              </w:rPr>
            </w:pPr>
            <w:r w:rsidRPr="008D2085">
              <w:rPr>
                <w:rFonts w:asciiTheme="majorHAnsi" w:hAnsiTheme="majorHAnsi"/>
                <w:b w:val="0"/>
                <w:bCs w:val="0"/>
              </w:rPr>
              <w:t>V</w:t>
            </w:r>
            <w:r w:rsidR="006561B1" w:rsidRPr="008D2085">
              <w:rPr>
                <w:rFonts w:asciiTheme="majorHAnsi" w:hAnsiTheme="majorHAnsi"/>
                <w:b w:val="0"/>
                <w:bCs w:val="0"/>
              </w:rPr>
              <w:t>oluntary repayments</w:t>
            </w:r>
          </w:p>
        </w:tc>
        <w:tc>
          <w:tcPr>
            <w:tcW w:w="3884" w:type="pct"/>
            <w:shd w:val="clear" w:color="auto" w:fill="auto"/>
          </w:tcPr>
          <w:p w14:paraId="2A326099" w14:textId="77777777" w:rsidR="006561B1" w:rsidRPr="008D2085" w:rsidRDefault="006561B1" w:rsidP="00B87B4A">
            <w:pPr>
              <w:pStyle w:val="Tabletext"/>
              <w:cnfStyle w:val="000000010000" w:firstRow="0" w:lastRow="0" w:firstColumn="0" w:lastColumn="0" w:oddVBand="0" w:evenVBand="0" w:oddHBand="0" w:evenHBand="1" w:firstRowFirstColumn="0" w:firstRowLastColumn="0" w:lastRowFirstColumn="0" w:lastRowLastColumn="0"/>
            </w:pPr>
            <w:r w:rsidRPr="008D2085">
              <w:t xml:space="preserve">Borrowers can make voluntary repayments towards their transition loan debt at any time. </w:t>
            </w:r>
          </w:p>
          <w:p w14:paraId="7B83989F" w14:textId="47609B57" w:rsidR="00E35E39" w:rsidRPr="008D2085" w:rsidRDefault="006561B1" w:rsidP="00B87B4A">
            <w:pPr>
              <w:pStyle w:val="Tabletext"/>
              <w:cnfStyle w:val="000000010000" w:firstRow="0" w:lastRow="0" w:firstColumn="0" w:lastColumn="0" w:oddVBand="0" w:evenVBand="0" w:oddHBand="0" w:evenHBand="1" w:firstRowFirstColumn="0" w:firstRowLastColumn="0" w:lastRowFirstColumn="0" w:lastRowLastColumn="0"/>
              <w:rPr>
                <w:shd w:val="clear" w:color="auto" w:fill="FFFFFF"/>
              </w:rPr>
            </w:pPr>
            <w:r w:rsidRPr="008D2085">
              <w:rPr>
                <w:shd w:val="clear" w:color="auto" w:fill="FFFFFF"/>
              </w:rPr>
              <w:t>The Borrower may at any time prepay the loan in</w:t>
            </w:r>
            <w:r w:rsidR="00BC50EF" w:rsidRPr="008D2085">
              <w:rPr>
                <w:shd w:val="clear" w:color="auto" w:fill="FFFFFF"/>
              </w:rPr>
              <w:t xml:space="preserve"> full</w:t>
            </w:r>
            <w:r w:rsidRPr="008D2085">
              <w:rPr>
                <w:shd w:val="clear" w:color="auto" w:fill="FFFFFF"/>
              </w:rPr>
              <w:t xml:space="preserve"> </w:t>
            </w:r>
            <w:r w:rsidR="00BC50EF" w:rsidRPr="008D2085">
              <w:rPr>
                <w:shd w:val="clear" w:color="auto" w:fill="FFFFFF"/>
              </w:rPr>
              <w:t xml:space="preserve">or in </w:t>
            </w:r>
            <w:r w:rsidRPr="008D2085">
              <w:rPr>
                <w:shd w:val="clear" w:color="auto" w:fill="FFFFFF"/>
              </w:rPr>
              <w:t>part, subject to a minimum prepayment of $10,000.</w:t>
            </w:r>
          </w:p>
          <w:p w14:paraId="2D4403A2" w14:textId="414F4676" w:rsidR="00BC50EF" w:rsidRPr="008D2085" w:rsidRDefault="00BC50EF" w:rsidP="00B87B4A">
            <w:pPr>
              <w:pStyle w:val="Tabletext"/>
              <w:cnfStyle w:val="000000010000" w:firstRow="0" w:lastRow="0" w:firstColumn="0" w:lastColumn="0" w:oddVBand="0" w:evenVBand="0" w:oddHBand="0" w:evenHBand="1" w:firstRowFirstColumn="0" w:firstRowLastColumn="0" w:lastRowFirstColumn="0" w:lastRowLastColumn="0"/>
              <w:rPr>
                <w:shd w:val="clear" w:color="auto" w:fill="FFFFFF"/>
              </w:rPr>
            </w:pPr>
            <w:r w:rsidRPr="008D2085">
              <w:t xml:space="preserve">Early repayment of the loan in full will be allowed but a break </w:t>
            </w:r>
            <w:r w:rsidR="00BE51FD" w:rsidRPr="00AD4AA7">
              <w:t>cost</w:t>
            </w:r>
            <w:r w:rsidR="00BE51FD" w:rsidRPr="008D2085">
              <w:t xml:space="preserve"> </w:t>
            </w:r>
            <w:r w:rsidR="00991D52" w:rsidRPr="008D2085">
              <w:t>or a break gain</w:t>
            </w:r>
            <w:r w:rsidRPr="008D2085">
              <w:t xml:space="preserve"> </w:t>
            </w:r>
            <w:r w:rsidR="00991D52" w:rsidRPr="008D2085">
              <w:t xml:space="preserve">may </w:t>
            </w:r>
            <w:r w:rsidRPr="008D2085">
              <w:t>apply.</w:t>
            </w:r>
          </w:p>
          <w:p w14:paraId="23CC0739" w14:textId="194F046C" w:rsidR="006561B1" w:rsidRPr="008D2085" w:rsidRDefault="00991D52" w:rsidP="008A5BBE">
            <w:pPr>
              <w:pStyle w:val="Tabletext"/>
              <w:spacing w:after="0"/>
              <w:cnfStyle w:val="000000010000" w:firstRow="0" w:lastRow="0" w:firstColumn="0" w:lastColumn="0" w:oddVBand="0" w:evenVBand="0" w:oddHBand="0" w:evenHBand="1" w:firstRowFirstColumn="0" w:firstRowLastColumn="0" w:lastRowFirstColumn="0" w:lastRowLastColumn="0"/>
            </w:pPr>
            <w:r w:rsidRPr="008D2085">
              <w:rPr>
                <w:shd w:val="clear" w:color="auto" w:fill="FFFFFF"/>
              </w:rPr>
              <w:t>Early p</w:t>
            </w:r>
            <w:r w:rsidR="006561B1" w:rsidRPr="008D2085">
              <w:rPr>
                <w:shd w:val="clear" w:color="auto" w:fill="FFFFFF"/>
              </w:rPr>
              <w:t xml:space="preserve">repayments </w:t>
            </w:r>
            <w:r w:rsidR="00C97AF2" w:rsidRPr="008D2085">
              <w:rPr>
                <w:shd w:val="clear" w:color="auto" w:fill="FFFFFF"/>
              </w:rPr>
              <w:t xml:space="preserve">of part of the loan </w:t>
            </w:r>
            <w:r w:rsidR="006561B1" w:rsidRPr="008D2085">
              <w:rPr>
                <w:shd w:val="clear" w:color="auto" w:fill="FFFFFF"/>
              </w:rPr>
              <w:t>will result in TCV calculating whether a break cost or benefit may apply, and the remaining repayments will be recalculated.</w:t>
            </w:r>
          </w:p>
        </w:tc>
      </w:tr>
      <w:tr w:rsidR="006561B1" w:rsidRPr="008D2085" w14:paraId="63BEC990" w14:textId="77777777">
        <w:tc>
          <w:tcPr>
            <w:cnfStyle w:val="001000000000" w:firstRow="0" w:lastRow="0" w:firstColumn="1" w:lastColumn="0" w:oddVBand="0" w:evenVBand="0" w:oddHBand="0" w:evenHBand="0" w:firstRowFirstColumn="0" w:firstRowLastColumn="0" w:lastRowFirstColumn="0" w:lastRowLastColumn="0"/>
            <w:tcW w:w="1116" w:type="pct"/>
          </w:tcPr>
          <w:p w14:paraId="11DF9945" w14:textId="77777777" w:rsidR="006561B1" w:rsidRPr="008D2085" w:rsidRDefault="006561B1" w:rsidP="00B87B4A">
            <w:pPr>
              <w:pStyle w:val="Tabletext"/>
              <w:rPr>
                <w:rFonts w:asciiTheme="majorHAnsi" w:hAnsiTheme="majorHAnsi"/>
                <w:b w:val="0"/>
                <w:bCs w:val="0"/>
              </w:rPr>
            </w:pPr>
            <w:bookmarkStart w:id="6" w:name="_Hlk168412293"/>
            <w:r w:rsidRPr="008D2085">
              <w:rPr>
                <w:rFonts w:asciiTheme="majorHAnsi" w:hAnsiTheme="majorHAnsi"/>
                <w:b w:val="0"/>
                <w:bCs w:val="0"/>
              </w:rPr>
              <w:t>Variations due to hardship</w:t>
            </w:r>
            <w:bookmarkEnd w:id="6"/>
          </w:p>
        </w:tc>
        <w:tc>
          <w:tcPr>
            <w:tcW w:w="3884" w:type="pct"/>
            <w:shd w:val="clear" w:color="auto" w:fill="auto"/>
          </w:tcPr>
          <w:p w14:paraId="1CA76A3B" w14:textId="511BA50D" w:rsidR="006561B1" w:rsidRPr="008D2085" w:rsidRDefault="006561B1" w:rsidP="00B87B4A">
            <w:pPr>
              <w:pStyle w:val="Tabletext"/>
              <w:cnfStyle w:val="000000000000" w:firstRow="0" w:lastRow="0" w:firstColumn="0" w:lastColumn="0" w:oddVBand="0" w:evenVBand="0" w:oddHBand="0" w:evenHBand="0" w:firstRowFirstColumn="0" w:firstRowLastColumn="0" w:lastRowFirstColumn="0" w:lastRowLastColumn="0"/>
            </w:pPr>
            <w:r w:rsidRPr="008D2085">
              <w:t>A hardship policy is currently being developed for borrowers who request assistance prior to Final Notice.</w:t>
            </w:r>
          </w:p>
          <w:p w14:paraId="22B0E69D" w14:textId="1536796B" w:rsidR="00BA77DA" w:rsidRPr="008D2085" w:rsidRDefault="00BA77DA" w:rsidP="00B87B4A">
            <w:pPr>
              <w:pStyle w:val="Tabletext"/>
              <w:cnfStyle w:val="000000000000" w:firstRow="0" w:lastRow="0" w:firstColumn="0" w:lastColumn="0" w:oddVBand="0" w:evenVBand="0" w:oddHBand="0" w:evenHBand="0" w:firstRowFirstColumn="0" w:firstRowLastColumn="0" w:lastRowFirstColumn="0" w:lastRowLastColumn="0"/>
            </w:pPr>
            <w:bookmarkStart w:id="7" w:name="_Hlk168412155"/>
            <w:r w:rsidRPr="008D2085">
              <w:t>Borrowers may be offered a hardship payment plan</w:t>
            </w:r>
            <w:r w:rsidR="00476602">
              <w:t>, where they initiative contact with TCV prior to a final payment of demand,</w:t>
            </w:r>
            <w:r w:rsidRPr="008D2085">
              <w:t xml:space="preserve"> to settle the outstanding amount within 12 months. Following this 12-month period, further hardship payment plans of up to 12 months may be entered into.</w:t>
            </w:r>
          </w:p>
          <w:bookmarkEnd w:id="7"/>
          <w:p w14:paraId="2399F0FC" w14:textId="14A30900" w:rsidR="00576E4E" w:rsidRPr="008D2085" w:rsidRDefault="00D11A04" w:rsidP="00B87B4A">
            <w:pPr>
              <w:pStyle w:val="Tabletext"/>
              <w:cnfStyle w:val="000000000000" w:firstRow="0" w:lastRow="0" w:firstColumn="0" w:lastColumn="0" w:oddVBand="0" w:evenVBand="0" w:oddHBand="0" w:evenHBand="0" w:firstRowFirstColumn="0" w:firstRowLastColumn="0" w:lastRowFirstColumn="0" w:lastRowLastColumn="0"/>
            </w:pPr>
            <w:r w:rsidRPr="008D2085">
              <w:t>N</w:t>
            </w:r>
            <w:r w:rsidR="00576E4E" w:rsidRPr="008D2085">
              <w:t xml:space="preserve">o payment plan </w:t>
            </w:r>
            <w:r w:rsidR="00F92914" w:rsidRPr="008D2085">
              <w:t>approved under a hardship policy can go beyond the final 10</w:t>
            </w:r>
            <w:r w:rsidR="00F92914" w:rsidRPr="008D2085">
              <w:rPr>
                <w:vertAlign w:val="superscript"/>
              </w:rPr>
              <w:t>th</w:t>
            </w:r>
            <w:r w:rsidR="00F92914" w:rsidRPr="008D2085">
              <w:t xml:space="preserve"> year of the loan’s tenor to avoid overlap with the </w:t>
            </w:r>
            <w:r w:rsidR="00D918BB" w:rsidRPr="008D2085">
              <w:t>CIPT, which commences from year 11 onwards.</w:t>
            </w:r>
          </w:p>
        </w:tc>
      </w:tr>
      <w:tr w:rsidR="00C819DF" w:rsidRPr="008D2085" w14:paraId="11CA10E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3AC74A90" w14:textId="4C43D0F5" w:rsidR="00C819DF" w:rsidRPr="008D2085" w:rsidRDefault="00C819DF" w:rsidP="00B87B4A">
            <w:pPr>
              <w:pStyle w:val="Tabletext"/>
              <w:rPr>
                <w:rFonts w:asciiTheme="majorHAnsi" w:hAnsiTheme="majorHAnsi"/>
                <w:b w:val="0"/>
                <w:bCs w:val="0"/>
              </w:rPr>
            </w:pPr>
            <w:r w:rsidRPr="008D2085">
              <w:rPr>
                <w:rFonts w:asciiTheme="majorHAnsi" w:hAnsiTheme="majorHAnsi"/>
                <w:b w:val="0"/>
                <w:bCs w:val="0"/>
              </w:rPr>
              <w:lastRenderedPageBreak/>
              <w:t>Other variations</w:t>
            </w:r>
          </w:p>
        </w:tc>
        <w:tc>
          <w:tcPr>
            <w:tcW w:w="3884" w:type="pct"/>
            <w:shd w:val="clear" w:color="auto" w:fill="auto"/>
          </w:tcPr>
          <w:p w14:paraId="0A845553" w14:textId="2F17F0C5" w:rsidR="00C819DF" w:rsidRPr="008D2085" w:rsidRDefault="005D1AFF" w:rsidP="00B87B4A">
            <w:pPr>
              <w:pStyle w:val="Tabletext"/>
              <w:cnfStyle w:val="000000010000" w:firstRow="0" w:lastRow="0" w:firstColumn="0" w:lastColumn="0" w:oddVBand="0" w:evenVBand="0" w:oddHBand="0" w:evenHBand="1" w:firstRowFirstColumn="0" w:firstRowLastColumn="0" w:lastRowFirstColumn="0" w:lastRowLastColumn="0"/>
            </w:pPr>
            <w:r w:rsidRPr="008D2085">
              <w:t>Beyond the hardship policy, t</w:t>
            </w:r>
            <w:r w:rsidR="00C819DF" w:rsidRPr="008D2085">
              <w:t>he State will not refinance or restructure the loan</w:t>
            </w:r>
            <w:r w:rsidR="00663890" w:rsidRPr="008D2085">
              <w:t xml:space="preserve"> – e.g. change interest rate or </w:t>
            </w:r>
            <w:r w:rsidR="00CF0E1B" w:rsidRPr="008D2085">
              <w:t>switch to an interest-only loan</w:t>
            </w:r>
            <w:r w:rsidR="00C819DF" w:rsidRPr="008D2085">
              <w:t>.</w:t>
            </w:r>
          </w:p>
        </w:tc>
      </w:tr>
      <w:tr w:rsidR="006561B1" w:rsidRPr="00F67F85" w14:paraId="2791E9B4" w14:textId="77777777">
        <w:tc>
          <w:tcPr>
            <w:cnfStyle w:val="001000000000" w:firstRow="0" w:lastRow="0" w:firstColumn="1" w:lastColumn="0" w:oddVBand="0" w:evenVBand="0" w:oddHBand="0" w:evenHBand="0" w:firstRowFirstColumn="0" w:firstRowLastColumn="0" w:lastRowFirstColumn="0" w:lastRowLastColumn="0"/>
            <w:tcW w:w="1116" w:type="pct"/>
          </w:tcPr>
          <w:p w14:paraId="2947873C" w14:textId="77777777" w:rsidR="006561B1" w:rsidRPr="008D2085" w:rsidRDefault="006561B1" w:rsidP="00B87B4A">
            <w:pPr>
              <w:pStyle w:val="Tabletext"/>
              <w:rPr>
                <w:rFonts w:asciiTheme="majorHAnsi" w:hAnsiTheme="majorHAnsi"/>
                <w:b w:val="0"/>
                <w:bCs w:val="0"/>
              </w:rPr>
            </w:pPr>
            <w:r w:rsidRPr="008D2085">
              <w:rPr>
                <w:rFonts w:asciiTheme="majorHAnsi" w:hAnsiTheme="majorHAnsi"/>
                <w:b w:val="0"/>
                <w:bCs w:val="0"/>
              </w:rPr>
              <w:t>Notification</w:t>
            </w:r>
          </w:p>
        </w:tc>
        <w:tc>
          <w:tcPr>
            <w:tcW w:w="3884" w:type="pct"/>
            <w:shd w:val="clear" w:color="auto" w:fill="auto"/>
          </w:tcPr>
          <w:p w14:paraId="0DEFAF7F" w14:textId="77777777" w:rsidR="006561B1" w:rsidRPr="008D2085" w:rsidRDefault="006561B1" w:rsidP="00B87B4A">
            <w:pPr>
              <w:pStyle w:val="Tabletext"/>
              <w:cnfStyle w:val="000000000000" w:firstRow="0" w:lastRow="0" w:firstColumn="0" w:lastColumn="0" w:oddVBand="0" w:evenVBand="0" w:oddHBand="0" w:evenHBand="0" w:firstRowFirstColumn="0" w:firstRowLastColumn="0" w:lastRowFirstColumn="0" w:lastRowLastColumn="0"/>
            </w:pPr>
            <w:r w:rsidRPr="008D2085">
              <w:t>The Borrower must notify TCV if an event of default occurs under the Transition Loan or another loan secured by the property.</w:t>
            </w:r>
          </w:p>
          <w:p w14:paraId="1DC19C32" w14:textId="1AFE3466" w:rsidR="00081F09" w:rsidRPr="00F67F85" w:rsidRDefault="00081F09" w:rsidP="00B87B4A">
            <w:pPr>
              <w:pStyle w:val="Tabletext"/>
              <w:cnfStyle w:val="000000000000" w:firstRow="0" w:lastRow="0" w:firstColumn="0" w:lastColumn="0" w:oddVBand="0" w:evenVBand="0" w:oddHBand="0" w:evenHBand="0" w:firstRowFirstColumn="0" w:firstRowLastColumn="0" w:lastRowFirstColumn="0" w:lastRowLastColumn="0"/>
            </w:pPr>
            <w:r w:rsidRPr="008D2085">
              <w:t xml:space="preserve">Cross default on another </w:t>
            </w:r>
            <w:r w:rsidR="00294A91" w:rsidRPr="008D2085">
              <w:t>loan</w:t>
            </w:r>
            <w:r w:rsidRPr="008D2085">
              <w:t xml:space="preserve"> secured by the same </w:t>
            </w:r>
            <w:r w:rsidR="00E4657B" w:rsidRPr="00AD4AA7">
              <w:t xml:space="preserve">property </w:t>
            </w:r>
            <w:r w:rsidRPr="008D2085">
              <w:t>will trigger a review of the borrower’s capacity to continue servicing transition loan repayments</w:t>
            </w:r>
            <w:r w:rsidR="007B356D" w:rsidRPr="008D2085">
              <w:t>.</w:t>
            </w:r>
            <w:r w:rsidRPr="00F67F85">
              <w:t xml:space="preserve"> </w:t>
            </w:r>
          </w:p>
        </w:tc>
      </w:tr>
    </w:tbl>
    <w:p w14:paraId="3167BB6C" w14:textId="5C761968" w:rsidR="00163EAC" w:rsidRPr="00F67F85" w:rsidRDefault="00163EAC" w:rsidP="00717734">
      <w:pPr>
        <w:pStyle w:val="Heading1"/>
        <w:rPr>
          <w:b/>
        </w:rPr>
      </w:pPr>
      <w:r w:rsidRPr="00F67F85">
        <w:t>Further information</w:t>
      </w:r>
    </w:p>
    <w:p w14:paraId="6EE7248F" w14:textId="1005137F" w:rsidR="00163EAC" w:rsidRPr="00F67F85" w:rsidRDefault="00BD0767" w:rsidP="00163EAC">
      <w:pPr>
        <w:rPr>
          <w:szCs w:val="18"/>
        </w:rPr>
      </w:pPr>
      <w:r>
        <w:rPr>
          <w:szCs w:val="18"/>
        </w:rPr>
        <w:t xml:space="preserve">The </w:t>
      </w:r>
      <w:r w:rsidRPr="00AD4AA7">
        <w:rPr>
          <w:i/>
          <w:iCs/>
          <w:szCs w:val="18"/>
        </w:rPr>
        <w:t>Commercial and Industrial Property Tax Reform Act 2024</w:t>
      </w:r>
      <w:r w:rsidR="00836719" w:rsidRPr="00AD4AA7">
        <w:rPr>
          <w:i/>
          <w:iCs/>
          <w:szCs w:val="18"/>
        </w:rPr>
        <w:t xml:space="preserve"> </w:t>
      </w:r>
      <w:r>
        <w:rPr>
          <w:szCs w:val="18"/>
        </w:rPr>
        <w:t xml:space="preserve">received </w:t>
      </w:r>
      <w:r w:rsidRPr="00BD0767">
        <w:rPr>
          <w:szCs w:val="18"/>
        </w:rPr>
        <w:t xml:space="preserve">Royal Assent on </w:t>
      </w:r>
      <w:r w:rsidRPr="00AD4AA7">
        <w:rPr>
          <w:szCs w:val="18"/>
        </w:rPr>
        <w:t>21</w:t>
      </w:r>
      <w:r w:rsidRPr="00BD0767">
        <w:rPr>
          <w:szCs w:val="18"/>
        </w:rPr>
        <w:t xml:space="preserve"> May</w:t>
      </w:r>
      <w:r>
        <w:rPr>
          <w:szCs w:val="18"/>
        </w:rPr>
        <w:t xml:space="preserve"> and will come into operation on</w:t>
      </w:r>
      <w:r w:rsidR="00836719" w:rsidRPr="00F67F85">
        <w:rPr>
          <w:szCs w:val="18"/>
        </w:rPr>
        <w:t xml:space="preserve"> 1 July 2024</w:t>
      </w:r>
      <w:r w:rsidR="00163EAC" w:rsidRPr="00F67F85">
        <w:rPr>
          <w:szCs w:val="18"/>
        </w:rPr>
        <w:t xml:space="preserve">. </w:t>
      </w:r>
    </w:p>
    <w:p w14:paraId="4CA279DB" w14:textId="498B6863" w:rsidR="00836719" w:rsidRPr="00F67F85" w:rsidRDefault="00163EAC" w:rsidP="00163EAC">
      <w:pPr>
        <w:rPr>
          <w:szCs w:val="18"/>
        </w:rPr>
      </w:pPr>
      <w:r w:rsidRPr="00F67F85">
        <w:rPr>
          <w:szCs w:val="18"/>
        </w:rPr>
        <w:t xml:space="preserve">Additional details on </w:t>
      </w:r>
      <w:r w:rsidR="00836719" w:rsidRPr="00F67F85">
        <w:rPr>
          <w:szCs w:val="18"/>
        </w:rPr>
        <w:t>the administration and operationalisation of the reform</w:t>
      </w:r>
      <w:r w:rsidRPr="00F67F85">
        <w:rPr>
          <w:szCs w:val="18"/>
        </w:rPr>
        <w:t xml:space="preserve"> will be released </w:t>
      </w:r>
      <w:r w:rsidR="00836719" w:rsidRPr="00F67F85">
        <w:rPr>
          <w:szCs w:val="18"/>
        </w:rPr>
        <w:t xml:space="preserve">by the State Revenue Office and Treasury Corporation of Victoria </w:t>
      </w:r>
      <w:r w:rsidRPr="00F67F85">
        <w:rPr>
          <w:szCs w:val="18"/>
        </w:rPr>
        <w:t xml:space="preserve">ahead of the 1 July 2024 start date. </w:t>
      </w:r>
    </w:p>
    <w:p w14:paraId="32E7FA6D" w14:textId="40504ECE" w:rsidR="00163EAC" w:rsidRDefault="00163EAC" w:rsidP="006805B9">
      <w:pPr>
        <w:rPr>
          <w:rStyle w:val="Hyperlink"/>
          <w:szCs w:val="18"/>
        </w:rPr>
      </w:pPr>
      <w:r w:rsidRPr="00F67F85">
        <w:rPr>
          <w:szCs w:val="18"/>
        </w:rPr>
        <w:t xml:space="preserve">For further enquiries on the Commercial and Industrial Property Tax Reform, please contact </w:t>
      </w:r>
      <w:hyperlink r:id="rId37" w:history="1">
        <w:r w:rsidR="00836719" w:rsidRPr="00F67F85">
          <w:rPr>
            <w:rStyle w:val="Hyperlink"/>
            <w:szCs w:val="18"/>
          </w:rPr>
          <w:t>information@dtf.vic.gov.au</w:t>
        </w:r>
      </w:hyperlink>
      <w:r w:rsidR="00861218">
        <w:rPr>
          <w:rStyle w:val="Hyperlink"/>
          <w:szCs w:val="18"/>
        </w:rPr>
        <w:t>.</w:t>
      </w:r>
    </w:p>
    <w:p w14:paraId="6F21C026" w14:textId="77777777" w:rsidR="00B47066" w:rsidRDefault="00B47066" w:rsidP="006805B9"/>
    <w:sectPr w:rsidR="00B47066" w:rsidSect="00B47066">
      <w:type w:val="continuous"/>
      <w:pgSz w:w="11906" w:h="16838" w:code="9"/>
      <w:pgMar w:top="648" w:right="1152" w:bottom="1728" w:left="1152"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597F" w14:textId="77777777" w:rsidR="00A36C91" w:rsidRDefault="00A36C91" w:rsidP="006805B9">
      <w:r>
        <w:separator/>
      </w:r>
    </w:p>
  </w:endnote>
  <w:endnote w:type="continuationSeparator" w:id="0">
    <w:p w14:paraId="2B47F40F" w14:textId="77777777" w:rsidR="00A36C91" w:rsidRDefault="00A36C91" w:rsidP="006805B9">
      <w:r>
        <w:continuationSeparator/>
      </w:r>
    </w:p>
  </w:endnote>
  <w:endnote w:type="continuationNotice" w:id="1">
    <w:p w14:paraId="4EB6CD90" w14:textId="77777777" w:rsidR="00A36C91" w:rsidRDefault="00A36C9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VIC SemiBold">
    <w:panose1 w:val="000007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venim MT">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BD2D" w14:textId="77777777" w:rsidR="00954DFC" w:rsidRDefault="00954DF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9C69" w14:textId="266B613E" w:rsidR="0039471D" w:rsidRDefault="0039471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1800" w14:textId="1722A046" w:rsidR="0039471D" w:rsidRDefault="0039471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3D5F2" w14:textId="08649E89" w:rsidR="0039471D" w:rsidRDefault="00394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382D" w14:textId="4641D6EA" w:rsidR="00522F8A" w:rsidRDefault="00522F8A" w:rsidP="00491C72">
    <w:pPr>
      <w:pStyle w:val="Footer"/>
      <w:tabs>
        <w:tab w:val="clear" w:pos="9026"/>
        <w:tab w:val="right" w:pos="9602"/>
      </w:tabs>
      <w:rPr>
        <w:rStyle w:val="PageNumber"/>
      </w:rPr>
    </w:pPr>
    <w:r w:rsidRPr="008E49B3">
      <w:rPr>
        <w:noProof w:val="0"/>
      </w:rPr>
      <w:fldChar w:fldCharType="begin"/>
    </w:r>
    <w:r w:rsidRPr="008E49B3">
      <w:instrText xml:space="preserve"> StyleRef “Title” </w:instrText>
    </w:r>
    <w:r w:rsidRPr="008E49B3">
      <w:rPr>
        <w:noProof w:val="0"/>
      </w:rPr>
      <w:fldChar w:fldCharType="separate"/>
    </w:r>
    <w:r w:rsidR="00795C4F">
      <w:t>Commercial and Industrial Property Tax Reform</w:t>
    </w:r>
    <w:r w:rsidRPr="008E49B3">
      <w:fldChar w:fldCharType="end"/>
    </w:r>
    <w:r w:rsidR="00491C72">
      <w:tab/>
      <w:t xml:space="preserve">Page </w:t>
    </w:r>
    <w:r w:rsidR="00491C72">
      <w:fldChar w:fldCharType="begin"/>
    </w:r>
    <w:r w:rsidR="00491C72">
      <w:instrText xml:space="preserve"> page </w:instrText>
    </w:r>
    <w:r w:rsidR="00491C72">
      <w:fldChar w:fldCharType="separate"/>
    </w:r>
    <w:r w:rsidR="00491C72">
      <w:t>2</w:t>
    </w:r>
    <w:r w:rsidR="00491C72">
      <w:fldChar w:fldCharType="end"/>
    </w:r>
  </w:p>
  <w:p w14:paraId="37C7D8E3" w14:textId="77777777" w:rsidR="00522F8A" w:rsidRPr="00C022F9" w:rsidRDefault="00522F8A" w:rsidP="006805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5B67" w14:textId="1773F5BF" w:rsidR="00973844" w:rsidRDefault="00C02CEC" w:rsidP="004C7125">
    <w:pPr>
      <w:pStyle w:val="Footer"/>
      <w:jc w:val="right"/>
    </w:pPr>
    <w:r>
      <w:drawing>
        <wp:inline distT="0" distB="0" distL="0" distR="0" wp14:anchorId="58926905" wp14:editId="03D3DA15">
          <wp:extent cx="1536192" cy="457200"/>
          <wp:effectExtent l="0" t="0" r="6985"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2E76" w14:textId="7577FEB9" w:rsidR="0039471D" w:rsidRDefault="0039471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FAA5" w14:textId="4C9E7193" w:rsidR="0039471D" w:rsidRDefault="003947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D18A" w14:textId="2176260C" w:rsidR="0039471D" w:rsidRDefault="0039471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D8EB" w14:textId="4BAF5C56" w:rsidR="0039471D" w:rsidRDefault="0039471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AE5A" w14:textId="07E08733" w:rsidR="0039471D" w:rsidRDefault="0039471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6BF6" w14:textId="007E49C4" w:rsidR="0039471D" w:rsidRDefault="00394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0B72" w14:textId="77777777" w:rsidR="00A36C91" w:rsidRDefault="00A36C91" w:rsidP="006805B9">
      <w:r>
        <w:separator/>
      </w:r>
    </w:p>
  </w:footnote>
  <w:footnote w:type="continuationSeparator" w:id="0">
    <w:p w14:paraId="1EF6D6BB" w14:textId="77777777" w:rsidR="00A36C91" w:rsidRDefault="00A36C91" w:rsidP="006805B9">
      <w:r>
        <w:continuationSeparator/>
      </w:r>
    </w:p>
  </w:footnote>
  <w:footnote w:type="continuationNotice" w:id="1">
    <w:p w14:paraId="3BFB73DE" w14:textId="77777777" w:rsidR="00A36C91" w:rsidRDefault="00A36C91">
      <w:pPr>
        <w:spacing w:before="0" w:after="0" w:line="240" w:lineRule="auto"/>
      </w:pPr>
    </w:p>
  </w:footnote>
  <w:footnote w:id="2">
    <w:p w14:paraId="6D9A8C0D" w14:textId="167317A7" w:rsidR="00DA402D" w:rsidRDefault="00DA402D">
      <w:pPr>
        <w:pStyle w:val="FootnoteText"/>
      </w:pPr>
      <w:r>
        <w:rPr>
          <w:rStyle w:val="FootnoteReference"/>
        </w:rPr>
        <w:footnoteRef/>
      </w:r>
      <w:r>
        <w:t xml:space="preserve"> The Transition Loan Notice issued to Treasury Corporation of Victoria pursuant to </w:t>
      </w:r>
      <w:r w:rsidRPr="00DA402D">
        <w:t>section 36R of the Treasury Corporation of Victoria Act 1992</w:t>
      </w:r>
      <w:r>
        <w:t xml:space="preserve">. A copy can be accessed at: </w:t>
      </w:r>
      <w:hyperlink r:id="rId1" w:history="1">
        <w:r w:rsidRPr="009954ED">
          <w:rPr>
            <w:rStyle w:val="Hyperlink"/>
          </w:rPr>
          <w:t>https://www.dtf.vic.gov.au/funds-programs-and-policies/commercial-and-industrial-property-tax-reform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B5BA" w14:textId="4D62D4BD" w:rsidR="00D04178" w:rsidRDefault="0039471D">
    <w:pPr>
      <w:pStyle w:val="Header"/>
    </w:pPr>
    <w:r>
      <w:rPr>
        <w:noProof/>
      </w:rPr>
      <mc:AlternateContent>
        <mc:Choice Requires="wps">
          <w:drawing>
            <wp:anchor distT="0" distB="0" distL="0" distR="0" simplePos="0" relativeHeight="251658245" behindDoc="0" locked="0" layoutInCell="1" allowOverlap="1" wp14:anchorId="0C194FBF" wp14:editId="10164255">
              <wp:simplePos x="635" y="635"/>
              <wp:positionH relativeFrom="page">
                <wp:align>center</wp:align>
              </wp:positionH>
              <wp:positionV relativeFrom="page">
                <wp:align>top</wp:align>
              </wp:positionV>
              <wp:extent cx="443865" cy="443865"/>
              <wp:effectExtent l="0" t="0" r="16510" b="889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0B67B4" w14:textId="70962487" w:rsidR="0039471D" w:rsidRPr="0039471D" w:rsidRDefault="0039471D" w:rsidP="0039471D">
                          <w:pPr>
                            <w:spacing w:after="0"/>
                            <w:rPr>
                              <w:rFonts w:ascii="Calibri" w:eastAsia="Calibri" w:hAnsi="Calibri" w:cs="Calibri"/>
                              <w:noProof/>
                              <w:color w:val="FF0000"/>
                              <w:sz w:val="20"/>
                            </w:rPr>
                          </w:pPr>
                          <w:r w:rsidRPr="0039471D">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194FBF" id="_x0000_t202" coordsize="21600,21600" o:spt="202" path="m,l,21600r21600,l21600,xe">
              <v:stroke joinstyle="miter"/>
              <v:path gradientshapeok="t" o:connecttype="rect"/>
            </v:shapetype>
            <v:shape id="Text Box 8" o:spid="_x0000_s1026"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00B67B4" w14:textId="70962487" w:rsidR="0039471D" w:rsidRPr="0039471D" w:rsidRDefault="0039471D" w:rsidP="0039471D">
                    <w:pPr>
                      <w:spacing w:after="0"/>
                      <w:rPr>
                        <w:rFonts w:ascii="Calibri" w:eastAsia="Calibri" w:hAnsi="Calibri" w:cs="Calibri"/>
                        <w:noProof/>
                        <w:color w:val="FF0000"/>
                        <w:sz w:val="20"/>
                      </w:rPr>
                    </w:pPr>
                    <w:r w:rsidRPr="0039471D">
                      <w:rPr>
                        <w:rFonts w:ascii="Calibri" w:eastAsia="Calibri" w:hAnsi="Calibri" w:cs="Calibri"/>
                        <w:noProof/>
                        <w:color w:val="FF0000"/>
                        <w:sz w:val="2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F5AA" w14:textId="74728609" w:rsidR="00D04178" w:rsidRDefault="0039471D">
    <w:pPr>
      <w:pStyle w:val="Header"/>
    </w:pPr>
    <w:r>
      <w:rPr>
        <w:noProof/>
      </w:rPr>
      <mc:AlternateContent>
        <mc:Choice Requires="wps">
          <w:drawing>
            <wp:anchor distT="0" distB="0" distL="0" distR="0" simplePos="0" relativeHeight="251658252" behindDoc="0" locked="0" layoutInCell="1" allowOverlap="1" wp14:anchorId="3EF50F44" wp14:editId="06C968BE">
              <wp:simplePos x="635" y="635"/>
              <wp:positionH relativeFrom="page">
                <wp:align>center</wp:align>
              </wp:positionH>
              <wp:positionV relativeFrom="page">
                <wp:align>top</wp:align>
              </wp:positionV>
              <wp:extent cx="443865" cy="443865"/>
              <wp:effectExtent l="0" t="0" r="16510" b="8890"/>
              <wp:wrapNone/>
              <wp:docPr id="30" name="Text Box 3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4ACF76" w14:textId="0205D855" w:rsidR="0039471D" w:rsidRPr="0039471D" w:rsidRDefault="0039471D" w:rsidP="0039471D">
                          <w:pPr>
                            <w:spacing w:after="0"/>
                            <w:rPr>
                              <w:rFonts w:ascii="Calibri" w:eastAsia="Calibri" w:hAnsi="Calibri" w:cs="Calibri"/>
                              <w:noProof/>
                              <w:color w:val="FF0000"/>
                              <w:sz w:val="20"/>
                            </w:rPr>
                          </w:pPr>
                          <w:r w:rsidRPr="0039471D">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F50F44" id="_x0000_t202" coordsize="21600,21600" o:spt="202" path="m,l,21600r21600,l21600,xe">
              <v:stroke joinstyle="miter"/>
              <v:path gradientshapeok="t" o:connecttype="rect"/>
            </v:shapetype>
            <v:shape id="Text Box 30" o:spid="_x0000_s1034" type="#_x0000_t202" alt="OFFICIAL" style="position:absolute;margin-left:0;margin-top:0;width:34.95pt;height:34.9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654ACF76" w14:textId="0205D855" w:rsidR="0039471D" w:rsidRPr="0039471D" w:rsidRDefault="0039471D" w:rsidP="0039471D">
                    <w:pPr>
                      <w:spacing w:after="0"/>
                      <w:rPr>
                        <w:rFonts w:ascii="Calibri" w:eastAsia="Calibri" w:hAnsi="Calibri" w:cs="Calibri"/>
                        <w:noProof/>
                        <w:color w:val="FF0000"/>
                        <w:sz w:val="20"/>
                      </w:rPr>
                    </w:pPr>
                    <w:r w:rsidRPr="0039471D">
                      <w:rPr>
                        <w:rFonts w:ascii="Calibri" w:eastAsia="Calibri" w:hAnsi="Calibri" w:cs="Calibri"/>
                        <w:noProof/>
                        <w:color w:val="FF0000"/>
                        <w:sz w:val="2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E1A8" w14:textId="25A4A257" w:rsidR="00952C7A" w:rsidRPr="0041689E" w:rsidRDefault="00952C7A" w:rsidP="006805B9">
    <w:pPr>
      <w:pStyle w:val="Header"/>
    </w:pPr>
    <w:r>
      <w:rPr>
        <w:noProof/>
      </w:rPr>
      <mc:AlternateContent>
        <mc:Choice Requires="wpg">
          <w:drawing>
            <wp:anchor distT="0" distB="0" distL="114300" distR="114300" simplePos="0" relativeHeight="251658241" behindDoc="0" locked="0" layoutInCell="1" allowOverlap="1" wp14:anchorId="2D6DAC6B" wp14:editId="37F4A924">
              <wp:simplePos x="0" y="0"/>
              <wp:positionH relativeFrom="page">
                <wp:posOffset>-31805</wp:posOffset>
              </wp:positionH>
              <wp:positionV relativeFrom="paragraph">
                <wp:posOffset>-440359</wp:posOffset>
              </wp:positionV>
              <wp:extent cx="7653528" cy="896112"/>
              <wp:effectExtent l="0" t="0" r="5080" b="0"/>
              <wp:wrapTopAndBottom/>
              <wp:docPr id="26" name="Group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653528" cy="896112"/>
                        <a:chOff x="914400" y="524786"/>
                        <a:chExt cx="5420963" cy="635888"/>
                      </a:xfrm>
                    </wpg:grpSpPr>
                    <wps:wsp>
                      <wps:cNvPr id="27" name="Shape 2"/>
                      <wps:cNvSpPr/>
                      <wps:spPr>
                        <a:xfrm>
                          <a:off x="3923918" y="524786"/>
                          <a:ext cx="2411445" cy="635888"/>
                        </a:xfrm>
                        <a:custGeom>
                          <a:avLst/>
                          <a:gdLst>
                            <a:gd name="connsiteX0" fmla="*/ 2411445 w 2411444"/>
                            <a:gd name="connsiteY0" fmla="*/ 0 h 769524"/>
                            <a:gd name="connsiteX1" fmla="*/ 0 w 2411444"/>
                            <a:gd name="connsiteY1" fmla="*/ 0 h 769524"/>
                            <a:gd name="connsiteX2" fmla="*/ 363760 w 2411444"/>
                            <a:gd name="connsiteY2" fmla="*/ 769525 h 769524"/>
                            <a:gd name="connsiteX3" fmla="*/ 2410111 w 2411444"/>
                            <a:gd name="connsiteY3" fmla="*/ 769525 h 769524"/>
                            <a:gd name="connsiteX4" fmla="*/ 2411445 w 2411444"/>
                            <a:gd name="connsiteY4" fmla="*/ 0 h 769524"/>
                            <a:gd name="connsiteX0" fmla="*/ 2411445 w 2411445"/>
                            <a:gd name="connsiteY0" fmla="*/ 0 h 769525"/>
                            <a:gd name="connsiteX1" fmla="*/ 0 w 2411445"/>
                            <a:gd name="connsiteY1" fmla="*/ 0 h 769525"/>
                            <a:gd name="connsiteX2" fmla="*/ 300185 w 2411445"/>
                            <a:gd name="connsiteY2" fmla="*/ 635888 h 769525"/>
                            <a:gd name="connsiteX3" fmla="*/ 2410111 w 2411445"/>
                            <a:gd name="connsiteY3" fmla="*/ 769525 h 769525"/>
                            <a:gd name="connsiteX4" fmla="*/ 2411445 w 2411445"/>
                            <a:gd name="connsiteY4" fmla="*/ 0 h 769525"/>
                            <a:gd name="connsiteX0" fmla="*/ 2411445 w 2411445"/>
                            <a:gd name="connsiteY0" fmla="*/ 0 h 635888"/>
                            <a:gd name="connsiteX1" fmla="*/ 0 w 2411445"/>
                            <a:gd name="connsiteY1" fmla="*/ 0 h 635888"/>
                            <a:gd name="connsiteX2" fmla="*/ 300185 w 2411445"/>
                            <a:gd name="connsiteY2" fmla="*/ 635888 h 635888"/>
                            <a:gd name="connsiteX3" fmla="*/ 2406138 w 2411445"/>
                            <a:gd name="connsiteY3" fmla="*/ 635722 h 635888"/>
                            <a:gd name="connsiteX4" fmla="*/ 2411445 w 2411445"/>
                            <a:gd name="connsiteY4" fmla="*/ 0 h 635888"/>
                            <a:gd name="connsiteX0" fmla="*/ 2411445 w 2411445"/>
                            <a:gd name="connsiteY0" fmla="*/ 0 h 640087"/>
                            <a:gd name="connsiteX1" fmla="*/ 0 w 2411445"/>
                            <a:gd name="connsiteY1" fmla="*/ 0 h 640087"/>
                            <a:gd name="connsiteX2" fmla="*/ 300185 w 2411445"/>
                            <a:gd name="connsiteY2" fmla="*/ 635888 h 640087"/>
                            <a:gd name="connsiteX3" fmla="*/ 2402164 w 2411445"/>
                            <a:gd name="connsiteY3" fmla="*/ 640087 h 640087"/>
                            <a:gd name="connsiteX4" fmla="*/ 2411445 w 2411445"/>
                            <a:gd name="connsiteY4" fmla="*/ 0 h 640087"/>
                            <a:gd name="connsiteX0" fmla="*/ 2411445 w 2411445"/>
                            <a:gd name="connsiteY0" fmla="*/ 0 h 635888"/>
                            <a:gd name="connsiteX1" fmla="*/ 0 w 2411445"/>
                            <a:gd name="connsiteY1" fmla="*/ 0 h 635888"/>
                            <a:gd name="connsiteX2" fmla="*/ 300185 w 2411445"/>
                            <a:gd name="connsiteY2" fmla="*/ 635888 h 635888"/>
                            <a:gd name="connsiteX3" fmla="*/ 2398605 w 2411445"/>
                            <a:gd name="connsiteY3" fmla="*/ 632969 h 635888"/>
                            <a:gd name="connsiteX4" fmla="*/ 2411445 w 2411445"/>
                            <a:gd name="connsiteY4" fmla="*/ 0 h 6358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11445" h="635888">
                              <a:moveTo>
                                <a:pt x="2411445" y="0"/>
                              </a:moveTo>
                              <a:lnTo>
                                <a:pt x="0" y="0"/>
                              </a:lnTo>
                              <a:lnTo>
                                <a:pt x="300185" y="635888"/>
                              </a:lnTo>
                              <a:lnTo>
                                <a:pt x="2398605" y="632969"/>
                              </a:lnTo>
                              <a:cubicBezTo>
                                <a:pt x="2399050" y="376461"/>
                                <a:pt x="2411000" y="256508"/>
                                <a:pt x="2411445" y="0"/>
                              </a:cubicBez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hape 1"/>
                      <wps:cNvSpPr/>
                      <wps:spPr>
                        <a:xfrm>
                          <a:off x="914400" y="524786"/>
                          <a:ext cx="3329082" cy="337470"/>
                        </a:xfrm>
                        <a:custGeom>
                          <a:avLst/>
                          <a:gdLst>
                            <a:gd name="connsiteX0" fmla="*/ 0 w 3329082"/>
                            <a:gd name="connsiteY0" fmla="*/ 337471 h 337470"/>
                            <a:gd name="connsiteX1" fmla="*/ 3169539 w 3329082"/>
                            <a:gd name="connsiteY1" fmla="*/ 337471 h 337470"/>
                            <a:gd name="connsiteX2" fmla="*/ 3329083 w 3329082"/>
                            <a:gd name="connsiteY2" fmla="*/ 0 h 337470"/>
                            <a:gd name="connsiteX3" fmla="*/ 0 w 3329082"/>
                            <a:gd name="connsiteY3" fmla="*/ 0 h 337470"/>
                            <a:gd name="connsiteX4" fmla="*/ 0 w 3329082"/>
                            <a:gd name="connsiteY4" fmla="*/ 337471 h 3374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29082" h="337470">
                              <a:moveTo>
                                <a:pt x="0" y="337471"/>
                              </a:moveTo>
                              <a:lnTo>
                                <a:pt x="3169539" y="337471"/>
                              </a:lnTo>
                              <a:lnTo>
                                <a:pt x="3329083" y="0"/>
                              </a:lnTo>
                              <a:lnTo>
                                <a:pt x="0" y="0"/>
                              </a:lnTo>
                              <a:lnTo>
                                <a:pt x="0" y="337471"/>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73EBE1" id="Group 26" o:spid="_x0000_s1026" alt="&quot;&quot;" style="position:absolute;margin-left:-2.5pt;margin-top:-34.65pt;width:602.65pt;height:70.55pt;z-index:251658241;mso-position-horizontal-relative:page;mso-width-relative:margin;mso-height-relative:margin" coordorigin="9144,5247" coordsize="54209,6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">
              <v:shape id="Shape 2" o:spid="_x0000_s1027" style="position:absolute;left:39239;top:5247;width:24114;height:6359;visibility:visible;mso-wrap-style:square;v-text-anchor:middle" coordsize="2411445,63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" path="m2411445,l,,300185,635888r2098420,-2919c2399050,376461,2411000,256508,2411445,xe" fillcolor="#00bac7 [3204]" stroked="f">
                <v:stroke joinstyle="miter"/>
                <v:path arrowok="t" o:connecttype="custom" o:connectlocs="2411445,0;0,0;300185,635888;2398605,632969;2411445,0" o:connectangles="0,0,0,0,0"/>
              </v:shape>
              <v:shape id="Shape 1" o:spid="_x0000_s1028" style="position:absolute;left:9144;top:5247;width:33290;height:3375;visibility:visible;mso-wrap-style:square;v-text-anchor:middle" coordsize="3329082,33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" path="m,337471r3169539,l3329083,,,,,337471xe" fillcolor="#232b39 [3213]" stroked="f">
                <v:stroke joinstyle="miter"/>
                <v:path arrowok="t" o:connecttype="custom" o:connectlocs="0,337471;3169539,337471;3329083,0;0,0;0,337471" o:connectangles="0,0,0,0,0"/>
              </v:shape>
              <w10:wrap type="topAndBottom"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DA16" w14:textId="63883717" w:rsidR="00F417C3" w:rsidRPr="0041689E" w:rsidRDefault="0039471D" w:rsidP="006805B9">
    <w:pPr>
      <w:pStyle w:val="Header"/>
    </w:pPr>
    <w:r>
      <w:rPr>
        <w:noProof/>
      </w:rPr>
      <mc:AlternateContent>
        <mc:Choice Requires="wps">
          <w:drawing>
            <wp:anchor distT="0" distB="0" distL="0" distR="0" simplePos="0" relativeHeight="251658246" behindDoc="0" locked="0" layoutInCell="1" allowOverlap="1" wp14:anchorId="2F2C9B90" wp14:editId="6BCDA463">
              <wp:simplePos x="635" y="635"/>
              <wp:positionH relativeFrom="page">
                <wp:align>center</wp:align>
              </wp:positionH>
              <wp:positionV relativeFrom="page">
                <wp:align>top</wp:align>
              </wp:positionV>
              <wp:extent cx="443865" cy="443865"/>
              <wp:effectExtent l="0" t="0" r="16510" b="8890"/>
              <wp:wrapNone/>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6ECD9C" w14:textId="32D2A61A" w:rsidR="0039471D" w:rsidRPr="0039471D" w:rsidRDefault="0039471D" w:rsidP="0039471D">
                          <w:pPr>
                            <w:spacing w:after="0"/>
                            <w:rPr>
                              <w:rFonts w:ascii="Calibri" w:eastAsia="Calibri" w:hAnsi="Calibri" w:cs="Calibri"/>
                              <w:noProof/>
                              <w:color w:val="FF0000"/>
                              <w:sz w:val="20"/>
                            </w:rPr>
                          </w:pPr>
                          <w:r w:rsidRPr="0039471D">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2C9B90" id="_x0000_t202" coordsize="21600,21600" o:spt="202" path="m,l,21600r21600,l21600,xe">
              <v:stroke joinstyle="miter"/>
              <v:path gradientshapeok="t" o:connecttype="rect"/>
            </v:shapetype>
            <v:shape id="Text Box 9" o:spid="_x0000_s1027" type="#_x0000_t202" alt="OFFICIAL"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16ECD9C" w14:textId="32D2A61A" w:rsidR="0039471D" w:rsidRPr="0039471D" w:rsidRDefault="0039471D" w:rsidP="0039471D">
                    <w:pPr>
                      <w:spacing w:after="0"/>
                      <w:rPr>
                        <w:rFonts w:ascii="Calibri" w:eastAsia="Calibri" w:hAnsi="Calibri" w:cs="Calibri"/>
                        <w:noProof/>
                        <w:color w:val="FF0000"/>
                        <w:sz w:val="20"/>
                      </w:rPr>
                    </w:pPr>
                    <w:r w:rsidRPr="0039471D">
                      <w:rPr>
                        <w:rFonts w:ascii="Calibri" w:eastAsia="Calibri" w:hAnsi="Calibri" w:cs="Calibri"/>
                        <w:noProof/>
                        <w:color w:val="FF0000"/>
                        <w:sz w:val="20"/>
                      </w:rPr>
                      <w:t>OFFICIAL</w:t>
                    </w:r>
                  </w:p>
                </w:txbxContent>
              </v:textbox>
              <w10:wrap anchorx="page" anchory="page"/>
            </v:shape>
          </w:pict>
        </mc:Fallback>
      </mc:AlternateContent>
    </w:r>
    <w:r w:rsidR="007B141C">
      <w:rPr>
        <w:noProof/>
      </w:rPr>
      <mc:AlternateContent>
        <mc:Choice Requires="wpg">
          <w:drawing>
            <wp:anchor distT="0" distB="0" distL="114300" distR="114300" simplePos="0" relativeHeight="251658240" behindDoc="0" locked="0" layoutInCell="1" allowOverlap="1" wp14:anchorId="7D889AF1" wp14:editId="7CACFF1E">
              <wp:simplePos x="0" y="0"/>
              <wp:positionH relativeFrom="page">
                <wp:posOffset>-31805</wp:posOffset>
              </wp:positionH>
              <wp:positionV relativeFrom="paragraph">
                <wp:posOffset>-440359</wp:posOffset>
              </wp:positionV>
              <wp:extent cx="7653528" cy="896112"/>
              <wp:effectExtent l="0" t="0" r="5080" b="0"/>
              <wp:wrapTopAndBottom/>
              <wp:docPr id="13"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653528" cy="896112"/>
                        <a:chOff x="914400" y="524786"/>
                        <a:chExt cx="5420963" cy="635888"/>
                      </a:xfrm>
                    </wpg:grpSpPr>
                    <wps:wsp>
                      <wps:cNvPr id="14" name="Shape 2"/>
                      <wps:cNvSpPr/>
                      <wps:spPr>
                        <a:xfrm>
                          <a:off x="3923918" y="524786"/>
                          <a:ext cx="2411445" cy="635888"/>
                        </a:xfrm>
                        <a:custGeom>
                          <a:avLst/>
                          <a:gdLst>
                            <a:gd name="connsiteX0" fmla="*/ 2411445 w 2411444"/>
                            <a:gd name="connsiteY0" fmla="*/ 0 h 769524"/>
                            <a:gd name="connsiteX1" fmla="*/ 0 w 2411444"/>
                            <a:gd name="connsiteY1" fmla="*/ 0 h 769524"/>
                            <a:gd name="connsiteX2" fmla="*/ 363760 w 2411444"/>
                            <a:gd name="connsiteY2" fmla="*/ 769525 h 769524"/>
                            <a:gd name="connsiteX3" fmla="*/ 2410111 w 2411444"/>
                            <a:gd name="connsiteY3" fmla="*/ 769525 h 769524"/>
                            <a:gd name="connsiteX4" fmla="*/ 2411445 w 2411444"/>
                            <a:gd name="connsiteY4" fmla="*/ 0 h 769524"/>
                            <a:gd name="connsiteX0" fmla="*/ 2411445 w 2411445"/>
                            <a:gd name="connsiteY0" fmla="*/ 0 h 769525"/>
                            <a:gd name="connsiteX1" fmla="*/ 0 w 2411445"/>
                            <a:gd name="connsiteY1" fmla="*/ 0 h 769525"/>
                            <a:gd name="connsiteX2" fmla="*/ 300185 w 2411445"/>
                            <a:gd name="connsiteY2" fmla="*/ 635888 h 769525"/>
                            <a:gd name="connsiteX3" fmla="*/ 2410111 w 2411445"/>
                            <a:gd name="connsiteY3" fmla="*/ 769525 h 769525"/>
                            <a:gd name="connsiteX4" fmla="*/ 2411445 w 2411445"/>
                            <a:gd name="connsiteY4" fmla="*/ 0 h 769525"/>
                            <a:gd name="connsiteX0" fmla="*/ 2411445 w 2411445"/>
                            <a:gd name="connsiteY0" fmla="*/ 0 h 635888"/>
                            <a:gd name="connsiteX1" fmla="*/ 0 w 2411445"/>
                            <a:gd name="connsiteY1" fmla="*/ 0 h 635888"/>
                            <a:gd name="connsiteX2" fmla="*/ 300185 w 2411445"/>
                            <a:gd name="connsiteY2" fmla="*/ 635888 h 635888"/>
                            <a:gd name="connsiteX3" fmla="*/ 2406138 w 2411445"/>
                            <a:gd name="connsiteY3" fmla="*/ 635722 h 635888"/>
                            <a:gd name="connsiteX4" fmla="*/ 2411445 w 2411445"/>
                            <a:gd name="connsiteY4" fmla="*/ 0 h 635888"/>
                            <a:gd name="connsiteX0" fmla="*/ 2411445 w 2411445"/>
                            <a:gd name="connsiteY0" fmla="*/ 0 h 640087"/>
                            <a:gd name="connsiteX1" fmla="*/ 0 w 2411445"/>
                            <a:gd name="connsiteY1" fmla="*/ 0 h 640087"/>
                            <a:gd name="connsiteX2" fmla="*/ 300185 w 2411445"/>
                            <a:gd name="connsiteY2" fmla="*/ 635888 h 640087"/>
                            <a:gd name="connsiteX3" fmla="*/ 2402164 w 2411445"/>
                            <a:gd name="connsiteY3" fmla="*/ 640087 h 640087"/>
                            <a:gd name="connsiteX4" fmla="*/ 2411445 w 2411445"/>
                            <a:gd name="connsiteY4" fmla="*/ 0 h 640087"/>
                            <a:gd name="connsiteX0" fmla="*/ 2411445 w 2411445"/>
                            <a:gd name="connsiteY0" fmla="*/ 0 h 635888"/>
                            <a:gd name="connsiteX1" fmla="*/ 0 w 2411445"/>
                            <a:gd name="connsiteY1" fmla="*/ 0 h 635888"/>
                            <a:gd name="connsiteX2" fmla="*/ 300185 w 2411445"/>
                            <a:gd name="connsiteY2" fmla="*/ 635888 h 635888"/>
                            <a:gd name="connsiteX3" fmla="*/ 2398605 w 2411445"/>
                            <a:gd name="connsiteY3" fmla="*/ 632969 h 635888"/>
                            <a:gd name="connsiteX4" fmla="*/ 2411445 w 2411445"/>
                            <a:gd name="connsiteY4" fmla="*/ 0 h 6358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11445" h="635888">
                              <a:moveTo>
                                <a:pt x="2411445" y="0"/>
                              </a:moveTo>
                              <a:lnTo>
                                <a:pt x="0" y="0"/>
                              </a:lnTo>
                              <a:lnTo>
                                <a:pt x="300185" y="635888"/>
                              </a:lnTo>
                              <a:lnTo>
                                <a:pt x="2398605" y="632969"/>
                              </a:lnTo>
                              <a:cubicBezTo>
                                <a:pt x="2399050" y="376461"/>
                                <a:pt x="2411000" y="256508"/>
                                <a:pt x="2411445" y="0"/>
                              </a:cubicBez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hape 1"/>
                      <wps:cNvSpPr/>
                      <wps:spPr>
                        <a:xfrm>
                          <a:off x="914400" y="524786"/>
                          <a:ext cx="3329082" cy="337470"/>
                        </a:xfrm>
                        <a:custGeom>
                          <a:avLst/>
                          <a:gdLst>
                            <a:gd name="connsiteX0" fmla="*/ 0 w 3329082"/>
                            <a:gd name="connsiteY0" fmla="*/ 337471 h 337470"/>
                            <a:gd name="connsiteX1" fmla="*/ 3169539 w 3329082"/>
                            <a:gd name="connsiteY1" fmla="*/ 337471 h 337470"/>
                            <a:gd name="connsiteX2" fmla="*/ 3329083 w 3329082"/>
                            <a:gd name="connsiteY2" fmla="*/ 0 h 337470"/>
                            <a:gd name="connsiteX3" fmla="*/ 0 w 3329082"/>
                            <a:gd name="connsiteY3" fmla="*/ 0 h 337470"/>
                            <a:gd name="connsiteX4" fmla="*/ 0 w 3329082"/>
                            <a:gd name="connsiteY4" fmla="*/ 337471 h 3374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29082" h="337470">
                              <a:moveTo>
                                <a:pt x="0" y="337471"/>
                              </a:moveTo>
                              <a:lnTo>
                                <a:pt x="3169539" y="337471"/>
                              </a:lnTo>
                              <a:lnTo>
                                <a:pt x="3329083" y="0"/>
                              </a:lnTo>
                              <a:lnTo>
                                <a:pt x="0" y="0"/>
                              </a:lnTo>
                              <a:lnTo>
                                <a:pt x="0" y="337471"/>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5BE665" id="Group 13" o:spid="_x0000_s1026" alt="&quot;&quot;" style="position:absolute;margin-left:-2.5pt;margin-top:-34.65pt;width:602.65pt;height:70.55pt;z-index:251658240;mso-position-horizontal-relative:page;mso-width-relative:margin;mso-height-relative:margin" coordorigin="9144,5247" coordsize="54209,6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">
              <v:shape id="Shape 2" o:spid="_x0000_s1027" style="position:absolute;left:39239;top:5247;width:24114;height:6359;visibility:visible;mso-wrap-style:square;v-text-anchor:middle" coordsize="2411445,63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" path="m2411445,l,,300185,635888r2098420,-2919c2399050,376461,2411000,256508,2411445,xe" fillcolor="#00bac7 [3204]" stroked="f">
                <v:stroke joinstyle="miter"/>
                <v:path arrowok="t" o:connecttype="custom" o:connectlocs="2411445,0;0,0;300185,635888;2398605,632969;2411445,0" o:connectangles="0,0,0,0,0"/>
              </v:shape>
              <v:shape id="Shape 1" o:spid="_x0000_s1028" style="position:absolute;left:9144;top:5247;width:33290;height:3375;visibility:visible;mso-wrap-style:square;v-text-anchor:middle" coordsize="3329082,33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" path="m,337471r3169539,l3329083,,,,,337471xe" fillcolor="#232b39 [3213]" stroked="f">
                <v:stroke joinstyle="miter"/>
                <v:path arrowok="t" o:connecttype="custom" o:connectlocs="0,337471;3169539,337471;3329083,0;0,0;0,337471" o:connectangles="0,0,0,0,0"/>
              </v:shape>
              <w10:wrap type="topAndBottom"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285E" w14:textId="0B4E1406" w:rsidR="00D04178" w:rsidRDefault="0039471D">
    <w:pPr>
      <w:pStyle w:val="Header"/>
    </w:pPr>
    <w:r>
      <w:rPr>
        <w:noProof/>
      </w:rPr>
      <mc:AlternateContent>
        <mc:Choice Requires="wps">
          <w:drawing>
            <wp:anchor distT="0" distB="0" distL="0" distR="0" simplePos="0" relativeHeight="251658244" behindDoc="0" locked="0" layoutInCell="1" allowOverlap="1" wp14:anchorId="32997683" wp14:editId="1B659983">
              <wp:simplePos x="590550" y="285750"/>
              <wp:positionH relativeFrom="page">
                <wp:align>center</wp:align>
              </wp:positionH>
              <wp:positionV relativeFrom="page">
                <wp:align>top</wp:align>
              </wp:positionV>
              <wp:extent cx="443865" cy="443865"/>
              <wp:effectExtent l="0" t="0" r="16510" b="889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7B7B71" w14:textId="253B5E91" w:rsidR="0039471D" w:rsidRPr="0039471D" w:rsidRDefault="0039471D" w:rsidP="0039471D">
                          <w:pPr>
                            <w:spacing w:after="0"/>
                            <w:rPr>
                              <w:rFonts w:ascii="Calibri" w:eastAsia="Calibri" w:hAnsi="Calibri" w:cs="Calibri"/>
                              <w:noProof/>
                              <w:color w:val="FF0000"/>
                              <w:sz w:val="20"/>
                            </w:rPr>
                          </w:pPr>
                          <w:r w:rsidRPr="0039471D">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997683" id="_x0000_t202" coordsize="21600,21600" o:spt="202" path="m,l,21600r21600,l21600,xe">
              <v:stroke joinstyle="miter"/>
              <v:path gradientshapeok="t" o:connecttype="rect"/>
            </v:shapetype>
            <v:shape id="Text Box 4" o:spid="_x0000_s1028"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D7B7B71" w14:textId="253B5E91" w:rsidR="0039471D" w:rsidRPr="0039471D" w:rsidRDefault="0039471D" w:rsidP="0039471D">
                    <w:pPr>
                      <w:spacing w:after="0"/>
                      <w:rPr>
                        <w:rFonts w:ascii="Calibri" w:eastAsia="Calibri" w:hAnsi="Calibri" w:cs="Calibri"/>
                        <w:noProof/>
                        <w:color w:val="FF0000"/>
                        <w:sz w:val="20"/>
                      </w:rPr>
                    </w:pPr>
                    <w:r w:rsidRPr="0039471D">
                      <w:rPr>
                        <w:rFonts w:ascii="Calibri" w:eastAsia="Calibri" w:hAnsi="Calibri" w:cs="Calibri"/>
                        <w:noProof/>
                        <w:color w:val="FF0000"/>
                        <w:sz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E0EB" w14:textId="1F4587C1" w:rsidR="00D04178" w:rsidRDefault="0039471D">
    <w:pPr>
      <w:pStyle w:val="Header"/>
    </w:pPr>
    <w:r>
      <w:rPr>
        <w:noProof/>
      </w:rPr>
      <mc:AlternateContent>
        <mc:Choice Requires="wps">
          <w:drawing>
            <wp:anchor distT="0" distB="0" distL="0" distR="0" simplePos="0" relativeHeight="251658248" behindDoc="0" locked="0" layoutInCell="1" allowOverlap="1" wp14:anchorId="04F32F51" wp14:editId="4A15C6AA">
              <wp:simplePos x="635" y="635"/>
              <wp:positionH relativeFrom="page">
                <wp:align>center</wp:align>
              </wp:positionH>
              <wp:positionV relativeFrom="page">
                <wp:align>top</wp:align>
              </wp:positionV>
              <wp:extent cx="443865" cy="443865"/>
              <wp:effectExtent l="0" t="0" r="16510" b="8890"/>
              <wp:wrapNone/>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7A2382" w14:textId="28B10BBB" w:rsidR="0039471D" w:rsidRPr="0039471D" w:rsidRDefault="0039471D" w:rsidP="0039471D">
                          <w:pPr>
                            <w:spacing w:after="0"/>
                            <w:rPr>
                              <w:rFonts w:ascii="Calibri" w:eastAsia="Calibri" w:hAnsi="Calibri" w:cs="Calibri"/>
                              <w:noProof/>
                              <w:color w:val="FF0000"/>
                              <w:sz w:val="20"/>
                            </w:rPr>
                          </w:pPr>
                          <w:r w:rsidRPr="0039471D">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F32F51" id="_x0000_t202" coordsize="21600,21600" o:spt="202" path="m,l,21600r21600,l21600,xe">
              <v:stroke joinstyle="miter"/>
              <v:path gradientshapeok="t" o:connecttype="rect"/>
            </v:shapetype>
            <v:shape id="Text Box 16" o:spid="_x0000_s1029" type="#_x0000_t202" alt="OFFICIAL" style="position:absolute;margin-left:0;margin-top:0;width:34.95pt;height:34.9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07A2382" w14:textId="28B10BBB" w:rsidR="0039471D" w:rsidRPr="0039471D" w:rsidRDefault="0039471D" w:rsidP="0039471D">
                    <w:pPr>
                      <w:spacing w:after="0"/>
                      <w:rPr>
                        <w:rFonts w:ascii="Calibri" w:eastAsia="Calibri" w:hAnsi="Calibri" w:cs="Calibri"/>
                        <w:noProof/>
                        <w:color w:val="FF0000"/>
                        <w:sz w:val="20"/>
                      </w:rPr>
                    </w:pPr>
                    <w:r w:rsidRPr="0039471D">
                      <w:rPr>
                        <w:rFonts w:ascii="Calibri" w:eastAsia="Calibri" w:hAnsi="Calibri" w:cs="Calibri"/>
                        <w:noProof/>
                        <w:color w:val="FF0000"/>
                        <w:sz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0C96" w14:textId="4975C005" w:rsidR="00952C7A" w:rsidRPr="0041689E" w:rsidRDefault="0039471D" w:rsidP="006805B9">
    <w:pPr>
      <w:pStyle w:val="Header"/>
    </w:pPr>
    <w:r>
      <w:rPr>
        <w:noProof/>
      </w:rPr>
      <mc:AlternateContent>
        <mc:Choice Requires="wps">
          <w:drawing>
            <wp:anchor distT="0" distB="0" distL="0" distR="0" simplePos="0" relativeHeight="251658249" behindDoc="0" locked="0" layoutInCell="1" allowOverlap="1" wp14:anchorId="3107ABBD" wp14:editId="60338D0F">
              <wp:simplePos x="635" y="635"/>
              <wp:positionH relativeFrom="page">
                <wp:align>center</wp:align>
              </wp:positionH>
              <wp:positionV relativeFrom="page">
                <wp:align>top</wp:align>
              </wp:positionV>
              <wp:extent cx="443865" cy="443865"/>
              <wp:effectExtent l="0" t="0" r="16510" b="8890"/>
              <wp:wrapNone/>
              <wp:docPr id="17"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3D82FE" w14:textId="17D6FC54" w:rsidR="0039471D" w:rsidRPr="0039471D" w:rsidRDefault="0039471D" w:rsidP="0039471D">
                          <w:pPr>
                            <w:spacing w:after="0"/>
                            <w:rPr>
                              <w:rFonts w:ascii="Calibri" w:eastAsia="Calibri" w:hAnsi="Calibri" w:cs="Calibri"/>
                              <w:noProof/>
                              <w:color w:val="FF0000"/>
                              <w:sz w:val="20"/>
                            </w:rPr>
                          </w:pPr>
                          <w:r w:rsidRPr="0039471D">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07ABBD" id="_x0000_t202" coordsize="21600,21600" o:spt="202" path="m,l,21600r21600,l21600,xe">
              <v:stroke joinstyle="miter"/>
              <v:path gradientshapeok="t" o:connecttype="rect"/>
            </v:shapetype>
            <v:shape id="Text Box 17" o:spid="_x0000_s1030" type="#_x0000_t202" alt="OFFICIAL" style="position:absolute;margin-left:0;margin-top:0;width:34.95pt;height:34.9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93D82FE" w14:textId="17D6FC54" w:rsidR="0039471D" w:rsidRPr="0039471D" w:rsidRDefault="0039471D" w:rsidP="0039471D">
                    <w:pPr>
                      <w:spacing w:after="0"/>
                      <w:rPr>
                        <w:rFonts w:ascii="Calibri" w:eastAsia="Calibri" w:hAnsi="Calibri" w:cs="Calibri"/>
                        <w:noProof/>
                        <w:color w:val="FF0000"/>
                        <w:sz w:val="20"/>
                      </w:rPr>
                    </w:pPr>
                    <w:r w:rsidRPr="0039471D">
                      <w:rPr>
                        <w:rFonts w:ascii="Calibri" w:eastAsia="Calibri" w:hAnsi="Calibri" w:cs="Calibri"/>
                        <w:noProof/>
                        <w:color w:val="FF0000"/>
                        <w:sz w:val="20"/>
                      </w:rPr>
                      <w:t>OFFICIAL</w:t>
                    </w:r>
                  </w:p>
                </w:txbxContent>
              </v:textbox>
              <w10:wrap anchorx="page" anchory="page"/>
            </v:shape>
          </w:pict>
        </mc:Fallback>
      </mc:AlternateContent>
    </w:r>
    <w:r w:rsidR="00952C7A">
      <w:rPr>
        <w:noProof/>
      </w:rPr>
      <mc:AlternateContent>
        <mc:Choice Requires="wpg">
          <w:drawing>
            <wp:anchor distT="0" distB="0" distL="114300" distR="114300" simplePos="0" relativeHeight="251658242" behindDoc="0" locked="0" layoutInCell="1" allowOverlap="1" wp14:anchorId="08DE9A62" wp14:editId="5ED54471">
              <wp:simplePos x="0" y="0"/>
              <wp:positionH relativeFrom="page">
                <wp:posOffset>-31805</wp:posOffset>
              </wp:positionH>
              <wp:positionV relativeFrom="paragraph">
                <wp:posOffset>-440359</wp:posOffset>
              </wp:positionV>
              <wp:extent cx="7653528" cy="896112"/>
              <wp:effectExtent l="0" t="0" r="5080" b="0"/>
              <wp:wrapTopAndBottom/>
              <wp:docPr id="32" name="Group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653528" cy="896112"/>
                        <a:chOff x="914400" y="524786"/>
                        <a:chExt cx="5420963" cy="635888"/>
                      </a:xfrm>
                    </wpg:grpSpPr>
                    <wps:wsp>
                      <wps:cNvPr id="33" name="Shape 2"/>
                      <wps:cNvSpPr/>
                      <wps:spPr>
                        <a:xfrm>
                          <a:off x="3923918" y="524786"/>
                          <a:ext cx="2411445" cy="635888"/>
                        </a:xfrm>
                        <a:custGeom>
                          <a:avLst/>
                          <a:gdLst>
                            <a:gd name="connsiteX0" fmla="*/ 2411445 w 2411444"/>
                            <a:gd name="connsiteY0" fmla="*/ 0 h 769524"/>
                            <a:gd name="connsiteX1" fmla="*/ 0 w 2411444"/>
                            <a:gd name="connsiteY1" fmla="*/ 0 h 769524"/>
                            <a:gd name="connsiteX2" fmla="*/ 363760 w 2411444"/>
                            <a:gd name="connsiteY2" fmla="*/ 769525 h 769524"/>
                            <a:gd name="connsiteX3" fmla="*/ 2410111 w 2411444"/>
                            <a:gd name="connsiteY3" fmla="*/ 769525 h 769524"/>
                            <a:gd name="connsiteX4" fmla="*/ 2411445 w 2411444"/>
                            <a:gd name="connsiteY4" fmla="*/ 0 h 769524"/>
                            <a:gd name="connsiteX0" fmla="*/ 2411445 w 2411445"/>
                            <a:gd name="connsiteY0" fmla="*/ 0 h 769525"/>
                            <a:gd name="connsiteX1" fmla="*/ 0 w 2411445"/>
                            <a:gd name="connsiteY1" fmla="*/ 0 h 769525"/>
                            <a:gd name="connsiteX2" fmla="*/ 300185 w 2411445"/>
                            <a:gd name="connsiteY2" fmla="*/ 635888 h 769525"/>
                            <a:gd name="connsiteX3" fmla="*/ 2410111 w 2411445"/>
                            <a:gd name="connsiteY3" fmla="*/ 769525 h 769525"/>
                            <a:gd name="connsiteX4" fmla="*/ 2411445 w 2411445"/>
                            <a:gd name="connsiteY4" fmla="*/ 0 h 769525"/>
                            <a:gd name="connsiteX0" fmla="*/ 2411445 w 2411445"/>
                            <a:gd name="connsiteY0" fmla="*/ 0 h 635888"/>
                            <a:gd name="connsiteX1" fmla="*/ 0 w 2411445"/>
                            <a:gd name="connsiteY1" fmla="*/ 0 h 635888"/>
                            <a:gd name="connsiteX2" fmla="*/ 300185 w 2411445"/>
                            <a:gd name="connsiteY2" fmla="*/ 635888 h 635888"/>
                            <a:gd name="connsiteX3" fmla="*/ 2406138 w 2411445"/>
                            <a:gd name="connsiteY3" fmla="*/ 635722 h 635888"/>
                            <a:gd name="connsiteX4" fmla="*/ 2411445 w 2411445"/>
                            <a:gd name="connsiteY4" fmla="*/ 0 h 635888"/>
                            <a:gd name="connsiteX0" fmla="*/ 2411445 w 2411445"/>
                            <a:gd name="connsiteY0" fmla="*/ 0 h 640087"/>
                            <a:gd name="connsiteX1" fmla="*/ 0 w 2411445"/>
                            <a:gd name="connsiteY1" fmla="*/ 0 h 640087"/>
                            <a:gd name="connsiteX2" fmla="*/ 300185 w 2411445"/>
                            <a:gd name="connsiteY2" fmla="*/ 635888 h 640087"/>
                            <a:gd name="connsiteX3" fmla="*/ 2402164 w 2411445"/>
                            <a:gd name="connsiteY3" fmla="*/ 640087 h 640087"/>
                            <a:gd name="connsiteX4" fmla="*/ 2411445 w 2411445"/>
                            <a:gd name="connsiteY4" fmla="*/ 0 h 640087"/>
                            <a:gd name="connsiteX0" fmla="*/ 2411445 w 2411445"/>
                            <a:gd name="connsiteY0" fmla="*/ 0 h 635888"/>
                            <a:gd name="connsiteX1" fmla="*/ 0 w 2411445"/>
                            <a:gd name="connsiteY1" fmla="*/ 0 h 635888"/>
                            <a:gd name="connsiteX2" fmla="*/ 300185 w 2411445"/>
                            <a:gd name="connsiteY2" fmla="*/ 635888 h 635888"/>
                            <a:gd name="connsiteX3" fmla="*/ 2398605 w 2411445"/>
                            <a:gd name="connsiteY3" fmla="*/ 632969 h 635888"/>
                            <a:gd name="connsiteX4" fmla="*/ 2411445 w 2411445"/>
                            <a:gd name="connsiteY4" fmla="*/ 0 h 6358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11445" h="635888">
                              <a:moveTo>
                                <a:pt x="2411445" y="0"/>
                              </a:moveTo>
                              <a:lnTo>
                                <a:pt x="0" y="0"/>
                              </a:lnTo>
                              <a:lnTo>
                                <a:pt x="300185" y="635888"/>
                              </a:lnTo>
                              <a:lnTo>
                                <a:pt x="2398605" y="632969"/>
                              </a:lnTo>
                              <a:cubicBezTo>
                                <a:pt x="2399050" y="376461"/>
                                <a:pt x="2411000" y="256508"/>
                                <a:pt x="2411445" y="0"/>
                              </a:cubicBez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Shape 1"/>
                      <wps:cNvSpPr/>
                      <wps:spPr>
                        <a:xfrm>
                          <a:off x="914400" y="524786"/>
                          <a:ext cx="3329082" cy="337470"/>
                        </a:xfrm>
                        <a:custGeom>
                          <a:avLst/>
                          <a:gdLst>
                            <a:gd name="connsiteX0" fmla="*/ 0 w 3329082"/>
                            <a:gd name="connsiteY0" fmla="*/ 337471 h 337470"/>
                            <a:gd name="connsiteX1" fmla="*/ 3169539 w 3329082"/>
                            <a:gd name="connsiteY1" fmla="*/ 337471 h 337470"/>
                            <a:gd name="connsiteX2" fmla="*/ 3329083 w 3329082"/>
                            <a:gd name="connsiteY2" fmla="*/ 0 h 337470"/>
                            <a:gd name="connsiteX3" fmla="*/ 0 w 3329082"/>
                            <a:gd name="connsiteY3" fmla="*/ 0 h 337470"/>
                            <a:gd name="connsiteX4" fmla="*/ 0 w 3329082"/>
                            <a:gd name="connsiteY4" fmla="*/ 337471 h 3374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29082" h="337470">
                              <a:moveTo>
                                <a:pt x="0" y="337471"/>
                              </a:moveTo>
                              <a:lnTo>
                                <a:pt x="3169539" y="337471"/>
                              </a:lnTo>
                              <a:lnTo>
                                <a:pt x="3329083" y="0"/>
                              </a:lnTo>
                              <a:lnTo>
                                <a:pt x="0" y="0"/>
                              </a:lnTo>
                              <a:lnTo>
                                <a:pt x="0" y="337471"/>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B8BFE0" id="Group 32" o:spid="_x0000_s1026" alt="&quot;&quot;" style="position:absolute;margin-left:-2.5pt;margin-top:-34.65pt;width:602.65pt;height:70.55pt;z-index:251658242;mso-position-horizontal-relative:page;mso-width-relative:margin;mso-height-relative:margin" coordorigin="9144,5247" coordsize="54209,6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">
              <v:shape id="Shape 2" o:spid="_x0000_s1027" style="position:absolute;left:39239;top:5247;width:24114;height:6359;visibility:visible;mso-wrap-style:square;v-text-anchor:middle" coordsize="2411445,63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" path="m2411445,l,,300185,635888r2098420,-2919c2399050,376461,2411000,256508,2411445,xe" fillcolor="#00bac7 [3204]" stroked="f">
                <v:stroke joinstyle="miter"/>
                <v:path arrowok="t" o:connecttype="custom" o:connectlocs="2411445,0;0,0;300185,635888;2398605,632969;2411445,0" o:connectangles="0,0,0,0,0"/>
              </v:shape>
              <v:shape id="Shape 1" o:spid="_x0000_s1028" style="position:absolute;left:9144;top:5247;width:33290;height:3375;visibility:visible;mso-wrap-style:square;v-text-anchor:middle" coordsize="3329082,33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" path="m,337471r3169539,l3329083,,,,,337471xe" fillcolor="#232b39 [3213]" stroked="f">
                <v:stroke joinstyle="miter"/>
                <v:path arrowok="t" o:connecttype="custom" o:connectlocs="0,337471;3169539,337471;3329083,0;0,0;0,337471" o:connectangles="0,0,0,0,0"/>
              </v:shape>
              <w10:wrap type="topAndBottom" anchorx="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8DB6" w14:textId="7BB664CA" w:rsidR="00D04178" w:rsidRDefault="0039471D">
    <w:pPr>
      <w:pStyle w:val="Header"/>
    </w:pPr>
    <w:r>
      <w:rPr>
        <w:noProof/>
      </w:rPr>
      <mc:AlternateContent>
        <mc:Choice Requires="wps">
          <w:drawing>
            <wp:anchor distT="0" distB="0" distL="0" distR="0" simplePos="0" relativeHeight="251658247" behindDoc="0" locked="0" layoutInCell="1" allowOverlap="1" wp14:anchorId="0AC9AA6B" wp14:editId="1C626BEA">
              <wp:simplePos x="635" y="635"/>
              <wp:positionH relativeFrom="page">
                <wp:align>center</wp:align>
              </wp:positionH>
              <wp:positionV relativeFrom="page">
                <wp:align>top</wp:align>
              </wp:positionV>
              <wp:extent cx="443865" cy="443865"/>
              <wp:effectExtent l="0" t="0" r="16510" b="8890"/>
              <wp:wrapNone/>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974766" w14:textId="5C9ADAA3" w:rsidR="0039471D" w:rsidRPr="0039471D" w:rsidRDefault="0039471D" w:rsidP="0039471D">
                          <w:pPr>
                            <w:spacing w:after="0"/>
                            <w:rPr>
                              <w:rFonts w:ascii="Calibri" w:eastAsia="Calibri" w:hAnsi="Calibri" w:cs="Calibri"/>
                              <w:noProof/>
                              <w:color w:val="FF0000"/>
                              <w:sz w:val="20"/>
                            </w:rPr>
                          </w:pPr>
                          <w:r w:rsidRPr="0039471D">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C9AA6B" id="_x0000_t202" coordsize="21600,21600" o:spt="202" path="m,l,21600r21600,l21600,xe">
              <v:stroke joinstyle="miter"/>
              <v:path gradientshapeok="t" o:connecttype="rect"/>
            </v:shapetype>
            <v:shape id="Text Box 12" o:spid="_x0000_s1031" type="#_x0000_t202" alt="OFFICIAL" style="position:absolute;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0E974766" w14:textId="5C9ADAA3" w:rsidR="0039471D" w:rsidRPr="0039471D" w:rsidRDefault="0039471D" w:rsidP="0039471D">
                    <w:pPr>
                      <w:spacing w:after="0"/>
                      <w:rPr>
                        <w:rFonts w:ascii="Calibri" w:eastAsia="Calibri" w:hAnsi="Calibri" w:cs="Calibri"/>
                        <w:noProof/>
                        <w:color w:val="FF0000"/>
                        <w:sz w:val="20"/>
                      </w:rPr>
                    </w:pPr>
                    <w:r w:rsidRPr="0039471D">
                      <w:rPr>
                        <w:rFonts w:ascii="Calibri" w:eastAsia="Calibri" w:hAnsi="Calibri" w:cs="Calibri"/>
                        <w:noProof/>
                        <w:color w:val="FF0000"/>
                        <w:sz w:val="2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ADD0" w14:textId="4E7C4529" w:rsidR="00D04178" w:rsidRDefault="0039471D">
    <w:pPr>
      <w:pStyle w:val="Header"/>
    </w:pPr>
    <w:r>
      <w:rPr>
        <w:noProof/>
      </w:rPr>
      <mc:AlternateContent>
        <mc:Choice Requires="wps">
          <w:drawing>
            <wp:anchor distT="0" distB="0" distL="0" distR="0" simplePos="0" relativeHeight="251658250" behindDoc="0" locked="0" layoutInCell="1" allowOverlap="1" wp14:anchorId="44DD0F53" wp14:editId="5939F937">
              <wp:simplePos x="635" y="635"/>
              <wp:positionH relativeFrom="page">
                <wp:align>center</wp:align>
              </wp:positionH>
              <wp:positionV relativeFrom="page">
                <wp:align>top</wp:align>
              </wp:positionV>
              <wp:extent cx="443865" cy="443865"/>
              <wp:effectExtent l="0" t="0" r="16510" b="8890"/>
              <wp:wrapNone/>
              <wp:docPr id="20"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D68C76" w14:textId="74D76288" w:rsidR="0039471D" w:rsidRPr="0039471D" w:rsidRDefault="0039471D" w:rsidP="0039471D">
                          <w:pPr>
                            <w:spacing w:after="0"/>
                            <w:rPr>
                              <w:rFonts w:ascii="Calibri" w:eastAsia="Calibri" w:hAnsi="Calibri" w:cs="Calibri"/>
                              <w:noProof/>
                              <w:color w:val="FF0000"/>
                              <w:sz w:val="20"/>
                            </w:rPr>
                          </w:pPr>
                          <w:r w:rsidRPr="0039471D">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DD0F53" id="_x0000_t202" coordsize="21600,21600" o:spt="202" path="m,l,21600r21600,l21600,xe">
              <v:stroke joinstyle="miter"/>
              <v:path gradientshapeok="t" o:connecttype="rect"/>
            </v:shapetype>
            <v:shape id="Text Box 20" o:spid="_x0000_s1032" type="#_x0000_t202" alt="OFFICIAL" style="position:absolute;margin-left:0;margin-top:0;width:34.95pt;height:34.9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4FD68C76" w14:textId="74D76288" w:rsidR="0039471D" w:rsidRPr="0039471D" w:rsidRDefault="0039471D" w:rsidP="0039471D">
                    <w:pPr>
                      <w:spacing w:after="0"/>
                      <w:rPr>
                        <w:rFonts w:ascii="Calibri" w:eastAsia="Calibri" w:hAnsi="Calibri" w:cs="Calibri"/>
                        <w:noProof/>
                        <w:color w:val="FF0000"/>
                        <w:sz w:val="20"/>
                      </w:rPr>
                    </w:pPr>
                    <w:r w:rsidRPr="0039471D">
                      <w:rPr>
                        <w:rFonts w:ascii="Calibri" w:eastAsia="Calibri" w:hAnsi="Calibri" w:cs="Calibri"/>
                        <w:noProof/>
                        <w:color w:val="FF0000"/>
                        <w:sz w:val="2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B46B" w14:textId="1076228B" w:rsidR="00D04178" w:rsidRDefault="0039471D">
    <w:pPr>
      <w:pStyle w:val="Header"/>
    </w:pPr>
    <w:r>
      <w:rPr>
        <w:noProof/>
      </w:rPr>
      <mc:AlternateContent>
        <mc:Choice Requires="wps">
          <w:drawing>
            <wp:anchor distT="0" distB="0" distL="0" distR="0" simplePos="0" relativeHeight="251658251" behindDoc="0" locked="0" layoutInCell="1" allowOverlap="1" wp14:anchorId="1DD41074" wp14:editId="0534AF52">
              <wp:simplePos x="635" y="635"/>
              <wp:positionH relativeFrom="page">
                <wp:align>center</wp:align>
              </wp:positionH>
              <wp:positionV relativeFrom="page">
                <wp:align>top</wp:align>
              </wp:positionV>
              <wp:extent cx="443865" cy="443865"/>
              <wp:effectExtent l="0" t="0" r="16510" b="8890"/>
              <wp:wrapNone/>
              <wp:docPr id="22"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032265" w14:textId="314B5E40" w:rsidR="0039471D" w:rsidRPr="0039471D" w:rsidRDefault="0039471D" w:rsidP="0039471D">
                          <w:pPr>
                            <w:spacing w:after="0"/>
                            <w:rPr>
                              <w:rFonts w:ascii="Calibri" w:eastAsia="Calibri" w:hAnsi="Calibri" w:cs="Calibri"/>
                              <w:noProof/>
                              <w:color w:val="FF0000"/>
                              <w:sz w:val="20"/>
                            </w:rPr>
                          </w:pPr>
                          <w:r w:rsidRPr="0039471D">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D41074" id="_x0000_t202" coordsize="21600,21600" o:spt="202" path="m,l,21600r21600,l21600,xe">
              <v:stroke joinstyle="miter"/>
              <v:path gradientshapeok="t" o:connecttype="rect"/>
            </v:shapetype>
            <v:shape id="Text Box 22" o:spid="_x0000_s1033" type="#_x0000_t202" alt="OFFICIAL" style="position:absolute;margin-left:0;margin-top:0;width:34.95pt;height:34.9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36032265" w14:textId="314B5E40" w:rsidR="0039471D" w:rsidRPr="0039471D" w:rsidRDefault="0039471D" w:rsidP="0039471D">
                    <w:pPr>
                      <w:spacing w:after="0"/>
                      <w:rPr>
                        <w:rFonts w:ascii="Calibri" w:eastAsia="Calibri" w:hAnsi="Calibri" w:cs="Calibri"/>
                        <w:noProof/>
                        <w:color w:val="FF0000"/>
                        <w:sz w:val="20"/>
                      </w:rPr>
                    </w:pPr>
                    <w:r w:rsidRPr="0039471D">
                      <w:rPr>
                        <w:rFonts w:ascii="Calibri" w:eastAsia="Calibri" w:hAnsi="Calibri" w:cs="Calibri"/>
                        <w:noProof/>
                        <w:color w:val="FF0000"/>
                        <w:sz w:val="20"/>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8E1E" w14:textId="1AF72C4E" w:rsidR="00952C7A" w:rsidRDefault="00952C7A">
    <w:pPr>
      <w:pStyle w:val="Header"/>
    </w:pPr>
    <w:r>
      <w:rPr>
        <w:noProof/>
      </w:rPr>
      <mc:AlternateContent>
        <mc:Choice Requires="wpg">
          <w:drawing>
            <wp:anchor distT="0" distB="0" distL="114300" distR="114300" simplePos="0" relativeHeight="251658243" behindDoc="0" locked="0" layoutInCell="1" allowOverlap="1" wp14:anchorId="45D5A2F6" wp14:editId="176B5CE4">
              <wp:simplePos x="0" y="0"/>
              <wp:positionH relativeFrom="page">
                <wp:posOffset>1758</wp:posOffset>
              </wp:positionH>
              <wp:positionV relativeFrom="paragraph">
                <wp:posOffset>-448408</wp:posOffset>
              </wp:positionV>
              <wp:extent cx="7653528" cy="896112"/>
              <wp:effectExtent l="0" t="0" r="5080" b="0"/>
              <wp:wrapTopAndBottom/>
              <wp:docPr id="35" name="Group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653528" cy="896112"/>
                        <a:chOff x="914400" y="524786"/>
                        <a:chExt cx="5420963" cy="635888"/>
                      </a:xfrm>
                    </wpg:grpSpPr>
                    <wps:wsp>
                      <wps:cNvPr id="36" name="Shape 2"/>
                      <wps:cNvSpPr/>
                      <wps:spPr>
                        <a:xfrm>
                          <a:off x="3923918" y="524786"/>
                          <a:ext cx="2411445" cy="635888"/>
                        </a:xfrm>
                        <a:custGeom>
                          <a:avLst/>
                          <a:gdLst>
                            <a:gd name="connsiteX0" fmla="*/ 2411445 w 2411444"/>
                            <a:gd name="connsiteY0" fmla="*/ 0 h 769524"/>
                            <a:gd name="connsiteX1" fmla="*/ 0 w 2411444"/>
                            <a:gd name="connsiteY1" fmla="*/ 0 h 769524"/>
                            <a:gd name="connsiteX2" fmla="*/ 363760 w 2411444"/>
                            <a:gd name="connsiteY2" fmla="*/ 769525 h 769524"/>
                            <a:gd name="connsiteX3" fmla="*/ 2410111 w 2411444"/>
                            <a:gd name="connsiteY3" fmla="*/ 769525 h 769524"/>
                            <a:gd name="connsiteX4" fmla="*/ 2411445 w 2411444"/>
                            <a:gd name="connsiteY4" fmla="*/ 0 h 769524"/>
                            <a:gd name="connsiteX0" fmla="*/ 2411445 w 2411445"/>
                            <a:gd name="connsiteY0" fmla="*/ 0 h 769525"/>
                            <a:gd name="connsiteX1" fmla="*/ 0 w 2411445"/>
                            <a:gd name="connsiteY1" fmla="*/ 0 h 769525"/>
                            <a:gd name="connsiteX2" fmla="*/ 300185 w 2411445"/>
                            <a:gd name="connsiteY2" fmla="*/ 635888 h 769525"/>
                            <a:gd name="connsiteX3" fmla="*/ 2410111 w 2411445"/>
                            <a:gd name="connsiteY3" fmla="*/ 769525 h 769525"/>
                            <a:gd name="connsiteX4" fmla="*/ 2411445 w 2411445"/>
                            <a:gd name="connsiteY4" fmla="*/ 0 h 769525"/>
                            <a:gd name="connsiteX0" fmla="*/ 2411445 w 2411445"/>
                            <a:gd name="connsiteY0" fmla="*/ 0 h 635888"/>
                            <a:gd name="connsiteX1" fmla="*/ 0 w 2411445"/>
                            <a:gd name="connsiteY1" fmla="*/ 0 h 635888"/>
                            <a:gd name="connsiteX2" fmla="*/ 300185 w 2411445"/>
                            <a:gd name="connsiteY2" fmla="*/ 635888 h 635888"/>
                            <a:gd name="connsiteX3" fmla="*/ 2406138 w 2411445"/>
                            <a:gd name="connsiteY3" fmla="*/ 635722 h 635888"/>
                            <a:gd name="connsiteX4" fmla="*/ 2411445 w 2411445"/>
                            <a:gd name="connsiteY4" fmla="*/ 0 h 635888"/>
                            <a:gd name="connsiteX0" fmla="*/ 2411445 w 2411445"/>
                            <a:gd name="connsiteY0" fmla="*/ 0 h 640087"/>
                            <a:gd name="connsiteX1" fmla="*/ 0 w 2411445"/>
                            <a:gd name="connsiteY1" fmla="*/ 0 h 640087"/>
                            <a:gd name="connsiteX2" fmla="*/ 300185 w 2411445"/>
                            <a:gd name="connsiteY2" fmla="*/ 635888 h 640087"/>
                            <a:gd name="connsiteX3" fmla="*/ 2402164 w 2411445"/>
                            <a:gd name="connsiteY3" fmla="*/ 640087 h 640087"/>
                            <a:gd name="connsiteX4" fmla="*/ 2411445 w 2411445"/>
                            <a:gd name="connsiteY4" fmla="*/ 0 h 640087"/>
                            <a:gd name="connsiteX0" fmla="*/ 2411445 w 2411445"/>
                            <a:gd name="connsiteY0" fmla="*/ 0 h 635888"/>
                            <a:gd name="connsiteX1" fmla="*/ 0 w 2411445"/>
                            <a:gd name="connsiteY1" fmla="*/ 0 h 635888"/>
                            <a:gd name="connsiteX2" fmla="*/ 300185 w 2411445"/>
                            <a:gd name="connsiteY2" fmla="*/ 635888 h 635888"/>
                            <a:gd name="connsiteX3" fmla="*/ 2398605 w 2411445"/>
                            <a:gd name="connsiteY3" fmla="*/ 632969 h 635888"/>
                            <a:gd name="connsiteX4" fmla="*/ 2411445 w 2411445"/>
                            <a:gd name="connsiteY4" fmla="*/ 0 h 6358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11445" h="635888">
                              <a:moveTo>
                                <a:pt x="2411445" y="0"/>
                              </a:moveTo>
                              <a:lnTo>
                                <a:pt x="0" y="0"/>
                              </a:lnTo>
                              <a:lnTo>
                                <a:pt x="300185" y="635888"/>
                              </a:lnTo>
                              <a:lnTo>
                                <a:pt x="2398605" y="632969"/>
                              </a:lnTo>
                              <a:cubicBezTo>
                                <a:pt x="2399050" y="376461"/>
                                <a:pt x="2411000" y="256508"/>
                                <a:pt x="2411445" y="0"/>
                              </a:cubicBez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Shape 1"/>
                      <wps:cNvSpPr/>
                      <wps:spPr>
                        <a:xfrm>
                          <a:off x="914400" y="524786"/>
                          <a:ext cx="3329082" cy="337470"/>
                        </a:xfrm>
                        <a:custGeom>
                          <a:avLst/>
                          <a:gdLst>
                            <a:gd name="connsiteX0" fmla="*/ 0 w 3329082"/>
                            <a:gd name="connsiteY0" fmla="*/ 337471 h 337470"/>
                            <a:gd name="connsiteX1" fmla="*/ 3169539 w 3329082"/>
                            <a:gd name="connsiteY1" fmla="*/ 337471 h 337470"/>
                            <a:gd name="connsiteX2" fmla="*/ 3329083 w 3329082"/>
                            <a:gd name="connsiteY2" fmla="*/ 0 h 337470"/>
                            <a:gd name="connsiteX3" fmla="*/ 0 w 3329082"/>
                            <a:gd name="connsiteY3" fmla="*/ 0 h 337470"/>
                            <a:gd name="connsiteX4" fmla="*/ 0 w 3329082"/>
                            <a:gd name="connsiteY4" fmla="*/ 337471 h 3374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29082" h="337470">
                              <a:moveTo>
                                <a:pt x="0" y="337471"/>
                              </a:moveTo>
                              <a:lnTo>
                                <a:pt x="3169539" y="337471"/>
                              </a:lnTo>
                              <a:lnTo>
                                <a:pt x="3329083" y="0"/>
                              </a:lnTo>
                              <a:lnTo>
                                <a:pt x="0" y="0"/>
                              </a:lnTo>
                              <a:lnTo>
                                <a:pt x="0" y="337471"/>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11006D" id="Group 35" o:spid="_x0000_s1026" alt="&quot;&quot;" style="position:absolute;margin-left:.15pt;margin-top:-35.3pt;width:602.65pt;height:70.55pt;z-index:251658243;mso-position-horizontal-relative:page;mso-width-relative:margin;mso-height-relative:margin" coordorigin="9144,5247" coordsize="54209,6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">
              <v:shape id="Shape 2" o:spid="_x0000_s1027" style="position:absolute;left:39239;top:5247;width:24114;height:6359;visibility:visible;mso-wrap-style:square;v-text-anchor:middle" coordsize="2411445,63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" path="m2411445,l,,300185,635888r2098420,-2919c2399050,376461,2411000,256508,2411445,xe" fillcolor="#00bac7 [3204]" stroked="f">
                <v:stroke joinstyle="miter"/>
                <v:path arrowok="t" o:connecttype="custom" o:connectlocs="2411445,0;0,0;300185,635888;2398605,632969;2411445,0" o:connectangles="0,0,0,0,0"/>
              </v:shape>
              <v:shape id="Shape 1" o:spid="_x0000_s1028" style="position:absolute;left:9144;top:5247;width:33290;height:3375;visibility:visible;mso-wrap-style:square;v-text-anchor:middle" coordsize="3329082,33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" path="m,337471r3169539,l3329083,,,,,337471xe" fillcolor="#232b39 [3213]" stroked="f">
                <v:stroke joinstyle="miter"/>
                <v:path arrowok="t" o:connecttype="custom" o:connectlocs="0,337471;3169539,337471;3329083,0;0,0;0,337471" o:connectangles="0,0,0,0,0"/>
              </v:shape>
              <w10:wrap type="topAndBottom"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437"/>
    <w:multiLevelType w:val="hybridMultilevel"/>
    <w:tmpl w:val="F2EC0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7695A"/>
    <w:multiLevelType w:val="hybridMultilevel"/>
    <w:tmpl w:val="5F746F0A"/>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D770C75"/>
    <w:multiLevelType w:val="hybridMultilevel"/>
    <w:tmpl w:val="4C9EC3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46D3A6A"/>
    <w:multiLevelType w:val="multilevel"/>
    <w:tmpl w:val="E9B08470"/>
    <w:lvl w:ilvl="0">
      <w:start w:val="1"/>
      <w:numFmt w:val="bullet"/>
      <w:pStyle w:val="Bullet1"/>
      <w:lvlText w:val=""/>
      <w:lvlJc w:val="left"/>
      <w:pPr>
        <w:tabs>
          <w:tab w:val="num" w:pos="360"/>
        </w:tabs>
        <w:ind w:left="360" w:hanging="360"/>
      </w:pPr>
      <w:rPr>
        <w:rFonts w:ascii="Symbol" w:hAnsi="Symbol" w:hint="default"/>
        <w:b w:val="0"/>
        <w:i w:val="0"/>
        <w:vanish w:val="0"/>
        <w:color w:val="auto"/>
        <w:sz w:val="18"/>
        <w:szCs w:val="18"/>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4B107605"/>
    <w:multiLevelType w:val="hybridMultilevel"/>
    <w:tmpl w:val="028CE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FD5EA2"/>
    <w:multiLevelType w:val="hybridMultilevel"/>
    <w:tmpl w:val="61F466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F094C30"/>
    <w:multiLevelType w:val="hybridMultilevel"/>
    <w:tmpl w:val="104A669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8" w15:restartNumberingAfterBreak="0">
    <w:nsid w:val="572436F3"/>
    <w:multiLevelType w:val="multilevel"/>
    <w:tmpl w:val="AE6879AA"/>
    <w:lvl w:ilvl="0">
      <w:start w:val="1"/>
      <w:numFmt w:val="decimal"/>
      <w:pStyle w:val="Reconum"/>
      <w:lvlText w:val="%1."/>
      <w:lvlJc w:val="left"/>
      <w:pPr>
        <w:tabs>
          <w:tab w:val="num" w:pos="504"/>
        </w:tabs>
        <w:ind w:left="504" w:hanging="504"/>
      </w:pPr>
      <w:rPr>
        <w:b w:val="0"/>
        <w:bCs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42F06E7"/>
    <w:multiLevelType w:val="hybridMultilevel"/>
    <w:tmpl w:val="E06E6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B361FC2"/>
    <w:multiLevelType w:val="hybridMultilevel"/>
    <w:tmpl w:val="61F466F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836306843">
    <w:abstractNumId w:val="4"/>
  </w:num>
  <w:num w:numId="2" w16cid:durableId="1948855344">
    <w:abstractNumId w:val="4"/>
  </w:num>
  <w:num w:numId="3" w16cid:durableId="1529372248">
    <w:abstractNumId w:val="10"/>
  </w:num>
  <w:num w:numId="4" w16cid:durableId="434132145">
    <w:abstractNumId w:val="12"/>
  </w:num>
  <w:num w:numId="5" w16cid:durableId="1511797183">
    <w:abstractNumId w:val="3"/>
  </w:num>
  <w:num w:numId="6" w16cid:durableId="7431824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0278587">
    <w:abstractNumId w:val="2"/>
  </w:num>
  <w:num w:numId="8" w16cid:durableId="1443568815">
    <w:abstractNumId w:val="6"/>
  </w:num>
  <w:num w:numId="9" w16cid:durableId="698553406">
    <w:abstractNumId w:val="11"/>
  </w:num>
  <w:num w:numId="10" w16cid:durableId="2013332234">
    <w:abstractNumId w:val="7"/>
  </w:num>
  <w:num w:numId="11" w16cid:durableId="786237696">
    <w:abstractNumId w:val="0"/>
  </w:num>
  <w:num w:numId="12" w16cid:durableId="1199398172">
    <w:abstractNumId w:val="5"/>
  </w:num>
  <w:num w:numId="13" w16cid:durableId="566109552">
    <w:abstractNumId w:val="9"/>
  </w:num>
  <w:num w:numId="14" w16cid:durableId="3285076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8E"/>
    <w:rsid w:val="00003476"/>
    <w:rsid w:val="00010B7A"/>
    <w:rsid w:val="00012F6F"/>
    <w:rsid w:val="00014213"/>
    <w:rsid w:val="00014B55"/>
    <w:rsid w:val="00017295"/>
    <w:rsid w:val="0001736C"/>
    <w:rsid w:val="00020E3E"/>
    <w:rsid w:val="00023BF3"/>
    <w:rsid w:val="00024E0C"/>
    <w:rsid w:val="00026811"/>
    <w:rsid w:val="00030708"/>
    <w:rsid w:val="0003137F"/>
    <w:rsid w:val="00032F5F"/>
    <w:rsid w:val="00043296"/>
    <w:rsid w:val="0004356D"/>
    <w:rsid w:val="00045296"/>
    <w:rsid w:val="00047D1F"/>
    <w:rsid w:val="00050EFC"/>
    <w:rsid w:val="00053EF2"/>
    <w:rsid w:val="00072A2A"/>
    <w:rsid w:val="000747F2"/>
    <w:rsid w:val="00075E6C"/>
    <w:rsid w:val="00077797"/>
    <w:rsid w:val="00081F09"/>
    <w:rsid w:val="00090171"/>
    <w:rsid w:val="0009489C"/>
    <w:rsid w:val="00096FFA"/>
    <w:rsid w:val="000A0081"/>
    <w:rsid w:val="000A1884"/>
    <w:rsid w:val="000A39C0"/>
    <w:rsid w:val="000A4979"/>
    <w:rsid w:val="000A6265"/>
    <w:rsid w:val="000A7AA6"/>
    <w:rsid w:val="000B29AD"/>
    <w:rsid w:val="000B3C04"/>
    <w:rsid w:val="000B5CFD"/>
    <w:rsid w:val="000B72EC"/>
    <w:rsid w:val="000C2415"/>
    <w:rsid w:val="000C2549"/>
    <w:rsid w:val="000C56CB"/>
    <w:rsid w:val="000C6372"/>
    <w:rsid w:val="000D55D4"/>
    <w:rsid w:val="000D593F"/>
    <w:rsid w:val="000D738C"/>
    <w:rsid w:val="000D7706"/>
    <w:rsid w:val="000E07F8"/>
    <w:rsid w:val="000E392D"/>
    <w:rsid w:val="000F4288"/>
    <w:rsid w:val="000F7165"/>
    <w:rsid w:val="00102379"/>
    <w:rsid w:val="001032C4"/>
    <w:rsid w:val="001065D6"/>
    <w:rsid w:val="001105E4"/>
    <w:rsid w:val="00111D47"/>
    <w:rsid w:val="001136C3"/>
    <w:rsid w:val="001177ED"/>
    <w:rsid w:val="0012094E"/>
    <w:rsid w:val="00121252"/>
    <w:rsid w:val="00124609"/>
    <w:rsid w:val="001254CE"/>
    <w:rsid w:val="00125514"/>
    <w:rsid w:val="00126AF9"/>
    <w:rsid w:val="00126CC7"/>
    <w:rsid w:val="001343BC"/>
    <w:rsid w:val="00134562"/>
    <w:rsid w:val="00134CEA"/>
    <w:rsid w:val="001407FE"/>
    <w:rsid w:val="001422CC"/>
    <w:rsid w:val="00143D6F"/>
    <w:rsid w:val="00145099"/>
    <w:rsid w:val="0014575B"/>
    <w:rsid w:val="00145D01"/>
    <w:rsid w:val="00147869"/>
    <w:rsid w:val="00147BD3"/>
    <w:rsid w:val="001617B6"/>
    <w:rsid w:val="0016324A"/>
    <w:rsid w:val="00163EAC"/>
    <w:rsid w:val="00165E66"/>
    <w:rsid w:val="001662C3"/>
    <w:rsid w:val="00167A8C"/>
    <w:rsid w:val="001720D3"/>
    <w:rsid w:val="0017218A"/>
    <w:rsid w:val="00175AB3"/>
    <w:rsid w:val="00176AD3"/>
    <w:rsid w:val="00187629"/>
    <w:rsid w:val="001A1047"/>
    <w:rsid w:val="001A3DD1"/>
    <w:rsid w:val="001A4FF3"/>
    <w:rsid w:val="001A74B1"/>
    <w:rsid w:val="001B2425"/>
    <w:rsid w:val="001B3406"/>
    <w:rsid w:val="001B73E4"/>
    <w:rsid w:val="001C0259"/>
    <w:rsid w:val="001C31DC"/>
    <w:rsid w:val="001C5CDC"/>
    <w:rsid w:val="001C7BAE"/>
    <w:rsid w:val="001D2979"/>
    <w:rsid w:val="001D42E5"/>
    <w:rsid w:val="001D4E94"/>
    <w:rsid w:val="001D717E"/>
    <w:rsid w:val="001E1FD1"/>
    <w:rsid w:val="001E31FA"/>
    <w:rsid w:val="001E64F6"/>
    <w:rsid w:val="001F37D7"/>
    <w:rsid w:val="001F7CBA"/>
    <w:rsid w:val="00200824"/>
    <w:rsid w:val="00200BB3"/>
    <w:rsid w:val="00213967"/>
    <w:rsid w:val="00222BEB"/>
    <w:rsid w:val="00225470"/>
    <w:rsid w:val="00225E60"/>
    <w:rsid w:val="0022656F"/>
    <w:rsid w:val="00227C39"/>
    <w:rsid w:val="00230337"/>
    <w:rsid w:val="0023202C"/>
    <w:rsid w:val="00234341"/>
    <w:rsid w:val="00235B25"/>
    <w:rsid w:val="00236203"/>
    <w:rsid w:val="002401F6"/>
    <w:rsid w:val="00240614"/>
    <w:rsid w:val="002418F9"/>
    <w:rsid w:val="00241B2B"/>
    <w:rsid w:val="00245043"/>
    <w:rsid w:val="00250CDB"/>
    <w:rsid w:val="00253A67"/>
    <w:rsid w:val="002576CA"/>
    <w:rsid w:val="00257760"/>
    <w:rsid w:val="002618CF"/>
    <w:rsid w:val="00264E70"/>
    <w:rsid w:val="0026508E"/>
    <w:rsid w:val="00265A5F"/>
    <w:rsid w:val="002678F9"/>
    <w:rsid w:val="00271D39"/>
    <w:rsid w:val="002730AF"/>
    <w:rsid w:val="00286991"/>
    <w:rsid w:val="00291E0B"/>
    <w:rsid w:val="00292D36"/>
    <w:rsid w:val="002937F1"/>
    <w:rsid w:val="00294A91"/>
    <w:rsid w:val="00297281"/>
    <w:rsid w:val="002A3E0D"/>
    <w:rsid w:val="002B0B21"/>
    <w:rsid w:val="002B67C4"/>
    <w:rsid w:val="002B790B"/>
    <w:rsid w:val="002C06A6"/>
    <w:rsid w:val="002C1677"/>
    <w:rsid w:val="002C175A"/>
    <w:rsid w:val="002C54E0"/>
    <w:rsid w:val="002C5F0B"/>
    <w:rsid w:val="002D57ED"/>
    <w:rsid w:val="002D711A"/>
    <w:rsid w:val="002D7336"/>
    <w:rsid w:val="002E01DC"/>
    <w:rsid w:val="002E0A8C"/>
    <w:rsid w:val="002E3396"/>
    <w:rsid w:val="002E535A"/>
    <w:rsid w:val="002F4024"/>
    <w:rsid w:val="002F49D6"/>
    <w:rsid w:val="002F5093"/>
    <w:rsid w:val="0031149C"/>
    <w:rsid w:val="00313BAD"/>
    <w:rsid w:val="00321839"/>
    <w:rsid w:val="00323E1E"/>
    <w:rsid w:val="00325198"/>
    <w:rsid w:val="00326BD2"/>
    <w:rsid w:val="00327364"/>
    <w:rsid w:val="00330A9A"/>
    <w:rsid w:val="00337046"/>
    <w:rsid w:val="00341866"/>
    <w:rsid w:val="00344C72"/>
    <w:rsid w:val="00345262"/>
    <w:rsid w:val="0035599B"/>
    <w:rsid w:val="00360CC5"/>
    <w:rsid w:val="00362F2C"/>
    <w:rsid w:val="00366C87"/>
    <w:rsid w:val="00367AF0"/>
    <w:rsid w:val="00370857"/>
    <w:rsid w:val="00372274"/>
    <w:rsid w:val="0037454C"/>
    <w:rsid w:val="00381FB1"/>
    <w:rsid w:val="0038345E"/>
    <w:rsid w:val="003846BF"/>
    <w:rsid w:val="00385E03"/>
    <w:rsid w:val="0038771C"/>
    <w:rsid w:val="003901EA"/>
    <w:rsid w:val="00392A8F"/>
    <w:rsid w:val="00393FE6"/>
    <w:rsid w:val="0039405B"/>
    <w:rsid w:val="0039471D"/>
    <w:rsid w:val="00395FF9"/>
    <w:rsid w:val="0039651F"/>
    <w:rsid w:val="003A0212"/>
    <w:rsid w:val="003A1C92"/>
    <w:rsid w:val="003A541A"/>
    <w:rsid w:val="003A6923"/>
    <w:rsid w:val="003B1848"/>
    <w:rsid w:val="003B607B"/>
    <w:rsid w:val="003C2C67"/>
    <w:rsid w:val="003C2EA2"/>
    <w:rsid w:val="003C4387"/>
    <w:rsid w:val="003C49A1"/>
    <w:rsid w:val="003C5BA4"/>
    <w:rsid w:val="003D1D98"/>
    <w:rsid w:val="003D44CB"/>
    <w:rsid w:val="003E2193"/>
    <w:rsid w:val="003E24D2"/>
    <w:rsid w:val="003E3E26"/>
    <w:rsid w:val="003F0902"/>
    <w:rsid w:val="003F1295"/>
    <w:rsid w:val="003F5A27"/>
    <w:rsid w:val="003F76FC"/>
    <w:rsid w:val="004002EB"/>
    <w:rsid w:val="00405C57"/>
    <w:rsid w:val="00406C0B"/>
    <w:rsid w:val="00406DC4"/>
    <w:rsid w:val="004101FB"/>
    <w:rsid w:val="0041689E"/>
    <w:rsid w:val="004208E1"/>
    <w:rsid w:val="00422A52"/>
    <w:rsid w:val="004236C8"/>
    <w:rsid w:val="00427681"/>
    <w:rsid w:val="0043199E"/>
    <w:rsid w:val="00431C16"/>
    <w:rsid w:val="00433DB7"/>
    <w:rsid w:val="00434054"/>
    <w:rsid w:val="004354AC"/>
    <w:rsid w:val="00441731"/>
    <w:rsid w:val="004460DF"/>
    <w:rsid w:val="00452018"/>
    <w:rsid w:val="0045353C"/>
    <w:rsid w:val="00453750"/>
    <w:rsid w:val="00456941"/>
    <w:rsid w:val="00456DC5"/>
    <w:rsid w:val="00465E86"/>
    <w:rsid w:val="004669E3"/>
    <w:rsid w:val="00466F0F"/>
    <w:rsid w:val="004702EA"/>
    <w:rsid w:val="00476602"/>
    <w:rsid w:val="004801B8"/>
    <w:rsid w:val="00482D02"/>
    <w:rsid w:val="00485087"/>
    <w:rsid w:val="00486BB5"/>
    <w:rsid w:val="00491C72"/>
    <w:rsid w:val="00494027"/>
    <w:rsid w:val="00494563"/>
    <w:rsid w:val="00496CBE"/>
    <w:rsid w:val="00497C6C"/>
    <w:rsid w:val="004A7519"/>
    <w:rsid w:val="004B41CA"/>
    <w:rsid w:val="004B488B"/>
    <w:rsid w:val="004B6358"/>
    <w:rsid w:val="004C7125"/>
    <w:rsid w:val="004D3518"/>
    <w:rsid w:val="004D4572"/>
    <w:rsid w:val="004D62D6"/>
    <w:rsid w:val="004E1EF0"/>
    <w:rsid w:val="004E4DB8"/>
    <w:rsid w:val="004E792A"/>
    <w:rsid w:val="004E7F11"/>
    <w:rsid w:val="004F5395"/>
    <w:rsid w:val="00503EBE"/>
    <w:rsid w:val="005129A3"/>
    <w:rsid w:val="00514202"/>
    <w:rsid w:val="00522F8A"/>
    <w:rsid w:val="005314EF"/>
    <w:rsid w:val="0053416C"/>
    <w:rsid w:val="005409EA"/>
    <w:rsid w:val="00541A73"/>
    <w:rsid w:val="00541C2F"/>
    <w:rsid w:val="00545C36"/>
    <w:rsid w:val="00550265"/>
    <w:rsid w:val="00555C33"/>
    <w:rsid w:val="00562BF6"/>
    <w:rsid w:val="00563527"/>
    <w:rsid w:val="00566168"/>
    <w:rsid w:val="005669C5"/>
    <w:rsid w:val="005700BA"/>
    <w:rsid w:val="00576B22"/>
    <w:rsid w:val="00576E4E"/>
    <w:rsid w:val="00580CF7"/>
    <w:rsid w:val="0058124E"/>
    <w:rsid w:val="005822E4"/>
    <w:rsid w:val="00584301"/>
    <w:rsid w:val="00584E1E"/>
    <w:rsid w:val="00586A87"/>
    <w:rsid w:val="005875A3"/>
    <w:rsid w:val="00594498"/>
    <w:rsid w:val="00594AA3"/>
    <w:rsid w:val="005A1A09"/>
    <w:rsid w:val="005A3416"/>
    <w:rsid w:val="005A726E"/>
    <w:rsid w:val="005A7522"/>
    <w:rsid w:val="005B27FE"/>
    <w:rsid w:val="005C28EB"/>
    <w:rsid w:val="005C3E6D"/>
    <w:rsid w:val="005C4838"/>
    <w:rsid w:val="005D1AFF"/>
    <w:rsid w:val="005E4FC4"/>
    <w:rsid w:val="005F0248"/>
    <w:rsid w:val="005F08D8"/>
    <w:rsid w:val="005F331D"/>
    <w:rsid w:val="005F3AEF"/>
    <w:rsid w:val="005F61DF"/>
    <w:rsid w:val="005F6CE6"/>
    <w:rsid w:val="00600289"/>
    <w:rsid w:val="006023F9"/>
    <w:rsid w:val="00610559"/>
    <w:rsid w:val="00613D56"/>
    <w:rsid w:val="00620B5B"/>
    <w:rsid w:val="00624C32"/>
    <w:rsid w:val="00630D9E"/>
    <w:rsid w:val="00632680"/>
    <w:rsid w:val="006332BF"/>
    <w:rsid w:val="006332F6"/>
    <w:rsid w:val="006361E7"/>
    <w:rsid w:val="00641096"/>
    <w:rsid w:val="00644797"/>
    <w:rsid w:val="006452D5"/>
    <w:rsid w:val="006522F4"/>
    <w:rsid w:val="00652625"/>
    <w:rsid w:val="00652BF2"/>
    <w:rsid w:val="006534B2"/>
    <w:rsid w:val="00653DDF"/>
    <w:rsid w:val="0065615D"/>
    <w:rsid w:val="006561B1"/>
    <w:rsid w:val="00657011"/>
    <w:rsid w:val="00663470"/>
    <w:rsid w:val="00663890"/>
    <w:rsid w:val="00663DF9"/>
    <w:rsid w:val="006650B5"/>
    <w:rsid w:val="006651B1"/>
    <w:rsid w:val="00665778"/>
    <w:rsid w:val="00670891"/>
    <w:rsid w:val="006738C4"/>
    <w:rsid w:val="0067611C"/>
    <w:rsid w:val="006805B9"/>
    <w:rsid w:val="00680D23"/>
    <w:rsid w:val="00690B7B"/>
    <w:rsid w:val="00691C09"/>
    <w:rsid w:val="00692B10"/>
    <w:rsid w:val="00692E5F"/>
    <w:rsid w:val="006945CA"/>
    <w:rsid w:val="00697F09"/>
    <w:rsid w:val="006A314E"/>
    <w:rsid w:val="006A4660"/>
    <w:rsid w:val="006A5B34"/>
    <w:rsid w:val="006A5F5B"/>
    <w:rsid w:val="006B1F3E"/>
    <w:rsid w:val="006B2987"/>
    <w:rsid w:val="006B690E"/>
    <w:rsid w:val="006C05A8"/>
    <w:rsid w:val="006C6596"/>
    <w:rsid w:val="006C77A9"/>
    <w:rsid w:val="006D19FF"/>
    <w:rsid w:val="006D295E"/>
    <w:rsid w:val="006D5A66"/>
    <w:rsid w:val="006E19A7"/>
    <w:rsid w:val="006E36EA"/>
    <w:rsid w:val="006E5C09"/>
    <w:rsid w:val="006E7211"/>
    <w:rsid w:val="006F0269"/>
    <w:rsid w:val="006F5A6C"/>
    <w:rsid w:val="006F6693"/>
    <w:rsid w:val="00704479"/>
    <w:rsid w:val="00707FE8"/>
    <w:rsid w:val="0071153D"/>
    <w:rsid w:val="00711DDD"/>
    <w:rsid w:val="007120C4"/>
    <w:rsid w:val="00717734"/>
    <w:rsid w:val="00717EA2"/>
    <w:rsid w:val="00722F60"/>
    <w:rsid w:val="00724962"/>
    <w:rsid w:val="00724A0F"/>
    <w:rsid w:val="00727AFF"/>
    <w:rsid w:val="0073072C"/>
    <w:rsid w:val="007320B4"/>
    <w:rsid w:val="00732162"/>
    <w:rsid w:val="00736732"/>
    <w:rsid w:val="0074137F"/>
    <w:rsid w:val="0074789A"/>
    <w:rsid w:val="007502B5"/>
    <w:rsid w:val="00750CBE"/>
    <w:rsid w:val="00755BDD"/>
    <w:rsid w:val="007618C6"/>
    <w:rsid w:val="007622FD"/>
    <w:rsid w:val="00766B5A"/>
    <w:rsid w:val="00770E8E"/>
    <w:rsid w:val="00772A4C"/>
    <w:rsid w:val="007737DB"/>
    <w:rsid w:val="00773C3C"/>
    <w:rsid w:val="00774846"/>
    <w:rsid w:val="00774FC2"/>
    <w:rsid w:val="007769E8"/>
    <w:rsid w:val="007834F2"/>
    <w:rsid w:val="00786B0A"/>
    <w:rsid w:val="00790B18"/>
    <w:rsid w:val="00791020"/>
    <w:rsid w:val="0079253B"/>
    <w:rsid w:val="00795C4F"/>
    <w:rsid w:val="007977AC"/>
    <w:rsid w:val="007A0CFB"/>
    <w:rsid w:val="007A4A4F"/>
    <w:rsid w:val="007A4CE5"/>
    <w:rsid w:val="007A5F82"/>
    <w:rsid w:val="007B141C"/>
    <w:rsid w:val="007B356D"/>
    <w:rsid w:val="007B3810"/>
    <w:rsid w:val="007B75A4"/>
    <w:rsid w:val="007D15B0"/>
    <w:rsid w:val="007D15BC"/>
    <w:rsid w:val="007D28FE"/>
    <w:rsid w:val="007E5760"/>
    <w:rsid w:val="007E69D8"/>
    <w:rsid w:val="007F1A4C"/>
    <w:rsid w:val="007F614B"/>
    <w:rsid w:val="008022C3"/>
    <w:rsid w:val="00802C12"/>
    <w:rsid w:val="008041E6"/>
    <w:rsid w:val="008065D2"/>
    <w:rsid w:val="008105FA"/>
    <w:rsid w:val="0082194C"/>
    <w:rsid w:val="008220C4"/>
    <w:rsid w:val="008222FF"/>
    <w:rsid w:val="00822DEC"/>
    <w:rsid w:val="008241FF"/>
    <w:rsid w:val="008267D4"/>
    <w:rsid w:val="008307D3"/>
    <w:rsid w:val="00830AB6"/>
    <w:rsid w:val="00833213"/>
    <w:rsid w:val="00833961"/>
    <w:rsid w:val="00836719"/>
    <w:rsid w:val="00836B74"/>
    <w:rsid w:val="00841100"/>
    <w:rsid w:val="008411E9"/>
    <w:rsid w:val="0084200F"/>
    <w:rsid w:val="00843B2C"/>
    <w:rsid w:val="0084410B"/>
    <w:rsid w:val="00844DD9"/>
    <w:rsid w:val="008460B4"/>
    <w:rsid w:val="008471C4"/>
    <w:rsid w:val="00847331"/>
    <w:rsid w:val="0085061A"/>
    <w:rsid w:val="008536C3"/>
    <w:rsid w:val="00861218"/>
    <w:rsid w:val="00864D6A"/>
    <w:rsid w:val="00871613"/>
    <w:rsid w:val="00875375"/>
    <w:rsid w:val="00895FE2"/>
    <w:rsid w:val="008A30FB"/>
    <w:rsid w:val="008A4900"/>
    <w:rsid w:val="008A5BBE"/>
    <w:rsid w:val="008A5F8E"/>
    <w:rsid w:val="008B5595"/>
    <w:rsid w:val="008C0FE9"/>
    <w:rsid w:val="008C2CB6"/>
    <w:rsid w:val="008C496C"/>
    <w:rsid w:val="008D0243"/>
    <w:rsid w:val="008D0281"/>
    <w:rsid w:val="008D2085"/>
    <w:rsid w:val="008D4862"/>
    <w:rsid w:val="008D7B73"/>
    <w:rsid w:val="008E1929"/>
    <w:rsid w:val="008E3C4E"/>
    <w:rsid w:val="008E49B3"/>
    <w:rsid w:val="008E4AC0"/>
    <w:rsid w:val="008F6D45"/>
    <w:rsid w:val="0090744B"/>
    <w:rsid w:val="00913155"/>
    <w:rsid w:val="00914C72"/>
    <w:rsid w:val="00917B3A"/>
    <w:rsid w:val="009300FF"/>
    <w:rsid w:val="0093332E"/>
    <w:rsid w:val="00933C15"/>
    <w:rsid w:val="0094087F"/>
    <w:rsid w:val="00944E37"/>
    <w:rsid w:val="00945864"/>
    <w:rsid w:val="00950ED9"/>
    <w:rsid w:val="00952C7A"/>
    <w:rsid w:val="00952D73"/>
    <w:rsid w:val="00954DFC"/>
    <w:rsid w:val="00955B5A"/>
    <w:rsid w:val="009601DB"/>
    <w:rsid w:val="00962358"/>
    <w:rsid w:val="009628C5"/>
    <w:rsid w:val="00965296"/>
    <w:rsid w:val="0096774E"/>
    <w:rsid w:val="0097021A"/>
    <w:rsid w:val="00972941"/>
    <w:rsid w:val="00973844"/>
    <w:rsid w:val="00973AEA"/>
    <w:rsid w:val="00975A7E"/>
    <w:rsid w:val="009760A3"/>
    <w:rsid w:val="009834C0"/>
    <w:rsid w:val="00984C95"/>
    <w:rsid w:val="00986AAC"/>
    <w:rsid w:val="00991024"/>
    <w:rsid w:val="00991D52"/>
    <w:rsid w:val="00997534"/>
    <w:rsid w:val="009A04FF"/>
    <w:rsid w:val="009A1DA2"/>
    <w:rsid w:val="009A3704"/>
    <w:rsid w:val="009A4739"/>
    <w:rsid w:val="009A674F"/>
    <w:rsid w:val="009B07CA"/>
    <w:rsid w:val="009B199C"/>
    <w:rsid w:val="009B508D"/>
    <w:rsid w:val="009B54C8"/>
    <w:rsid w:val="009B61F1"/>
    <w:rsid w:val="009B62E0"/>
    <w:rsid w:val="009B7ABA"/>
    <w:rsid w:val="009C3D88"/>
    <w:rsid w:val="009C7E16"/>
    <w:rsid w:val="009D1E26"/>
    <w:rsid w:val="009D66BC"/>
    <w:rsid w:val="009D6B6D"/>
    <w:rsid w:val="009D72DF"/>
    <w:rsid w:val="009E3858"/>
    <w:rsid w:val="009E70DD"/>
    <w:rsid w:val="009E7F3E"/>
    <w:rsid w:val="009F2ED9"/>
    <w:rsid w:val="009F3231"/>
    <w:rsid w:val="009F5C58"/>
    <w:rsid w:val="00A010BA"/>
    <w:rsid w:val="00A023A0"/>
    <w:rsid w:val="00A11F28"/>
    <w:rsid w:val="00A152CD"/>
    <w:rsid w:val="00A1562B"/>
    <w:rsid w:val="00A170F4"/>
    <w:rsid w:val="00A24F1E"/>
    <w:rsid w:val="00A2559E"/>
    <w:rsid w:val="00A25FD9"/>
    <w:rsid w:val="00A26597"/>
    <w:rsid w:val="00A30E0A"/>
    <w:rsid w:val="00A36C91"/>
    <w:rsid w:val="00A4245D"/>
    <w:rsid w:val="00A46BA8"/>
    <w:rsid w:val="00A47634"/>
    <w:rsid w:val="00A54515"/>
    <w:rsid w:val="00A612FE"/>
    <w:rsid w:val="00A61482"/>
    <w:rsid w:val="00A72BE0"/>
    <w:rsid w:val="00A7475F"/>
    <w:rsid w:val="00A87709"/>
    <w:rsid w:val="00A93552"/>
    <w:rsid w:val="00A9449A"/>
    <w:rsid w:val="00AA26B8"/>
    <w:rsid w:val="00AA624E"/>
    <w:rsid w:val="00AA6FB5"/>
    <w:rsid w:val="00AB3FE2"/>
    <w:rsid w:val="00AB652A"/>
    <w:rsid w:val="00AC2AE9"/>
    <w:rsid w:val="00AC4C1D"/>
    <w:rsid w:val="00AC6950"/>
    <w:rsid w:val="00AC6D58"/>
    <w:rsid w:val="00AD0053"/>
    <w:rsid w:val="00AD3322"/>
    <w:rsid w:val="00AD4AA7"/>
    <w:rsid w:val="00AD7E4E"/>
    <w:rsid w:val="00AE0BEF"/>
    <w:rsid w:val="00AF33C3"/>
    <w:rsid w:val="00AF34DE"/>
    <w:rsid w:val="00AF4D58"/>
    <w:rsid w:val="00AF6666"/>
    <w:rsid w:val="00B01F20"/>
    <w:rsid w:val="00B10154"/>
    <w:rsid w:val="00B107CA"/>
    <w:rsid w:val="00B129A8"/>
    <w:rsid w:val="00B15AB9"/>
    <w:rsid w:val="00B23AF1"/>
    <w:rsid w:val="00B30926"/>
    <w:rsid w:val="00B33F1B"/>
    <w:rsid w:val="00B36C42"/>
    <w:rsid w:val="00B448C8"/>
    <w:rsid w:val="00B46E55"/>
    <w:rsid w:val="00B47066"/>
    <w:rsid w:val="00B52CB3"/>
    <w:rsid w:val="00B62AB6"/>
    <w:rsid w:val="00B71BC1"/>
    <w:rsid w:val="00B81B44"/>
    <w:rsid w:val="00B85A77"/>
    <w:rsid w:val="00B86BB4"/>
    <w:rsid w:val="00B86F42"/>
    <w:rsid w:val="00B87B4A"/>
    <w:rsid w:val="00B9053B"/>
    <w:rsid w:val="00B93E1B"/>
    <w:rsid w:val="00BA19AC"/>
    <w:rsid w:val="00BA428D"/>
    <w:rsid w:val="00BA75D4"/>
    <w:rsid w:val="00BA77DA"/>
    <w:rsid w:val="00BB0444"/>
    <w:rsid w:val="00BB3A65"/>
    <w:rsid w:val="00BB660E"/>
    <w:rsid w:val="00BC3422"/>
    <w:rsid w:val="00BC4C06"/>
    <w:rsid w:val="00BC50EF"/>
    <w:rsid w:val="00BC7992"/>
    <w:rsid w:val="00BD0767"/>
    <w:rsid w:val="00BD4F11"/>
    <w:rsid w:val="00BE2ADD"/>
    <w:rsid w:val="00BE51FD"/>
    <w:rsid w:val="00BF02BA"/>
    <w:rsid w:val="00BF27CA"/>
    <w:rsid w:val="00BF3B71"/>
    <w:rsid w:val="00BF7471"/>
    <w:rsid w:val="00C010E9"/>
    <w:rsid w:val="00C015B9"/>
    <w:rsid w:val="00C022F9"/>
    <w:rsid w:val="00C02CEC"/>
    <w:rsid w:val="00C032EA"/>
    <w:rsid w:val="00C06EB5"/>
    <w:rsid w:val="00C1145F"/>
    <w:rsid w:val="00C121A5"/>
    <w:rsid w:val="00C136CB"/>
    <w:rsid w:val="00C16424"/>
    <w:rsid w:val="00C21CC9"/>
    <w:rsid w:val="00C24F0F"/>
    <w:rsid w:val="00C34AC7"/>
    <w:rsid w:val="00C41992"/>
    <w:rsid w:val="00C545C9"/>
    <w:rsid w:val="00C55693"/>
    <w:rsid w:val="00C5597D"/>
    <w:rsid w:val="00C57A05"/>
    <w:rsid w:val="00C6258C"/>
    <w:rsid w:val="00C637E1"/>
    <w:rsid w:val="00C64E8E"/>
    <w:rsid w:val="00C669F2"/>
    <w:rsid w:val="00C70A74"/>
    <w:rsid w:val="00C70D50"/>
    <w:rsid w:val="00C719F7"/>
    <w:rsid w:val="00C7747C"/>
    <w:rsid w:val="00C80C8B"/>
    <w:rsid w:val="00C819DF"/>
    <w:rsid w:val="00C82021"/>
    <w:rsid w:val="00C8243E"/>
    <w:rsid w:val="00C837A9"/>
    <w:rsid w:val="00C85618"/>
    <w:rsid w:val="00C86275"/>
    <w:rsid w:val="00C907D7"/>
    <w:rsid w:val="00C90FAC"/>
    <w:rsid w:val="00C92338"/>
    <w:rsid w:val="00C97AF2"/>
    <w:rsid w:val="00CA24D2"/>
    <w:rsid w:val="00CA7749"/>
    <w:rsid w:val="00CA7C3A"/>
    <w:rsid w:val="00CA7E82"/>
    <w:rsid w:val="00CB2B9F"/>
    <w:rsid w:val="00CB7D6E"/>
    <w:rsid w:val="00CC2B9D"/>
    <w:rsid w:val="00CC2DB2"/>
    <w:rsid w:val="00CC7E5A"/>
    <w:rsid w:val="00CD0307"/>
    <w:rsid w:val="00CD2FF6"/>
    <w:rsid w:val="00CD3D1B"/>
    <w:rsid w:val="00CE0B83"/>
    <w:rsid w:val="00CE0E38"/>
    <w:rsid w:val="00CE5450"/>
    <w:rsid w:val="00CE62B3"/>
    <w:rsid w:val="00CF0E1B"/>
    <w:rsid w:val="00CF6FF6"/>
    <w:rsid w:val="00CF7DCA"/>
    <w:rsid w:val="00D01120"/>
    <w:rsid w:val="00D01B54"/>
    <w:rsid w:val="00D03748"/>
    <w:rsid w:val="00D04178"/>
    <w:rsid w:val="00D062E9"/>
    <w:rsid w:val="00D11A04"/>
    <w:rsid w:val="00D211E9"/>
    <w:rsid w:val="00D2312F"/>
    <w:rsid w:val="00D26193"/>
    <w:rsid w:val="00D269C1"/>
    <w:rsid w:val="00D34DDD"/>
    <w:rsid w:val="00D36D34"/>
    <w:rsid w:val="00D36D48"/>
    <w:rsid w:val="00D3792A"/>
    <w:rsid w:val="00D44953"/>
    <w:rsid w:val="00D5077C"/>
    <w:rsid w:val="00D542F3"/>
    <w:rsid w:val="00D543E5"/>
    <w:rsid w:val="00D5644B"/>
    <w:rsid w:val="00D56E25"/>
    <w:rsid w:val="00D61762"/>
    <w:rsid w:val="00D71896"/>
    <w:rsid w:val="00D718D7"/>
    <w:rsid w:val="00D7312C"/>
    <w:rsid w:val="00D73212"/>
    <w:rsid w:val="00D776A8"/>
    <w:rsid w:val="00D814B7"/>
    <w:rsid w:val="00D82C5B"/>
    <w:rsid w:val="00D840D4"/>
    <w:rsid w:val="00D87FD7"/>
    <w:rsid w:val="00D90688"/>
    <w:rsid w:val="00D91512"/>
    <w:rsid w:val="00D918BB"/>
    <w:rsid w:val="00D929B1"/>
    <w:rsid w:val="00D940F0"/>
    <w:rsid w:val="00DA14AC"/>
    <w:rsid w:val="00DA20CC"/>
    <w:rsid w:val="00DA3AAD"/>
    <w:rsid w:val="00DA402D"/>
    <w:rsid w:val="00DA54FE"/>
    <w:rsid w:val="00DA7A75"/>
    <w:rsid w:val="00DB312B"/>
    <w:rsid w:val="00DC0E5D"/>
    <w:rsid w:val="00DC3370"/>
    <w:rsid w:val="00DC5654"/>
    <w:rsid w:val="00DC658F"/>
    <w:rsid w:val="00DD1868"/>
    <w:rsid w:val="00DD6595"/>
    <w:rsid w:val="00DE60CC"/>
    <w:rsid w:val="00E012BC"/>
    <w:rsid w:val="00E03A49"/>
    <w:rsid w:val="00E12AB4"/>
    <w:rsid w:val="00E255CC"/>
    <w:rsid w:val="00E26B32"/>
    <w:rsid w:val="00E312EE"/>
    <w:rsid w:val="00E31444"/>
    <w:rsid w:val="00E32AC9"/>
    <w:rsid w:val="00E33A64"/>
    <w:rsid w:val="00E35E39"/>
    <w:rsid w:val="00E36BCD"/>
    <w:rsid w:val="00E407B6"/>
    <w:rsid w:val="00E4087F"/>
    <w:rsid w:val="00E41DFB"/>
    <w:rsid w:val="00E41EF1"/>
    <w:rsid w:val="00E427A1"/>
    <w:rsid w:val="00E42942"/>
    <w:rsid w:val="00E439B1"/>
    <w:rsid w:val="00E4657B"/>
    <w:rsid w:val="00E468A6"/>
    <w:rsid w:val="00E50830"/>
    <w:rsid w:val="00E53452"/>
    <w:rsid w:val="00E56BBE"/>
    <w:rsid w:val="00E6591D"/>
    <w:rsid w:val="00E66374"/>
    <w:rsid w:val="00E71694"/>
    <w:rsid w:val="00E71BDF"/>
    <w:rsid w:val="00E72075"/>
    <w:rsid w:val="00E73A26"/>
    <w:rsid w:val="00E74FFF"/>
    <w:rsid w:val="00E75A81"/>
    <w:rsid w:val="00E805D7"/>
    <w:rsid w:val="00E80895"/>
    <w:rsid w:val="00E83CA7"/>
    <w:rsid w:val="00E85C9A"/>
    <w:rsid w:val="00E86C30"/>
    <w:rsid w:val="00EA03B9"/>
    <w:rsid w:val="00EA6E3D"/>
    <w:rsid w:val="00EA7EA7"/>
    <w:rsid w:val="00EB7D78"/>
    <w:rsid w:val="00EC171D"/>
    <w:rsid w:val="00EC1EB8"/>
    <w:rsid w:val="00ED487E"/>
    <w:rsid w:val="00ED65CB"/>
    <w:rsid w:val="00ED7A25"/>
    <w:rsid w:val="00EE22C3"/>
    <w:rsid w:val="00EE35A8"/>
    <w:rsid w:val="00EE5024"/>
    <w:rsid w:val="00EE7706"/>
    <w:rsid w:val="00EE7A0D"/>
    <w:rsid w:val="00EF0D21"/>
    <w:rsid w:val="00EF27D6"/>
    <w:rsid w:val="00F0018F"/>
    <w:rsid w:val="00F00B16"/>
    <w:rsid w:val="00F0592E"/>
    <w:rsid w:val="00F1132B"/>
    <w:rsid w:val="00F140F6"/>
    <w:rsid w:val="00F17CE1"/>
    <w:rsid w:val="00F2115C"/>
    <w:rsid w:val="00F22ABA"/>
    <w:rsid w:val="00F302A1"/>
    <w:rsid w:val="00F32020"/>
    <w:rsid w:val="00F34328"/>
    <w:rsid w:val="00F36B12"/>
    <w:rsid w:val="00F417C3"/>
    <w:rsid w:val="00F60F9F"/>
    <w:rsid w:val="00F64423"/>
    <w:rsid w:val="00F64F08"/>
    <w:rsid w:val="00F668BA"/>
    <w:rsid w:val="00F6782F"/>
    <w:rsid w:val="00F67F85"/>
    <w:rsid w:val="00F734F5"/>
    <w:rsid w:val="00F73F29"/>
    <w:rsid w:val="00F74438"/>
    <w:rsid w:val="00F77D43"/>
    <w:rsid w:val="00F832F0"/>
    <w:rsid w:val="00F907B9"/>
    <w:rsid w:val="00F915DF"/>
    <w:rsid w:val="00F92914"/>
    <w:rsid w:val="00F92BE0"/>
    <w:rsid w:val="00F92E46"/>
    <w:rsid w:val="00F933D7"/>
    <w:rsid w:val="00F947B1"/>
    <w:rsid w:val="00F95B7C"/>
    <w:rsid w:val="00F95D2C"/>
    <w:rsid w:val="00F966B1"/>
    <w:rsid w:val="00F97D48"/>
    <w:rsid w:val="00FA0311"/>
    <w:rsid w:val="00FA78A9"/>
    <w:rsid w:val="00FB17B9"/>
    <w:rsid w:val="00FB2002"/>
    <w:rsid w:val="00FB418E"/>
    <w:rsid w:val="00FC030F"/>
    <w:rsid w:val="00FC395B"/>
    <w:rsid w:val="00FC42E5"/>
    <w:rsid w:val="00FC5BC3"/>
    <w:rsid w:val="00FC68A1"/>
    <w:rsid w:val="00FC6C2A"/>
    <w:rsid w:val="00FD15D0"/>
    <w:rsid w:val="00FD330B"/>
    <w:rsid w:val="00FD6273"/>
    <w:rsid w:val="00FD640F"/>
    <w:rsid w:val="00FD6B4C"/>
    <w:rsid w:val="00FD6BE9"/>
    <w:rsid w:val="00FE091A"/>
    <w:rsid w:val="00FE16AF"/>
    <w:rsid w:val="00FE24E9"/>
    <w:rsid w:val="00FE7F4A"/>
    <w:rsid w:val="00FF2C9E"/>
    <w:rsid w:val="00FF4E99"/>
    <w:rsid w:val="159B79A6"/>
    <w:rsid w:val="349C24DE"/>
    <w:rsid w:val="3C708052"/>
    <w:rsid w:val="638EC1D0"/>
    <w:rsid w:val="63B6D14E"/>
    <w:rsid w:val="666A84ED"/>
    <w:rsid w:val="710B3E4A"/>
    <w:rsid w:val="78E9AF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EBA6A"/>
  <w15:docId w15:val="{7B787990-60DD-4162-B831-E14B80A2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491C72"/>
    <w:pPr>
      <w:keepLines/>
      <w:spacing w:before="120" w:after="120" w:line="252" w:lineRule="auto"/>
    </w:pPr>
    <w:rPr>
      <w:color w:val="232B39" w:themeColor="text1"/>
      <w:sz w:val="18"/>
    </w:rPr>
  </w:style>
  <w:style w:type="paragraph" w:styleId="Heading1">
    <w:name w:val="heading 1"/>
    <w:next w:val="Normal"/>
    <w:link w:val="Heading1Char"/>
    <w:qFormat/>
    <w:rsid w:val="00AC6D58"/>
    <w:pPr>
      <w:keepNext/>
      <w:keepLines/>
      <w:spacing w:before="240"/>
      <w:outlineLvl w:val="0"/>
    </w:pPr>
    <w:rPr>
      <w:rFonts w:asciiTheme="majorHAnsi" w:eastAsiaTheme="majorEastAsia" w:hAnsiTheme="majorHAnsi" w:cstheme="majorBidi"/>
      <w:bCs/>
      <w:color w:val="3A3467" w:themeColor="text2"/>
      <w:sz w:val="36"/>
      <w:szCs w:val="28"/>
    </w:rPr>
  </w:style>
  <w:style w:type="paragraph" w:styleId="Heading2">
    <w:name w:val="heading 2"/>
    <w:basedOn w:val="Normal"/>
    <w:next w:val="Normal"/>
    <w:link w:val="Heading2Char"/>
    <w:qFormat/>
    <w:rsid w:val="00AC6D58"/>
    <w:pPr>
      <w:keepNext/>
      <w:spacing w:before="200" w:after="240"/>
      <w:outlineLvl w:val="1"/>
    </w:pPr>
    <w:rPr>
      <w:rFonts w:asciiTheme="majorHAnsi" w:eastAsiaTheme="majorEastAsia" w:hAnsiTheme="majorHAnsi" w:cstheme="majorBidi"/>
      <w:bCs/>
      <w:color w:val="3A3467" w:themeColor="text2"/>
      <w:sz w:val="28"/>
      <w:szCs w:val="26"/>
    </w:rPr>
  </w:style>
  <w:style w:type="paragraph" w:styleId="Heading3">
    <w:name w:val="heading 3"/>
    <w:basedOn w:val="Normal"/>
    <w:next w:val="Normal"/>
    <w:link w:val="Heading3Char"/>
    <w:qFormat/>
    <w:rsid w:val="00AC6D58"/>
    <w:pPr>
      <w:keepNext/>
      <w:spacing w:before="240"/>
      <w:outlineLvl w:val="2"/>
    </w:pPr>
    <w:rPr>
      <w:rFonts w:asciiTheme="majorHAnsi" w:eastAsiaTheme="majorEastAsia" w:hAnsiTheme="majorHAnsi" w:cstheme="majorBidi"/>
      <w:bCs/>
      <w:color w:val="3A3467" w:themeColor="text2"/>
      <w:sz w:val="24"/>
      <w:szCs w:val="24"/>
    </w:rPr>
  </w:style>
  <w:style w:type="paragraph" w:styleId="Heading4">
    <w:name w:val="heading 4"/>
    <w:basedOn w:val="Normal"/>
    <w:next w:val="Normal"/>
    <w:link w:val="Heading4Char"/>
    <w:semiHidden/>
    <w:qFormat/>
    <w:rsid w:val="00522F8A"/>
    <w:pPr>
      <w:keepNext/>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522F8A"/>
    <w:pPr>
      <w:keepNext/>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009CA7" w:themeColor="accent4"/>
        <w:left w:val="single" w:sz="8" w:space="0" w:color="009CA7" w:themeColor="accent4"/>
        <w:bottom w:val="single" w:sz="8" w:space="0" w:color="009CA7" w:themeColor="accent4"/>
        <w:right w:val="single" w:sz="8" w:space="0" w:color="009CA7" w:themeColor="accent4"/>
      </w:tblBorders>
    </w:tblPr>
    <w:tblStylePr w:type="firstRow">
      <w:pPr>
        <w:spacing w:before="0" w:after="0" w:line="240" w:lineRule="auto"/>
      </w:pPr>
      <w:rPr>
        <w:b/>
        <w:bCs/>
        <w:color w:val="FFFFFF" w:themeColor="background1"/>
      </w:rPr>
      <w:tblPr/>
      <w:tcPr>
        <w:shd w:val="clear" w:color="auto" w:fill="009CA7" w:themeFill="accent4"/>
      </w:tcPr>
    </w:tblStylePr>
    <w:tblStylePr w:type="lastRow">
      <w:pPr>
        <w:spacing w:before="0" w:after="0" w:line="240" w:lineRule="auto"/>
      </w:pPr>
      <w:rPr>
        <w:b/>
        <w:bCs/>
      </w:rPr>
      <w:tblPr/>
      <w:tcPr>
        <w:tcBorders>
          <w:top w:val="double" w:sz="6" w:space="0" w:color="009CA7" w:themeColor="accent4"/>
          <w:left w:val="single" w:sz="8" w:space="0" w:color="009CA7" w:themeColor="accent4"/>
          <w:bottom w:val="single" w:sz="8" w:space="0" w:color="009CA7" w:themeColor="accent4"/>
          <w:right w:val="single" w:sz="8" w:space="0" w:color="009CA7" w:themeColor="accent4"/>
        </w:tcBorders>
      </w:tcPr>
    </w:tblStylePr>
    <w:tblStylePr w:type="firstCol">
      <w:rPr>
        <w:b/>
        <w:bCs/>
      </w:rPr>
    </w:tblStylePr>
    <w:tblStylePr w:type="lastCol">
      <w:rPr>
        <w:b/>
        <w:bCs/>
      </w:rPr>
    </w:tblStylePr>
    <w:tblStylePr w:type="band1Vert">
      <w:tblPr/>
      <w:tcPr>
        <w:tcBorders>
          <w:top w:val="single" w:sz="8" w:space="0" w:color="009CA7" w:themeColor="accent4"/>
          <w:left w:val="single" w:sz="8" w:space="0" w:color="009CA7" w:themeColor="accent4"/>
          <w:bottom w:val="single" w:sz="8" w:space="0" w:color="009CA7" w:themeColor="accent4"/>
          <w:right w:val="single" w:sz="8" w:space="0" w:color="009CA7" w:themeColor="accent4"/>
        </w:tcBorders>
      </w:tcPr>
    </w:tblStylePr>
    <w:tblStylePr w:type="band1Horz">
      <w:tblPr/>
      <w:tcPr>
        <w:tcBorders>
          <w:top w:val="single" w:sz="8" w:space="0" w:color="009CA7" w:themeColor="accent4"/>
          <w:left w:val="single" w:sz="8" w:space="0" w:color="009CA7" w:themeColor="accent4"/>
          <w:bottom w:val="single" w:sz="8" w:space="0" w:color="009CA7" w:themeColor="accent4"/>
          <w:right w:val="single" w:sz="8" w:space="0" w:color="009CA7"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00BAC7" w:themeColor="accent1"/>
        <w:left w:val="single" w:sz="8" w:space="0" w:color="00BAC7" w:themeColor="accent1"/>
        <w:bottom w:val="single" w:sz="8" w:space="0" w:color="00BAC7" w:themeColor="accent1"/>
        <w:right w:val="single" w:sz="8" w:space="0" w:color="00BAC7" w:themeColor="accent1"/>
      </w:tblBorders>
    </w:tblPr>
    <w:tblStylePr w:type="firstRow">
      <w:pPr>
        <w:spacing w:before="0" w:after="0" w:line="240" w:lineRule="auto"/>
      </w:pPr>
      <w:rPr>
        <w:b/>
        <w:bCs/>
        <w:color w:val="FFFFFF" w:themeColor="background1"/>
      </w:rPr>
      <w:tblPr/>
      <w:tcPr>
        <w:shd w:val="clear" w:color="auto" w:fill="00BAC7" w:themeFill="accent1"/>
      </w:tcPr>
    </w:tblStylePr>
    <w:tblStylePr w:type="lastRow">
      <w:pPr>
        <w:spacing w:before="0" w:after="0" w:line="240" w:lineRule="auto"/>
      </w:pPr>
      <w:rPr>
        <w:b/>
        <w:bCs/>
      </w:rPr>
      <w:tblPr/>
      <w:tcPr>
        <w:tcBorders>
          <w:top w:val="double" w:sz="6" w:space="0" w:color="00BAC7" w:themeColor="accent1"/>
          <w:left w:val="single" w:sz="8" w:space="0" w:color="00BAC7" w:themeColor="accent1"/>
          <w:bottom w:val="single" w:sz="8" w:space="0" w:color="00BAC7" w:themeColor="accent1"/>
          <w:right w:val="single" w:sz="8" w:space="0" w:color="00BAC7" w:themeColor="accent1"/>
        </w:tcBorders>
      </w:tcPr>
    </w:tblStylePr>
    <w:tblStylePr w:type="firstCol">
      <w:rPr>
        <w:b/>
        <w:bCs/>
      </w:rPr>
    </w:tblStylePr>
    <w:tblStylePr w:type="lastCol">
      <w:rPr>
        <w:b/>
        <w:bCs/>
      </w:rPr>
    </w:tblStylePr>
    <w:tblStylePr w:type="band1Vert">
      <w:tblPr/>
      <w:tcPr>
        <w:tcBorders>
          <w:top w:val="single" w:sz="8" w:space="0" w:color="00BAC7" w:themeColor="accent1"/>
          <w:left w:val="single" w:sz="8" w:space="0" w:color="00BAC7" w:themeColor="accent1"/>
          <w:bottom w:val="single" w:sz="8" w:space="0" w:color="00BAC7" w:themeColor="accent1"/>
          <w:right w:val="single" w:sz="8" w:space="0" w:color="00BAC7" w:themeColor="accent1"/>
        </w:tcBorders>
      </w:tcPr>
    </w:tblStylePr>
    <w:tblStylePr w:type="band1Horz">
      <w:tblPr/>
      <w:tcPr>
        <w:tcBorders>
          <w:top w:val="single" w:sz="8" w:space="0" w:color="00BAC7" w:themeColor="accent1"/>
          <w:left w:val="single" w:sz="8" w:space="0" w:color="00BAC7" w:themeColor="accent1"/>
          <w:bottom w:val="single" w:sz="8" w:space="0" w:color="00BAC7" w:themeColor="accent1"/>
          <w:right w:val="single" w:sz="8" w:space="0" w:color="00BAC7" w:themeColor="accent1"/>
        </w:tcBorders>
      </w:tcPr>
    </w:tblStylePr>
  </w:style>
  <w:style w:type="paragraph" w:styleId="TOC1">
    <w:name w:val="toc 1"/>
    <w:basedOn w:val="Normal"/>
    <w:next w:val="Normal"/>
    <w:uiPriority w:val="39"/>
    <w:semiHidden/>
    <w:rsid w:val="00522F8A"/>
    <w:pPr>
      <w:pBdr>
        <w:bottom w:val="single" w:sz="12" w:space="4" w:color="auto"/>
      </w:pBdr>
      <w:tabs>
        <w:tab w:val="right" w:pos="9000"/>
      </w:tabs>
      <w:ind w:right="26"/>
    </w:pPr>
    <w:rPr>
      <w:sz w:val="24"/>
      <w:szCs w:val="24"/>
    </w:rPr>
  </w:style>
  <w:style w:type="paragraph" w:styleId="TOC2">
    <w:name w:val="toc 2"/>
    <w:next w:val="Normal"/>
    <w:uiPriority w:val="39"/>
    <w:semiHidden/>
    <w:rsid w:val="00522F8A"/>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522F8A"/>
    <w:pPr>
      <w:tabs>
        <w:tab w:val="right" w:pos="9000"/>
      </w:tabs>
      <w:spacing w:before="0"/>
      <w:ind w:left="450" w:right="432"/>
      <w:contextualSpacing/>
    </w:pPr>
    <w:rPr>
      <w:noProof/>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semiHidden/>
    <w:rsid w:val="00240614"/>
    <w:rPr>
      <w:color w:val="004C97"/>
      <w:u w:val="none"/>
    </w:rPr>
  </w:style>
  <w:style w:type="character" w:customStyle="1" w:styleId="Heading1Char">
    <w:name w:val="Heading 1 Char"/>
    <w:basedOn w:val="DefaultParagraphFont"/>
    <w:link w:val="Heading1"/>
    <w:rsid w:val="00AC6D58"/>
    <w:rPr>
      <w:rFonts w:asciiTheme="majorHAnsi" w:eastAsiaTheme="majorEastAsia" w:hAnsiTheme="majorHAnsi" w:cstheme="majorBidi"/>
      <w:bCs/>
      <w:color w:val="3A3467" w:themeColor="text2"/>
      <w:sz w:val="36"/>
      <w:szCs w:val="28"/>
    </w:rPr>
  </w:style>
  <w:style w:type="character" w:customStyle="1" w:styleId="Heading2Char">
    <w:name w:val="Heading 2 Char"/>
    <w:basedOn w:val="DefaultParagraphFont"/>
    <w:link w:val="Heading2"/>
    <w:rsid w:val="00AC6D58"/>
    <w:rPr>
      <w:rFonts w:asciiTheme="majorHAnsi" w:eastAsiaTheme="majorEastAsia" w:hAnsiTheme="majorHAnsi" w:cstheme="majorBidi"/>
      <w:bCs/>
      <w:color w:val="3A3467" w:themeColor="text2"/>
      <w:sz w:val="28"/>
      <w:szCs w:val="26"/>
    </w:rPr>
  </w:style>
  <w:style w:type="paragraph" w:customStyle="1" w:styleId="Bullet1">
    <w:name w:val="Bullet 1"/>
    <w:uiPriority w:val="1"/>
    <w:qFormat/>
    <w:rsid w:val="006805B9"/>
    <w:pPr>
      <w:keepLines/>
      <w:numPr>
        <w:numId w:val="2"/>
      </w:numPr>
      <w:spacing w:before="100" w:after="100" w:line="252" w:lineRule="auto"/>
      <w:contextualSpacing/>
    </w:pPr>
    <w:rPr>
      <w:rFonts w:eastAsia="Times New Roman" w:cs="Calibri"/>
      <w:color w:val="232B39" w:themeColor="text1"/>
      <w:sz w:val="18"/>
    </w:rPr>
  </w:style>
  <w:style w:type="paragraph" w:customStyle="1" w:styleId="Bullet2">
    <w:name w:val="Bullet 2"/>
    <w:basedOn w:val="Bullet1"/>
    <w:uiPriority w:val="1"/>
    <w:qFormat/>
    <w:rsid w:val="00522F8A"/>
    <w:pPr>
      <w:numPr>
        <w:ilvl w:val="1"/>
      </w:numPr>
    </w:pPr>
  </w:style>
  <w:style w:type="paragraph" w:customStyle="1" w:styleId="Bulletindent">
    <w:name w:val="Bullet indent"/>
    <w:basedOn w:val="Bullet2"/>
    <w:uiPriority w:val="9"/>
    <w:qFormat/>
    <w:rsid w:val="00BB660E"/>
    <w:pPr>
      <w:numPr>
        <w:ilvl w:val="2"/>
      </w:numPr>
      <w:spacing w:line="264" w:lineRule="auto"/>
    </w:pPr>
  </w:style>
  <w:style w:type="paragraph" w:customStyle="1" w:styleId="Heading1numbered">
    <w:name w:val="Heading 1 numbered"/>
    <w:basedOn w:val="Heading1"/>
    <w:next w:val="NormalIndent"/>
    <w:uiPriority w:val="8"/>
    <w:semiHidden/>
    <w:qFormat/>
    <w:rsid w:val="00522F8A"/>
    <w:pPr>
      <w:numPr>
        <w:ilvl w:val="2"/>
        <w:numId w:val="4"/>
      </w:numPr>
    </w:pPr>
  </w:style>
  <w:style w:type="paragraph" w:customStyle="1" w:styleId="Heading2numbered">
    <w:name w:val="Heading 2 numbered"/>
    <w:basedOn w:val="Heading2"/>
    <w:next w:val="NormalIndent"/>
    <w:uiPriority w:val="8"/>
    <w:semiHidden/>
    <w:qFormat/>
    <w:rsid w:val="00522F8A"/>
    <w:pPr>
      <w:numPr>
        <w:ilvl w:val="3"/>
        <w:numId w:val="4"/>
      </w:numPr>
    </w:pPr>
  </w:style>
  <w:style w:type="paragraph" w:customStyle="1" w:styleId="Heading3numbered">
    <w:name w:val="Heading 3 numbered"/>
    <w:basedOn w:val="Heading3"/>
    <w:next w:val="NormalIndent"/>
    <w:uiPriority w:val="8"/>
    <w:semiHidden/>
    <w:qFormat/>
    <w:rsid w:val="00522F8A"/>
    <w:pPr>
      <w:numPr>
        <w:ilvl w:val="4"/>
        <w:numId w:val="4"/>
      </w:numPr>
    </w:pPr>
  </w:style>
  <w:style w:type="character" w:customStyle="1" w:styleId="Heading3Char">
    <w:name w:val="Heading 3 Char"/>
    <w:basedOn w:val="DefaultParagraphFont"/>
    <w:link w:val="Heading3"/>
    <w:rsid w:val="00AC6D58"/>
    <w:rPr>
      <w:rFonts w:asciiTheme="majorHAnsi" w:eastAsiaTheme="majorEastAsia" w:hAnsiTheme="majorHAnsi" w:cstheme="majorBidi"/>
      <w:bCs/>
      <w:color w:val="3A3467" w:themeColor="text2"/>
      <w:sz w:val="24"/>
      <w:szCs w:val="24"/>
    </w:rPr>
  </w:style>
  <w:style w:type="paragraph" w:customStyle="1" w:styleId="Heading4numbered">
    <w:name w:val="Heading 4 numbered"/>
    <w:basedOn w:val="Heading4"/>
    <w:next w:val="NormalIndent"/>
    <w:uiPriority w:val="8"/>
    <w:semiHidden/>
    <w:qFormat/>
    <w:rsid w:val="00522F8A"/>
    <w:pPr>
      <w:numPr>
        <w:ilvl w:val="5"/>
        <w:numId w:val="4"/>
      </w:numPr>
    </w:pPr>
  </w:style>
  <w:style w:type="character" w:customStyle="1" w:styleId="Heading4Char">
    <w:name w:val="Heading 4 Char"/>
    <w:basedOn w:val="DefaultParagraphFont"/>
    <w:link w:val="Heading4"/>
    <w:semiHidden/>
    <w:rsid w:val="00491C72"/>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semiHidden/>
    <w:qFormat/>
    <w:rsid w:val="00BB660E"/>
    <w:pPr>
      <w:ind w:left="792"/>
    </w:pPr>
  </w:style>
  <w:style w:type="paragraph" w:customStyle="1" w:styleId="NoteNormal">
    <w:name w:val="Note Normal"/>
    <w:basedOn w:val="Normal"/>
    <w:qFormat/>
    <w:rsid w:val="00522F8A"/>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rsid w:val="00125514"/>
    <w:pPr>
      <w:shd w:val="clear" w:color="auto" w:fill="232B39" w:themeFill="text1"/>
      <w:spacing w:before="700" w:after="0" w:line="440" w:lineRule="exact"/>
      <w:ind w:right="4910"/>
      <w:jc w:val="right"/>
    </w:pPr>
    <w:rPr>
      <w:rFonts w:asciiTheme="majorHAnsi" w:eastAsia="Times New Roman" w:hAnsiTheme="majorHAnsi" w:cstheme="majorHAnsi"/>
      <w:caps/>
      <w:color w:val="FFFFFF" w:themeColor="background1"/>
      <w:sz w:val="27"/>
      <w:szCs w:val="27"/>
    </w:rPr>
  </w:style>
  <w:style w:type="character" w:customStyle="1" w:styleId="SubtitleChar">
    <w:name w:val="Subtitle Char"/>
    <w:basedOn w:val="DefaultParagraphFont"/>
    <w:link w:val="Subtitle"/>
    <w:uiPriority w:val="45"/>
    <w:rsid w:val="00125514"/>
    <w:rPr>
      <w:rFonts w:asciiTheme="majorHAnsi" w:eastAsia="Times New Roman" w:hAnsiTheme="majorHAnsi" w:cstheme="majorHAnsi"/>
      <w:caps/>
      <w:color w:val="FFFFFF" w:themeColor="background1"/>
      <w:sz w:val="27"/>
      <w:szCs w:val="27"/>
      <w:shd w:val="clear" w:color="auto" w:fill="232B39" w:themeFill="text1"/>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qFormat/>
    <w:rsid w:val="00AC6D58"/>
    <w:pPr>
      <w:shd w:val="clear" w:color="auto" w:fill="232B39" w:themeFill="text1"/>
      <w:spacing w:before="160" w:after="0" w:line="216" w:lineRule="auto"/>
      <w:ind w:left="446" w:right="4910"/>
      <w:jc w:val="right"/>
    </w:pPr>
    <w:rPr>
      <w:rFonts w:asciiTheme="majorHAnsi" w:eastAsia="Times New Roman" w:hAnsiTheme="majorHAnsi" w:cstheme="majorHAnsi"/>
      <w:color w:val="FFFFFF" w:themeColor="background1"/>
      <w:sz w:val="48"/>
      <w:szCs w:val="48"/>
    </w:rPr>
  </w:style>
  <w:style w:type="character" w:customStyle="1" w:styleId="TitleChar">
    <w:name w:val="Title Char"/>
    <w:basedOn w:val="DefaultParagraphFont"/>
    <w:link w:val="Title"/>
    <w:uiPriority w:val="44"/>
    <w:rsid w:val="00AC6D58"/>
    <w:rPr>
      <w:rFonts w:asciiTheme="majorHAnsi" w:eastAsia="Times New Roman" w:hAnsiTheme="majorHAnsi" w:cstheme="majorHAnsi"/>
      <w:color w:val="FFFFFF" w:themeColor="background1"/>
      <w:sz w:val="48"/>
      <w:szCs w:val="48"/>
      <w:shd w:val="clear" w:color="auto" w:fill="232B39" w:themeFill="text1"/>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BB660E"/>
    <w:pPr>
      <w:numPr>
        <w:ilvl w:val="3"/>
        <w:numId w:val="2"/>
      </w:numPr>
      <w:contextualSpacing/>
    </w:p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semiHidden/>
    <w:rsid w:val="008E49B3"/>
    <w:pPr>
      <w:tabs>
        <w:tab w:val="right" w:pos="9026"/>
      </w:tabs>
      <w:spacing w:before="0" w:after="0" w:line="240" w:lineRule="auto"/>
    </w:pPr>
    <w:rPr>
      <w:noProof/>
      <w:szCs w:val="18"/>
    </w:rPr>
  </w:style>
  <w:style w:type="character" w:customStyle="1" w:styleId="FooterChar">
    <w:name w:val="Footer Char"/>
    <w:basedOn w:val="DefaultParagraphFont"/>
    <w:link w:val="Footer"/>
    <w:uiPriority w:val="99"/>
    <w:semiHidden/>
    <w:rsid w:val="00491C72"/>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522F8A"/>
    <w:pPr>
      <w:spacing w:before="480" w:after="720"/>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522F8A"/>
    <w:pPr>
      <w:spacing w:before="280"/>
      <w:ind w:left="446" w:right="29" w:hanging="446"/>
    </w:pPr>
    <w:rPr>
      <w:noProof/>
      <w:lang w:eastAsia="en-US"/>
    </w:rPr>
  </w:style>
  <w:style w:type="paragraph" w:styleId="TOC5">
    <w:name w:val="toc 5"/>
    <w:basedOn w:val="TOC2"/>
    <w:next w:val="Normal"/>
    <w:uiPriority w:val="39"/>
    <w:semiHidden/>
    <w:rsid w:val="00522F8A"/>
    <w:pPr>
      <w:ind w:left="1080" w:hanging="634"/>
    </w:pPr>
    <w:rPr>
      <w:lang w:eastAsia="en-US"/>
    </w:rPr>
  </w:style>
  <w:style w:type="paragraph" w:styleId="TOC6">
    <w:name w:val="toc 6"/>
    <w:basedOn w:val="TOC3"/>
    <w:next w:val="Normal"/>
    <w:uiPriority w:val="39"/>
    <w:semiHidden/>
    <w:rsid w:val="00522F8A"/>
    <w:pPr>
      <w:ind w:left="1800" w:hanging="720"/>
    </w:pPr>
    <w:rPr>
      <w:lang w:eastAsia="en-US"/>
    </w:rPr>
  </w:style>
  <w:style w:type="table" w:customStyle="1" w:styleId="DTFtexttable">
    <w:name w:val="DTF text table"/>
    <w:basedOn w:val="TableNormal"/>
    <w:uiPriority w:val="99"/>
    <w:rsid w:val="00030708"/>
    <w:pPr>
      <w:spacing w:before="30" w:after="30" w:line="264" w:lineRule="auto"/>
    </w:pPr>
    <w:rPr>
      <w:rFonts w:eastAsiaTheme="minorHAnsi"/>
      <w:spacing w:val="2"/>
      <w:sz w:val="17"/>
      <w:szCs w:val="21"/>
      <w:lang w:eastAsia="en-US"/>
    </w:rPr>
    <w:tblPr>
      <w:tblStyleRowBandSize w:val="1"/>
      <w:tblStyleColBandSize w:val="1"/>
      <w:tblBorders>
        <w:bottom w:val="single" w:sz="12" w:space="0" w:color="71D9E0"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A6E7EB" w:themeFill="background2"/>
      </w:tcPr>
    </w:tblStylePr>
    <w:tblStylePr w:type="lastRow">
      <w:rPr>
        <w:b/>
      </w:rPr>
      <w:tblPr/>
      <w:tcPr>
        <w:tcBorders>
          <w:top w:val="single" w:sz="6" w:space="0" w:color="71D9E0" w:themeColor="accent2"/>
          <w:left w:val="nil"/>
          <w:bottom w:val="single" w:sz="12" w:space="0" w:color="71D9E0"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030708"/>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71D9E0"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A6E7EB" w:themeFill="background2"/>
      </w:tcPr>
    </w:tblStylePr>
    <w:tblStylePr w:type="lastRow">
      <w:rPr>
        <w:b/>
      </w:rPr>
      <w:tblPr/>
      <w:tcPr>
        <w:tcBorders>
          <w:top w:val="single" w:sz="6" w:space="0" w:color="00BAC7" w:themeColor="accent1"/>
          <w:left w:val="nil"/>
          <w:bottom w:val="single" w:sz="12" w:space="0" w:color="00BAC7"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9"/>
    <w:semiHidden/>
    <w:qFormat/>
    <w:rsid w:val="00522F8A"/>
    <w:pPr>
      <w:numPr>
        <w:ilvl w:val="7"/>
        <w:numId w:val="4"/>
      </w:numPr>
      <w:spacing w:before="100"/>
      <w:contextualSpacing/>
    </w:pPr>
  </w:style>
  <w:style w:type="paragraph" w:customStyle="1" w:styleId="Listnumindent">
    <w:name w:val="List num indent"/>
    <w:basedOn w:val="Normal"/>
    <w:uiPriority w:val="9"/>
    <w:semiHidden/>
    <w:qFormat/>
    <w:rsid w:val="00522F8A"/>
    <w:pPr>
      <w:numPr>
        <w:ilvl w:val="6"/>
        <w:numId w:val="4"/>
      </w:numPr>
      <w:spacing w:before="100"/>
    </w:pPr>
  </w:style>
  <w:style w:type="paragraph" w:customStyle="1" w:styleId="Listnum">
    <w:name w:val="List num"/>
    <w:basedOn w:val="Normal"/>
    <w:uiPriority w:val="2"/>
    <w:qFormat/>
    <w:rsid w:val="00522F8A"/>
    <w:pPr>
      <w:numPr>
        <w:numId w:val="4"/>
      </w:numPr>
    </w:pPr>
  </w:style>
  <w:style w:type="paragraph" w:customStyle="1" w:styleId="Listnum2">
    <w:name w:val="List num 2"/>
    <w:basedOn w:val="Normal"/>
    <w:uiPriority w:val="2"/>
    <w:qFormat/>
    <w:rsid w:val="00522F8A"/>
    <w:pPr>
      <w:numPr>
        <w:ilvl w:val="1"/>
        <w:numId w:val="4"/>
      </w:numPr>
    </w:p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B87B4A"/>
    <w:pPr>
      <w:numPr>
        <w:numId w:val="5"/>
      </w:numPr>
      <w:contextualSpacing/>
    </w:pPr>
  </w:style>
  <w:style w:type="paragraph" w:customStyle="1" w:styleId="Tabledash">
    <w:name w:val="Table dash"/>
    <w:basedOn w:val="Tablebullet"/>
    <w:uiPriority w:val="6"/>
    <w:rsid w:val="00522F8A"/>
    <w:pPr>
      <w:numPr>
        <w:ilvl w:val="1"/>
      </w:numPr>
    </w:pPr>
  </w:style>
  <w:style w:type="paragraph" w:customStyle="1" w:styleId="Numpara">
    <w:name w:val="Num para"/>
    <w:basedOn w:val="ListParagraph"/>
    <w:uiPriority w:val="2"/>
    <w:qFormat/>
    <w:rsid w:val="00522F8A"/>
    <w:pPr>
      <w:numPr>
        <w:numId w:val="3"/>
      </w:numPr>
      <w:tabs>
        <w:tab w:val="left" w:pos="540"/>
      </w:tabs>
    </w:pPr>
  </w:style>
  <w:style w:type="paragraph" w:styleId="ListParagraph">
    <w:name w:val="List Paragraph"/>
    <w:aliases w:val="DdeM List Paragraph,Bulleted Para,Bulletr List Paragraph,CV t,CV text,Dot pt,F5 List Paragraph,FooterText,L,List Paragraph1,List Paragraph11,List Paragraph2,List Paragraph21,NFP GP Bulleted List,Paragraphe de liste1,Recommendation"/>
    <w:basedOn w:val="Normal"/>
    <w:link w:val="ListParagraphChar"/>
    <w:uiPriority w:val="34"/>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paragraph" w:customStyle="1" w:styleId="Numparaindent">
    <w:name w:val="Num para indent"/>
    <w:basedOn w:val="Numpara"/>
    <w:uiPriority w:val="9"/>
    <w:semiHidden/>
    <w:qFormat/>
    <w:rsid w:val="00522F8A"/>
    <w:pPr>
      <w:numPr>
        <w:ilvl w:val="8"/>
        <w:numId w:val="4"/>
      </w:numPr>
      <w:tabs>
        <w:tab w:val="clear" w:pos="540"/>
      </w:tabs>
    </w:pPr>
  </w:style>
  <w:style w:type="paragraph" w:customStyle="1" w:styleId="Tablenum1">
    <w:name w:val="Table num 1"/>
    <w:basedOn w:val="Normal"/>
    <w:uiPriority w:val="6"/>
    <w:rsid w:val="00522F8A"/>
    <w:pPr>
      <w:numPr>
        <w:ilvl w:val="2"/>
        <w:numId w:val="5"/>
      </w:numPr>
      <w:spacing w:before="60" w:after="60"/>
    </w:pPr>
    <w:rPr>
      <w:sz w:val="17"/>
    </w:rPr>
  </w:style>
  <w:style w:type="paragraph" w:customStyle="1" w:styleId="Tablenum2">
    <w:name w:val="Table num 2"/>
    <w:basedOn w:val="Normal"/>
    <w:uiPriority w:val="6"/>
    <w:rsid w:val="00522F8A"/>
    <w:pPr>
      <w:numPr>
        <w:ilvl w:val="3"/>
        <w:numId w:val="5"/>
      </w:numPr>
      <w:spacing w:before="60" w:after="60"/>
    </w:pPr>
    <w:rPr>
      <w:sz w:val="17"/>
    </w:rPr>
  </w:style>
  <w:style w:type="paragraph" w:customStyle="1" w:styleId="NoteNormalindent">
    <w:name w:val="Note Normal indent"/>
    <w:basedOn w:val="NoteNormal"/>
    <w:uiPriority w:val="9"/>
    <w:semiHidden/>
    <w:rsid w:val="00522F8A"/>
    <w:pPr>
      <w:ind w:left="792"/>
    </w:pPr>
  </w:style>
  <w:style w:type="paragraph" w:styleId="Caption">
    <w:name w:val="caption"/>
    <w:basedOn w:val="Normal"/>
    <w:next w:val="Normal"/>
    <w:uiPriority w:val="5"/>
    <w:rsid w:val="00522F8A"/>
    <w:pPr>
      <w:spacing w:before="200" w:after="60" w:line="240" w:lineRule="auto"/>
    </w:pPr>
    <w:rPr>
      <w:b/>
      <w:bCs/>
      <w:color w:val="3A3467" w:themeColor="text2"/>
      <w:szCs w:val="18"/>
    </w:rPr>
  </w:style>
  <w:style w:type="paragraph" w:customStyle="1" w:styleId="CM">
    <w:name w:val="CM"/>
    <w:next w:val="Normal"/>
    <w:uiPriority w:val="79"/>
    <w:rsid w:val="005129A3"/>
    <w:pPr>
      <w:spacing w:after="2000" w:line="240" w:lineRule="auto"/>
      <w:ind w:right="4910"/>
      <w:jc w:val="right"/>
    </w:pPr>
    <w:rPr>
      <w:caps/>
      <w:color w:val="FFFFFF" w:themeColor="background1"/>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491C72"/>
    <w:rPr>
      <w:rFonts w:asciiTheme="majorHAnsi" w:eastAsiaTheme="majorEastAsia" w:hAnsiTheme="majorHAnsi" w:cstheme="majorBidi"/>
      <w:color w:val="3A3467" w:themeColor="text2"/>
      <w:sz w:val="18"/>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6805B9"/>
    <w:pPr>
      <w:pBdr>
        <w:top w:val="single" w:sz="12" w:space="6" w:color="A6E7EB" w:themeColor="background2"/>
        <w:bottom w:val="single" w:sz="12" w:space="4" w:color="A6E7EB" w:themeColor="background2"/>
      </w:pBdr>
      <w:tabs>
        <w:tab w:val="right" w:pos="8162"/>
      </w:tabs>
      <w:spacing w:before="200" w:after="200" w:line="288" w:lineRule="auto"/>
      <w:ind w:left="720" w:right="864"/>
    </w:pPr>
    <w:rPr>
      <w:i/>
      <w:iCs/>
      <w:szCs w:val="18"/>
    </w:rPr>
  </w:style>
  <w:style w:type="character" w:customStyle="1" w:styleId="QuoteChar">
    <w:name w:val="Quote Char"/>
    <w:basedOn w:val="DefaultParagraphFont"/>
    <w:link w:val="Quote"/>
    <w:uiPriority w:val="14"/>
    <w:rsid w:val="006805B9"/>
    <w:rPr>
      <w:i/>
      <w:iCs/>
      <w:color w:val="232B39" w:themeColor="text1"/>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 w:type="character" w:customStyle="1" w:styleId="ListParagraphChar">
    <w:name w:val="List Paragraph Char"/>
    <w:aliases w:val="DdeM List Paragraph Char,Bulleted Para Char,Bulletr List Paragraph Char,CV t Char,CV text Char,Dot pt Char,F5 List Paragraph Char,FooterText Char,L Char,List Paragraph1 Char,List Paragraph11 Char,List Paragraph2 Char"/>
    <w:basedOn w:val="DefaultParagraphFont"/>
    <w:link w:val="ListParagraph"/>
    <w:uiPriority w:val="34"/>
    <w:locked/>
    <w:rsid w:val="00A93552"/>
    <w:rPr>
      <w:color w:val="232B39" w:themeColor="text1"/>
      <w:sz w:val="18"/>
    </w:rPr>
  </w:style>
  <w:style w:type="paragraph" w:customStyle="1" w:styleId="Reconum">
    <w:name w:val="Reco num"/>
    <w:basedOn w:val="Normal"/>
    <w:qFormat/>
    <w:rsid w:val="00A93552"/>
    <w:pPr>
      <w:keepLines w:val="0"/>
      <w:numPr>
        <w:numId w:val="6"/>
      </w:numPr>
      <w:spacing w:before="60" w:line="240" w:lineRule="auto"/>
    </w:pPr>
    <w:rPr>
      <w:rFonts w:ascii="Arial" w:eastAsiaTheme="minorHAnsi" w:hAnsi="Arial" w:cs="Arial"/>
      <w:color w:val="000000"/>
      <w:spacing w:val="2"/>
      <w:sz w:val="20"/>
      <w:lang w:eastAsia="en-US"/>
    </w:rPr>
  </w:style>
  <w:style w:type="table" w:customStyle="1" w:styleId="DTFtexttable2">
    <w:name w:val="DTF text table2"/>
    <w:basedOn w:val="TableNormal"/>
    <w:uiPriority w:val="99"/>
    <w:rsid w:val="00A93552"/>
    <w:pPr>
      <w:spacing w:before="30" w:after="30" w:line="264" w:lineRule="auto"/>
    </w:pPr>
    <w:rPr>
      <w:rFonts w:eastAsiaTheme="minorHAnsi"/>
      <w:spacing w:val="2"/>
      <w:sz w:val="17"/>
      <w:szCs w:val="21"/>
      <w:lang w:eastAsia="en-US"/>
    </w:rPr>
    <w:tblPr>
      <w:tblStyleRowBandSize w:val="1"/>
      <w:tblStyleColBandSize w:val="1"/>
      <w:tblBorders>
        <w:bottom w:val="single" w:sz="12" w:space="0" w:color="71D9E0"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0" w:beforeAutospacing="0" w:afterLines="0" w:after="0" w:afterAutospacing="0" w:line="240" w:lineRule="auto"/>
        <w:jc w:val="left"/>
      </w:pPr>
      <w:rPr>
        <w:b/>
        <w:bCs/>
        <w:i w:val="0"/>
        <w:color w:val="FFFFFF" w:themeColor="background1"/>
        <w:sz w:val="18"/>
      </w:rPr>
      <w:tblPr/>
      <w:tcPr>
        <w:shd w:val="clear" w:color="auto" w:fill="A6E7EB" w:themeFill="background2"/>
      </w:tcPr>
    </w:tblStylePr>
    <w:tblStylePr w:type="lastRow">
      <w:pPr>
        <w:spacing w:before="0" w:after="0" w:line="240" w:lineRule="auto"/>
      </w:pPr>
      <w:rPr>
        <w:b/>
        <w:bCs/>
      </w:rPr>
      <w:tblPr/>
      <w:tcPr>
        <w:tcBorders>
          <w:top w:val="single" w:sz="6" w:space="0" w:color="71D9E0" w:themeColor="accent2"/>
          <w:left w:val="nil"/>
          <w:bottom w:val="single" w:sz="12" w:space="0" w:color="71D9E0" w:themeColor="accent2"/>
          <w:right w:val="nil"/>
          <w:insideV w:val="nil"/>
        </w:tcBorders>
      </w:tcPr>
    </w:tblStylePr>
    <w:tblStylePr w:type="firstCol">
      <w:pPr>
        <w:jc w:val="left"/>
      </w:pPr>
      <w:rPr>
        <w:b/>
        <w:bCs/>
      </w:rPr>
      <w:tblPr/>
      <w:tcPr>
        <w:shd w:val="clear" w:color="auto" w:fill="F2F2F2" w:themeFill="background1" w:themeFillShade="F2"/>
      </w:tcPr>
    </w:tblStylePr>
    <w:tblStylePr w:type="lastCol">
      <w:pPr>
        <w:jc w:val="left"/>
      </w:pPr>
      <w:rPr>
        <w:b/>
        <w:bCs/>
      </w:r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1">
    <w:name w:val="DTF text table1"/>
    <w:basedOn w:val="TableNormal"/>
    <w:uiPriority w:val="99"/>
    <w:rsid w:val="00452018"/>
    <w:pPr>
      <w:spacing w:before="30" w:after="30" w:line="264" w:lineRule="auto"/>
    </w:pPr>
    <w:rPr>
      <w:rFonts w:eastAsiaTheme="minorHAnsi"/>
      <w:spacing w:val="2"/>
      <w:sz w:val="17"/>
      <w:szCs w:val="21"/>
      <w:lang w:eastAsia="en-US"/>
    </w:rPr>
    <w:tblPr>
      <w:tblStyleRowBandSize w:val="1"/>
      <w:tblStyleColBandSize w:val="1"/>
      <w:tblBorders>
        <w:bottom w:val="single" w:sz="12" w:space="0" w:color="71D9E0"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0" w:beforeAutospacing="0" w:afterLines="0" w:after="0" w:afterAutospacing="0" w:line="240" w:lineRule="auto"/>
        <w:jc w:val="left"/>
      </w:pPr>
      <w:rPr>
        <w:b/>
        <w:bCs/>
        <w:i w:val="0"/>
        <w:color w:val="FFFFFF" w:themeColor="background1"/>
        <w:sz w:val="18"/>
      </w:rPr>
      <w:tblPr/>
      <w:tcPr>
        <w:shd w:val="clear" w:color="auto" w:fill="A6E7EB" w:themeFill="background2"/>
      </w:tcPr>
    </w:tblStylePr>
    <w:tblStylePr w:type="lastRow">
      <w:pPr>
        <w:spacing w:before="0" w:after="0" w:line="240" w:lineRule="auto"/>
      </w:pPr>
      <w:rPr>
        <w:b/>
        <w:bCs/>
      </w:rPr>
      <w:tblPr/>
      <w:tcPr>
        <w:tcBorders>
          <w:top w:val="single" w:sz="6" w:space="0" w:color="71D9E0" w:themeColor="accent2"/>
          <w:left w:val="nil"/>
          <w:bottom w:val="single" w:sz="12" w:space="0" w:color="71D9E0" w:themeColor="accent2"/>
          <w:right w:val="nil"/>
          <w:insideV w:val="nil"/>
        </w:tcBorders>
      </w:tcPr>
    </w:tblStylePr>
    <w:tblStylePr w:type="firstCol">
      <w:pPr>
        <w:jc w:val="left"/>
      </w:pPr>
      <w:rPr>
        <w:b/>
        <w:bCs/>
      </w:rPr>
      <w:tblPr/>
      <w:tcPr>
        <w:shd w:val="clear" w:color="auto" w:fill="F2F2F2" w:themeFill="background1" w:themeFillShade="F2"/>
      </w:tcPr>
    </w:tblStylePr>
    <w:tblStylePr w:type="lastCol">
      <w:pPr>
        <w:jc w:val="left"/>
      </w:pPr>
      <w:rPr>
        <w:b/>
        <w:bCs/>
      </w:r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character" w:styleId="CommentReference">
    <w:name w:val="annotation reference"/>
    <w:basedOn w:val="DefaultParagraphFont"/>
    <w:uiPriority w:val="99"/>
    <w:semiHidden/>
    <w:unhideWhenUsed/>
    <w:rsid w:val="00CA7749"/>
    <w:rPr>
      <w:sz w:val="16"/>
      <w:szCs w:val="16"/>
    </w:rPr>
  </w:style>
  <w:style w:type="paragraph" w:styleId="CommentText">
    <w:name w:val="annotation text"/>
    <w:basedOn w:val="Normal"/>
    <w:link w:val="CommentTextChar"/>
    <w:uiPriority w:val="99"/>
    <w:unhideWhenUsed/>
    <w:rsid w:val="00CA7749"/>
    <w:pPr>
      <w:spacing w:line="240" w:lineRule="auto"/>
    </w:pPr>
    <w:rPr>
      <w:sz w:val="20"/>
    </w:rPr>
  </w:style>
  <w:style w:type="character" w:customStyle="1" w:styleId="CommentTextChar">
    <w:name w:val="Comment Text Char"/>
    <w:basedOn w:val="DefaultParagraphFont"/>
    <w:link w:val="CommentText"/>
    <w:uiPriority w:val="99"/>
    <w:rsid w:val="00CA7749"/>
    <w:rPr>
      <w:color w:val="232B39" w:themeColor="text1"/>
    </w:rPr>
  </w:style>
  <w:style w:type="paragraph" w:styleId="CommentSubject">
    <w:name w:val="annotation subject"/>
    <w:basedOn w:val="CommentText"/>
    <w:next w:val="CommentText"/>
    <w:link w:val="CommentSubjectChar"/>
    <w:uiPriority w:val="99"/>
    <w:semiHidden/>
    <w:unhideWhenUsed/>
    <w:rsid w:val="00CA7749"/>
    <w:rPr>
      <w:b/>
      <w:bCs/>
    </w:rPr>
  </w:style>
  <w:style w:type="character" w:customStyle="1" w:styleId="CommentSubjectChar">
    <w:name w:val="Comment Subject Char"/>
    <w:basedOn w:val="CommentTextChar"/>
    <w:link w:val="CommentSubject"/>
    <w:uiPriority w:val="99"/>
    <w:semiHidden/>
    <w:rsid w:val="00CA7749"/>
    <w:rPr>
      <w:b/>
      <w:bCs/>
      <w:color w:val="232B39" w:themeColor="text1"/>
    </w:rPr>
  </w:style>
  <w:style w:type="paragraph" w:styleId="Revision">
    <w:name w:val="Revision"/>
    <w:hidden/>
    <w:uiPriority w:val="99"/>
    <w:semiHidden/>
    <w:rsid w:val="00CA7749"/>
    <w:pPr>
      <w:spacing w:after="0" w:line="240" w:lineRule="auto"/>
    </w:pPr>
    <w:rPr>
      <w:color w:val="232B39" w:themeColor="text1"/>
      <w:sz w:val="18"/>
    </w:rPr>
  </w:style>
  <w:style w:type="paragraph" w:customStyle="1" w:styleId="Heading3shaded">
    <w:name w:val="Heading 3 shaded"/>
    <w:basedOn w:val="Heading3"/>
    <w:qFormat/>
    <w:rsid w:val="00AC6D58"/>
    <w:pPr>
      <w:shd w:val="clear" w:color="auto" w:fill="F2F2F2" w:themeFill="background1" w:themeFillShade="F2"/>
    </w:pPr>
  </w:style>
  <w:style w:type="paragraph" w:customStyle="1" w:styleId="Normalshaded">
    <w:name w:val="Normal shaded"/>
    <w:basedOn w:val="Normal"/>
    <w:qFormat/>
    <w:rsid w:val="00053EF2"/>
    <w:pPr>
      <w:shd w:val="clear" w:color="auto" w:fill="F2F2F2" w:themeFill="background1" w:themeFillShade="F2"/>
    </w:pPr>
    <w:rPr>
      <w:sz w:val="16"/>
    </w:rPr>
  </w:style>
  <w:style w:type="paragraph" w:customStyle="1" w:styleId="Bulletshaded">
    <w:name w:val="Bullet shaded"/>
    <w:basedOn w:val="Bullet1"/>
    <w:qFormat/>
    <w:rsid w:val="00323E1E"/>
    <w:pPr>
      <w:shd w:val="clear" w:color="auto" w:fill="F2F2F2" w:themeFill="background1" w:themeFillShade="F2"/>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06783">
      <w:bodyDiv w:val="1"/>
      <w:marLeft w:val="0"/>
      <w:marRight w:val="0"/>
      <w:marTop w:val="0"/>
      <w:marBottom w:val="0"/>
      <w:divBdr>
        <w:top w:val="none" w:sz="0" w:space="0" w:color="auto"/>
        <w:left w:val="none" w:sz="0" w:space="0" w:color="auto"/>
        <w:bottom w:val="none" w:sz="0" w:space="0" w:color="auto"/>
        <w:right w:val="none" w:sz="0" w:space="0" w:color="auto"/>
      </w:divBdr>
    </w:div>
    <w:div w:id="466356383">
      <w:bodyDiv w:val="1"/>
      <w:marLeft w:val="0"/>
      <w:marRight w:val="0"/>
      <w:marTop w:val="0"/>
      <w:marBottom w:val="0"/>
      <w:divBdr>
        <w:top w:val="none" w:sz="0" w:space="0" w:color="auto"/>
        <w:left w:val="none" w:sz="0" w:space="0" w:color="auto"/>
        <w:bottom w:val="none" w:sz="0" w:space="0" w:color="auto"/>
        <w:right w:val="none" w:sz="0" w:space="0" w:color="auto"/>
      </w:divBdr>
    </w:div>
    <w:div w:id="506137478">
      <w:bodyDiv w:val="1"/>
      <w:marLeft w:val="0"/>
      <w:marRight w:val="0"/>
      <w:marTop w:val="0"/>
      <w:marBottom w:val="0"/>
      <w:divBdr>
        <w:top w:val="none" w:sz="0" w:space="0" w:color="auto"/>
        <w:left w:val="none" w:sz="0" w:space="0" w:color="auto"/>
        <w:bottom w:val="none" w:sz="0" w:space="0" w:color="auto"/>
        <w:right w:val="none" w:sz="0" w:space="0" w:color="auto"/>
      </w:divBdr>
    </w:div>
    <w:div w:id="590550814">
      <w:bodyDiv w:val="1"/>
      <w:marLeft w:val="0"/>
      <w:marRight w:val="0"/>
      <w:marTop w:val="0"/>
      <w:marBottom w:val="0"/>
      <w:divBdr>
        <w:top w:val="none" w:sz="0" w:space="0" w:color="auto"/>
        <w:left w:val="none" w:sz="0" w:space="0" w:color="auto"/>
        <w:bottom w:val="none" w:sz="0" w:space="0" w:color="auto"/>
        <w:right w:val="none" w:sz="0" w:space="0" w:color="auto"/>
      </w:divBdr>
    </w:div>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yperlink" Target="mailto:information@dtf.vic.gov.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chart" Target="charts/chart2.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chart" Target="charts/chart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dtf.vic.gov.au/funds-programs-and-policies/commercial-and-industrial-property-tax-refor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vfdtf001\DTF_DATA02$\TRIM\TIGR_EFP\REVENUE%20AND%20TAXATION\Models\Land%20tax-stamp%20duty%20swap\2023_modelling\1.%20Rover\01_Advice\01_ERC_meeting_20230327\1.%20Cameos\20240416-%20Cameo%20calculations_LTX%20inc%20debt%20levy%20for%20TL%20fact%20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vfdtf001\DTF_DATA02$\TRIM\TIGR_EFP\REVENUE%20AND%20TAXATION\Models\Land%20tax-stamp%20duty%20swap\2023_modelling\1.%20Rover\01_Advice\01_ERC_meeting_20230327\1.%20Cameos\20240416-%20Cameo%20calculations_LTX%20inc%20debt%20levy%20for%20TL%20fact%20she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862314085739282"/>
          <c:y val="8.8723378786618429E-2"/>
          <c:w val="0.71312080781568965"/>
          <c:h val="0.74225248383503728"/>
        </c:manualLayout>
      </c:layout>
      <c:barChart>
        <c:barDir val="col"/>
        <c:grouping val="clustered"/>
        <c:varyColors val="0"/>
        <c:ser>
          <c:idx val="1"/>
          <c:order val="0"/>
          <c:tx>
            <c:strRef>
              <c:f>'High shop - Charts'!$A$11</c:f>
              <c:strCache>
                <c:ptCount val="1"/>
                <c:pt idx="0">
                  <c:v>Cash payment</c:v>
                </c:pt>
              </c:strCache>
            </c:strRef>
          </c:tx>
          <c:spPr>
            <a:solidFill>
              <a:srgbClr val="FFC000"/>
            </a:solidFill>
            <a:ln>
              <a:noFill/>
            </a:ln>
            <a:effectLst/>
          </c:spPr>
          <c:invertIfNegative val="0"/>
          <c:cat>
            <c:numRef>
              <c:f>'High shop - Charts'!$B$4:$P$4</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extLst/>
            </c:numRef>
          </c:cat>
          <c:val>
            <c:numRef>
              <c:f>'High shop - Charts'!$B$11:$P$11</c:f>
              <c:numCache>
                <c:formatCode>"$"#,##0_);[Red]\("$"#,##0\)</c:formatCode>
                <c:ptCount val="15"/>
                <c:pt idx="0">
                  <c:v>99000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extLst/>
            </c:numRef>
          </c:val>
          <c:extLst>
            <c:ext xmlns:c16="http://schemas.microsoft.com/office/drawing/2014/chart" uri="{C3380CC4-5D6E-409C-BE32-E72D297353CC}">
              <c16:uniqueId val="{00000000-3E9C-45E7-8CC6-108C9937C2EC}"/>
            </c:ext>
          </c:extLst>
        </c:ser>
        <c:ser>
          <c:idx val="0"/>
          <c:order val="1"/>
          <c:tx>
            <c:strRef>
              <c:f>'High shop - Charts'!$A$12</c:f>
              <c:strCache>
                <c:ptCount val="1"/>
                <c:pt idx="0">
                  <c:v>Property tax</c:v>
                </c:pt>
              </c:strCache>
            </c:strRef>
          </c:tx>
          <c:spPr>
            <a:solidFill>
              <a:srgbClr val="0070C0"/>
            </a:solidFill>
            <a:ln>
              <a:noFill/>
            </a:ln>
            <a:effectLst/>
          </c:spPr>
          <c:invertIfNegative val="0"/>
          <c:cat>
            <c:strLit>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extLst>
                <c:ext xmlns:c15="http://schemas.microsoft.com/office/drawing/2012/chart" uri="{02D57815-91ED-43cb-92C2-25804820EDAC}">
                  <c15:autoCat val="1"/>
                </c:ext>
              </c:extLst>
            </c:strLit>
          </c:cat>
          <c:val>
            <c:numRef>
              <c:f>'High shop - Charts'!$B$12:$P$12</c:f>
              <c:numCache>
                <c:formatCode>"$"#,##0_);[Red]\("$"#,##0\)</c:formatCode>
                <c:ptCount val="15"/>
                <c:pt idx="0">
                  <c:v>0</c:v>
                </c:pt>
                <c:pt idx="1">
                  <c:v>0</c:v>
                </c:pt>
                <c:pt idx="2">
                  <c:v>0</c:v>
                </c:pt>
                <c:pt idx="3">
                  <c:v>0</c:v>
                </c:pt>
                <c:pt idx="4">
                  <c:v>0</c:v>
                </c:pt>
                <c:pt idx="5">
                  <c:v>0</c:v>
                </c:pt>
                <c:pt idx="6">
                  <c:v>0</c:v>
                </c:pt>
                <c:pt idx="7">
                  <c:v>0</c:v>
                </c:pt>
                <c:pt idx="8">
                  <c:v>0</c:v>
                </c:pt>
                <c:pt idx="9">
                  <c:v>0</c:v>
                </c:pt>
                <c:pt idx="10">
                  <c:v>11147.693469213918</c:v>
                </c:pt>
                <c:pt idx="11">
                  <c:v>11482.124273290336</c:v>
                </c:pt>
                <c:pt idx="12">
                  <c:v>11826.588001489046</c:v>
                </c:pt>
                <c:pt idx="13">
                  <c:v>12181.385641533716</c:v>
                </c:pt>
                <c:pt idx="14">
                  <c:v>12546.827210779727</c:v>
                </c:pt>
              </c:numCache>
              <c:extLst/>
            </c:numRef>
          </c:val>
          <c:extLst>
            <c:ext xmlns:c16="http://schemas.microsoft.com/office/drawing/2014/chart" uri="{C3380CC4-5D6E-409C-BE32-E72D297353CC}">
              <c16:uniqueId val="{00000001-3E9C-45E7-8CC6-108C9937C2EC}"/>
            </c:ext>
          </c:extLst>
        </c:ser>
        <c:ser>
          <c:idx val="2"/>
          <c:order val="2"/>
          <c:tx>
            <c:v>Land tax</c:v>
          </c:tx>
          <c:spPr>
            <a:solidFill>
              <a:srgbClr val="C00000"/>
            </a:solidFill>
            <a:ln>
              <a:noFill/>
            </a:ln>
            <a:effectLst/>
          </c:spPr>
          <c:invertIfNegative val="0"/>
          <c:cat>
            <c:strLit>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extLst>
                <c:ext xmlns:c15="http://schemas.microsoft.com/office/drawing/2012/chart" uri="{02D57815-91ED-43cb-92C2-25804820EDAC}">
                  <c15:autoCat val="1"/>
                </c:ext>
              </c:extLst>
            </c:strLit>
          </c:cat>
          <c:val>
            <c:numRef>
              <c:f>'High shop - Charts'!$B$17:$P$17</c:f>
              <c:numCache>
                <c:formatCode>0</c:formatCode>
                <c:ptCount val="15"/>
                <c:pt idx="0">
                  <c:v>8515.4377880184329</c:v>
                </c:pt>
                <c:pt idx="1">
                  <c:v>8901.4009216589875</c:v>
                </c:pt>
                <c:pt idx="2">
                  <c:v>9298.9429493087591</c:v>
                </c:pt>
                <c:pt idx="3">
                  <c:v>9708.411237788021</c:v>
                </c:pt>
                <c:pt idx="4">
                  <c:v>10130.163574921662</c:v>
                </c:pt>
                <c:pt idx="5">
                  <c:v>10564.568482169312</c:v>
                </c:pt>
                <c:pt idx="6">
                  <c:v>11012.005536634391</c:v>
                </c:pt>
                <c:pt idx="7">
                  <c:v>11472.865702733423</c:v>
                </c:pt>
                <c:pt idx="8">
                  <c:v>12028.844735328279</c:v>
                </c:pt>
                <c:pt idx="9">
                  <c:v>10385.045830273697</c:v>
                </c:pt>
                <c:pt idx="10">
                  <c:v>11252.34720518191</c:v>
                </c:pt>
                <c:pt idx="11">
                  <c:v>12145.667621337367</c:v>
                </c:pt>
                <c:pt idx="12">
                  <c:v>13065.787649977492</c:v>
                </c:pt>
                <c:pt idx="13">
                  <c:v>14013.51127947681</c:v>
                </c:pt>
                <c:pt idx="14">
                  <c:v>14989.666617861121</c:v>
                </c:pt>
              </c:numCache>
              <c:extLst/>
            </c:numRef>
          </c:val>
          <c:extLst>
            <c:ext xmlns:c16="http://schemas.microsoft.com/office/drawing/2014/chart" uri="{C3380CC4-5D6E-409C-BE32-E72D297353CC}">
              <c16:uniqueId val="{00000002-3E9C-45E7-8CC6-108C9937C2EC}"/>
            </c:ext>
          </c:extLst>
        </c:ser>
        <c:dLbls>
          <c:showLegendKey val="0"/>
          <c:showVal val="0"/>
          <c:showCatName val="0"/>
          <c:showSerName val="0"/>
          <c:showPercent val="0"/>
          <c:showBubbleSize val="0"/>
        </c:dLbls>
        <c:gapWidth val="150"/>
        <c:overlap val="-20"/>
        <c:axId val="1052173200"/>
        <c:axId val="1052173528"/>
      </c:barChart>
      <c:catAx>
        <c:axId val="1052173200"/>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52173528"/>
        <c:crosses val="autoZero"/>
        <c:auto val="1"/>
        <c:lblAlgn val="ctr"/>
        <c:lblOffset val="100"/>
        <c:noMultiLvlLbl val="0"/>
      </c:catAx>
      <c:valAx>
        <c:axId val="1052173528"/>
        <c:scaling>
          <c:orientation val="minMax"/>
          <c:max val="100000"/>
        </c:scaling>
        <c:delete val="0"/>
        <c:axPos val="l"/>
        <c:title>
          <c:tx>
            <c:rich>
              <a:bodyPr rot="-5400000" spcFirstLastPara="1" vertOverflow="ellipsis" vert="horz" wrap="square" anchor="ctr" anchorCtr="1"/>
              <a:lstStyle/>
              <a:p>
                <a:pPr>
                  <a:defRPr sz="700" b="0" i="1" u="none" strike="noStrike" kern="1200" baseline="0">
                    <a:solidFill>
                      <a:schemeClr val="tx1">
                        <a:lumMod val="65000"/>
                        <a:lumOff val="35000"/>
                      </a:schemeClr>
                    </a:solidFill>
                    <a:latin typeface="+mn-lt"/>
                    <a:ea typeface="+mn-ea"/>
                    <a:cs typeface="+mn-cs"/>
                  </a:defRPr>
                </a:pPr>
                <a:r>
                  <a:rPr lang="en-AU" sz="700" i="1">
                    <a:effectLst/>
                  </a:rPr>
                  <a:t>payments ($)</a:t>
                </a:r>
              </a:p>
            </c:rich>
          </c:tx>
          <c:layout>
            <c:manualLayout>
              <c:xMode val="edge"/>
              <c:yMode val="edge"/>
              <c:x val="3.3245844269466331E-4"/>
              <c:y val="0.27641345785139393"/>
            </c:manualLayout>
          </c:layout>
          <c:overlay val="0"/>
          <c:spPr>
            <a:noFill/>
            <a:ln>
              <a:noFill/>
            </a:ln>
            <a:effectLst/>
          </c:spPr>
          <c:txPr>
            <a:bodyPr rot="-5400000" spcFirstLastPara="1" vertOverflow="ellipsis" vert="horz" wrap="square" anchor="ctr" anchorCtr="1"/>
            <a:lstStyle/>
            <a:p>
              <a:pPr>
                <a:defRPr sz="700" b="0" i="1" u="none" strike="noStrike" kern="1200" baseline="0">
                  <a:solidFill>
                    <a:schemeClr val="tx1">
                      <a:lumMod val="65000"/>
                      <a:lumOff val="35000"/>
                    </a:schemeClr>
                  </a:solidFill>
                  <a:latin typeface="+mn-lt"/>
                  <a:ea typeface="+mn-ea"/>
                  <a:cs typeface="+mn-cs"/>
                </a:defRPr>
              </a:pPr>
              <a:endParaRPr lang="en-US"/>
            </a:p>
          </c:txPr>
        </c:title>
        <c:numFmt formatCode="#\ ##0_);[Red]\(#\ ##0\)" sourceLinked="0"/>
        <c:majorTickMark val="in"/>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52173200"/>
        <c:crosses val="autoZero"/>
        <c:crossBetween val="between"/>
        <c:majorUnit val="25000"/>
      </c:valAx>
      <c:spPr>
        <a:noFill/>
        <a:ln w="25400">
          <a:noFill/>
        </a:ln>
        <a:effectLst/>
      </c:spPr>
    </c:plotArea>
    <c:legend>
      <c:legendPos val="b"/>
      <c:layout>
        <c:manualLayout>
          <c:xMode val="edge"/>
          <c:yMode val="edge"/>
          <c:x val="0.14447032662583845"/>
          <c:y val="0.92775585479024603"/>
          <c:w val="0.71105934674832316"/>
          <c:h val="7.224414520975396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675269757946924"/>
          <c:y val="5.6497175141242938E-2"/>
          <c:w val="0.71158063575386421"/>
          <c:h val="0.77588294529439594"/>
        </c:manualLayout>
      </c:layout>
      <c:barChart>
        <c:barDir val="col"/>
        <c:grouping val="clustered"/>
        <c:varyColors val="0"/>
        <c:ser>
          <c:idx val="2"/>
          <c:order val="0"/>
          <c:tx>
            <c:strRef>
              <c:f>'High shop - Charts'!$A$15</c:f>
              <c:strCache>
                <c:ptCount val="1"/>
                <c:pt idx="0">
                  <c:v>State loan</c:v>
                </c:pt>
              </c:strCache>
            </c:strRef>
          </c:tx>
          <c:spPr>
            <a:solidFill>
              <a:srgbClr val="00B050"/>
            </a:solidFill>
            <a:ln>
              <a:noFill/>
            </a:ln>
            <a:effectLst/>
          </c:spPr>
          <c:invertIfNegative val="0"/>
          <c:cat>
            <c:numRef>
              <c:f>'High shop - Charts'!$B$4:$P$4</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extLst/>
            </c:numRef>
          </c:cat>
          <c:val>
            <c:numRef>
              <c:f>'High shop - Charts'!$B$15:$P$15</c:f>
              <c:numCache>
                <c:formatCode>"$"#,##0_);[Red]\("$"#,##0\)</c:formatCode>
                <c:ptCount val="15"/>
                <c:pt idx="0">
                  <c:v>14173.66117091812</c:v>
                </c:pt>
                <c:pt idx="1">
                  <c:v>14173.66117091812</c:v>
                </c:pt>
                <c:pt idx="2">
                  <c:v>14173.66117091812</c:v>
                </c:pt>
                <c:pt idx="3">
                  <c:v>14173.66117091812</c:v>
                </c:pt>
                <c:pt idx="4">
                  <c:v>14173.66117091812</c:v>
                </c:pt>
                <c:pt idx="5">
                  <c:v>14173.66117091812</c:v>
                </c:pt>
                <c:pt idx="6">
                  <c:v>14173.66117091812</c:v>
                </c:pt>
                <c:pt idx="7">
                  <c:v>14173.66117091812</c:v>
                </c:pt>
                <c:pt idx="8">
                  <c:v>14173.66117091812</c:v>
                </c:pt>
                <c:pt idx="9">
                  <c:v>14173.66117091812</c:v>
                </c:pt>
                <c:pt idx="10">
                  <c:v>0</c:v>
                </c:pt>
                <c:pt idx="11">
                  <c:v>0</c:v>
                </c:pt>
                <c:pt idx="12">
                  <c:v>0</c:v>
                </c:pt>
                <c:pt idx="13">
                  <c:v>0</c:v>
                </c:pt>
                <c:pt idx="14">
                  <c:v>0</c:v>
                </c:pt>
              </c:numCache>
              <c:extLst/>
            </c:numRef>
          </c:val>
          <c:extLst>
            <c:ext xmlns:c16="http://schemas.microsoft.com/office/drawing/2014/chart" uri="{C3380CC4-5D6E-409C-BE32-E72D297353CC}">
              <c16:uniqueId val="{00000000-0C5D-4BDA-8B7A-7F328466CB28}"/>
            </c:ext>
          </c:extLst>
        </c:ser>
        <c:ser>
          <c:idx val="0"/>
          <c:order val="1"/>
          <c:tx>
            <c:strRef>
              <c:f>'High shop - Charts'!$A$16</c:f>
              <c:strCache>
                <c:ptCount val="1"/>
                <c:pt idx="0">
                  <c:v>Property tax</c:v>
                </c:pt>
              </c:strCache>
            </c:strRef>
          </c:tx>
          <c:spPr>
            <a:solidFill>
              <a:srgbClr val="0070C0"/>
            </a:solidFill>
            <a:ln>
              <a:noFill/>
            </a:ln>
            <a:effectLst/>
          </c:spPr>
          <c:invertIfNegative val="0"/>
          <c:cat>
            <c:strLit>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extLst>
                <c:ext xmlns:c15="http://schemas.microsoft.com/office/drawing/2012/chart" uri="{02D57815-91ED-43cb-92C2-25804820EDAC}">
                  <c15:autoCat val="1"/>
                </c:ext>
              </c:extLst>
            </c:strLit>
          </c:cat>
          <c:val>
            <c:numRef>
              <c:f>'High shop - Charts'!$B$16:$P$16</c:f>
              <c:numCache>
                <c:formatCode>"$"#,##0_);[Red]\("$"#,##0\)</c:formatCode>
                <c:ptCount val="15"/>
                <c:pt idx="0">
                  <c:v>0</c:v>
                </c:pt>
                <c:pt idx="1">
                  <c:v>0</c:v>
                </c:pt>
                <c:pt idx="2">
                  <c:v>0</c:v>
                </c:pt>
                <c:pt idx="3">
                  <c:v>0</c:v>
                </c:pt>
                <c:pt idx="4">
                  <c:v>0</c:v>
                </c:pt>
                <c:pt idx="5">
                  <c:v>0</c:v>
                </c:pt>
                <c:pt idx="6">
                  <c:v>0</c:v>
                </c:pt>
                <c:pt idx="7">
                  <c:v>0</c:v>
                </c:pt>
                <c:pt idx="8">
                  <c:v>0</c:v>
                </c:pt>
                <c:pt idx="9">
                  <c:v>0</c:v>
                </c:pt>
                <c:pt idx="10">
                  <c:v>11147.693469213918</c:v>
                </c:pt>
                <c:pt idx="11">
                  <c:v>11482.124273290336</c:v>
                </c:pt>
                <c:pt idx="12">
                  <c:v>11826.588001489046</c:v>
                </c:pt>
                <c:pt idx="13">
                  <c:v>12181.385641533716</c:v>
                </c:pt>
                <c:pt idx="14">
                  <c:v>12546.827210779727</c:v>
                </c:pt>
              </c:numCache>
              <c:extLst/>
            </c:numRef>
          </c:val>
          <c:extLst>
            <c:ext xmlns:c16="http://schemas.microsoft.com/office/drawing/2014/chart" uri="{C3380CC4-5D6E-409C-BE32-E72D297353CC}">
              <c16:uniqueId val="{00000001-0C5D-4BDA-8B7A-7F328466CB28}"/>
            </c:ext>
          </c:extLst>
        </c:ser>
        <c:ser>
          <c:idx val="1"/>
          <c:order val="2"/>
          <c:tx>
            <c:v>Land tax</c:v>
          </c:tx>
          <c:spPr>
            <a:solidFill>
              <a:srgbClr val="C00000"/>
            </a:solidFill>
            <a:ln>
              <a:noFill/>
            </a:ln>
            <a:effectLst/>
          </c:spPr>
          <c:invertIfNegative val="0"/>
          <c:cat>
            <c:strLit>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extLst>
                <c:ext xmlns:c15="http://schemas.microsoft.com/office/drawing/2012/chart" uri="{02D57815-91ED-43cb-92C2-25804820EDAC}">
                  <c15:autoCat val="1"/>
                </c:ext>
              </c:extLst>
            </c:strLit>
          </c:cat>
          <c:val>
            <c:numRef>
              <c:f>'High shop - Charts'!$B$17:$P$17</c:f>
              <c:numCache>
                <c:formatCode>0</c:formatCode>
                <c:ptCount val="15"/>
                <c:pt idx="0">
                  <c:v>8515.4377880184329</c:v>
                </c:pt>
                <c:pt idx="1">
                  <c:v>8901.4009216589875</c:v>
                </c:pt>
                <c:pt idx="2">
                  <c:v>9298.9429493087591</c:v>
                </c:pt>
                <c:pt idx="3">
                  <c:v>9708.411237788021</c:v>
                </c:pt>
                <c:pt idx="4">
                  <c:v>10130.163574921662</c:v>
                </c:pt>
                <c:pt idx="5">
                  <c:v>10564.568482169312</c:v>
                </c:pt>
                <c:pt idx="6">
                  <c:v>11012.005536634391</c:v>
                </c:pt>
                <c:pt idx="7">
                  <c:v>11472.865702733423</c:v>
                </c:pt>
                <c:pt idx="8">
                  <c:v>12028.844735328279</c:v>
                </c:pt>
                <c:pt idx="9">
                  <c:v>10385.045830273697</c:v>
                </c:pt>
                <c:pt idx="10">
                  <c:v>11252.34720518191</c:v>
                </c:pt>
                <c:pt idx="11">
                  <c:v>12145.667621337367</c:v>
                </c:pt>
                <c:pt idx="12">
                  <c:v>13065.787649977492</c:v>
                </c:pt>
                <c:pt idx="13">
                  <c:v>14013.51127947681</c:v>
                </c:pt>
                <c:pt idx="14">
                  <c:v>14989.666617861121</c:v>
                </c:pt>
              </c:numCache>
              <c:extLst/>
            </c:numRef>
          </c:val>
          <c:extLst>
            <c:ext xmlns:c16="http://schemas.microsoft.com/office/drawing/2014/chart" uri="{C3380CC4-5D6E-409C-BE32-E72D297353CC}">
              <c16:uniqueId val="{00000002-0C5D-4BDA-8B7A-7F328466CB28}"/>
            </c:ext>
          </c:extLst>
        </c:ser>
        <c:dLbls>
          <c:showLegendKey val="0"/>
          <c:showVal val="0"/>
          <c:showCatName val="0"/>
          <c:showSerName val="0"/>
          <c:showPercent val="0"/>
          <c:showBubbleSize val="0"/>
        </c:dLbls>
        <c:gapWidth val="150"/>
        <c:overlap val="-20"/>
        <c:axId val="1052173200"/>
        <c:axId val="1052173528"/>
      </c:barChart>
      <c:catAx>
        <c:axId val="1052173200"/>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52173528"/>
        <c:crosses val="autoZero"/>
        <c:auto val="1"/>
        <c:lblAlgn val="ctr"/>
        <c:lblOffset val="100"/>
        <c:noMultiLvlLbl val="0"/>
      </c:catAx>
      <c:valAx>
        <c:axId val="1052173528"/>
        <c:scaling>
          <c:orientation val="minMax"/>
          <c:max val="100000"/>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AU" sz="700" b="0" i="1" u="none" strike="noStrike" kern="1200" baseline="0">
                    <a:solidFill>
                      <a:srgbClr val="232B39">
                        <a:lumMod val="65000"/>
                        <a:lumOff val="35000"/>
                      </a:srgbClr>
                    </a:solidFill>
                    <a:effectLst/>
                  </a:rPr>
                  <a:t>payments ($)</a:t>
                </a:r>
              </a:p>
            </c:rich>
          </c:tx>
          <c:layout>
            <c:manualLayout>
              <c:xMode val="edge"/>
              <c:yMode val="edge"/>
              <c:x val="2.0559930008748852E-4"/>
              <c:y val="0.28795036984013361"/>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 ##0_);[Red]\(#\ ##0\)" sourceLinked="0"/>
        <c:majorTickMark val="in"/>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52173200"/>
        <c:crosses val="autoZero"/>
        <c:crossBetween val="between"/>
        <c:majorUnit val="25000"/>
      </c:valAx>
      <c:spPr>
        <a:noFill/>
        <a:ln>
          <a:noFill/>
        </a:ln>
        <a:effectLst/>
      </c:spPr>
    </c:plotArea>
    <c:legend>
      <c:legendPos val="b"/>
      <c:layout>
        <c:manualLayout>
          <c:xMode val="edge"/>
          <c:yMode val="edge"/>
          <c:x val="0.18496135899679206"/>
          <c:y val="0.92799703966125957"/>
          <c:w val="0.63933654126567507"/>
          <c:h val="7.2002960338740402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DTF Teal">
      <a:dk1>
        <a:srgbClr val="232B39"/>
      </a:dk1>
      <a:lt1>
        <a:sysClr val="window" lastClr="FFFFFF"/>
      </a:lt1>
      <a:dk2>
        <a:srgbClr val="3A3467"/>
      </a:dk2>
      <a:lt2>
        <a:srgbClr val="A6E7EB"/>
      </a:lt2>
      <a:accent1>
        <a:srgbClr val="00BAC7"/>
      </a:accent1>
      <a:accent2>
        <a:srgbClr val="71D9E0"/>
      </a:accent2>
      <a:accent3>
        <a:srgbClr val="4C9E61"/>
      </a:accent3>
      <a:accent4>
        <a:srgbClr val="009CA7"/>
      </a:accent4>
      <a:accent5>
        <a:srgbClr val="D3D5D7"/>
      </a:accent5>
      <a:accent6>
        <a:srgbClr val="F6884F"/>
      </a:accent6>
      <a:hlink>
        <a:srgbClr val="53565A"/>
      </a:hlink>
      <a:folHlink>
        <a:srgbClr val="999999"/>
      </a:folHlink>
    </a:clrScheme>
    <a:fontScheme name="Brand Vi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ct:contentTypeSchema xmlns:ct="http://schemas.microsoft.com/office/2006/metadata/contentType" xmlns:ma="http://schemas.microsoft.com/office/2006/metadata/properties/metaAttributes" ct:_="" ma:_="" ma:contentTypeName="Document" ma:contentTypeID="0x010100B90C5CF1D5BBA04DAA218BE598E345AC" ma:contentTypeVersion="28" ma:contentTypeDescription="Create a new document." ma:contentTypeScope="" ma:versionID="c9c68b040bd48731cdae6758973dbdfa">
  <xsd:schema xmlns:xsd="http://www.w3.org/2001/XMLSchema" xmlns:xs="http://www.w3.org/2001/XMLSchema" xmlns:p="http://schemas.microsoft.com/office/2006/metadata/properties" xmlns:ns1="http://schemas.microsoft.com/sharepoint/v3" xmlns:ns2="51fffbad-fc14-48aa-b0d1-9be411fd36c8" xmlns:ns3="http://schemas.microsoft.com/sharepoint/v4" xmlns:ns4="15b0d6e9-e99b-40a9-aaa3-9b8d7d95b219" targetNamespace="http://schemas.microsoft.com/office/2006/metadata/properties" ma:root="true" ma:fieldsID="59b6e12f9c41e4847285b3153f182a5f" ns1:_="" ns2:_="" ns3:_="" ns4:_="">
    <xsd:import namespace="http://schemas.microsoft.com/sharepoint/v3"/>
    <xsd:import namespace="51fffbad-fc14-48aa-b0d1-9be411fd36c8"/>
    <xsd:import namespace="http://schemas.microsoft.com/sharepoint/v4"/>
    <xsd:import namespace="15b0d6e9-e99b-40a9-aaa3-9b8d7d95b219"/>
    <xsd:element name="properties">
      <xsd:complexType>
        <xsd:sequence>
          <xsd:element name="documentManagement">
            <xsd:complexType>
              <xsd:all>
                <xsd:element ref="ns2:Status" minOccurs="0"/>
                <xsd:element ref="ns2:Business_x0020_Area" minOccurs="0"/>
                <xsd:element ref="ns2:List_x0020_Item"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IconOverlay" minOccurs="0"/>
                <xsd:element ref="ns4:SharedWithUsers" minOccurs="0"/>
                <xsd:element ref="ns4:SharedWithDetails" minOccurs="0"/>
                <xsd:element ref="ns1:AssignedTo"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2"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ffbad-fc14-48aa-b0d1-9be411fd36c8" elementFormDefault="qualified">
    <xsd:import namespace="http://schemas.microsoft.com/office/2006/documentManagement/types"/>
    <xsd:import namespace="http://schemas.microsoft.com/office/infopath/2007/PartnerControls"/>
    <xsd:element name="Status" ma:index="8" nillable="true" ma:displayName="Status" ma:default="Unallocated" ma:format="Dropdown" ma:internalName="Status">
      <xsd:simpleType>
        <xsd:restriction base="dms:Choice">
          <xsd:enumeration value="Unallocated"/>
          <xsd:enumeration value="New"/>
          <xsd:enumeration value="On Hold"/>
          <xsd:enumeration value="Completed"/>
          <xsd:enumeration value="Archived"/>
        </xsd:restriction>
      </xsd:simpleType>
    </xsd:element>
    <xsd:element name="Business_x0020_Area" ma:index="9" nillable="true" ma:displayName="Business Area" ma:description="The DTF business area of the user that submitted this job request." ma:list="{66df8ae6-924e-4ddf-afb9-758d67cdcb74}" ma:internalName="Business_x0020_Area" ma:readOnly="false" ma:showField="Title">
      <xsd:simpleType>
        <xsd:restriction base="dms:Lookup"/>
      </xsd:simpleType>
    </xsd:element>
    <xsd:element name="List_x0020_Item" ma:index="10" nillable="true" ma:displayName="List Item" ma:description="Link to the Production Request List item for this job." ma:indexed="true" ma:list="{45e91031-0f06-4a2e-bc29-c611df0012cc}" ma:internalName="List_x0020_Item" ma:readOnly="false" ma:showField="Job_x0020_Number">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0d6e9-e99b-40a9-aaa3-9b8d7d95b21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5daf189-de59-48f6-89f9-2bbe255eeff1}" ma:internalName="TaxCatchAll" ma:showField="CatchAllData" ma:web="15b0d6e9-e99b-40a9-aaa3-9b8d7d95b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tatus xmlns="51fffbad-fc14-48aa-b0d1-9be411fd36c8">Unallocated</Status>
    <Business_x0020_Area xmlns="51fffbad-fc14-48aa-b0d1-9be411fd36c8" xsi:nil="true"/>
    <List_x0020_Item xmlns="51fffbad-fc14-48aa-b0d1-9be411fd36c8" xsi:nil="true"/>
    <AssignedTo xmlns="http://schemas.microsoft.com/sharepoint/v3">
      <UserInfo>
        <DisplayName/>
        <AccountId xsi:nil="true"/>
        <AccountType/>
      </UserInfo>
    </AssignedTo>
    <IconOverlay xmlns="http://schemas.microsoft.com/sharepoint/v4" xsi:nil="true"/>
    <TaxCatchAll xmlns="15b0d6e9-e99b-40a9-aaa3-9b8d7d95b219" xsi:nil="true"/>
    <lcf76f155ced4ddcb4097134ff3c332f xmlns="51fffbad-fc14-48aa-b0d1-9be411fd36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D35500-6444-400E-8AC1-30BE8DA5512E}">
  <ds:schemaRefs>
    <ds:schemaRef ds:uri="http://www.w3.org/2001/XMLSchema"/>
  </ds:schemaRefs>
</ds:datastoreItem>
</file>

<file path=customXml/itemProps2.xml><?xml version="1.0" encoding="utf-8"?>
<ds:datastoreItem xmlns:ds="http://schemas.openxmlformats.org/officeDocument/2006/customXml" ds:itemID="{48B723F8-AFDE-4721-966A-44F1CFBB2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fffbad-fc14-48aa-b0d1-9be411fd36c8"/>
    <ds:schemaRef ds:uri="http://schemas.microsoft.com/sharepoint/v4"/>
    <ds:schemaRef ds:uri="15b0d6e9-e99b-40a9-aaa3-9b8d7d95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0C27D6-B472-4AAB-9839-4EDA57E1B761}">
  <ds:schemaRefs>
    <ds:schemaRef ds:uri="http://schemas.microsoft.com/sharepoint/v3/contenttype/forms"/>
  </ds:schemaRefs>
</ds:datastoreItem>
</file>

<file path=customXml/itemProps4.xml><?xml version="1.0" encoding="utf-8"?>
<ds:datastoreItem xmlns:ds="http://schemas.openxmlformats.org/officeDocument/2006/customXml" ds:itemID="{8D2BDAD3-6C26-4570-9B53-FA9DFE8FCDD7}">
  <ds:schemaRefs>
    <ds:schemaRef ds:uri="http://schemas.openxmlformats.org/officeDocument/2006/bibliography"/>
  </ds:schemaRefs>
</ds:datastoreItem>
</file>

<file path=customXml/itemProps5.xml><?xml version="1.0" encoding="utf-8"?>
<ds:datastoreItem xmlns:ds="http://schemas.openxmlformats.org/officeDocument/2006/customXml" ds:itemID="{8EA0F3FE-F345-4B21-8E58-B333C71FF5D9}">
  <ds:schemaRefs>
    <ds:schemaRef ds:uri="http://schemas.microsoft.com/office/2006/metadata/properties"/>
    <ds:schemaRef ds:uri="http://schemas.microsoft.com/office/infopath/2007/PartnerControls"/>
    <ds:schemaRef ds:uri="51fffbad-fc14-48aa-b0d1-9be411fd36c8"/>
    <ds:schemaRef ds:uri="http://schemas.microsoft.com/sharepoint/v3"/>
    <ds:schemaRef ds:uri="http://schemas.microsoft.com/sharepoint/v4"/>
    <ds:schemaRef ds:uri="15b0d6e9-e99b-40a9-aaa3-9b8d7d95b219"/>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7</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15361</CharactersWithSpaces>
  <SharedDoc>false</SharedDoc>
  <HLinks>
    <vt:vector size="6" baseType="variant">
      <vt:variant>
        <vt:i4>1966113</vt:i4>
      </vt:variant>
      <vt:variant>
        <vt:i4>0</vt:i4>
      </vt:variant>
      <vt:variant>
        <vt:i4>0</vt:i4>
      </vt:variant>
      <vt:variant>
        <vt:i4>5</vt:i4>
      </vt:variant>
      <vt:variant>
        <vt:lpwstr>mailto:information@dtf.vic.gov.au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Mouratidis (DTF)</dc:creator>
  <cp:keywords/>
  <cp:lastModifiedBy>Chris Mouratidis (DTF)</cp:lastModifiedBy>
  <cp:revision>34</cp:revision>
  <cp:lastPrinted>2024-04-24T02:26:00Z</cp:lastPrinted>
  <dcterms:created xsi:type="dcterms:W3CDTF">2024-05-30T06:43:00Z</dcterms:created>
  <dcterms:modified xsi:type="dcterms:W3CDTF">2024-06-04T22:07:00Z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ClassificationContentMarkingHeaderShapeIds">
    <vt:lpwstr>4,8,9,c,10,11,12,14,16,1d,1e,1f</vt:lpwstr>
  </property>
  <property fmtid="{D5CDD505-2E9C-101B-9397-08002B2CF9AE}" pid="5" name="ClassificationContentMarkingHeaderFontProps">
    <vt:lpwstr>#ff0000,10,Calibri</vt:lpwstr>
  </property>
  <property fmtid="{D5CDD505-2E9C-101B-9397-08002B2CF9AE}" pid="6" name="ClassificationContentMarkingHeaderText">
    <vt:lpwstr>OFFICIAL</vt:lpwstr>
  </property>
  <property fmtid="{D5CDD505-2E9C-101B-9397-08002B2CF9AE}" pid="7" name="MSIP_Label_eadba5aa-feb1-4577-be26-fb9fbbe8db5c_Enabled">
    <vt:lpwstr>true</vt:lpwstr>
  </property>
  <property fmtid="{D5CDD505-2E9C-101B-9397-08002B2CF9AE}" pid="8" name="MSIP_Label_eadba5aa-feb1-4577-be26-fb9fbbe8db5c_SetDate">
    <vt:lpwstr>2024-04-10T12:11:25Z</vt:lpwstr>
  </property>
  <property fmtid="{D5CDD505-2E9C-101B-9397-08002B2CF9AE}" pid="9" name="MSIP_Label_eadba5aa-feb1-4577-be26-fb9fbbe8db5c_Method">
    <vt:lpwstr>Privileged</vt:lpwstr>
  </property>
  <property fmtid="{D5CDD505-2E9C-101B-9397-08002B2CF9AE}" pid="10" name="MSIP_Label_eadba5aa-feb1-4577-be26-fb9fbbe8db5c_Name">
    <vt:lpwstr>Official</vt:lpwstr>
  </property>
  <property fmtid="{D5CDD505-2E9C-101B-9397-08002B2CF9AE}" pid="11" name="MSIP_Label_eadba5aa-feb1-4577-be26-fb9fbbe8db5c_SiteId">
    <vt:lpwstr>cdcb4a9c-7e4f-41e8-8307-b9d7edd68669</vt:lpwstr>
  </property>
  <property fmtid="{D5CDD505-2E9C-101B-9397-08002B2CF9AE}" pid="12" name="MSIP_Label_eadba5aa-feb1-4577-be26-fb9fbbe8db5c_ActionId">
    <vt:lpwstr>dd07b88e-a639-472a-84be-1c105060e209</vt:lpwstr>
  </property>
  <property fmtid="{D5CDD505-2E9C-101B-9397-08002B2CF9AE}" pid="13" name="MSIP_Label_eadba5aa-feb1-4577-be26-fb9fbbe8db5c_ContentBits">
    <vt:lpwstr>3</vt:lpwstr>
  </property>
  <property fmtid="{D5CDD505-2E9C-101B-9397-08002B2CF9AE}" pid="14" name="MSIP_Label_bb4ee517-5ca4-4fff-98d2-ed4f906edd6d_Enabled">
    <vt:lpwstr>true</vt:lpwstr>
  </property>
  <property fmtid="{D5CDD505-2E9C-101B-9397-08002B2CF9AE}" pid="15" name="MSIP_Label_bb4ee517-5ca4-4fff-98d2-ed4f906edd6d_SetDate">
    <vt:lpwstr>2024-04-17T00:55:57Z</vt:lpwstr>
  </property>
  <property fmtid="{D5CDD505-2E9C-101B-9397-08002B2CF9AE}" pid="16" name="MSIP_Label_bb4ee517-5ca4-4fff-98d2-ed4f906edd6d_Method">
    <vt:lpwstr>Privileged</vt:lpwstr>
  </property>
  <property fmtid="{D5CDD505-2E9C-101B-9397-08002B2CF9AE}" pid="17" name="MSIP_Label_bb4ee517-5ca4-4fff-98d2-ed4f906edd6d_Name">
    <vt:lpwstr>bb4ee517-5ca4-4fff-98d2-ed4f906edd6d</vt:lpwstr>
  </property>
  <property fmtid="{D5CDD505-2E9C-101B-9397-08002B2CF9AE}" pid="18" name="MSIP_Label_bb4ee517-5ca4-4fff-98d2-ed4f906edd6d_SiteId">
    <vt:lpwstr>722ea0be-3e1c-4b11-ad6f-9401d6856e24</vt:lpwstr>
  </property>
  <property fmtid="{D5CDD505-2E9C-101B-9397-08002B2CF9AE}" pid="19" name="MSIP_Label_bb4ee517-5ca4-4fff-98d2-ed4f906edd6d_ActionId">
    <vt:lpwstr>2572be3c-f579-4725-bae5-e70c386e04fa</vt:lpwstr>
  </property>
  <property fmtid="{D5CDD505-2E9C-101B-9397-08002B2CF9AE}" pid="20" name="MSIP_Label_bb4ee517-5ca4-4fff-98d2-ed4f906edd6d_ContentBits">
    <vt:lpwstr>0</vt:lpwstr>
  </property>
  <property fmtid="{D5CDD505-2E9C-101B-9397-08002B2CF9AE}" pid="21" name="ContentTypeId">
    <vt:lpwstr>0x010100B90C5CF1D5BBA04DAA218BE598E345AC</vt:lpwstr>
  </property>
  <property fmtid="{D5CDD505-2E9C-101B-9397-08002B2CF9AE}" pid="22" name="MediaServiceImageTags">
    <vt:lpwstr/>
  </property>
  <property fmtid="{D5CDD505-2E9C-101B-9397-08002B2CF9AE}" pid="23" name="GrammarlyDocumentId">
    <vt:lpwstr>a5a7f2d2e5d8e4aa179eb3821b83a27bb2a865624a05f9f5a8188acf4f244b77</vt:lpwstr>
  </property>
</Properties>
</file>