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23870" w:rsidRDefault="00223870" w:rsidP="00CE5B2C">
      <w:pPr>
        <w:pStyle w:val="Title"/>
      </w:pPr>
      <w:bookmarkStart w:id="0" w:name="_Toc442780672"/>
      <w:r w:rsidRPr="00223870">
        <w:t>Community Support Fund</w:t>
      </w:r>
    </w:p>
    <w:p w:rsidR="0024782C" w:rsidRDefault="0049410D" w:rsidP="00CE5B2C">
      <w:pPr>
        <w:pStyle w:val="Subtitle"/>
      </w:pPr>
      <w:r>
        <w:t>Final report outcomes summary</w:t>
      </w:r>
    </w:p>
    <w:p w:rsidR="007E2173" w:rsidRPr="00CE5B2C" w:rsidRDefault="007E2173" w:rsidP="00CE5B2C">
      <w:pPr>
        <w:pStyle w:val="TOCHeading"/>
      </w:pPr>
      <w:r w:rsidRPr="00CE5B2C">
        <w:t>Program contents</w:t>
      </w:r>
    </w:p>
    <w:p w:rsidR="007443EC" w:rsidRDefault="007F2909">
      <w:pPr>
        <w:pStyle w:val="TOC1"/>
        <w:rPr>
          <w:spacing w:val="0"/>
        </w:rPr>
      </w:pPr>
      <w:r>
        <w:fldChar w:fldCharType="begin"/>
      </w:r>
      <w:r>
        <w:instrText xml:space="preserve"> TOC \h \z \t "Heading </w:instrText>
      </w:r>
      <w:r w:rsidR="00972910">
        <w:instrText>2</w:instrText>
      </w:r>
      <w:r>
        <w:instrText xml:space="preserve">,1" </w:instrText>
      </w:r>
      <w:r>
        <w:fldChar w:fldCharType="separate"/>
      </w:r>
      <w:hyperlink w:anchor="_Toc524701300" w:history="1">
        <w:r w:rsidR="007443EC" w:rsidRPr="00231A13">
          <w:rPr>
            <w:rStyle w:val="Hyperlink"/>
          </w:rPr>
          <w:t>Justice Connect's Not-for-profit Law Program - 2016-17 to 2017-18</w:t>
        </w:r>
        <w:r w:rsidR="007443EC">
          <w:rPr>
            <w:webHidden/>
          </w:rPr>
          <w:tab/>
        </w:r>
        <w:r w:rsidR="007443EC">
          <w:rPr>
            <w:webHidden/>
          </w:rPr>
          <w:fldChar w:fldCharType="begin"/>
        </w:r>
        <w:r w:rsidR="007443EC">
          <w:rPr>
            <w:webHidden/>
          </w:rPr>
          <w:instrText xml:space="preserve"> PAGEREF _Toc524701300 \h </w:instrText>
        </w:r>
        <w:r w:rsidR="007443EC">
          <w:rPr>
            <w:webHidden/>
          </w:rPr>
        </w:r>
        <w:r w:rsidR="007443EC">
          <w:rPr>
            <w:webHidden/>
          </w:rPr>
          <w:fldChar w:fldCharType="separate"/>
        </w:r>
        <w:r w:rsidR="00E44172">
          <w:rPr>
            <w:webHidden/>
          </w:rPr>
          <w:t>1</w:t>
        </w:r>
        <w:r w:rsidR="007443EC">
          <w:rPr>
            <w:webHidden/>
          </w:rPr>
          <w:fldChar w:fldCharType="end"/>
        </w:r>
      </w:hyperlink>
    </w:p>
    <w:p w:rsidR="007443EC" w:rsidRDefault="002D4CFE">
      <w:pPr>
        <w:pStyle w:val="TOC1"/>
        <w:rPr>
          <w:spacing w:val="0"/>
        </w:rPr>
      </w:pPr>
      <w:hyperlink w:anchor="_Toc524701301" w:history="1">
        <w:r w:rsidR="007443EC" w:rsidRPr="00231A13">
          <w:rPr>
            <w:rStyle w:val="Hyperlink"/>
          </w:rPr>
          <w:t>Pre-commitment Information Program</w:t>
        </w:r>
        <w:r w:rsidR="007443EC">
          <w:rPr>
            <w:webHidden/>
          </w:rPr>
          <w:tab/>
        </w:r>
        <w:r w:rsidR="007443EC">
          <w:rPr>
            <w:webHidden/>
          </w:rPr>
          <w:fldChar w:fldCharType="begin"/>
        </w:r>
        <w:r w:rsidR="007443EC">
          <w:rPr>
            <w:webHidden/>
          </w:rPr>
          <w:instrText xml:space="preserve"> PAGEREF _Toc524701301 \h </w:instrText>
        </w:r>
        <w:r w:rsidR="007443EC">
          <w:rPr>
            <w:webHidden/>
          </w:rPr>
        </w:r>
        <w:r w:rsidR="007443EC">
          <w:rPr>
            <w:webHidden/>
          </w:rPr>
          <w:fldChar w:fldCharType="separate"/>
        </w:r>
        <w:r w:rsidR="00E44172">
          <w:rPr>
            <w:webHidden/>
          </w:rPr>
          <w:t>2</w:t>
        </w:r>
        <w:r w:rsidR="007443EC">
          <w:rPr>
            <w:webHidden/>
          </w:rPr>
          <w:fldChar w:fldCharType="end"/>
        </w:r>
      </w:hyperlink>
    </w:p>
    <w:p w:rsidR="007443EC" w:rsidRDefault="002D4CFE">
      <w:pPr>
        <w:pStyle w:val="TOC1"/>
        <w:rPr>
          <w:spacing w:val="0"/>
        </w:rPr>
      </w:pPr>
      <w:hyperlink w:anchor="_Toc524701302" w:history="1">
        <w:r w:rsidR="007443EC" w:rsidRPr="00231A13">
          <w:rPr>
            <w:rStyle w:val="Hyperlink"/>
          </w:rPr>
          <w:t>Indigenous Cultural Strengthening Project</w:t>
        </w:r>
        <w:r w:rsidR="007443EC">
          <w:rPr>
            <w:webHidden/>
          </w:rPr>
          <w:tab/>
        </w:r>
        <w:r w:rsidR="007443EC">
          <w:rPr>
            <w:webHidden/>
          </w:rPr>
          <w:fldChar w:fldCharType="begin"/>
        </w:r>
        <w:r w:rsidR="007443EC">
          <w:rPr>
            <w:webHidden/>
          </w:rPr>
          <w:instrText xml:space="preserve"> PAGEREF _Toc524701302 \h </w:instrText>
        </w:r>
        <w:r w:rsidR="007443EC">
          <w:rPr>
            <w:webHidden/>
          </w:rPr>
        </w:r>
        <w:r w:rsidR="007443EC">
          <w:rPr>
            <w:webHidden/>
          </w:rPr>
          <w:fldChar w:fldCharType="separate"/>
        </w:r>
        <w:r w:rsidR="00E44172">
          <w:rPr>
            <w:webHidden/>
          </w:rPr>
          <w:t>3</w:t>
        </w:r>
        <w:r w:rsidR="007443EC">
          <w:rPr>
            <w:webHidden/>
          </w:rPr>
          <w:fldChar w:fldCharType="end"/>
        </w:r>
      </w:hyperlink>
    </w:p>
    <w:p w:rsidR="007443EC" w:rsidRDefault="002D4CFE">
      <w:pPr>
        <w:pStyle w:val="TOC1"/>
        <w:rPr>
          <w:spacing w:val="0"/>
        </w:rPr>
      </w:pPr>
      <w:hyperlink w:anchor="_Toc524701303" w:history="1">
        <w:r w:rsidR="007443EC" w:rsidRPr="00231A13">
          <w:rPr>
            <w:rStyle w:val="Hyperlink"/>
          </w:rPr>
          <w:t>Community Support and Recreational Sports Package - DHHS</w:t>
        </w:r>
        <w:r w:rsidR="007443EC">
          <w:rPr>
            <w:webHidden/>
          </w:rPr>
          <w:tab/>
        </w:r>
        <w:r w:rsidR="007443EC">
          <w:rPr>
            <w:webHidden/>
          </w:rPr>
          <w:fldChar w:fldCharType="begin"/>
        </w:r>
        <w:r w:rsidR="007443EC">
          <w:rPr>
            <w:webHidden/>
          </w:rPr>
          <w:instrText xml:space="preserve"> PAGEREF _Toc524701303 \h </w:instrText>
        </w:r>
        <w:r w:rsidR="007443EC">
          <w:rPr>
            <w:webHidden/>
          </w:rPr>
        </w:r>
        <w:r w:rsidR="007443EC">
          <w:rPr>
            <w:webHidden/>
          </w:rPr>
          <w:fldChar w:fldCharType="separate"/>
        </w:r>
        <w:r w:rsidR="00E44172">
          <w:rPr>
            <w:webHidden/>
          </w:rPr>
          <w:t>4</w:t>
        </w:r>
        <w:r w:rsidR="007443EC">
          <w:rPr>
            <w:webHidden/>
          </w:rPr>
          <w:fldChar w:fldCharType="end"/>
        </w:r>
      </w:hyperlink>
    </w:p>
    <w:p w:rsidR="007443EC" w:rsidRDefault="002D4CFE">
      <w:pPr>
        <w:pStyle w:val="TOC1"/>
        <w:rPr>
          <w:spacing w:val="0"/>
        </w:rPr>
      </w:pPr>
      <w:hyperlink w:anchor="_Toc524701304" w:history="1">
        <w:r w:rsidR="007443EC" w:rsidRPr="00231A13">
          <w:rPr>
            <w:rStyle w:val="Hyperlink"/>
          </w:rPr>
          <w:t>Heyfield Museum</w:t>
        </w:r>
        <w:r w:rsidR="007443EC">
          <w:rPr>
            <w:webHidden/>
          </w:rPr>
          <w:tab/>
        </w:r>
        <w:r w:rsidR="007443EC">
          <w:rPr>
            <w:webHidden/>
          </w:rPr>
          <w:fldChar w:fldCharType="begin"/>
        </w:r>
        <w:r w:rsidR="007443EC">
          <w:rPr>
            <w:webHidden/>
          </w:rPr>
          <w:instrText xml:space="preserve"> PAGEREF _Toc524701304 \h </w:instrText>
        </w:r>
        <w:r w:rsidR="007443EC">
          <w:rPr>
            <w:webHidden/>
          </w:rPr>
        </w:r>
        <w:r w:rsidR="007443EC">
          <w:rPr>
            <w:webHidden/>
          </w:rPr>
          <w:fldChar w:fldCharType="separate"/>
        </w:r>
        <w:r w:rsidR="00E44172">
          <w:rPr>
            <w:webHidden/>
          </w:rPr>
          <w:t>5</w:t>
        </w:r>
        <w:r w:rsidR="007443EC">
          <w:rPr>
            <w:webHidden/>
          </w:rPr>
          <w:fldChar w:fldCharType="end"/>
        </w:r>
      </w:hyperlink>
    </w:p>
    <w:p w:rsidR="007E2173" w:rsidRPr="0067312B" w:rsidRDefault="007F2909" w:rsidP="0067312B">
      <w:pPr>
        <w:rPr>
          <w:b/>
          <w:bCs/>
          <w:noProof/>
          <w:lang w:val="en-US"/>
        </w:rPr>
        <w:sectPr w:rsidR="007E2173" w:rsidRPr="0067312B" w:rsidSect="00A327CF">
          <w:footerReference w:type="default" r:id="rId8"/>
          <w:headerReference w:type="first" r:id="rId9"/>
          <w:footerReference w:type="first" r:id="rId10"/>
          <w:pgSz w:w="11906" w:h="16838" w:code="9"/>
          <w:pgMar w:top="1890" w:right="1440" w:bottom="900" w:left="1440" w:header="706" w:footer="461" w:gutter="0"/>
          <w:pgNumType w:fmt="lowerRoman" w:start="1"/>
          <w:cols w:space="708"/>
          <w:titlePg/>
          <w:docGrid w:linePitch="360"/>
        </w:sectPr>
      </w:pPr>
      <w:r>
        <w:rPr>
          <w:b/>
          <w:bCs/>
          <w:noProof/>
          <w:lang w:val="en-US"/>
        </w:rPr>
        <w:fldChar w:fldCharType="end"/>
      </w:r>
    </w:p>
    <w:p w:rsidR="0049468D" w:rsidRPr="00EB3F69" w:rsidRDefault="0049468D" w:rsidP="0049468D">
      <w:pPr>
        <w:pStyle w:val="Heading2"/>
      </w:pPr>
      <w:bookmarkStart w:id="1" w:name="_Toc524701300"/>
      <w:r w:rsidRPr="00EB3F69">
        <w:lastRenderedPageBreak/>
        <w:t xml:space="preserve">Justice </w:t>
      </w:r>
      <w:proofErr w:type="spellStart"/>
      <w:r w:rsidRPr="00EB3F69">
        <w:t>Connect's</w:t>
      </w:r>
      <w:proofErr w:type="spellEnd"/>
      <w:r w:rsidRPr="00EB3F69">
        <w:t xml:space="preserve"> Not-for-profit Law Program - 2016-17 to 2017-18</w:t>
      </w:r>
      <w:bookmarkEnd w:id="1"/>
    </w:p>
    <w:p w:rsidR="0049468D" w:rsidRPr="00A86232" w:rsidRDefault="0049468D" w:rsidP="0049468D">
      <w:pPr>
        <w:pStyle w:val="Spacer"/>
        <w:rPr>
          <w:rFonts w:eastAsiaTheme="minorEastAsia" w:cstheme="minorBidi"/>
          <w:spacing w:val="2"/>
          <w:sz w:val="20"/>
          <w:szCs w:val="20"/>
        </w:rPr>
      </w:pPr>
      <w:r w:rsidRPr="00A86232">
        <w:rPr>
          <w:rFonts w:eastAsiaTheme="minorEastAsia" w:cstheme="minorBidi"/>
          <w:spacing w:val="2"/>
          <w:sz w:val="20"/>
          <w:szCs w:val="20"/>
        </w:rPr>
        <w:t xml:space="preserve">Justice </w:t>
      </w:r>
      <w:proofErr w:type="spellStart"/>
      <w:r w:rsidRPr="00A86232">
        <w:rPr>
          <w:rFonts w:eastAsiaTheme="minorEastAsia" w:cstheme="minorBidi"/>
          <w:spacing w:val="2"/>
          <w:sz w:val="20"/>
          <w:szCs w:val="20"/>
        </w:rPr>
        <w:t>Connect’s</w:t>
      </w:r>
      <w:proofErr w:type="spellEnd"/>
      <w:r w:rsidRPr="00A86232">
        <w:rPr>
          <w:rFonts w:eastAsiaTheme="minorEastAsia" w:cstheme="minorBidi"/>
          <w:spacing w:val="2"/>
          <w:sz w:val="20"/>
          <w:szCs w:val="20"/>
        </w:rPr>
        <w:t xml:space="preserve"> Not-for-profit Law Program is a specialist legal service that provides free and low cost legal advice and training to Victorian not-for-profit community organisations. </w:t>
      </w:r>
    </w:p>
    <w:p w:rsidR="0049468D" w:rsidRPr="00A86232" w:rsidRDefault="0049468D" w:rsidP="0049468D">
      <w:pPr>
        <w:pStyle w:val="Spacer"/>
        <w:rPr>
          <w:rFonts w:eastAsiaTheme="minorEastAsia" w:cstheme="minorBidi"/>
          <w:spacing w:val="2"/>
          <w:sz w:val="20"/>
          <w:szCs w:val="20"/>
        </w:rPr>
      </w:pPr>
    </w:p>
    <w:p w:rsidR="0049468D" w:rsidRPr="00A86232" w:rsidRDefault="0049468D" w:rsidP="0049468D">
      <w:pPr>
        <w:pStyle w:val="Spacer"/>
        <w:rPr>
          <w:rFonts w:eastAsiaTheme="minorEastAsia" w:cstheme="minorBidi"/>
          <w:spacing w:val="2"/>
          <w:sz w:val="20"/>
          <w:szCs w:val="20"/>
        </w:rPr>
      </w:pPr>
      <w:r w:rsidRPr="00A86232">
        <w:rPr>
          <w:rFonts w:eastAsiaTheme="minorEastAsia" w:cstheme="minorBidi"/>
          <w:spacing w:val="2"/>
          <w:sz w:val="20"/>
          <w:szCs w:val="20"/>
        </w:rPr>
        <w:t xml:space="preserve">Over the two years of funding, the program has provided a unique, multi-faceted, impactful service for the not-for-profit sector including mobilising an estimated 2,700 pro bono lawyers delivering an estimated $2.8 million of free legal support by: </w:t>
      </w:r>
    </w:p>
    <w:p w:rsidR="0049468D" w:rsidRPr="00A86232" w:rsidRDefault="0049468D" w:rsidP="0049468D">
      <w:pPr>
        <w:pStyle w:val="Spacer"/>
        <w:rPr>
          <w:rFonts w:eastAsiaTheme="minorEastAsia" w:cstheme="minorBidi"/>
          <w:spacing w:val="2"/>
          <w:sz w:val="20"/>
          <w:szCs w:val="20"/>
        </w:rPr>
      </w:pPr>
    </w:p>
    <w:p w:rsidR="0049468D" w:rsidRPr="00A86232" w:rsidRDefault="0049468D" w:rsidP="0049468D">
      <w:pPr>
        <w:pStyle w:val="Spacer"/>
        <w:rPr>
          <w:rFonts w:eastAsiaTheme="minorEastAsia" w:cstheme="minorBidi"/>
          <w:spacing w:val="2"/>
          <w:sz w:val="20"/>
          <w:szCs w:val="20"/>
        </w:rPr>
      </w:pPr>
      <w:r w:rsidRPr="00A86232">
        <w:rPr>
          <w:rFonts w:eastAsiaTheme="minorEastAsia" w:cstheme="minorBidi"/>
          <w:spacing w:val="2"/>
          <w:sz w:val="20"/>
          <w:szCs w:val="20"/>
        </w:rPr>
        <w:t>Responding to over 1,100 individual enquiries from Victorian organisations, provided free legal advice to more than 400 Victorian organisations advice (by phone a</w:t>
      </w:r>
      <w:r>
        <w:rPr>
          <w:rFonts w:eastAsiaTheme="minorEastAsia" w:cstheme="minorBidi"/>
          <w:spacing w:val="2"/>
          <w:sz w:val="20"/>
          <w:szCs w:val="20"/>
        </w:rPr>
        <w:t xml:space="preserve">nd via member law firms), </w:t>
      </w:r>
      <w:r w:rsidRPr="00A86232">
        <w:rPr>
          <w:rFonts w:eastAsiaTheme="minorEastAsia" w:cstheme="minorBidi"/>
          <w:spacing w:val="2"/>
          <w:sz w:val="20"/>
          <w:szCs w:val="20"/>
        </w:rPr>
        <w:t>and tailored legal information and resources to 562 Victorian organisations;</w:t>
      </w:r>
    </w:p>
    <w:p w:rsidR="0049468D" w:rsidRPr="00A86232" w:rsidRDefault="0049468D" w:rsidP="0049468D">
      <w:pPr>
        <w:pStyle w:val="Spacer"/>
        <w:rPr>
          <w:rFonts w:eastAsiaTheme="minorEastAsia" w:cstheme="minorBidi"/>
          <w:spacing w:val="2"/>
          <w:sz w:val="20"/>
          <w:szCs w:val="20"/>
        </w:rPr>
      </w:pPr>
    </w:p>
    <w:p w:rsidR="0049468D" w:rsidRPr="00A86232" w:rsidRDefault="0049468D" w:rsidP="0049468D">
      <w:pPr>
        <w:pStyle w:val="Spacer"/>
        <w:rPr>
          <w:rFonts w:eastAsiaTheme="minorEastAsia" w:cstheme="minorBidi"/>
          <w:spacing w:val="2"/>
          <w:sz w:val="20"/>
          <w:szCs w:val="20"/>
        </w:rPr>
      </w:pPr>
      <w:r w:rsidRPr="00A86232">
        <w:rPr>
          <w:rFonts w:eastAsiaTheme="minorEastAsia" w:cstheme="minorBidi"/>
          <w:spacing w:val="2"/>
          <w:sz w:val="20"/>
          <w:szCs w:val="20"/>
        </w:rPr>
        <w:t>Developing 70 online self-help tools relevant to Victorian not-for-profits, including two interactive website apps (e</w:t>
      </w:r>
      <w:r>
        <w:rPr>
          <w:rFonts w:eastAsiaTheme="minorEastAsia" w:cstheme="minorBidi"/>
          <w:spacing w:val="2"/>
          <w:sz w:val="20"/>
          <w:szCs w:val="20"/>
        </w:rPr>
        <w:t>.</w:t>
      </w:r>
      <w:r w:rsidRPr="00A86232">
        <w:rPr>
          <w:rFonts w:eastAsiaTheme="minorEastAsia" w:cstheme="minorBidi"/>
          <w:spacing w:val="2"/>
          <w:sz w:val="20"/>
          <w:szCs w:val="20"/>
        </w:rPr>
        <w:t xml:space="preserve">g. www.nfplaw.org.au/gettingstarted) in collaboration with the University of Melbourne Law School and software design company, </w:t>
      </w:r>
      <w:proofErr w:type="spellStart"/>
      <w:r w:rsidRPr="00A86232">
        <w:rPr>
          <w:rFonts w:eastAsiaTheme="minorEastAsia" w:cstheme="minorBidi"/>
          <w:spacing w:val="2"/>
          <w:sz w:val="20"/>
          <w:szCs w:val="20"/>
        </w:rPr>
        <w:t>Neota</w:t>
      </w:r>
      <w:proofErr w:type="spellEnd"/>
      <w:r w:rsidRPr="00A86232">
        <w:rPr>
          <w:rFonts w:eastAsiaTheme="minorEastAsia" w:cstheme="minorBidi"/>
          <w:spacing w:val="2"/>
          <w:sz w:val="20"/>
          <w:szCs w:val="20"/>
        </w:rPr>
        <w:t xml:space="preserve"> Logic;</w:t>
      </w:r>
    </w:p>
    <w:p w:rsidR="0049468D" w:rsidRPr="00A86232" w:rsidRDefault="0049468D" w:rsidP="0049468D">
      <w:pPr>
        <w:pStyle w:val="Spacer"/>
        <w:rPr>
          <w:rFonts w:eastAsiaTheme="minorEastAsia" w:cstheme="minorBidi"/>
          <w:spacing w:val="2"/>
          <w:sz w:val="20"/>
          <w:szCs w:val="20"/>
        </w:rPr>
      </w:pPr>
    </w:p>
    <w:p w:rsidR="0049468D" w:rsidRPr="00A86232" w:rsidRDefault="0049468D" w:rsidP="0049468D">
      <w:pPr>
        <w:pStyle w:val="Spacer"/>
        <w:rPr>
          <w:rFonts w:eastAsiaTheme="minorEastAsia" w:cstheme="minorBidi"/>
          <w:spacing w:val="2"/>
          <w:sz w:val="20"/>
          <w:szCs w:val="20"/>
        </w:rPr>
      </w:pPr>
      <w:r w:rsidRPr="00A86232">
        <w:rPr>
          <w:rFonts w:eastAsiaTheme="minorEastAsia" w:cstheme="minorBidi"/>
          <w:spacing w:val="2"/>
          <w:sz w:val="20"/>
          <w:szCs w:val="20"/>
        </w:rPr>
        <w:t>Facilitation of 52 face-to-face training sessions in outer metro and regional Victoria, attracting   1,016 training attendees from regional and outer metro Victoria, and assisting 103 webinar attendees from regional Victoria;</w:t>
      </w:r>
    </w:p>
    <w:p w:rsidR="0049468D" w:rsidRPr="00A86232" w:rsidRDefault="0049468D" w:rsidP="0049468D">
      <w:pPr>
        <w:pStyle w:val="Spacer"/>
        <w:rPr>
          <w:rFonts w:eastAsiaTheme="minorEastAsia" w:cstheme="minorBidi"/>
          <w:spacing w:val="2"/>
          <w:sz w:val="20"/>
          <w:szCs w:val="20"/>
        </w:rPr>
      </w:pPr>
    </w:p>
    <w:p w:rsidR="0049468D" w:rsidRPr="00A86232" w:rsidRDefault="0049468D" w:rsidP="0049468D">
      <w:pPr>
        <w:pStyle w:val="Spacer"/>
        <w:rPr>
          <w:rFonts w:eastAsiaTheme="minorEastAsia" w:cstheme="minorBidi"/>
          <w:spacing w:val="2"/>
          <w:sz w:val="20"/>
          <w:szCs w:val="20"/>
        </w:rPr>
      </w:pPr>
      <w:r w:rsidRPr="00A86232">
        <w:rPr>
          <w:rFonts w:eastAsiaTheme="minorEastAsia" w:cstheme="minorBidi"/>
          <w:spacing w:val="2"/>
          <w:sz w:val="20"/>
          <w:szCs w:val="20"/>
        </w:rPr>
        <w:t xml:space="preserve">Contributions to the sector through membership of </w:t>
      </w:r>
      <w:proofErr w:type="gramStart"/>
      <w:r w:rsidRPr="00A86232">
        <w:rPr>
          <w:rFonts w:eastAsiaTheme="minorEastAsia" w:cstheme="minorBidi"/>
          <w:spacing w:val="2"/>
          <w:sz w:val="20"/>
          <w:szCs w:val="20"/>
        </w:rPr>
        <w:t>a number of</w:t>
      </w:r>
      <w:proofErr w:type="gramEnd"/>
      <w:r w:rsidRPr="00A86232">
        <w:rPr>
          <w:rFonts w:eastAsiaTheme="minorEastAsia" w:cstheme="minorBidi"/>
          <w:spacing w:val="2"/>
          <w:sz w:val="20"/>
          <w:szCs w:val="20"/>
        </w:rPr>
        <w:t xml:space="preserve"> professional bodies and sector working groups, where input is provided on the experiences and common challenges for                not-for-profit and charitable organisations, informing reform and advocacy; and</w:t>
      </w:r>
    </w:p>
    <w:p w:rsidR="0049468D" w:rsidRPr="00A86232" w:rsidRDefault="0049468D" w:rsidP="0049468D">
      <w:pPr>
        <w:pStyle w:val="Spacer"/>
        <w:rPr>
          <w:rFonts w:eastAsiaTheme="minorEastAsia" w:cstheme="minorBidi"/>
          <w:spacing w:val="2"/>
          <w:sz w:val="20"/>
          <w:szCs w:val="20"/>
        </w:rPr>
      </w:pPr>
    </w:p>
    <w:p w:rsidR="0049468D" w:rsidRPr="00A86232" w:rsidRDefault="0049468D" w:rsidP="0049468D">
      <w:pPr>
        <w:pStyle w:val="Spacer"/>
        <w:rPr>
          <w:rFonts w:eastAsiaTheme="minorEastAsia" w:cstheme="minorBidi"/>
          <w:spacing w:val="2"/>
          <w:sz w:val="20"/>
          <w:szCs w:val="20"/>
        </w:rPr>
      </w:pPr>
      <w:r w:rsidRPr="00A86232">
        <w:rPr>
          <w:rFonts w:eastAsiaTheme="minorEastAsia" w:cstheme="minorBidi"/>
          <w:spacing w:val="2"/>
          <w:sz w:val="20"/>
          <w:szCs w:val="20"/>
        </w:rPr>
        <w:t>Active participation in various policy-focussed expert committees and working groups, sharing sector trends and scope for improving the regulatory framework for Victoria’s community sector (e.g. working with the Victorian Council for Social Services in launching their Governance ‘Health Check’). The program provided input on the health check and its recommendations, leveraging their experience and expertise in advising small not-for-profits ensuring accessibility of the tool and suitability for community organisations.</w:t>
      </w:r>
    </w:p>
    <w:p w:rsidR="0049468D" w:rsidRPr="00A86232" w:rsidRDefault="0049468D" w:rsidP="0049468D">
      <w:pPr>
        <w:pStyle w:val="Spacer"/>
        <w:rPr>
          <w:rFonts w:eastAsiaTheme="minorEastAsia" w:cstheme="minorBidi"/>
          <w:spacing w:val="2"/>
          <w:sz w:val="20"/>
          <w:szCs w:val="20"/>
        </w:rPr>
      </w:pPr>
    </w:p>
    <w:p w:rsidR="0049468D" w:rsidRPr="00A86232" w:rsidRDefault="0049468D" w:rsidP="0049468D">
      <w:pPr>
        <w:pStyle w:val="Spacer"/>
        <w:rPr>
          <w:rFonts w:eastAsiaTheme="minorEastAsia" w:cstheme="minorBidi"/>
          <w:spacing w:val="2"/>
          <w:sz w:val="20"/>
          <w:szCs w:val="20"/>
        </w:rPr>
      </w:pPr>
      <w:r w:rsidRPr="00A86232">
        <w:rPr>
          <w:rFonts w:eastAsiaTheme="minorEastAsia" w:cstheme="minorBidi"/>
          <w:spacing w:val="2"/>
          <w:sz w:val="20"/>
          <w:szCs w:val="20"/>
        </w:rPr>
        <w:t xml:space="preserve">The program has a commitment to a diversified funding base, attracting significant philanthropic support, receiving financial support from its member law firms (in addition to their pro bono contributions) and generating income through fee-for-service streams.  </w:t>
      </w:r>
    </w:p>
    <w:p w:rsidR="0049468D" w:rsidRDefault="0049468D" w:rsidP="0049468D">
      <w:pPr>
        <w:pStyle w:val="Spacer"/>
      </w:pPr>
    </w:p>
    <w:tbl>
      <w:tblPr>
        <w:tblStyle w:val="DTFtexttable"/>
        <w:tblW w:w="9147" w:type="dxa"/>
        <w:tblLayout w:type="fixed"/>
        <w:tblLook w:val="0600" w:firstRow="0" w:lastRow="0" w:firstColumn="0" w:lastColumn="0" w:noHBand="1" w:noVBand="1"/>
      </w:tblPr>
      <w:tblGrid>
        <w:gridCol w:w="9147"/>
      </w:tblGrid>
      <w:tr w:rsidR="0049468D" w:rsidRPr="000F161E" w:rsidTr="007C5963">
        <w:trPr>
          <w:trHeight w:val="468"/>
        </w:trPr>
        <w:tc>
          <w:tcPr>
            <w:tcW w:w="9147" w:type="dxa"/>
            <w:tcBorders>
              <w:top w:val="single" w:sz="12" w:space="0" w:color="0063A6" w:themeColor="accent1"/>
              <w:bottom w:val="single" w:sz="12" w:space="0" w:color="0063A6" w:themeColor="accent1"/>
            </w:tcBorders>
          </w:tcPr>
          <w:p w:rsidR="0049468D" w:rsidRPr="0024782C" w:rsidRDefault="0049468D" w:rsidP="007C5963">
            <w:r w:rsidRPr="007B3B66">
              <w:t xml:space="preserve">Disclaimer: The information above is provided by the </w:t>
            </w:r>
            <w:r w:rsidRPr="00BA4D5E">
              <w:t>D</w:t>
            </w:r>
            <w:r>
              <w:t>epartment of Health and Human Services.</w:t>
            </w:r>
          </w:p>
        </w:tc>
      </w:tr>
    </w:tbl>
    <w:p w:rsidR="0049468D" w:rsidRDefault="0049468D" w:rsidP="0049468D">
      <w:pPr>
        <w:spacing w:before="0" w:after="200"/>
      </w:pPr>
    </w:p>
    <w:p w:rsidR="0049468D" w:rsidRDefault="0049468D" w:rsidP="0049468D">
      <w:pPr>
        <w:spacing w:before="0" w:after="200"/>
      </w:pPr>
    </w:p>
    <w:p w:rsidR="0049468D" w:rsidRDefault="0049468D" w:rsidP="0049468D">
      <w:pPr>
        <w:spacing w:before="0" w:after="200"/>
      </w:pPr>
    </w:p>
    <w:p w:rsidR="0049468D" w:rsidRDefault="0049468D" w:rsidP="0049468D">
      <w:pPr>
        <w:spacing w:before="0" w:after="200"/>
      </w:pPr>
    </w:p>
    <w:p w:rsidR="0049468D" w:rsidRDefault="0049468D" w:rsidP="0049468D">
      <w:pPr>
        <w:spacing w:before="0" w:after="200"/>
      </w:pPr>
    </w:p>
    <w:p w:rsidR="0049468D" w:rsidRDefault="0049468D" w:rsidP="0049468D">
      <w:pPr>
        <w:spacing w:before="0" w:after="200"/>
      </w:pPr>
    </w:p>
    <w:p w:rsidR="0049468D" w:rsidRDefault="0049468D" w:rsidP="0049468D">
      <w:pPr>
        <w:spacing w:before="0" w:after="200"/>
      </w:pPr>
    </w:p>
    <w:p w:rsidR="0049468D" w:rsidRPr="00EB3F69" w:rsidRDefault="0049468D" w:rsidP="0049468D">
      <w:pPr>
        <w:pStyle w:val="Heading2"/>
      </w:pPr>
      <w:bookmarkStart w:id="2" w:name="_Toc524701301"/>
      <w:r w:rsidRPr="00A86232">
        <w:lastRenderedPageBreak/>
        <w:t>Pre-commitment Information Program</w:t>
      </w:r>
      <w:bookmarkEnd w:id="2"/>
      <w:r w:rsidRPr="00A86232">
        <w:t xml:space="preserve"> </w:t>
      </w:r>
    </w:p>
    <w:p w:rsidR="00452866" w:rsidRDefault="0049468D" w:rsidP="0049468D">
      <w:pPr>
        <w:pStyle w:val="Spacer"/>
        <w:rPr>
          <w:rFonts w:eastAsiaTheme="minorEastAsia" w:cstheme="minorBidi"/>
          <w:spacing w:val="2"/>
          <w:sz w:val="20"/>
          <w:szCs w:val="20"/>
        </w:rPr>
      </w:pPr>
      <w:proofErr w:type="spellStart"/>
      <w:r w:rsidRPr="00A86232">
        <w:rPr>
          <w:rFonts w:eastAsiaTheme="minorEastAsia" w:cstheme="minorBidi"/>
          <w:spacing w:val="2"/>
          <w:sz w:val="20"/>
          <w:szCs w:val="20"/>
        </w:rPr>
        <w:t>YourPlay</w:t>
      </w:r>
      <w:proofErr w:type="spellEnd"/>
      <w:r w:rsidRPr="00A86232">
        <w:rPr>
          <w:rFonts w:eastAsiaTheme="minorEastAsia" w:cstheme="minorBidi"/>
          <w:spacing w:val="2"/>
          <w:sz w:val="20"/>
          <w:szCs w:val="20"/>
        </w:rPr>
        <w:t xml:space="preserve">, Victoria's voluntary pre-commitment scheme, commenced state-wide on </w:t>
      </w:r>
    </w:p>
    <w:p w:rsidR="00452866" w:rsidRDefault="00452866" w:rsidP="0049468D">
      <w:pPr>
        <w:pStyle w:val="Spacer"/>
        <w:rPr>
          <w:rFonts w:eastAsiaTheme="minorEastAsia" w:cstheme="minorBidi"/>
          <w:spacing w:val="2"/>
          <w:sz w:val="20"/>
          <w:szCs w:val="20"/>
        </w:rPr>
      </w:pPr>
      <w:r>
        <w:rPr>
          <w:rFonts w:eastAsiaTheme="minorEastAsia" w:cstheme="minorBidi"/>
          <w:spacing w:val="2"/>
          <w:sz w:val="20"/>
          <w:szCs w:val="20"/>
        </w:rPr>
        <w:t xml:space="preserve">1 December </w:t>
      </w:r>
      <w:r w:rsidR="0049468D" w:rsidRPr="00A86232">
        <w:rPr>
          <w:rFonts w:eastAsiaTheme="minorEastAsia" w:cstheme="minorBidi"/>
          <w:spacing w:val="2"/>
          <w:sz w:val="20"/>
          <w:szCs w:val="20"/>
        </w:rPr>
        <w:t xml:space="preserve">2015. Victoria is the first state in Australia to implement a state-wide networked </w:t>
      </w:r>
    </w:p>
    <w:p w:rsidR="0049468D" w:rsidRDefault="0049468D" w:rsidP="0049468D">
      <w:pPr>
        <w:pStyle w:val="Spacer"/>
        <w:rPr>
          <w:rFonts w:eastAsiaTheme="minorEastAsia" w:cstheme="minorBidi"/>
          <w:spacing w:val="2"/>
          <w:sz w:val="20"/>
          <w:szCs w:val="20"/>
        </w:rPr>
      </w:pPr>
      <w:r w:rsidRPr="00A86232">
        <w:rPr>
          <w:rFonts w:eastAsiaTheme="minorEastAsia" w:cstheme="minorBidi"/>
          <w:spacing w:val="2"/>
          <w:sz w:val="20"/>
          <w:szCs w:val="20"/>
        </w:rPr>
        <w:t>pre-commitment scheme for gaming machines. It is also the world's</w:t>
      </w:r>
      <w:r w:rsidR="00452866">
        <w:rPr>
          <w:rFonts w:eastAsiaTheme="minorEastAsia" w:cstheme="minorBidi"/>
          <w:spacing w:val="2"/>
          <w:sz w:val="20"/>
          <w:szCs w:val="20"/>
        </w:rPr>
        <w:t xml:space="preserve"> first state-wide voluntary pre-</w:t>
      </w:r>
      <w:r w:rsidRPr="00A86232">
        <w:rPr>
          <w:rFonts w:eastAsiaTheme="minorEastAsia" w:cstheme="minorBidi"/>
          <w:spacing w:val="2"/>
          <w:sz w:val="20"/>
          <w:szCs w:val="20"/>
        </w:rPr>
        <w:t>commitment scheme to</w:t>
      </w:r>
      <w:r>
        <w:rPr>
          <w:rFonts w:eastAsiaTheme="minorEastAsia" w:cstheme="minorBidi"/>
          <w:spacing w:val="2"/>
          <w:sz w:val="20"/>
          <w:szCs w:val="20"/>
        </w:rPr>
        <w:t xml:space="preserve"> be implemented on this scale, w</w:t>
      </w:r>
      <w:r w:rsidRPr="00A86232">
        <w:rPr>
          <w:rFonts w:eastAsiaTheme="minorEastAsia" w:cstheme="minorBidi"/>
          <w:spacing w:val="2"/>
          <w:sz w:val="20"/>
          <w:szCs w:val="20"/>
        </w:rPr>
        <w:t xml:space="preserve">hich has generated significant interest both nationally and internationally. </w:t>
      </w:r>
    </w:p>
    <w:p w:rsidR="0049468D" w:rsidRPr="00A86232" w:rsidRDefault="0049468D" w:rsidP="0049468D">
      <w:pPr>
        <w:pStyle w:val="Spacer"/>
        <w:rPr>
          <w:rFonts w:eastAsiaTheme="minorEastAsia" w:cstheme="minorBidi"/>
          <w:spacing w:val="2"/>
          <w:sz w:val="20"/>
          <w:szCs w:val="20"/>
        </w:rPr>
      </w:pPr>
    </w:p>
    <w:p w:rsidR="0049468D" w:rsidRPr="00A86232" w:rsidRDefault="0049468D" w:rsidP="0049468D">
      <w:pPr>
        <w:pStyle w:val="Spacer"/>
        <w:rPr>
          <w:rFonts w:eastAsiaTheme="minorEastAsia" w:cstheme="minorBidi"/>
          <w:spacing w:val="2"/>
          <w:sz w:val="20"/>
          <w:szCs w:val="20"/>
        </w:rPr>
      </w:pPr>
      <w:proofErr w:type="spellStart"/>
      <w:r w:rsidRPr="00A86232">
        <w:rPr>
          <w:rFonts w:eastAsiaTheme="minorEastAsia" w:cstheme="minorBidi"/>
          <w:spacing w:val="2"/>
          <w:sz w:val="20"/>
          <w:szCs w:val="20"/>
        </w:rPr>
        <w:t>YourPlay</w:t>
      </w:r>
      <w:proofErr w:type="spellEnd"/>
      <w:r w:rsidRPr="00A86232">
        <w:rPr>
          <w:rFonts w:eastAsiaTheme="minorEastAsia" w:cstheme="minorBidi"/>
          <w:spacing w:val="2"/>
          <w:sz w:val="20"/>
          <w:szCs w:val="20"/>
        </w:rPr>
        <w:t xml:space="preserve"> is an important harm minimisation and consumer protection measure available on all </w:t>
      </w:r>
    </w:p>
    <w:p w:rsidR="0049468D" w:rsidRPr="00A86232" w:rsidRDefault="0049468D" w:rsidP="0049468D">
      <w:pPr>
        <w:pStyle w:val="Spacer"/>
        <w:rPr>
          <w:rFonts w:eastAsiaTheme="minorEastAsia" w:cstheme="minorBidi"/>
          <w:spacing w:val="2"/>
          <w:sz w:val="20"/>
          <w:szCs w:val="20"/>
        </w:rPr>
      </w:pPr>
      <w:r w:rsidRPr="00A86232">
        <w:rPr>
          <w:rFonts w:eastAsiaTheme="minorEastAsia" w:cstheme="minorBidi"/>
          <w:spacing w:val="2"/>
          <w:sz w:val="20"/>
          <w:szCs w:val="20"/>
        </w:rPr>
        <w:t xml:space="preserve">gaming machines in Victoria, including the Melbourne casino. It enables people to make informed </w:t>
      </w:r>
    </w:p>
    <w:p w:rsidR="0049468D" w:rsidRDefault="0049468D" w:rsidP="0049468D">
      <w:pPr>
        <w:pStyle w:val="Spacer"/>
        <w:rPr>
          <w:rFonts w:eastAsiaTheme="minorEastAsia" w:cstheme="minorBidi"/>
          <w:spacing w:val="2"/>
          <w:sz w:val="20"/>
          <w:szCs w:val="20"/>
        </w:rPr>
      </w:pPr>
      <w:r w:rsidRPr="00A86232">
        <w:rPr>
          <w:rFonts w:eastAsiaTheme="minorEastAsia" w:cstheme="minorBidi"/>
          <w:spacing w:val="2"/>
          <w:sz w:val="20"/>
          <w:szCs w:val="20"/>
        </w:rPr>
        <w:t>decisions about their gaming machine play and it can assist them t</w:t>
      </w:r>
      <w:r>
        <w:rPr>
          <w:rFonts w:eastAsiaTheme="minorEastAsia" w:cstheme="minorBidi"/>
          <w:spacing w:val="2"/>
          <w:sz w:val="20"/>
          <w:szCs w:val="20"/>
        </w:rPr>
        <w:t xml:space="preserve">o stay in control of their </w:t>
      </w:r>
      <w:r w:rsidRPr="00A86232">
        <w:rPr>
          <w:rFonts w:eastAsiaTheme="minorEastAsia" w:cstheme="minorBidi"/>
          <w:spacing w:val="2"/>
          <w:sz w:val="20"/>
          <w:szCs w:val="20"/>
        </w:rPr>
        <w:t xml:space="preserve">gambling behaviour. </w:t>
      </w:r>
    </w:p>
    <w:p w:rsidR="0049468D" w:rsidRPr="00A86232" w:rsidRDefault="0049468D" w:rsidP="0049468D">
      <w:pPr>
        <w:pStyle w:val="Spacer"/>
        <w:rPr>
          <w:rFonts w:eastAsiaTheme="minorEastAsia" w:cstheme="minorBidi"/>
          <w:spacing w:val="2"/>
          <w:sz w:val="20"/>
          <w:szCs w:val="20"/>
        </w:rPr>
      </w:pPr>
    </w:p>
    <w:p w:rsidR="0049468D" w:rsidRPr="00A86232" w:rsidRDefault="0049468D" w:rsidP="0049468D">
      <w:pPr>
        <w:pStyle w:val="Spacer"/>
        <w:rPr>
          <w:rFonts w:eastAsiaTheme="minorEastAsia" w:cstheme="minorBidi"/>
          <w:spacing w:val="2"/>
          <w:sz w:val="20"/>
          <w:szCs w:val="20"/>
        </w:rPr>
      </w:pPr>
      <w:proofErr w:type="spellStart"/>
      <w:r w:rsidRPr="00A86232">
        <w:rPr>
          <w:rFonts w:eastAsiaTheme="minorEastAsia" w:cstheme="minorBidi"/>
          <w:spacing w:val="2"/>
          <w:sz w:val="20"/>
          <w:szCs w:val="20"/>
        </w:rPr>
        <w:t>YourPlay</w:t>
      </w:r>
      <w:proofErr w:type="spellEnd"/>
      <w:r w:rsidRPr="00A86232">
        <w:rPr>
          <w:rFonts w:eastAsiaTheme="minorEastAsia" w:cstheme="minorBidi"/>
          <w:spacing w:val="2"/>
          <w:sz w:val="20"/>
          <w:szCs w:val="20"/>
        </w:rPr>
        <w:t xml:space="preserve"> enables players to set time and money limits and to track their play on gaming machines </w:t>
      </w:r>
    </w:p>
    <w:p w:rsidR="0049468D" w:rsidRPr="00A86232" w:rsidRDefault="0049468D" w:rsidP="0049468D">
      <w:pPr>
        <w:pStyle w:val="Spacer"/>
        <w:rPr>
          <w:rFonts w:eastAsiaTheme="minorEastAsia" w:cstheme="minorBidi"/>
          <w:spacing w:val="2"/>
          <w:sz w:val="20"/>
          <w:szCs w:val="20"/>
        </w:rPr>
      </w:pPr>
      <w:r w:rsidRPr="00A86232">
        <w:rPr>
          <w:rFonts w:eastAsiaTheme="minorEastAsia" w:cstheme="minorBidi"/>
          <w:spacing w:val="2"/>
          <w:sz w:val="20"/>
          <w:szCs w:val="20"/>
        </w:rPr>
        <w:t xml:space="preserve">across the state. Regular updates are provided to players on their spending and how they are </w:t>
      </w:r>
    </w:p>
    <w:p w:rsidR="0049468D" w:rsidRPr="00A86232" w:rsidRDefault="0049468D" w:rsidP="0049468D">
      <w:pPr>
        <w:pStyle w:val="Spacer"/>
        <w:rPr>
          <w:rFonts w:eastAsiaTheme="minorEastAsia" w:cstheme="minorBidi"/>
          <w:spacing w:val="2"/>
          <w:sz w:val="20"/>
          <w:szCs w:val="20"/>
        </w:rPr>
      </w:pPr>
      <w:r w:rsidRPr="00A86232">
        <w:rPr>
          <w:rFonts w:eastAsiaTheme="minorEastAsia" w:cstheme="minorBidi"/>
          <w:spacing w:val="2"/>
          <w:sz w:val="20"/>
          <w:szCs w:val="20"/>
        </w:rPr>
        <w:t xml:space="preserve">tracking against their limits. They can also access detailed information about their playing activity </w:t>
      </w:r>
    </w:p>
    <w:p w:rsidR="0049468D" w:rsidRDefault="0049468D" w:rsidP="0049468D">
      <w:pPr>
        <w:pStyle w:val="Spacer"/>
        <w:rPr>
          <w:rFonts w:eastAsiaTheme="minorEastAsia" w:cstheme="minorBidi"/>
          <w:spacing w:val="2"/>
          <w:sz w:val="20"/>
          <w:szCs w:val="20"/>
        </w:rPr>
      </w:pPr>
      <w:r w:rsidRPr="00A86232">
        <w:rPr>
          <w:rFonts w:eastAsiaTheme="minorEastAsia" w:cstheme="minorBidi"/>
          <w:spacing w:val="2"/>
          <w:sz w:val="20"/>
          <w:szCs w:val="20"/>
        </w:rPr>
        <w:t xml:space="preserve">at kiosks in venues, privately online or via the Your-play helpline. </w:t>
      </w:r>
    </w:p>
    <w:p w:rsidR="0049468D" w:rsidRPr="00A86232" w:rsidRDefault="0049468D" w:rsidP="0049468D">
      <w:pPr>
        <w:pStyle w:val="Spacer"/>
        <w:rPr>
          <w:rFonts w:eastAsiaTheme="minorEastAsia" w:cstheme="minorBidi"/>
          <w:spacing w:val="2"/>
          <w:sz w:val="20"/>
          <w:szCs w:val="20"/>
        </w:rPr>
      </w:pPr>
    </w:p>
    <w:p w:rsidR="0049468D" w:rsidRPr="00A86232" w:rsidRDefault="0049468D" w:rsidP="0049468D">
      <w:pPr>
        <w:pStyle w:val="Spacer"/>
        <w:rPr>
          <w:rFonts w:eastAsiaTheme="minorEastAsia" w:cstheme="minorBidi"/>
          <w:spacing w:val="2"/>
          <w:sz w:val="20"/>
          <w:szCs w:val="20"/>
        </w:rPr>
      </w:pPr>
      <w:r w:rsidRPr="00A86232">
        <w:rPr>
          <w:rFonts w:eastAsiaTheme="minorEastAsia" w:cstheme="minorBidi"/>
          <w:spacing w:val="2"/>
          <w:sz w:val="20"/>
          <w:szCs w:val="20"/>
        </w:rPr>
        <w:t xml:space="preserve">As at 30 June 2018, there have been: </w:t>
      </w:r>
    </w:p>
    <w:p w:rsidR="0049468D" w:rsidRDefault="0049468D" w:rsidP="0049468D">
      <w:pPr>
        <w:pStyle w:val="Spacer"/>
        <w:numPr>
          <w:ilvl w:val="0"/>
          <w:numId w:val="29"/>
        </w:numPr>
        <w:rPr>
          <w:rFonts w:eastAsiaTheme="minorEastAsia" w:cstheme="minorBidi"/>
          <w:spacing w:val="2"/>
          <w:sz w:val="20"/>
          <w:szCs w:val="20"/>
        </w:rPr>
      </w:pPr>
      <w:r w:rsidRPr="00A86232">
        <w:rPr>
          <w:rFonts w:eastAsiaTheme="minorEastAsia" w:cstheme="minorBidi"/>
          <w:spacing w:val="2"/>
          <w:sz w:val="20"/>
          <w:szCs w:val="20"/>
        </w:rPr>
        <w:t xml:space="preserve">5.6 million gaming machine sessions using </w:t>
      </w:r>
      <w:proofErr w:type="spellStart"/>
      <w:r w:rsidRPr="00A86232">
        <w:rPr>
          <w:rFonts w:eastAsiaTheme="minorEastAsia" w:cstheme="minorBidi"/>
          <w:spacing w:val="2"/>
          <w:sz w:val="20"/>
          <w:szCs w:val="20"/>
        </w:rPr>
        <w:t>YourPlay</w:t>
      </w:r>
      <w:proofErr w:type="spellEnd"/>
      <w:r w:rsidR="00452866">
        <w:rPr>
          <w:rFonts w:eastAsiaTheme="minorEastAsia" w:cstheme="minorBidi"/>
          <w:spacing w:val="2"/>
          <w:sz w:val="20"/>
          <w:szCs w:val="20"/>
        </w:rPr>
        <w:t>;</w:t>
      </w:r>
      <w:r w:rsidRPr="00A86232">
        <w:rPr>
          <w:rFonts w:eastAsiaTheme="minorEastAsia" w:cstheme="minorBidi"/>
          <w:spacing w:val="2"/>
          <w:sz w:val="20"/>
          <w:szCs w:val="20"/>
        </w:rPr>
        <w:t xml:space="preserve"> </w:t>
      </w:r>
    </w:p>
    <w:p w:rsidR="0049468D" w:rsidRPr="00A86232" w:rsidRDefault="0049468D" w:rsidP="0049468D">
      <w:pPr>
        <w:pStyle w:val="Spacer"/>
        <w:numPr>
          <w:ilvl w:val="0"/>
          <w:numId w:val="29"/>
        </w:numPr>
        <w:rPr>
          <w:rFonts w:eastAsiaTheme="minorEastAsia" w:cstheme="minorBidi"/>
          <w:spacing w:val="2"/>
          <w:sz w:val="20"/>
          <w:szCs w:val="20"/>
        </w:rPr>
      </w:pPr>
      <w:r w:rsidRPr="00A86232">
        <w:rPr>
          <w:rFonts w:eastAsiaTheme="minorEastAsia" w:cstheme="minorBidi"/>
          <w:spacing w:val="2"/>
          <w:sz w:val="20"/>
          <w:szCs w:val="20"/>
        </w:rPr>
        <w:t>more than 11 million responsible gambling information messages delivered to players advising them of their losses</w:t>
      </w:r>
      <w:r w:rsidR="00452866">
        <w:rPr>
          <w:rFonts w:eastAsiaTheme="minorEastAsia" w:cstheme="minorBidi"/>
          <w:spacing w:val="2"/>
          <w:sz w:val="20"/>
          <w:szCs w:val="20"/>
        </w:rPr>
        <w:t>;</w:t>
      </w:r>
    </w:p>
    <w:p w:rsidR="0049468D" w:rsidRPr="00A86232" w:rsidRDefault="0049468D" w:rsidP="0049468D">
      <w:pPr>
        <w:pStyle w:val="Spacer"/>
        <w:numPr>
          <w:ilvl w:val="0"/>
          <w:numId w:val="29"/>
        </w:numPr>
        <w:rPr>
          <w:rFonts w:eastAsiaTheme="minorEastAsia" w:cstheme="minorBidi"/>
          <w:spacing w:val="2"/>
          <w:sz w:val="20"/>
          <w:szCs w:val="20"/>
        </w:rPr>
      </w:pPr>
      <w:r w:rsidRPr="00A86232">
        <w:rPr>
          <w:rFonts w:eastAsiaTheme="minorEastAsia" w:cstheme="minorBidi"/>
          <w:spacing w:val="2"/>
          <w:sz w:val="20"/>
          <w:szCs w:val="20"/>
        </w:rPr>
        <w:t xml:space="preserve">15,540 registered </w:t>
      </w:r>
      <w:proofErr w:type="spellStart"/>
      <w:r w:rsidRPr="00A86232">
        <w:rPr>
          <w:rFonts w:eastAsiaTheme="minorEastAsia" w:cstheme="minorBidi"/>
          <w:spacing w:val="2"/>
          <w:sz w:val="20"/>
          <w:szCs w:val="20"/>
        </w:rPr>
        <w:t>YourPlay</w:t>
      </w:r>
      <w:proofErr w:type="spellEnd"/>
      <w:r w:rsidRPr="00A86232">
        <w:rPr>
          <w:rFonts w:eastAsiaTheme="minorEastAsia" w:cstheme="minorBidi"/>
          <w:spacing w:val="2"/>
          <w:sz w:val="20"/>
          <w:szCs w:val="20"/>
        </w:rPr>
        <w:t xml:space="preserve"> cards issued to 3,545 individual accounts</w:t>
      </w:r>
      <w:r w:rsidR="00452866">
        <w:rPr>
          <w:rFonts w:eastAsiaTheme="minorEastAsia" w:cstheme="minorBidi"/>
          <w:spacing w:val="2"/>
          <w:sz w:val="20"/>
          <w:szCs w:val="20"/>
        </w:rPr>
        <w:t>;</w:t>
      </w:r>
      <w:r w:rsidRPr="00A86232">
        <w:rPr>
          <w:rFonts w:eastAsiaTheme="minorEastAsia" w:cstheme="minorBidi"/>
          <w:spacing w:val="2"/>
          <w:sz w:val="20"/>
          <w:szCs w:val="20"/>
        </w:rPr>
        <w:t xml:space="preserve"> </w:t>
      </w:r>
    </w:p>
    <w:p w:rsidR="0049468D" w:rsidRPr="00A86232" w:rsidRDefault="0049468D" w:rsidP="0049468D">
      <w:pPr>
        <w:pStyle w:val="Spacer"/>
        <w:numPr>
          <w:ilvl w:val="0"/>
          <w:numId w:val="29"/>
        </w:numPr>
        <w:rPr>
          <w:rFonts w:eastAsiaTheme="minorEastAsia" w:cstheme="minorBidi"/>
          <w:spacing w:val="2"/>
          <w:sz w:val="20"/>
          <w:szCs w:val="20"/>
        </w:rPr>
      </w:pPr>
      <w:r w:rsidRPr="00A86232">
        <w:rPr>
          <w:rFonts w:eastAsiaTheme="minorEastAsia" w:cstheme="minorBidi"/>
          <w:spacing w:val="2"/>
          <w:sz w:val="20"/>
          <w:szCs w:val="20"/>
        </w:rPr>
        <w:t>44,596 casu</w:t>
      </w:r>
      <w:r w:rsidR="00452866">
        <w:rPr>
          <w:rFonts w:eastAsiaTheme="minorEastAsia" w:cstheme="minorBidi"/>
          <w:spacing w:val="2"/>
          <w:sz w:val="20"/>
          <w:szCs w:val="20"/>
        </w:rPr>
        <w:t xml:space="preserve">al cards (anonymous) activated; </w:t>
      </w:r>
      <w:r w:rsidRPr="00A86232">
        <w:rPr>
          <w:rFonts w:eastAsiaTheme="minorEastAsia" w:cstheme="minorBidi"/>
          <w:spacing w:val="2"/>
          <w:sz w:val="20"/>
          <w:szCs w:val="20"/>
        </w:rPr>
        <w:t xml:space="preserve">and </w:t>
      </w:r>
    </w:p>
    <w:p w:rsidR="0049468D" w:rsidRDefault="0049468D" w:rsidP="0049468D">
      <w:pPr>
        <w:pStyle w:val="Spacer"/>
        <w:numPr>
          <w:ilvl w:val="0"/>
          <w:numId w:val="29"/>
        </w:numPr>
        <w:rPr>
          <w:rFonts w:eastAsiaTheme="minorEastAsia" w:cstheme="minorBidi"/>
          <w:spacing w:val="2"/>
          <w:sz w:val="20"/>
          <w:szCs w:val="20"/>
        </w:rPr>
      </w:pPr>
      <w:r w:rsidRPr="00A86232">
        <w:rPr>
          <w:rFonts w:eastAsiaTheme="minorEastAsia" w:cstheme="minorBidi"/>
          <w:spacing w:val="2"/>
          <w:sz w:val="20"/>
          <w:szCs w:val="20"/>
        </w:rPr>
        <w:t xml:space="preserve">3,513 players who have set a personalised message to be displayed when they approach their playing limit. </w:t>
      </w:r>
    </w:p>
    <w:p w:rsidR="0049468D" w:rsidRPr="00A86232" w:rsidRDefault="0049468D" w:rsidP="0049468D">
      <w:pPr>
        <w:pStyle w:val="Spacer"/>
        <w:ind w:left="720"/>
        <w:rPr>
          <w:rFonts w:eastAsiaTheme="minorEastAsia" w:cstheme="minorBidi"/>
          <w:spacing w:val="2"/>
          <w:sz w:val="20"/>
          <w:szCs w:val="20"/>
        </w:rPr>
      </w:pPr>
    </w:p>
    <w:p w:rsidR="0049468D" w:rsidRPr="00A86232" w:rsidRDefault="0049468D" w:rsidP="0049468D">
      <w:pPr>
        <w:pStyle w:val="Spacer"/>
        <w:rPr>
          <w:rFonts w:eastAsiaTheme="minorEastAsia" w:cstheme="minorBidi"/>
          <w:spacing w:val="2"/>
          <w:sz w:val="20"/>
          <w:szCs w:val="20"/>
        </w:rPr>
      </w:pPr>
      <w:r w:rsidRPr="00A86232">
        <w:rPr>
          <w:rFonts w:eastAsiaTheme="minorEastAsia" w:cstheme="minorBidi"/>
          <w:spacing w:val="2"/>
          <w:sz w:val="20"/>
          <w:szCs w:val="20"/>
        </w:rPr>
        <w:t>The communication campaign is crucial to achieving the</w:t>
      </w:r>
      <w:r w:rsidR="00B60CC9">
        <w:rPr>
          <w:rFonts w:eastAsiaTheme="minorEastAsia" w:cstheme="minorBidi"/>
          <w:spacing w:val="2"/>
          <w:sz w:val="20"/>
          <w:szCs w:val="20"/>
        </w:rPr>
        <w:t xml:space="preserve"> intended policy objectives of </w:t>
      </w:r>
      <w:proofErr w:type="spellStart"/>
      <w:r w:rsidR="00B60CC9">
        <w:rPr>
          <w:rFonts w:eastAsiaTheme="minorEastAsia" w:cstheme="minorBidi"/>
          <w:spacing w:val="2"/>
          <w:sz w:val="20"/>
          <w:szCs w:val="20"/>
        </w:rPr>
        <w:t>Y</w:t>
      </w:r>
      <w:r w:rsidRPr="00A86232">
        <w:rPr>
          <w:rFonts w:eastAsiaTheme="minorEastAsia" w:cstheme="minorBidi"/>
          <w:spacing w:val="2"/>
          <w:sz w:val="20"/>
          <w:szCs w:val="20"/>
        </w:rPr>
        <w:t>ourPlay</w:t>
      </w:r>
      <w:proofErr w:type="spellEnd"/>
      <w:r w:rsidRPr="00A86232">
        <w:rPr>
          <w:rFonts w:eastAsiaTheme="minorEastAsia" w:cstheme="minorBidi"/>
          <w:spacing w:val="2"/>
          <w:sz w:val="20"/>
          <w:szCs w:val="20"/>
        </w:rPr>
        <w:t xml:space="preserve">. </w:t>
      </w:r>
    </w:p>
    <w:p w:rsidR="0049468D" w:rsidRPr="00A86232" w:rsidRDefault="0049468D" w:rsidP="0049468D">
      <w:pPr>
        <w:pStyle w:val="Spacer"/>
        <w:rPr>
          <w:rFonts w:eastAsiaTheme="minorEastAsia" w:cstheme="minorBidi"/>
          <w:spacing w:val="2"/>
          <w:sz w:val="20"/>
          <w:szCs w:val="20"/>
        </w:rPr>
      </w:pPr>
      <w:r w:rsidRPr="00A86232">
        <w:rPr>
          <w:rFonts w:eastAsiaTheme="minorEastAsia" w:cstheme="minorBidi"/>
          <w:spacing w:val="2"/>
          <w:sz w:val="20"/>
          <w:szCs w:val="20"/>
        </w:rPr>
        <w:t xml:space="preserve">Clear and targeted messaging is critical to improve players' awareness and participation and to </w:t>
      </w:r>
    </w:p>
    <w:p w:rsidR="0049468D" w:rsidRPr="00A86232" w:rsidRDefault="0049468D" w:rsidP="0049468D">
      <w:pPr>
        <w:pStyle w:val="Spacer"/>
        <w:rPr>
          <w:rFonts w:eastAsiaTheme="minorEastAsia" w:cstheme="minorBidi"/>
          <w:spacing w:val="2"/>
          <w:sz w:val="20"/>
          <w:szCs w:val="20"/>
        </w:rPr>
      </w:pPr>
      <w:r w:rsidRPr="00A86232">
        <w:rPr>
          <w:rFonts w:eastAsiaTheme="minorEastAsia" w:cstheme="minorBidi"/>
          <w:spacing w:val="2"/>
          <w:sz w:val="20"/>
          <w:szCs w:val="20"/>
        </w:rPr>
        <w:t xml:space="preserve">reducing any stigma associated with using </w:t>
      </w:r>
      <w:proofErr w:type="spellStart"/>
      <w:r w:rsidRPr="00A86232">
        <w:rPr>
          <w:rFonts w:eastAsiaTheme="minorEastAsia" w:cstheme="minorBidi"/>
          <w:spacing w:val="2"/>
          <w:sz w:val="20"/>
          <w:szCs w:val="20"/>
        </w:rPr>
        <w:t>YourPlay</w:t>
      </w:r>
      <w:proofErr w:type="spellEnd"/>
      <w:r w:rsidRPr="00A86232">
        <w:rPr>
          <w:rFonts w:eastAsiaTheme="minorEastAsia" w:cstheme="minorBidi"/>
          <w:spacing w:val="2"/>
          <w:sz w:val="20"/>
          <w:szCs w:val="20"/>
        </w:rPr>
        <w:t xml:space="preserve">. A </w:t>
      </w:r>
      <w:proofErr w:type="spellStart"/>
      <w:r w:rsidRPr="00A86232">
        <w:rPr>
          <w:rFonts w:eastAsiaTheme="minorEastAsia" w:cstheme="minorBidi"/>
          <w:spacing w:val="2"/>
          <w:sz w:val="20"/>
          <w:szCs w:val="20"/>
        </w:rPr>
        <w:t>YourPlay</w:t>
      </w:r>
      <w:proofErr w:type="spellEnd"/>
      <w:r w:rsidRPr="00A86232">
        <w:rPr>
          <w:rFonts w:eastAsiaTheme="minorEastAsia" w:cstheme="minorBidi"/>
          <w:spacing w:val="2"/>
          <w:sz w:val="20"/>
          <w:szCs w:val="20"/>
        </w:rPr>
        <w:t xml:space="preserve"> Ambassador Program, information </w:t>
      </w:r>
    </w:p>
    <w:p w:rsidR="0049468D" w:rsidRPr="00A86232" w:rsidRDefault="0049468D" w:rsidP="0049468D">
      <w:pPr>
        <w:pStyle w:val="Spacer"/>
        <w:rPr>
          <w:rFonts w:eastAsiaTheme="minorEastAsia" w:cstheme="minorBidi"/>
          <w:spacing w:val="2"/>
          <w:sz w:val="20"/>
          <w:szCs w:val="20"/>
        </w:rPr>
      </w:pPr>
      <w:r w:rsidRPr="00A86232">
        <w:rPr>
          <w:rFonts w:eastAsiaTheme="minorEastAsia" w:cstheme="minorBidi"/>
          <w:spacing w:val="2"/>
          <w:sz w:val="20"/>
          <w:szCs w:val="20"/>
        </w:rPr>
        <w:t xml:space="preserve">forums and </w:t>
      </w:r>
      <w:proofErr w:type="spellStart"/>
      <w:r w:rsidRPr="00A86232">
        <w:rPr>
          <w:rFonts w:eastAsiaTheme="minorEastAsia" w:cstheme="minorBidi"/>
          <w:spacing w:val="2"/>
          <w:sz w:val="20"/>
          <w:szCs w:val="20"/>
        </w:rPr>
        <w:t>YourPlay</w:t>
      </w:r>
      <w:proofErr w:type="spellEnd"/>
      <w:r w:rsidRPr="00A86232">
        <w:rPr>
          <w:rFonts w:eastAsiaTheme="minorEastAsia" w:cstheme="minorBidi"/>
          <w:spacing w:val="2"/>
          <w:sz w:val="20"/>
          <w:szCs w:val="20"/>
        </w:rPr>
        <w:t xml:space="preserve"> promotional events have also been introduced to ensure staff are prepared </w:t>
      </w:r>
    </w:p>
    <w:p w:rsidR="0049468D" w:rsidRDefault="0049468D" w:rsidP="0049468D">
      <w:pPr>
        <w:pStyle w:val="Spacer"/>
        <w:rPr>
          <w:rFonts w:eastAsiaTheme="minorEastAsia" w:cstheme="minorBidi"/>
          <w:spacing w:val="2"/>
          <w:sz w:val="20"/>
          <w:szCs w:val="20"/>
        </w:rPr>
      </w:pPr>
      <w:r w:rsidRPr="00A86232">
        <w:rPr>
          <w:rFonts w:eastAsiaTheme="minorEastAsia" w:cstheme="minorBidi"/>
          <w:spacing w:val="2"/>
          <w:sz w:val="20"/>
          <w:szCs w:val="20"/>
        </w:rPr>
        <w:t xml:space="preserve">and knowledgeable when promoting </w:t>
      </w:r>
      <w:proofErr w:type="spellStart"/>
      <w:r w:rsidRPr="00A86232">
        <w:rPr>
          <w:rFonts w:eastAsiaTheme="minorEastAsia" w:cstheme="minorBidi"/>
          <w:spacing w:val="2"/>
          <w:sz w:val="20"/>
          <w:szCs w:val="20"/>
        </w:rPr>
        <w:t>YourPlay</w:t>
      </w:r>
      <w:proofErr w:type="spellEnd"/>
      <w:r w:rsidRPr="00A86232">
        <w:rPr>
          <w:rFonts w:eastAsiaTheme="minorEastAsia" w:cstheme="minorBidi"/>
          <w:spacing w:val="2"/>
          <w:sz w:val="20"/>
          <w:szCs w:val="20"/>
        </w:rPr>
        <w:t xml:space="preserve"> to their</w:t>
      </w:r>
      <w:r>
        <w:rPr>
          <w:rFonts w:eastAsiaTheme="minorEastAsia" w:cstheme="minorBidi"/>
          <w:spacing w:val="2"/>
          <w:sz w:val="20"/>
          <w:szCs w:val="20"/>
        </w:rPr>
        <w:t xml:space="preserve"> gaming customers.</w:t>
      </w:r>
    </w:p>
    <w:p w:rsidR="0049468D" w:rsidRPr="00A86232" w:rsidRDefault="0049468D" w:rsidP="0049468D">
      <w:pPr>
        <w:pStyle w:val="Spacer"/>
        <w:rPr>
          <w:rFonts w:eastAsiaTheme="minorEastAsia" w:cstheme="minorBidi"/>
          <w:spacing w:val="2"/>
          <w:sz w:val="20"/>
          <w:szCs w:val="20"/>
        </w:rPr>
      </w:pPr>
    </w:p>
    <w:p w:rsidR="0049468D" w:rsidRPr="00A86232" w:rsidRDefault="0049468D" w:rsidP="0049468D">
      <w:pPr>
        <w:pStyle w:val="Spacer"/>
        <w:rPr>
          <w:rFonts w:eastAsiaTheme="minorEastAsia" w:cstheme="minorBidi"/>
          <w:spacing w:val="2"/>
          <w:sz w:val="20"/>
          <w:szCs w:val="20"/>
        </w:rPr>
      </w:pPr>
      <w:r w:rsidRPr="00A86232">
        <w:rPr>
          <w:rFonts w:eastAsiaTheme="minorEastAsia" w:cstheme="minorBidi"/>
          <w:spacing w:val="2"/>
          <w:sz w:val="20"/>
          <w:szCs w:val="20"/>
        </w:rPr>
        <w:t>An</w:t>
      </w:r>
      <w:r w:rsidR="00B60CC9">
        <w:rPr>
          <w:rFonts w:eastAsiaTheme="minorEastAsia" w:cstheme="minorBidi"/>
          <w:spacing w:val="2"/>
          <w:sz w:val="20"/>
          <w:szCs w:val="20"/>
        </w:rPr>
        <w:t xml:space="preserve"> independent evaluation Of the </w:t>
      </w:r>
      <w:proofErr w:type="spellStart"/>
      <w:r w:rsidR="00B60CC9">
        <w:rPr>
          <w:rFonts w:eastAsiaTheme="minorEastAsia" w:cstheme="minorBidi"/>
          <w:spacing w:val="2"/>
          <w:sz w:val="20"/>
          <w:szCs w:val="20"/>
        </w:rPr>
        <w:t>Y</w:t>
      </w:r>
      <w:r w:rsidR="00452866">
        <w:rPr>
          <w:rFonts w:eastAsiaTheme="minorEastAsia" w:cstheme="minorBidi"/>
          <w:spacing w:val="2"/>
          <w:sz w:val="20"/>
          <w:szCs w:val="20"/>
        </w:rPr>
        <w:t>ourPIa</w:t>
      </w:r>
      <w:bookmarkStart w:id="3" w:name="_GoBack"/>
      <w:bookmarkEnd w:id="3"/>
      <w:r w:rsidR="00452866">
        <w:rPr>
          <w:rFonts w:eastAsiaTheme="minorEastAsia" w:cstheme="minorBidi"/>
          <w:spacing w:val="2"/>
          <w:sz w:val="20"/>
          <w:szCs w:val="20"/>
        </w:rPr>
        <w:t>y</w:t>
      </w:r>
      <w:proofErr w:type="spellEnd"/>
      <w:r w:rsidRPr="00A86232">
        <w:rPr>
          <w:rFonts w:eastAsiaTheme="minorEastAsia" w:cstheme="minorBidi"/>
          <w:spacing w:val="2"/>
          <w:sz w:val="20"/>
          <w:szCs w:val="20"/>
        </w:rPr>
        <w:t xml:space="preserve"> Scheme is being undertaken by the South Australian </w:t>
      </w:r>
    </w:p>
    <w:p w:rsidR="0049468D" w:rsidRPr="00A86232" w:rsidRDefault="0049468D" w:rsidP="0049468D">
      <w:pPr>
        <w:pStyle w:val="Spacer"/>
        <w:rPr>
          <w:rFonts w:eastAsiaTheme="minorEastAsia" w:cstheme="minorBidi"/>
          <w:spacing w:val="2"/>
          <w:sz w:val="20"/>
          <w:szCs w:val="20"/>
        </w:rPr>
      </w:pPr>
      <w:r w:rsidRPr="00A86232">
        <w:rPr>
          <w:rFonts w:eastAsiaTheme="minorEastAsia" w:cstheme="minorBidi"/>
          <w:spacing w:val="2"/>
          <w:sz w:val="20"/>
          <w:szCs w:val="20"/>
        </w:rPr>
        <w:t xml:space="preserve">Centre for Economic Studies at the University of Adelaide. The evaluation strategy will provide an </w:t>
      </w:r>
    </w:p>
    <w:p w:rsidR="0049468D" w:rsidRPr="00A86232" w:rsidRDefault="0049468D" w:rsidP="0049468D">
      <w:pPr>
        <w:pStyle w:val="Spacer"/>
        <w:rPr>
          <w:rFonts w:eastAsiaTheme="minorEastAsia" w:cstheme="minorBidi"/>
          <w:spacing w:val="2"/>
          <w:sz w:val="20"/>
          <w:szCs w:val="20"/>
        </w:rPr>
      </w:pPr>
      <w:r w:rsidRPr="00A86232">
        <w:rPr>
          <w:rFonts w:eastAsiaTheme="minorEastAsia" w:cstheme="minorBidi"/>
          <w:spacing w:val="2"/>
          <w:sz w:val="20"/>
          <w:szCs w:val="20"/>
        </w:rPr>
        <w:t xml:space="preserve">evidence base as to the effectiveness of the scheme in achieving its objectives, provide data to </w:t>
      </w:r>
    </w:p>
    <w:p w:rsidR="0049468D" w:rsidRPr="00A86232" w:rsidRDefault="0049468D" w:rsidP="0049468D">
      <w:pPr>
        <w:pStyle w:val="Spacer"/>
        <w:rPr>
          <w:rFonts w:eastAsiaTheme="minorEastAsia" w:cstheme="minorBidi"/>
          <w:spacing w:val="2"/>
          <w:sz w:val="20"/>
          <w:szCs w:val="20"/>
        </w:rPr>
      </w:pPr>
      <w:r w:rsidRPr="00A86232">
        <w:rPr>
          <w:rFonts w:eastAsiaTheme="minorEastAsia" w:cstheme="minorBidi"/>
          <w:spacing w:val="2"/>
          <w:sz w:val="20"/>
          <w:szCs w:val="20"/>
        </w:rPr>
        <w:t xml:space="preserve">improve the effectiveness of the scheme and identify the costs and consequences of implementing </w:t>
      </w:r>
    </w:p>
    <w:p w:rsidR="0049468D" w:rsidRPr="00A86232" w:rsidRDefault="0049468D" w:rsidP="0049468D">
      <w:pPr>
        <w:pStyle w:val="Spacer"/>
        <w:rPr>
          <w:rFonts w:eastAsiaTheme="minorEastAsia" w:cstheme="minorBidi"/>
          <w:spacing w:val="2"/>
          <w:sz w:val="20"/>
          <w:szCs w:val="20"/>
        </w:rPr>
      </w:pPr>
      <w:r w:rsidRPr="00A86232">
        <w:rPr>
          <w:rFonts w:eastAsiaTheme="minorEastAsia" w:cstheme="minorBidi"/>
          <w:spacing w:val="2"/>
          <w:sz w:val="20"/>
          <w:szCs w:val="20"/>
        </w:rPr>
        <w:t xml:space="preserve">pre-commitment. This will assist the Government in making informed decisions about </w:t>
      </w:r>
      <w:proofErr w:type="spellStart"/>
      <w:r w:rsidRPr="00A86232">
        <w:rPr>
          <w:rFonts w:eastAsiaTheme="minorEastAsia" w:cstheme="minorBidi"/>
          <w:spacing w:val="2"/>
          <w:sz w:val="20"/>
          <w:szCs w:val="20"/>
        </w:rPr>
        <w:t>YourPlay</w:t>
      </w:r>
      <w:proofErr w:type="spellEnd"/>
      <w:r w:rsidRPr="00A86232">
        <w:rPr>
          <w:rFonts w:eastAsiaTheme="minorEastAsia" w:cstheme="minorBidi"/>
          <w:spacing w:val="2"/>
          <w:sz w:val="20"/>
          <w:szCs w:val="20"/>
        </w:rPr>
        <w:t xml:space="preserve"> </w:t>
      </w:r>
    </w:p>
    <w:p w:rsidR="0049468D" w:rsidRPr="00A86232" w:rsidRDefault="0049468D" w:rsidP="0049468D">
      <w:pPr>
        <w:pStyle w:val="Spacer"/>
        <w:rPr>
          <w:rFonts w:eastAsiaTheme="minorEastAsia" w:cstheme="minorBidi"/>
          <w:spacing w:val="2"/>
          <w:sz w:val="20"/>
          <w:szCs w:val="20"/>
        </w:rPr>
      </w:pPr>
      <w:r w:rsidRPr="00A86232">
        <w:rPr>
          <w:rFonts w:eastAsiaTheme="minorEastAsia" w:cstheme="minorBidi"/>
          <w:spacing w:val="2"/>
          <w:sz w:val="20"/>
          <w:szCs w:val="20"/>
        </w:rPr>
        <w:t xml:space="preserve">going forward. The report is due in late 2018. </w:t>
      </w:r>
    </w:p>
    <w:p w:rsidR="0049468D" w:rsidRDefault="0049468D" w:rsidP="0049468D">
      <w:pPr>
        <w:pStyle w:val="Spacer"/>
      </w:pPr>
    </w:p>
    <w:tbl>
      <w:tblPr>
        <w:tblStyle w:val="DTFtexttable"/>
        <w:tblW w:w="9147" w:type="dxa"/>
        <w:tblLayout w:type="fixed"/>
        <w:tblLook w:val="0600" w:firstRow="0" w:lastRow="0" w:firstColumn="0" w:lastColumn="0" w:noHBand="1" w:noVBand="1"/>
      </w:tblPr>
      <w:tblGrid>
        <w:gridCol w:w="9147"/>
      </w:tblGrid>
      <w:tr w:rsidR="0049468D" w:rsidRPr="000F161E" w:rsidTr="007C5963">
        <w:trPr>
          <w:trHeight w:val="468"/>
        </w:trPr>
        <w:tc>
          <w:tcPr>
            <w:tcW w:w="9147" w:type="dxa"/>
            <w:tcBorders>
              <w:top w:val="single" w:sz="12" w:space="0" w:color="0063A6" w:themeColor="accent1"/>
              <w:bottom w:val="single" w:sz="12" w:space="0" w:color="0063A6" w:themeColor="accent1"/>
            </w:tcBorders>
          </w:tcPr>
          <w:p w:rsidR="0049468D" w:rsidRPr="0024782C" w:rsidRDefault="0049468D" w:rsidP="007C5963">
            <w:r w:rsidRPr="007B3B66">
              <w:t xml:space="preserve">Disclaimer: The information above is provided by the </w:t>
            </w:r>
            <w:r w:rsidRPr="00BC36E8">
              <w:t xml:space="preserve">Department of </w:t>
            </w:r>
            <w:r w:rsidRPr="00A86232">
              <w:t>Justice and Regulation</w:t>
            </w:r>
            <w:r>
              <w:t>.</w:t>
            </w:r>
          </w:p>
        </w:tc>
      </w:tr>
    </w:tbl>
    <w:p w:rsidR="0049468D" w:rsidRDefault="0049468D" w:rsidP="0049468D">
      <w:pPr>
        <w:spacing w:before="0" w:after="200"/>
      </w:pPr>
    </w:p>
    <w:p w:rsidR="0049468D" w:rsidRDefault="0049468D" w:rsidP="0049468D">
      <w:pPr>
        <w:spacing w:before="0" w:after="200"/>
      </w:pPr>
    </w:p>
    <w:p w:rsidR="0049468D" w:rsidRDefault="0049468D" w:rsidP="0049468D">
      <w:pPr>
        <w:spacing w:before="0" w:after="200"/>
      </w:pPr>
    </w:p>
    <w:p w:rsidR="0049468D" w:rsidRDefault="0049468D" w:rsidP="0049468D">
      <w:pPr>
        <w:spacing w:before="0" w:after="200"/>
      </w:pPr>
    </w:p>
    <w:p w:rsidR="0049468D" w:rsidRDefault="0049468D" w:rsidP="0049468D">
      <w:pPr>
        <w:spacing w:before="0" w:after="200"/>
      </w:pPr>
    </w:p>
    <w:p w:rsidR="0049468D" w:rsidRDefault="0049468D" w:rsidP="0049468D">
      <w:pPr>
        <w:pStyle w:val="Heading2"/>
      </w:pPr>
      <w:bookmarkStart w:id="4" w:name="_Toc524701302"/>
      <w:r w:rsidRPr="00A86232">
        <w:lastRenderedPageBreak/>
        <w:t>Indigenous Cultural Strengthening Project</w:t>
      </w:r>
      <w:bookmarkEnd w:id="4"/>
      <w:r w:rsidRPr="00A86232">
        <w:t xml:space="preserve"> </w:t>
      </w:r>
    </w:p>
    <w:p w:rsidR="0049468D" w:rsidRPr="00A86232" w:rsidRDefault="0049468D" w:rsidP="0049468D">
      <w:pPr>
        <w:pStyle w:val="Spacer"/>
        <w:rPr>
          <w:rFonts w:eastAsiaTheme="minorEastAsia" w:cstheme="minorBidi"/>
          <w:spacing w:val="2"/>
          <w:sz w:val="20"/>
          <w:szCs w:val="20"/>
        </w:rPr>
      </w:pPr>
      <w:r w:rsidRPr="00A86232">
        <w:rPr>
          <w:rFonts w:eastAsiaTheme="minorEastAsia" w:cstheme="minorBidi"/>
          <w:spacing w:val="2"/>
          <w:sz w:val="20"/>
          <w:szCs w:val="20"/>
        </w:rPr>
        <w:t xml:space="preserve">The original intent of this initiative was to showcase innovative projects that maintained the ongoing cultural transference of knowledge between elders and youth across the Victorian Aboriginal community by creating a suppository of cultural strengthening activities that could be shared and developed by the community to demonstrate ongoing connection to culture. </w:t>
      </w:r>
    </w:p>
    <w:p w:rsidR="0049468D" w:rsidRPr="00A86232" w:rsidRDefault="0049468D" w:rsidP="0049468D">
      <w:pPr>
        <w:pStyle w:val="Spacer"/>
        <w:rPr>
          <w:rFonts w:eastAsiaTheme="minorEastAsia" w:cstheme="minorBidi"/>
          <w:spacing w:val="2"/>
          <w:sz w:val="20"/>
          <w:szCs w:val="20"/>
        </w:rPr>
      </w:pPr>
    </w:p>
    <w:p w:rsidR="0049468D" w:rsidRPr="00A86232" w:rsidRDefault="0049468D" w:rsidP="0049468D">
      <w:pPr>
        <w:pStyle w:val="Spacer"/>
        <w:rPr>
          <w:rFonts w:eastAsiaTheme="minorEastAsia" w:cstheme="minorBidi"/>
          <w:spacing w:val="2"/>
          <w:sz w:val="20"/>
          <w:szCs w:val="20"/>
        </w:rPr>
      </w:pPr>
      <w:r w:rsidRPr="00A86232">
        <w:rPr>
          <w:rFonts w:eastAsiaTheme="minorEastAsia" w:cstheme="minorBidi"/>
          <w:spacing w:val="2"/>
          <w:sz w:val="20"/>
          <w:szCs w:val="20"/>
        </w:rPr>
        <w:t xml:space="preserve">Some positive outcomes were achieved for the benefit of a small number of Aboriginal youth who were able to develop unique skills </w:t>
      </w:r>
      <w:proofErr w:type="gramStart"/>
      <w:r w:rsidRPr="00A86232">
        <w:rPr>
          <w:rFonts w:eastAsiaTheme="minorEastAsia" w:cstheme="minorBidi"/>
          <w:spacing w:val="2"/>
          <w:sz w:val="20"/>
          <w:szCs w:val="20"/>
        </w:rPr>
        <w:t>in the area of</w:t>
      </w:r>
      <w:proofErr w:type="gramEnd"/>
      <w:r w:rsidRPr="00A86232">
        <w:rPr>
          <w:rFonts w:eastAsiaTheme="minorEastAsia" w:cstheme="minorBidi"/>
          <w:spacing w:val="2"/>
          <w:sz w:val="20"/>
          <w:szCs w:val="20"/>
        </w:rPr>
        <w:t xml:space="preserve"> film making.  An additional benefit of this skill then contributed to the development of a limited number of films that captured a variety of cultural knowledge transference to young people by their elders.  These films were then used by the community as a segue into loca</w:t>
      </w:r>
      <w:r>
        <w:rPr>
          <w:rFonts w:eastAsiaTheme="minorEastAsia" w:cstheme="minorBidi"/>
          <w:spacing w:val="2"/>
          <w:sz w:val="20"/>
          <w:szCs w:val="20"/>
        </w:rPr>
        <w:t xml:space="preserve">l Aboriginal cultural practice </w:t>
      </w:r>
      <w:r w:rsidRPr="00A86232">
        <w:rPr>
          <w:rFonts w:eastAsiaTheme="minorEastAsia" w:cstheme="minorBidi"/>
          <w:spacing w:val="2"/>
          <w:sz w:val="20"/>
          <w:szCs w:val="20"/>
        </w:rPr>
        <w:t>and education.</w:t>
      </w:r>
    </w:p>
    <w:p w:rsidR="0049468D" w:rsidRPr="00A86232" w:rsidRDefault="0049468D" w:rsidP="0049468D">
      <w:pPr>
        <w:pStyle w:val="Spacer"/>
        <w:rPr>
          <w:rFonts w:eastAsiaTheme="minorEastAsia" w:cstheme="minorBidi"/>
          <w:spacing w:val="2"/>
          <w:sz w:val="20"/>
          <w:szCs w:val="20"/>
        </w:rPr>
      </w:pPr>
    </w:p>
    <w:p w:rsidR="0049468D" w:rsidRPr="00A86232" w:rsidRDefault="0049468D" w:rsidP="0049468D">
      <w:pPr>
        <w:pStyle w:val="Spacer"/>
        <w:rPr>
          <w:rFonts w:eastAsiaTheme="minorEastAsia" w:cstheme="minorBidi"/>
          <w:spacing w:val="2"/>
          <w:sz w:val="20"/>
          <w:szCs w:val="20"/>
        </w:rPr>
      </w:pPr>
      <w:r w:rsidRPr="00A86232">
        <w:rPr>
          <w:rFonts w:eastAsiaTheme="minorEastAsia" w:cstheme="minorBidi"/>
          <w:spacing w:val="2"/>
          <w:sz w:val="20"/>
          <w:szCs w:val="20"/>
        </w:rPr>
        <w:t xml:space="preserve">The small grants program also delivered a great opportunity for different Aboriginal community groups and organisations to realise their aspirations in reinvigorating Aboriginal culture whether it be through ceremonial dance and practices, language books, or Indigenous bush food.  These opportunities provided a way to reclaim, showcase and maintain the ongoing connection to culture.  </w:t>
      </w:r>
    </w:p>
    <w:p w:rsidR="0049468D" w:rsidRDefault="0049468D" w:rsidP="0049468D">
      <w:pPr>
        <w:pStyle w:val="Spacer"/>
      </w:pPr>
    </w:p>
    <w:tbl>
      <w:tblPr>
        <w:tblStyle w:val="DTFtexttable"/>
        <w:tblW w:w="9147" w:type="dxa"/>
        <w:tblLayout w:type="fixed"/>
        <w:tblLook w:val="0600" w:firstRow="0" w:lastRow="0" w:firstColumn="0" w:lastColumn="0" w:noHBand="1" w:noVBand="1"/>
      </w:tblPr>
      <w:tblGrid>
        <w:gridCol w:w="9147"/>
      </w:tblGrid>
      <w:tr w:rsidR="0049468D" w:rsidRPr="000F161E" w:rsidTr="007C5963">
        <w:trPr>
          <w:trHeight w:val="468"/>
        </w:trPr>
        <w:tc>
          <w:tcPr>
            <w:tcW w:w="9147" w:type="dxa"/>
            <w:tcBorders>
              <w:top w:val="single" w:sz="12" w:space="0" w:color="0063A6" w:themeColor="accent1"/>
              <w:bottom w:val="single" w:sz="12" w:space="0" w:color="0063A6" w:themeColor="accent1"/>
            </w:tcBorders>
          </w:tcPr>
          <w:p w:rsidR="0049468D" w:rsidRPr="0024782C" w:rsidRDefault="0049468D" w:rsidP="007C5963">
            <w:r w:rsidRPr="007B3B66">
              <w:t xml:space="preserve">Disclaimer: The information above is provided by the </w:t>
            </w:r>
            <w:r w:rsidRPr="009F6DE4">
              <w:t>Departm</w:t>
            </w:r>
            <w:r>
              <w:t>ent of Premier and Cabinet.</w:t>
            </w:r>
          </w:p>
        </w:tc>
      </w:tr>
    </w:tbl>
    <w:p w:rsidR="0049468D" w:rsidRDefault="0049468D" w:rsidP="0049468D">
      <w:pPr>
        <w:pStyle w:val="Heading2"/>
      </w:pPr>
    </w:p>
    <w:p w:rsidR="0049468D" w:rsidRDefault="0049468D" w:rsidP="0049468D">
      <w:pPr>
        <w:pStyle w:val="Heading2"/>
      </w:pPr>
    </w:p>
    <w:p w:rsidR="0049468D" w:rsidRDefault="0049468D" w:rsidP="0049468D">
      <w:pPr>
        <w:pStyle w:val="Heading2"/>
      </w:pPr>
    </w:p>
    <w:p w:rsidR="0049468D" w:rsidRDefault="0049468D" w:rsidP="0049468D">
      <w:pPr>
        <w:pStyle w:val="Heading2"/>
      </w:pPr>
    </w:p>
    <w:p w:rsidR="0049468D" w:rsidRDefault="0049468D" w:rsidP="0049468D"/>
    <w:p w:rsidR="0049468D" w:rsidRDefault="0049468D" w:rsidP="0049468D"/>
    <w:p w:rsidR="0049468D" w:rsidRDefault="0049468D" w:rsidP="0049468D"/>
    <w:p w:rsidR="0049468D" w:rsidRDefault="0049468D" w:rsidP="0049468D"/>
    <w:p w:rsidR="00946A06" w:rsidRDefault="00946A06" w:rsidP="0049468D"/>
    <w:p w:rsidR="00946A06" w:rsidRDefault="00946A06" w:rsidP="0049468D"/>
    <w:p w:rsidR="00946A06" w:rsidRDefault="00946A06" w:rsidP="0049468D"/>
    <w:p w:rsidR="00946A06" w:rsidRDefault="00946A06" w:rsidP="0049468D"/>
    <w:p w:rsidR="00946A06" w:rsidRDefault="00946A06" w:rsidP="0049468D"/>
    <w:p w:rsidR="00946A06" w:rsidRDefault="00946A06" w:rsidP="0049468D"/>
    <w:p w:rsidR="00946A06" w:rsidRPr="0049468D" w:rsidRDefault="00946A06" w:rsidP="0049468D"/>
    <w:p w:rsidR="0049468D" w:rsidRDefault="0049468D" w:rsidP="0049468D">
      <w:pPr>
        <w:pStyle w:val="Heading2"/>
      </w:pPr>
      <w:bookmarkStart w:id="5" w:name="_Toc524701303"/>
      <w:r w:rsidRPr="0023071B">
        <w:lastRenderedPageBreak/>
        <w:t>Community Support and Recreational Sports Package - DHHS</w:t>
      </w:r>
      <w:bookmarkEnd w:id="5"/>
    </w:p>
    <w:p w:rsidR="00BC185D" w:rsidRPr="00DE21F4" w:rsidRDefault="00202AE2" w:rsidP="0049468D">
      <w:pPr>
        <w:pStyle w:val="Spacer"/>
        <w:rPr>
          <w:sz w:val="20"/>
          <w:szCs w:val="20"/>
        </w:rPr>
      </w:pPr>
      <w:r>
        <w:rPr>
          <w:sz w:val="20"/>
          <w:szCs w:val="20"/>
        </w:rPr>
        <w:t>The aim of the program was</w:t>
      </w:r>
      <w:r w:rsidR="00BC185D" w:rsidRPr="00DE21F4">
        <w:rPr>
          <w:sz w:val="20"/>
          <w:szCs w:val="20"/>
        </w:rPr>
        <w:t xml:space="preserve"> to support community service organisations to participate fully in delivering the Victorian Government’s drive for more effective service delivery that focuses on improving outcomes for vulnerable Victorians, building stronger communities and supporting families.</w:t>
      </w:r>
    </w:p>
    <w:p w:rsidR="0049468D" w:rsidRPr="00DE21F4" w:rsidRDefault="0049468D" w:rsidP="0049468D">
      <w:pPr>
        <w:pStyle w:val="Spacer"/>
        <w:rPr>
          <w:sz w:val="20"/>
          <w:szCs w:val="20"/>
        </w:rPr>
      </w:pPr>
    </w:p>
    <w:p w:rsidR="0049468D" w:rsidRPr="00DE21F4" w:rsidRDefault="00BC185D" w:rsidP="0049468D">
      <w:pPr>
        <w:pStyle w:val="Spacer"/>
        <w:rPr>
          <w:sz w:val="20"/>
          <w:szCs w:val="20"/>
        </w:rPr>
      </w:pPr>
      <w:r w:rsidRPr="00DE21F4">
        <w:rPr>
          <w:sz w:val="20"/>
          <w:szCs w:val="20"/>
        </w:rPr>
        <w:t>The CSF funding was for the completion of the following</w:t>
      </w:r>
      <w:r w:rsidR="00DE21F4" w:rsidRPr="00DE21F4">
        <w:rPr>
          <w:sz w:val="20"/>
          <w:szCs w:val="20"/>
        </w:rPr>
        <w:t xml:space="preserve"> projects</w:t>
      </w:r>
      <w:r w:rsidRPr="00DE21F4">
        <w:rPr>
          <w:sz w:val="20"/>
          <w:szCs w:val="20"/>
        </w:rPr>
        <w:t xml:space="preserve">: </w:t>
      </w:r>
    </w:p>
    <w:p w:rsidR="00DE21F4" w:rsidRPr="00DE21F4" w:rsidRDefault="00DE21F4" w:rsidP="0049468D">
      <w:pPr>
        <w:pStyle w:val="Spacer"/>
        <w:rPr>
          <w:sz w:val="20"/>
          <w:szCs w:val="20"/>
        </w:rPr>
      </w:pPr>
    </w:p>
    <w:p w:rsidR="0049468D" w:rsidRPr="00DE21F4" w:rsidRDefault="007F2CFD" w:rsidP="007F2CFD">
      <w:pPr>
        <w:pStyle w:val="Spacer"/>
        <w:numPr>
          <w:ilvl w:val="0"/>
          <w:numId w:val="32"/>
        </w:numPr>
        <w:rPr>
          <w:sz w:val="20"/>
          <w:szCs w:val="20"/>
        </w:rPr>
      </w:pPr>
      <w:r>
        <w:rPr>
          <w:sz w:val="20"/>
          <w:szCs w:val="20"/>
        </w:rPr>
        <w:t>Capacity Build P</w:t>
      </w:r>
      <w:r w:rsidRPr="007F2CFD">
        <w:rPr>
          <w:sz w:val="20"/>
          <w:szCs w:val="20"/>
        </w:rPr>
        <w:t xml:space="preserve">roject </w:t>
      </w:r>
      <w:r>
        <w:rPr>
          <w:sz w:val="20"/>
          <w:szCs w:val="20"/>
        </w:rPr>
        <w:t xml:space="preserve">of </w:t>
      </w:r>
      <w:r w:rsidR="0049468D" w:rsidRPr="00DE21F4">
        <w:rPr>
          <w:sz w:val="20"/>
          <w:szCs w:val="20"/>
        </w:rPr>
        <w:t>Foster Carer Association of Victoria to leverage new technology to better support carers</w:t>
      </w:r>
      <w:r>
        <w:rPr>
          <w:sz w:val="20"/>
          <w:szCs w:val="20"/>
        </w:rPr>
        <w:t>;</w:t>
      </w:r>
    </w:p>
    <w:p w:rsidR="0049468D" w:rsidRPr="00DE21F4" w:rsidRDefault="0049468D" w:rsidP="00DE21F4">
      <w:pPr>
        <w:pStyle w:val="Spacer"/>
        <w:rPr>
          <w:sz w:val="20"/>
          <w:szCs w:val="20"/>
        </w:rPr>
      </w:pPr>
    </w:p>
    <w:p w:rsidR="0049468D" w:rsidRPr="00DE21F4" w:rsidRDefault="0049468D" w:rsidP="007F2CFD">
      <w:pPr>
        <w:pStyle w:val="Spacer"/>
        <w:numPr>
          <w:ilvl w:val="0"/>
          <w:numId w:val="32"/>
        </w:numPr>
        <w:rPr>
          <w:sz w:val="20"/>
          <w:szCs w:val="20"/>
        </w:rPr>
      </w:pPr>
      <w:r w:rsidRPr="00DE21F4">
        <w:rPr>
          <w:sz w:val="20"/>
          <w:szCs w:val="20"/>
        </w:rPr>
        <w:t>Domestic Violence Advocacy and Support Program</w:t>
      </w:r>
      <w:r w:rsidR="00E52A21" w:rsidRPr="00E52A21">
        <w:rPr>
          <w:sz w:val="20"/>
          <w:szCs w:val="20"/>
        </w:rPr>
        <w:t xml:space="preserve"> </w:t>
      </w:r>
      <w:r w:rsidR="00E52A21">
        <w:rPr>
          <w:sz w:val="20"/>
          <w:szCs w:val="20"/>
        </w:rPr>
        <w:t>of Doncaster Community Care &amp; Counselling Centre;</w:t>
      </w:r>
    </w:p>
    <w:p w:rsidR="0049468D" w:rsidRPr="007F2CFD" w:rsidRDefault="00E52A21" w:rsidP="00DE21F4">
      <w:pPr>
        <w:pStyle w:val="ListParagraph"/>
        <w:numPr>
          <w:ilvl w:val="0"/>
          <w:numId w:val="32"/>
        </w:numPr>
      </w:pPr>
      <w:r>
        <w:t>I</w:t>
      </w:r>
      <w:r w:rsidR="0049468D" w:rsidRPr="00DE21F4">
        <w:t>ndependent evaluations of sector driven children and family programs</w:t>
      </w:r>
      <w:r w:rsidR="00DE21F4">
        <w:t>, including p</w:t>
      </w:r>
      <w:r w:rsidR="00DE21F4" w:rsidRPr="003D6ECF">
        <w:t xml:space="preserve">rocess evaluation and impact evaluation </w:t>
      </w:r>
      <w:r>
        <w:t>for</w:t>
      </w:r>
      <w:r w:rsidR="00DE21F4" w:rsidRPr="003D6ECF">
        <w:t xml:space="preserve"> </w:t>
      </w:r>
      <w:proofErr w:type="spellStart"/>
      <w:r w:rsidRPr="00E52A21">
        <w:t>OzChild</w:t>
      </w:r>
      <w:proofErr w:type="spellEnd"/>
      <w:r>
        <w:t xml:space="preserve"> Children Australia</w:t>
      </w:r>
      <w:r w:rsidRPr="00E52A21">
        <w:t>'s</w:t>
      </w:r>
      <w:r>
        <w:t xml:space="preserve"> </w:t>
      </w:r>
      <w:r w:rsidRPr="00E52A21">
        <w:t>Functional Family Therapy</w:t>
      </w:r>
      <w:r>
        <w:t xml:space="preserve"> </w:t>
      </w:r>
      <w:r w:rsidR="00DE21F4">
        <w:t>and</w:t>
      </w:r>
      <w:r>
        <w:t xml:space="preserve"> s</w:t>
      </w:r>
      <w:r w:rsidR="00DE21F4" w:rsidRPr="003D6ECF">
        <w:t xml:space="preserve">tatutory </w:t>
      </w:r>
      <w:r w:rsidRPr="00E52A21">
        <w:t>saving analysis of Lighthouse</w:t>
      </w:r>
      <w:r>
        <w:t xml:space="preserve"> Foundatio</w:t>
      </w:r>
      <w:r w:rsidRPr="00E52A21">
        <w:t>n’s services</w:t>
      </w:r>
      <w:r>
        <w:t>; and</w:t>
      </w:r>
    </w:p>
    <w:p w:rsidR="00DE21F4" w:rsidRDefault="00DE21F4" w:rsidP="00DE21F4">
      <w:pPr>
        <w:pStyle w:val="Spacer"/>
        <w:numPr>
          <w:ilvl w:val="0"/>
          <w:numId w:val="32"/>
        </w:numPr>
        <w:rPr>
          <w:sz w:val="20"/>
          <w:szCs w:val="20"/>
        </w:rPr>
      </w:pPr>
      <w:r w:rsidRPr="00DE21F4">
        <w:rPr>
          <w:sz w:val="20"/>
          <w:szCs w:val="20"/>
        </w:rPr>
        <w:t xml:space="preserve">Community Sector </w:t>
      </w:r>
      <w:r w:rsidR="007F2CFD">
        <w:rPr>
          <w:sz w:val="20"/>
          <w:szCs w:val="20"/>
        </w:rPr>
        <w:t>Reform Council research projects.</w:t>
      </w:r>
    </w:p>
    <w:p w:rsidR="007F2CFD" w:rsidRPr="007F2CFD" w:rsidRDefault="007F2CFD" w:rsidP="007F2CFD">
      <w:pPr>
        <w:pStyle w:val="Spacer"/>
        <w:ind w:left="360"/>
        <w:rPr>
          <w:sz w:val="20"/>
          <w:szCs w:val="20"/>
        </w:rPr>
      </w:pPr>
    </w:p>
    <w:tbl>
      <w:tblPr>
        <w:tblStyle w:val="DTFtexttable"/>
        <w:tblW w:w="9147" w:type="dxa"/>
        <w:tblLayout w:type="fixed"/>
        <w:tblLook w:val="0600" w:firstRow="0" w:lastRow="0" w:firstColumn="0" w:lastColumn="0" w:noHBand="1" w:noVBand="1"/>
      </w:tblPr>
      <w:tblGrid>
        <w:gridCol w:w="9147"/>
      </w:tblGrid>
      <w:tr w:rsidR="0049468D" w:rsidRPr="000F161E" w:rsidTr="007C5963">
        <w:trPr>
          <w:trHeight w:val="468"/>
        </w:trPr>
        <w:tc>
          <w:tcPr>
            <w:tcW w:w="9147" w:type="dxa"/>
            <w:tcBorders>
              <w:top w:val="single" w:sz="12" w:space="0" w:color="0063A6" w:themeColor="accent1"/>
              <w:bottom w:val="single" w:sz="12" w:space="0" w:color="0063A6" w:themeColor="accent1"/>
            </w:tcBorders>
          </w:tcPr>
          <w:p w:rsidR="0049468D" w:rsidRPr="0024782C" w:rsidRDefault="0049468D" w:rsidP="007C5963">
            <w:r w:rsidRPr="007B3B66">
              <w:t xml:space="preserve">Disclaimer: The information above is provided by the </w:t>
            </w:r>
            <w:r w:rsidRPr="001B07F5">
              <w:t>Department of Health and Human Services</w:t>
            </w:r>
            <w:r>
              <w:t>.</w:t>
            </w:r>
          </w:p>
        </w:tc>
      </w:tr>
    </w:tbl>
    <w:p w:rsidR="0049468D" w:rsidRDefault="0049468D" w:rsidP="0049468D">
      <w:pPr>
        <w:pStyle w:val="Heading2"/>
      </w:pPr>
    </w:p>
    <w:p w:rsidR="0049468D" w:rsidRDefault="0049468D" w:rsidP="0049468D">
      <w:pPr>
        <w:pStyle w:val="Heading2"/>
      </w:pPr>
    </w:p>
    <w:p w:rsidR="0049468D" w:rsidRDefault="0049468D" w:rsidP="0049468D">
      <w:pPr>
        <w:pStyle w:val="Heading2"/>
      </w:pPr>
    </w:p>
    <w:p w:rsidR="0049468D" w:rsidRDefault="0049468D" w:rsidP="00B636EB">
      <w:pPr>
        <w:pStyle w:val="Heading2"/>
      </w:pPr>
    </w:p>
    <w:p w:rsidR="0049468D" w:rsidRDefault="0049468D" w:rsidP="00B636EB">
      <w:pPr>
        <w:pStyle w:val="Heading2"/>
      </w:pPr>
    </w:p>
    <w:p w:rsidR="0049468D" w:rsidRDefault="0049468D" w:rsidP="00B636EB">
      <w:pPr>
        <w:pStyle w:val="Heading2"/>
      </w:pPr>
    </w:p>
    <w:p w:rsidR="00764313" w:rsidRDefault="00764313" w:rsidP="00764313">
      <w:pPr>
        <w:rPr>
          <w:rFonts w:asciiTheme="majorHAnsi" w:eastAsiaTheme="majorEastAsia" w:hAnsiTheme="majorHAnsi" w:cstheme="majorBidi"/>
          <w:b/>
          <w:bCs/>
          <w:color w:val="0063A6" w:themeColor="accent1"/>
          <w:sz w:val="28"/>
          <w:szCs w:val="26"/>
        </w:rPr>
      </w:pPr>
    </w:p>
    <w:p w:rsidR="0049468D" w:rsidRDefault="0049468D" w:rsidP="00764313">
      <w:pPr>
        <w:rPr>
          <w:rFonts w:asciiTheme="majorHAnsi" w:eastAsiaTheme="majorEastAsia" w:hAnsiTheme="majorHAnsi" w:cstheme="majorBidi"/>
          <w:b/>
          <w:bCs/>
          <w:color w:val="0063A6" w:themeColor="accent1"/>
          <w:sz w:val="28"/>
          <w:szCs w:val="26"/>
        </w:rPr>
      </w:pPr>
    </w:p>
    <w:p w:rsidR="0049468D" w:rsidRDefault="0049468D" w:rsidP="00764313">
      <w:pPr>
        <w:rPr>
          <w:rFonts w:asciiTheme="majorHAnsi" w:eastAsiaTheme="majorEastAsia" w:hAnsiTheme="majorHAnsi" w:cstheme="majorBidi"/>
          <w:b/>
          <w:bCs/>
          <w:color w:val="0063A6" w:themeColor="accent1"/>
          <w:sz w:val="28"/>
          <w:szCs w:val="26"/>
        </w:rPr>
      </w:pPr>
    </w:p>
    <w:p w:rsidR="0049468D" w:rsidRDefault="0049468D" w:rsidP="00764313">
      <w:pPr>
        <w:rPr>
          <w:rFonts w:asciiTheme="majorHAnsi" w:eastAsiaTheme="majorEastAsia" w:hAnsiTheme="majorHAnsi" w:cstheme="majorBidi"/>
          <w:b/>
          <w:bCs/>
          <w:color w:val="0063A6" w:themeColor="accent1"/>
          <w:sz w:val="28"/>
          <w:szCs w:val="26"/>
        </w:rPr>
      </w:pPr>
    </w:p>
    <w:p w:rsidR="0049468D" w:rsidRDefault="0049468D" w:rsidP="00764313">
      <w:pPr>
        <w:rPr>
          <w:rFonts w:asciiTheme="majorHAnsi" w:eastAsiaTheme="majorEastAsia" w:hAnsiTheme="majorHAnsi" w:cstheme="majorBidi"/>
          <w:b/>
          <w:bCs/>
          <w:color w:val="0063A6" w:themeColor="accent1"/>
          <w:sz w:val="28"/>
          <w:szCs w:val="26"/>
        </w:rPr>
      </w:pPr>
    </w:p>
    <w:p w:rsidR="0049468D" w:rsidRDefault="0049468D" w:rsidP="00764313">
      <w:pPr>
        <w:rPr>
          <w:rFonts w:asciiTheme="majorHAnsi" w:eastAsiaTheme="majorEastAsia" w:hAnsiTheme="majorHAnsi" w:cstheme="majorBidi"/>
          <w:b/>
          <w:bCs/>
          <w:color w:val="0063A6" w:themeColor="accent1"/>
          <w:sz w:val="28"/>
          <w:szCs w:val="26"/>
        </w:rPr>
      </w:pPr>
    </w:p>
    <w:p w:rsidR="0049468D" w:rsidRDefault="0049468D" w:rsidP="00764313">
      <w:pPr>
        <w:rPr>
          <w:rFonts w:asciiTheme="majorHAnsi" w:eastAsiaTheme="majorEastAsia" w:hAnsiTheme="majorHAnsi" w:cstheme="majorBidi"/>
          <w:b/>
          <w:bCs/>
          <w:color w:val="0063A6" w:themeColor="accent1"/>
          <w:sz w:val="28"/>
          <w:szCs w:val="26"/>
        </w:rPr>
      </w:pPr>
    </w:p>
    <w:p w:rsidR="00211286" w:rsidRDefault="00211286" w:rsidP="00211286">
      <w:pPr>
        <w:pStyle w:val="Heading2"/>
      </w:pPr>
      <w:bookmarkStart w:id="6" w:name="_Toc524701304"/>
      <w:r w:rsidRPr="00330B8A">
        <w:lastRenderedPageBreak/>
        <w:t>Heyfield Museum</w:t>
      </w:r>
      <w:bookmarkEnd w:id="6"/>
    </w:p>
    <w:p w:rsidR="00330B8A" w:rsidRDefault="00202AE2" w:rsidP="00330B8A">
      <w:pPr>
        <w:pStyle w:val="Spacer"/>
        <w:rPr>
          <w:sz w:val="20"/>
          <w:szCs w:val="20"/>
        </w:rPr>
      </w:pPr>
      <w:r>
        <w:rPr>
          <w:sz w:val="20"/>
          <w:szCs w:val="20"/>
        </w:rPr>
        <w:t>The aim of project was</w:t>
      </w:r>
      <w:r w:rsidR="00330B8A">
        <w:rPr>
          <w:sz w:val="20"/>
          <w:szCs w:val="20"/>
        </w:rPr>
        <w:t xml:space="preserve"> t</w:t>
      </w:r>
      <w:r w:rsidR="00330B8A" w:rsidRPr="00330B8A">
        <w:rPr>
          <w:sz w:val="20"/>
          <w:szCs w:val="20"/>
        </w:rPr>
        <w:t>o preserve the history of the local area and provide a secu</w:t>
      </w:r>
      <w:r w:rsidR="00330B8A">
        <w:rPr>
          <w:sz w:val="20"/>
          <w:szCs w:val="20"/>
        </w:rPr>
        <w:t xml:space="preserve">re home for current historical </w:t>
      </w:r>
      <w:r w:rsidR="00330B8A" w:rsidRPr="00330B8A">
        <w:rPr>
          <w:sz w:val="20"/>
          <w:szCs w:val="20"/>
        </w:rPr>
        <w:t xml:space="preserve">collection. </w:t>
      </w:r>
    </w:p>
    <w:p w:rsidR="00330B8A" w:rsidRDefault="00330B8A" w:rsidP="00330B8A">
      <w:pPr>
        <w:pStyle w:val="Spacer"/>
        <w:rPr>
          <w:sz w:val="20"/>
          <w:szCs w:val="20"/>
        </w:rPr>
      </w:pPr>
    </w:p>
    <w:p w:rsidR="00330B8A" w:rsidRDefault="00330B8A" w:rsidP="00330B8A">
      <w:pPr>
        <w:pStyle w:val="Spacer"/>
        <w:rPr>
          <w:sz w:val="20"/>
          <w:szCs w:val="20"/>
        </w:rPr>
      </w:pPr>
      <w:r>
        <w:rPr>
          <w:sz w:val="20"/>
          <w:szCs w:val="20"/>
        </w:rPr>
        <w:t>Outcomes of the project are as follows:</w:t>
      </w:r>
    </w:p>
    <w:p w:rsidR="00330B8A" w:rsidRPr="00330B8A" w:rsidRDefault="00330B8A" w:rsidP="00330B8A">
      <w:pPr>
        <w:pStyle w:val="Spacer"/>
        <w:rPr>
          <w:sz w:val="20"/>
          <w:szCs w:val="20"/>
        </w:rPr>
      </w:pPr>
    </w:p>
    <w:p w:rsidR="00330B8A" w:rsidRPr="00330B8A" w:rsidRDefault="00330B8A" w:rsidP="00330B8A">
      <w:pPr>
        <w:pStyle w:val="Spacer"/>
        <w:numPr>
          <w:ilvl w:val="0"/>
          <w:numId w:val="30"/>
        </w:numPr>
        <w:rPr>
          <w:sz w:val="20"/>
          <w:szCs w:val="20"/>
        </w:rPr>
      </w:pPr>
      <w:r w:rsidRPr="00330B8A">
        <w:rPr>
          <w:sz w:val="20"/>
          <w:szCs w:val="20"/>
        </w:rPr>
        <w:t>Partnership agreements created with lo</w:t>
      </w:r>
      <w:r>
        <w:rPr>
          <w:sz w:val="20"/>
          <w:szCs w:val="20"/>
        </w:rPr>
        <w:t xml:space="preserve">cal schools and service groups -- </w:t>
      </w:r>
      <w:r w:rsidRPr="00330B8A">
        <w:rPr>
          <w:sz w:val="20"/>
          <w:szCs w:val="20"/>
        </w:rPr>
        <w:t xml:space="preserve">future tours and </w:t>
      </w:r>
    </w:p>
    <w:p w:rsidR="00330B8A" w:rsidRDefault="00330B8A" w:rsidP="00330B8A">
      <w:pPr>
        <w:pStyle w:val="Spacer"/>
        <w:numPr>
          <w:ilvl w:val="0"/>
          <w:numId w:val="30"/>
        </w:numPr>
        <w:rPr>
          <w:sz w:val="20"/>
          <w:szCs w:val="20"/>
        </w:rPr>
      </w:pPr>
      <w:r>
        <w:rPr>
          <w:sz w:val="20"/>
          <w:szCs w:val="20"/>
        </w:rPr>
        <w:t>educational opportunities;</w:t>
      </w:r>
    </w:p>
    <w:p w:rsidR="00330B8A" w:rsidRPr="00330B8A" w:rsidRDefault="00330B8A" w:rsidP="00330B8A">
      <w:pPr>
        <w:pStyle w:val="Spacer"/>
        <w:rPr>
          <w:sz w:val="20"/>
          <w:szCs w:val="20"/>
        </w:rPr>
      </w:pPr>
    </w:p>
    <w:p w:rsidR="00330B8A" w:rsidRDefault="00330B8A" w:rsidP="00330B8A">
      <w:pPr>
        <w:pStyle w:val="Spacer"/>
        <w:numPr>
          <w:ilvl w:val="0"/>
          <w:numId w:val="30"/>
        </w:numPr>
        <w:rPr>
          <w:sz w:val="20"/>
          <w:szCs w:val="20"/>
        </w:rPr>
      </w:pPr>
      <w:r>
        <w:rPr>
          <w:sz w:val="20"/>
          <w:szCs w:val="20"/>
        </w:rPr>
        <w:t>Increased membership of the society -- creation of a new group of volunteers w</w:t>
      </w:r>
      <w:r w:rsidRPr="00330B8A">
        <w:rPr>
          <w:sz w:val="20"/>
          <w:szCs w:val="20"/>
        </w:rPr>
        <w:t>iling to assist in the runn</w:t>
      </w:r>
      <w:r>
        <w:rPr>
          <w:sz w:val="20"/>
          <w:szCs w:val="20"/>
        </w:rPr>
        <w:t>ing of the museum and attached Nursery;</w:t>
      </w:r>
    </w:p>
    <w:p w:rsidR="00330B8A" w:rsidRPr="00330B8A" w:rsidRDefault="00330B8A" w:rsidP="00330B8A">
      <w:pPr>
        <w:pStyle w:val="Spacer"/>
        <w:rPr>
          <w:sz w:val="20"/>
          <w:szCs w:val="20"/>
        </w:rPr>
      </w:pPr>
    </w:p>
    <w:p w:rsidR="00330B8A" w:rsidRDefault="00330B8A" w:rsidP="00330B8A">
      <w:pPr>
        <w:pStyle w:val="Spacer"/>
        <w:numPr>
          <w:ilvl w:val="0"/>
          <w:numId w:val="30"/>
        </w:numPr>
        <w:rPr>
          <w:sz w:val="20"/>
          <w:szCs w:val="20"/>
        </w:rPr>
      </w:pPr>
      <w:r w:rsidRPr="00330B8A">
        <w:rPr>
          <w:sz w:val="20"/>
          <w:szCs w:val="20"/>
        </w:rPr>
        <w:t>Increased awareness of</w:t>
      </w:r>
      <w:r>
        <w:rPr>
          <w:sz w:val="20"/>
          <w:szCs w:val="20"/>
        </w:rPr>
        <w:t xml:space="preserve"> the museum and its collection -- opportunity to collect local</w:t>
      </w:r>
      <w:r w:rsidRPr="00330B8A">
        <w:rPr>
          <w:sz w:val="20"/>
          <w:szCs w:val="20"/>
        </w:rPr>
        <w:t xml:space="preserve"> history</w:t>
      </w:r>
      <w:r>
        <w:rPr>
          <w:sz w:val="20"/>
          <w:szCs w:val="20"/>
        </w:rPr>
        <w:t>;</w:t>
      </w:r>
      <w:r w:rsidRPr="00330B8A">
        <w:rPr>
          <w:sz w:val="20"/>
          <w:szCs w:val="20"/>
        </w:rPr>
        <w:t xml:space="preserve"> </w:t>
      </w:r>
    </w:p>
    <w:p w:rsidR="00330B8A" w:rsidRPr="00330B8A" w:rsidRDefault="00330B8A" w:rsidP="00330B8A">
      <w:pPr>
        <w:pStyle w:val="Spacer"/>
        <w:rPr>
          <w:sz w:val="20"/>
          <w:szCs w:val="20"/>
        </w:rPr>
      </w:pPr>
    </w:p>
    <w:p w:rsidR="00330B8A" w:rsidRDefault="00330B8A" w:rsidP="00330B8A">
      <w:pPr>
        <w:pStyle w:val="Spacer"/>
        <w:numPr>
          <w:ilvl w:val="0"/>
          <w:numId w:val="30"/>
        </w:numPr>
        <w:rPr>
          <w:sz w:val="20"/>
          <w:szCs w:val="20"/>
        </w:rPr>
      </w:pPr>
      <w:r>
        <w:rPr>
          <w:sz w:val="20"/>
          <w:szCs w:val="20"/>
        </w:rPr>
        <w:t>Increased tourism -- funds being spent in the local area;</w:t>
      </w:r>
      <w:r w:rsidR="0023071B">
        <w:rPr>
          <w:sz w:val="20"/>
          <w:szCs w:val="20"/>
        </w:rPr>
        <w:t xml:space="preserve"> and</w:t>
      </w:r>
    </w:p>
    <w:p w:rsidR="00330B8A" w:rsidRPr="00330B8A" w:rsidRDefault="00330B8A" w:rsidP="00330B8A">
      <w:pPr>
        <w:pStyle w:val="Spacer"/>
        <w:rPr>
          <w:sz w:val="20"/>
          <w:szCs w:val="20"/>
        </w:rPr>
      </w:pPr>
    </w:p>
    <w:p w:rsidR="00330B8A" w:rsidRPr="00330B8A" w:rsidRDefault="00330B8A" w:rsidP="00330B8A">
      <w:pPr>
        <w:pStyle w:val="Spacer"/>
        <w:numPr>
          <w:ilvl w:val="0"/>
          <w:numId w:val="30"/>
        </w:numPr>
        <w:rPr>
          <w:sz w:val="20"/>
          <w:szCs w:val="20"/>
        </w:rPr>
      </w:pPr>
      <w:r>
        <w:rPr>
          <w:sz w:val="20"/>
          <w:szCs w:val="20"/>
        </w:rPr>
        <w:t>Creation of another community space.</w:t>
      </w:r>
    </w:p>
    <w:p w:rsidR="00330B8A" w:rsidRDefault="00330B8A" w:rsidP="00211286">
      <w:pPr>
        <w:pStyle w:val="Spacer"/>
      </w:pPr>
    </w:p>
    <w:tbl>
      <w:tblPr>
        <w:tblStyle w:val="DTFtexttable"/>
        <w:tblW w:w="9147" w:type="dxa"/>
        <w:tblLayout w:type="fixed"/>
        <w:tblLook w:val="0600" w:firstRow="0" w:lastRow="0" w:firstColumn="0" w:lastColumn="0" w:noHBand="1" w:noVBand="1"/>
      </w:tblPr>
      <w:tblGrid>
        <w:gridCol w:w="9147"/>
      </w:tblGrid>
      <w:tr w:rsidR="00211286" w:rsidRPr="000F161E" w:rsidTr="004241CC">
        <w:trPr>
          <w:trHeight w:val="468"/>
        </w:trPr>
        <w:tc>
          <w:tcPr>
            <w:tcW w:w="9147" w:type="dxa"/>
            <w:tcBorders>
              <w:top w:val="single" w:sz="12" w:space="0" w:color="0063A6" w:themeColor="accent1"/>
              <w:bottom w:val="single" w:sz="12" w:space="0" w:color="0063A6" w:themeColor="accent1"/>
            </w:tcBorders>
          </w:tcPr>
          <w:p w:rsidR="00211286" w:rsidRPr="0024782C" w:rsidRDefault="00211286" w:rsidP="004241CC">
            <w:r w:rsidRPr="007B3B66">
              <w:t xml:space="preserve">Disclaimer: The information above is provided by the </w:t>
            </w:r>
            <w:r w:rsidRPr="006D3C01">
              <w:t>Department of Economic Development, Jobs, Transport and Resources.</w:t>
            </w:r>
          </w:p>
        </w:tc>
      </w:tr>
    </w:tbl>
    <w:p w:rsidR="00211286" w:rsidRDefault="00211286" w:rsidP="00211286">
      <w:pPr>
        <w:pStyle w:val="Heading2"/>
      </w:pPr>
    </w:p>
    <w:p w:rsidR="00211286" w:rsidRDefault="00211286" w:rsidP="00211286">
      <w:pPr>
        <w:pStyle w:val="Heading2"/>
      </w:pPr>
    </w:p>
    <w:p w:rsidR="00211286" w:rsidRDefault="00211286" w:rsidP="00211286">
      <w:pPr>
        <w:pStyle w:val="Heading2"/>
      </w:pPr>
    </w:p>
    <w:p w:rsidR="00211286" w:rsidRDefault="00211286" w:rsidP="00211286">
      <w:pPr>
        <w:pStyle w:val="Heading2"/>
      </w:pPr>
    </w:p>
    <w:bookmarkEnd w:id="0"/>
    <w:p w:rsidR="00F47BD4" w:rsidRDefault="00F47BD4" w:rsidP="0049468D">
      <w:pPr>
        <w:spacing w:before="0" w:after="200"/>
      </w:pPr>
    </w:p>
    <w:sectPr w:rsidR="00F47BD4" w:rsidSect="00A327CF">
      <w:headerReference w:type="default" r:id="rId11"/>
      <w:footerReference w:type="default" r:id="rId12"/>
      <w:type w:val="oddPage"/>
      <w:pgSz w:w="11906" w:h="16838" w:code="9"/>
      <w:pgMar w:top="1886" w:right="1440" w:bottom="907" w:left="1440" w:header="706" w:footer="461"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D4CFE" w:rsidRDefault="002D4CFE" w:rsidP="002D711A">
      <w:pPr>
        <w:spacing w:after="0" w:line="240" w:lineRule="auto"/>
      </w:pPr>
      <w:r>
        <w:separator/>
      </w:r>
    </w:p>
  </w:endnote>
  <w:endnote w:type="continuationSeparator" w:id="0">
    <w:p w:rsidR="002D4CFE" w:rsidRDefault="002D4CFE" w:rsidP="002D71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2173" w:rsidRDefault="007E2173" w:rsidP="004669E3">
    <w:pPr>
      <w:pStyle w:val="Spacer"/>
    </w:pPr>
  </w:p>
  <w:p w:rsidR="007E2173" w:rsidRPr="00C022F9" w:rsidRDefault="007E2173" w:rsidP="0041689E">
    <w:pPr>
      <w:pStyle w:val="Footer"/>
    </w:pPr>
    <w:r>
      <w:rPr>
        <w:b/>
        <w:noProof w:val="0"/>
        <w:color w:val="0063A6" w:themeColor="accent1"/>
      </w:rPr>
      <w:fldChar w:fldCharType="begin"/>
    </w:r>
    <w:r>
      <w:rPr>
        <w:b/>
        <w:noProof w:val="0"/>
        <w:color w:val="0063A6" w:themeColor="accent1"/>
      </w:rPr>
      <w:instrText xml:space="preserve"> STYLEREF  Title \l </w:instrText>
    </w:r>
    <w:r>
      <w:rPr>
        <w:b/>
        <w:noProof w:val="0"/>
        <w:color w:val="0063A6" w:themeColor="accent1"/>
      </w:rPr>
      <w:fldChar w:fldCharType="separate"/>
    </w:r>
    <w:r w:rsidR="00E44172">
      <w:rPr>
        <w:b/>
        <w:color w:val="0063A6" w:themeColor="accent1"/>
      </w:rPr>
      <w:t>Community Support Fund</w:t>
    </w:r>
    <w:r>
      <w:rPr>
        <w:b/>
        <w:noProof w:val="0"/>
        <w:color w:val="0063A6" w:themeColor="accent1"/>
      </w:rPr>
      <w:fldChar w:fldCharType="end"/>
    </w:r>
    <w:r>
      <w:tab/>
    </w:r>
    <w:r w:rsidRPr="00DE60CC">
      <w:rPr>
        <w:rStyle w:val="PageNumber"/>
      </w:rPr>
      <w:fldChar w:fldCharType="begin"/>
    </w:r>
    <w:r w:rsidRPr="00DE60CC">
      <w:rPr>
        <w:rStyle w:val="PageNumber"/>
      </w:rPr>
      <w:instrText xml:space="preserve"> Page </w:instrText>
    </w:r>
    <w:r w:rsidRPr="00DE60CC">
      <w:rPr>
        <w:rStyle w:val="PageNumber"/>
      </w:rPr>
      <w:fldChar w:fldCharType="separate"/>
    </w:r>
    <w:r w:rsidR="006406F3">
      <w:rPr>
        <w:rStyle w:val="PageNumber"/>
      </w:rPr>
      <w:t>ii</w:t>
    </w:r>
    <w:r w:rsidRPr="00DE60CC">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27CF" w:rsidRDefault="00A327CF" w:rsidP="00A327CF">
    <w:pPr>
      <w:pStyle w:val="Spacer"/>
    </w:pPr>
  </w:p>
  <w:p w:rsidR="00A327CF" w:rsidRPr="00C022F9" w:rsidRDefault="00A327CF" w:rsidP="00A327CF">
    <w:pPr>
      <w:pStyle w:val="Footer"/>
    </w:pPr>
    <w:r>
      <w:rPr>
        <w:b/>
        <w:noProof w:val="0"/>
        <w:color w:val="0063A6" w:themeColor="accent1"/>
      </w:rPr>
      <w:fldChar w:fldCharType="begin"/>
    </w:r>
    <w:r>
      <w:rPr>
        <w:b/>
        <w:noProof w:val="0"/>
        <w:color w:val="0063A6" w:themeColor="accent1"/>
      </w:rPr>
      <w:instrText xml:space="preserve"> STYLEREF  Title </w:instrText>
    </w:r>
    <w:r>
      <w:rPr>
        <w:b/>
        <w:noProof w:val="0"/>
        <w:color w:val="0063A6" w:themeColor="accent1"/>
      </w:rPr>
      <w:fldChar w:fldCharType="separate"/>
    </w:r>
    <w:r w:rsidR="004F1CB3">
      <w:rPr>
        <w:b/>
        <w:color w:val="0063A6" w:themeColor="accent1"/>
      </w:rPr>
      <w:t>Community Support Fund</w:t>
    </w:r>
    <w:r>
      <w:rPr>
        <w:b/>
        <w:noProof w:val="0"/>
        <w:color w:val="0063A6" w:themeColor="accent1"/>
      </w:rPr>
      <w:fldChar w:fldCharType="end"/>
    </w:r>
    <w:r>
      <w:tab/>
    </w:r>
    <w:r w:rsidRPr="00DE60CC">
      <w:rPr>
        <w:rStyle w:val="PageNumber"/>
      </w:rPr>
      <w:fldChar w:fldCharType="begin"/>
    </w:r>
    <w:r w:rsidRPr="00DE60CC">
      <w:rPr>
        <w:rStyle w:val="PageNumber"/>
      </w:rPr>
      <w:instrText xml:space="preserve"> Page </w:instrText>
    </w:r>
    <w:r w:rsidRPr="00DE60CC">
      <w:rPr>
        <w:rStyle w:val="PageNumber"/>
      </w:rPr>
      <w:fldChar w:fldCharType="separate"/>
    </w:r>
    <w:r w:rsidR="006406F3">
      <w:rPr>
        <w:rStyle w:val="PageNumber"/>
      </w:rPr>
      <w:t>i</w:t>
    </w:r>
    <w:r w:rsidRPr="00DE60CC">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3870" w:rsidRDefault="00223870" w:rsidP="004669E3">
    <w:pPr>
      <w:pStyle w:val="Spacer"/>
    </w:pPr>
  </w:p>
  <w:p w:rsidR="00223870" w:rsidRPr="00C022F9" w:rsidRDefault="00223870" w:rsidP="0041689E">
    <w:pPr>
      <w:pStyle w:val="Footer"/>
    </w:pPr>
    <w:r>
      <w:rPr>
        <w:b/>
        <w:noProof w:val="0"/>
        <w:color w:val="0063A6" w:themeColor="accent1"/>
      </w:rPr>
      <w:fldChar w:fldCharType="begin"/>
    </w:r>
    <w:r>
      <w:rPr>
        <w:b/>
        <w:noProof w:val="0"/>
        <w:color w:val="0063A6" w:themeColor="accent1"/>
      </w:rPr>
      <w:instrText xml:space="preserve"> STYLEREF  Title </w:instrText>
    </w:r>
    <w:r>
      <w:rPr>
        <w:b/>
        <w:noProof w:val="0"/>
        <w:color w:val="0063A6" w:themeColor="accent1"/>
      </w:rPr>
      <w:fldChar w:fldCharType="separate"/>
    </w:r>
    <w:r w:rsidR="004F1CB3">
      <w:rPr>
        <w:b/>
        <w:color w:val="0063A6" w:themeColor="accent1"/>
      </w:rPr>
      <w:t>Community Support Fund</w:t>
    </w:r>
    <w:r>
      <w:rPr>
        <w:b/>
        <w:noProof w:val="0"/>
        <w:color w:val="0063A6" w:themeColor="accent1"/>
      </w:rPr>
      <w:fldChar w:fldCharType="end"/>
    </w:r>
    <w:r>
      <w:tab/>
    </w:r>
    <w:r w:rsidRPr="00C022F9">
      <w:t xml:space="preserve">Page </w:t>
    </w:r>
    <w:r w:rsidRPr="00DE60CC">
      <w:rPr>
        <w:rStyle w:val="PageNumber"/>
      </w:rPr>
      <w:fldChar w:fldCharType="begin"/>
    </w:r>
    <w:r w:rsidRPr="00DE60CC">
      <w:rPr>
        <w:rStyle w:val="PageNumber"/>
      </w:rPr>
      <w:instrText xml:space="preserve"> Page </w:instrText>
    </w:r>
    <w:r w:rsidRPr="00DE60CC">
      <w:rPr>
        <w:rStyle w:val="PageNumber"/>
      </w:rPr>
      <w:fldChar w:fldCharType="separate"/>
    </w:r>
    <w:r w:rsidR="006406F3">
      <w:rPr>
        <w:rStyle w:val="PageNumber"/>
      </w:rPr>
      <w:t>11</w:t>
    </w:r>
    <w:r w:rsidRPr="00DE60CC">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D4CFE" w:rsidRDefault="002D4CFE" w:rsidP="002D711A">
      <w:pPr>
        <w:spacing w:after="0" w:line="240" w:lineRule="auto"/>
      </w:pPr>
      <w:r>
        <w:separator/>
      </w:r>
    </w:p>
  </w:footnote>
  <w:footnote w:type="continuationSeparator" w:id="0">
    <w:p w:rsidR="002D4CFE" w:rsidRDefault="002D4CFE" w:rsidP="002D71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3870" w:rsidRPr="003E46A8" w:rsidRDefault="00223870" w:rsidP="003E46A8">
    <w:pPr>
      <w:pStyle w:val="Header"/>
      <w:jc w:val="right"/>
      <w:rPr>
        <w:b/>
        <w:color w:val="FFFFFF" w:themeColor="background1"/>
      </w:rPr>
    </w:pPr>
  </w:p>
  <w:p w:rsidR="00223870" w:rsidRPr="00223870" w:rsidRDefault="00223870" w:rsidP="00223870">
    <w:r w:rsidRPr="00223870">
      <w:rPr>
        <w:noProof/>
      </w:rPr>
      <w:drawing>
        <wp:anchor distT="0" distB="0" distL="114300" distR="114300" simplePos="0" relativeHeight="251659264" behindDoc="0" locked="0" layoutInCell="1" allowOverlap="1" wp14:anchorId="7B39A0DB" wp14:editId="6CDCECE3">
          <wp:simplePos x="0" y="0"/>
          <wp:positionH relativeFrom="column">
            <wp:posOffset>-319405</wp:posOffset>
          </wp:positionH>
          <wp:positionV relativeFrom="page">
            <wp:posOffset>299085</wp:posOffset>
          </wp:positionV>
          <wp:extent cx="1380490" cy="411480"/>
          <wp:effectExtent l="0" t="0" r="0" b="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ctoria State Gov DTF right reverse rgb.png"/>
                  <pic:cNvPicPr/>
                </pic:nvPicPr>
                <pic:blipFill>
                  <a:blip r:embed="rId1">
                    <a:extLst>
                      <a:ext uri="{28A0092B-C50C-407E-A947-70E740481C1C}">
                        <a14:useLocalDpi xmlns:a14="http://schemas.microsoft.com/office/drawing/2010/main" val="0"/>
                      </a:ext>
                    </a:extLst>
                  </a:blip>
                  <a:stretch>
                    <a:fillRect/>
                  </a:stretch>
                </pic:blipFill>
                <pic:spPr>
                  <a:xfrm>
                    <a:off x="0" y="0"/>
                    <a:ext cx="1380490" cy="411480"/>
                  </a:xfrm>
                  <a:prstGeom prst="rect">
                    <a:avLst/>
                  </a:prstGeom>
                </pic:spPr>
              </pic:pic>
            </a:graphicData>
          </a:graphic>
          <wp14:sizeRelH relativeFrom="margin">
            <wp14:pctWidth>0</wp14:pctWidth>
          </wp14:sizeRelH>
          <wp14:sizeRelV relativeFrom="margin">
            <wp14:pctHeight>0</wp14:pctHeight>
          </wp14:sizeRelV>
        </wp:anchor>
      </w:drawing>
    </w:r>
    <w:r w:rsidRPr="00223870">
      <w:rPr>
        <w:noProof/>
      </w:rPr>
      <w:drawing>
        <wp:anchor distT="0" distB="0" distL="114300" distR="114300" simplePos="0" relativeHeight="251656192" behindDoc="1" locked="0" layoutInCell="1" allowOverlap="1" wp14:anchorId="7278BFEA" wp14:editId="1D67732A">
          <wp:simplePos x="0" y="0"/>
          <wp:positionH relativeFrom="column">
            <wp:posOffset>-914400</wp:posOffset>
          </wp:positionH>
          <wp:positionV relativeFrom="page">
            <wp:posOffset>123825</wp:posOffset>
          </wp:positionV>
          <wp:extent cx="7589520" cy="740410"/>
          <wp:effectExtent l="0" t="0" r="0" b="2540"/>
          <wp:wrapNone/>
          <wp:docPr id="2" name="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DIUM HEADER_9545 DTF Covers A4 Final_Blue5.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7589520" cy="74041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3870" w:rsidRDefault="00223870" w:rsidP="00223870">
    <w:pPr>
      <w:pStyle w:val="Header"/>
    </w:pPr>
  </w:p>
  <w:p w:rsidR="00223870" w:rsidRDefault="00223870" w:rsidP="00223870">
    <w:pPr>
      <w:pStyle w:val="Header"/>
    </w:pPr>
  </w:p>
  <w:p w:rsidR="00223870" w:rsidRPr="00223870" w:rsidRDefault="00223870" w:rsidP="00CE5B2C">
    <w:pPr>
      <w:pStyle w:val="Subtitle"/>
    </w:pPr>
    <w:r w:rsidRPr="00223870">
      <w:t>Community Support Fund</w:t>
    </w:r>
  </w:p>
  <w:p w:rsidR="00223870" w:rsidRPr="0043535E" w:rsidRDefault="0049410D" w:rsidP="00223870">
    <w:pPr>
      <w:pStyle w:val="TertiaryTitle"/>
    </w:pPr>
    <w:r>
      <w:t>F</w:t>
    </w:r>
    <w:r w:rsidRPr="0049410D">
      <w:t>unded departmental initiative finalised in 201</w:t>
    </w:r>
    <w:r w:rsidR="00A86232">
      <w:t>7</w:t>
    </w:r>
    <w:r w:rsidR="007F2909">
      <w:noBreakHyphen/>
    </w:r>
    <w:r w:rsidR="00BA4D5E">
      <w:t>1</w:t>
    </w:r>
    <w:r w:rsidR="00223870">
      <w:rPr>
        <w:noProof/>
        <w:lang w:eastAsia="en-AU"/>
      </w:rPr>
      <w:drawing>
        <wp:anchor distT="0" distB="0" distL="114300" distR="114300" simplePos="0" relativeHeight="251658240" behindDoc="0" locked="0" layoutInCell="1" allowOverlap="1" wp14:anchorId="49F2C8C1" wp14:editId="020C735A">
          <wp:simplePos x="0" y="0"/>
          <wp:positionH relativeFrom="column">
            <wp:posOffset>-319405</wp:posOffset>
          </wp:positionH>
          <wp:positionV relativeFrom="page">
            <wp:posOffset>299085</wp:posOffset>
          </wp:positionV>
          <wp:extent cx="1380490" cy="411480"/>
          <wp:effectExtent l="0" t="0" r="0" b="762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ctoria State Gov DTF right reverse rgb.png"/>
                  <pic:cNvPicPr/>
                </pic:nvPicPr>
                <pic:blipFill>
                  <a:blip r:embed="rId1">
                    <a:extLst>
                      <a:ext uri="{28A0092B-C50C-407E-A947-70E740481C1C}">
                        <a14:useLocalDpi xmlns:a14="http://schemas.microsoft.com/office/drawing/2010/main" val="0"/>
                      </a:ext>
                    </a:extLst>
                  </a:blip>
                  <a:stretch>
                    <a:fillRect/>
                  </a:stretch>
                </pic:blipFill>
                <pic:spPr>
                  <a:xfrm>
                    <a:off x="0" y="0"/>
                    <a:ext cx="1380490" cy="411480"/>
                  </a:xfrm>
                  <a:prstGeom prst="rect">
                    <a:avLst/>
                  </a:prstGeom>
                </pic:spPr>
              </pic:pic>
            </a:graphicData>
          </a:graphic>
          <wp14:sizeRelH relativeFrom="margin">
            <wp14:pctWidth>0</wp14:pctWidth>
          </wp14:sizeRelH>
          <wp14:sizeRelV relativeFrom="margin">
            <wp14:pctHeight>0</wp14:pctHeight>
          </wp14:sizeRelV>
        </wp:anchor>
      </w:drawing>
    </w:r>
    <w:r w:rsidR="00223870">
      <w:rPr>
        <w:noProof/>
        <w:lang w:eastAsia="en-AU"/>
      </w:rPr>
      <w:drawing>
        <wp:anchor distT="0" distB="0" distL="114300" distR="114300" simplePos="0" relativeHeight="251657216" behindDoc="0" locked="0" layoutInCell="1" allowOverlap="1" wp14:anchorId="32B1F201" wp14:editId="6F9DCD94">
          <wp:simplePos x="0" y="0"/>
          <wp:positionH relativeFrom="column">
            <wp:posOffset>-914400</wp:posOffset>
          </wp:positionH>
          <wp:positionV relativeFrom="page">
            <wp:posOffset>125095</wp:posOffset>
          </wp:positionV>
          <wp:extent cx="7589520" cy="740410"/>
          <wp:effectExtent l="0" t="0" r="0" b="2540"/>
          <wp:wrapNone/>
          <wp:docPr id="14" name="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DIUM HEADER_9545 DTF Covers A4 Final_Blue5.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7589520" cy="740410"/>
                  </a:xfrm>
                  <a:prstGeom prst="rect">
                    <a:avLst/>
                  </a:prstGeom>
                </pic:spPr>
              </pic:pic>
            </a:graphicData>
          </a:graphic>
          <wp14:sizeRelH relativeFrom="margin">
            <wp14:pctWidth>0</wp14:pctWidth>
          </wp14:sizeRelH>
          <wp14:sizeRelV relativeFrom="margin">
            <wp14:pctHeight>0</wp14:pctHeight>
          </wp14:sizeRelV>
        </wp:anchor>
      </w:drawing>
    </w:r>
    <w:r w:rsidR="00A86232">
      <w:t>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F69EA2E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0839F6"/>
    <w:multiLevelType w:val="hybridMultilevel"/>
    <w:tmpl w:val="8B70EE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98E3F83"/>
    <w:multiLevelType w:val="hybridMultilevel"/>
    <w:tmpl w:val="9328F7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B777F72"/>
    <w:multiLevelType w:val="hybridMultilevel"/>
    <w:tmpl w:val="AD620FF2"/>
    <w:lvl w:ilvl="0" w:tplc="0D502630">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26456FFD"/>
    <w:multiLevelType w:val="multilevel"/>
    <w:tmpl w:val="C0D2F066"/>
    <w:lvl w:ilvl="0">
      <w:start w:val="1"/>
      <w:numFmt w:val="bullet"/>
      <w:pStyle w:val="Tablebullet"/>
      <w:lvlText w:val=""/>
      <w:lvlJc w:val="left"/>
      <w:pPr>
        <w:ind w:left="288" w:hanging="288"/>
      </w:pPr>
      <w:rPr>
        <w:rFonts w:ascii="Symbol" w:hAnsi="Symbol" w:hint="default"/>
        <w:color w:val="auto"/>
      </w:rPr>
    </w:lvl>
    <w:lvl w:ilvl="1">
      <w:start w:val="1"/>
      <w:numFmt w:val="bullet"/>
      <w:pStyle w:val="Tabledash"/>
      <w:lvlText w:val="–"/>
      <w:lvlJc w:val="left"/>
      <w:pPr>
        <w:ind w:left="576" w:hanging="288"/>
      </w:pPr>
      <w:rPr>
        <w:rFonts w:ascii="Calibri" w:hAnsi="Calibri" w:hint="default"/>
        <w:color w:val="auto"/>
      </w:rPr>
    </w:lvl>
    <w:lvl w:ilvl="2">
      <w:start w:val="1"/>
      <w:numFmt w:val="decimal"/>
      <w:pStyle w:val="Tablenum1"/>
      <w:lvlText w:val="%3."/>
      <w:lvlJc w:val="left"/>
      <w:pPr>
        <w:tabs>
          <w:tab w:val="num" w:pos="360"/>
        </w:tabs>
        <w:ind w:left="360" w:hanging="360"/>
      </w:pPr>
      <w:rPr>
        <w:rFonts w:hint="default"/>
      </w:rPr>
    </w:lvl>
    <w:lvl w:ilvl="3">
      <w:start w:val="1"/>
      <w:numFmt w:val="lowerLetter"/>
      <w:pStyle w:val="Tablenum2"/>
      <w:lvlText w:val="(%4)"/>
      <w:lvlJc w:val="left"/>
      <w:pPr>
        <w:tabs>
          <w:tab w:val="num" w:pos="720"/>
        </w:tabs>
        <w:ind w:left="72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446D3A6A"/>
    <w:multiLevelType w:val="multilevel"/>
    <w:tmpl w:val="D6E00412"/>
    <w:lvl w:ilvl="0">
      <w:start w:val="1"/>
      <w:numFmt w:val="bullet"/>
      <w:pStyle w:val="Bullet1"/>
      <w:lvlText w:val=""/>
      <w:lvlJc w:val="left"/>
      <w:pPr>
        <w:tabs>
          <w:tab w:val="num" w:pos="360"/>
        </w:tabs>
        <w:ind w:left="360" w:hanging="360"/>
      </w:pPr>
      <w:rPr>
        <w:rFonts w:ascii="Symbol" w:hAnsi="Symbol" w:hint="default"/>
        <w:b w:val="0"/>
        <w:i w:val="0"/>
        <w:vanish w:val="0"/>
        <w:color w:val="auto"/>
        <w:sz w:val="22"/>
      </w:rPr>
    </w:lvl>
    <w:lvl w:ilvl="1">
      <w:start w:val="1"/>
      <w:numFmt w:val="bullet"/>
      <w:pStyle w:val="Bullet2"/>
      <w:lvlText w:val="–"/>
      <w:lvlJc w:val="left"/>
      <w:pPr>
        <w:tabs>
          <w:tab w:val="num" w:pos="720"/>
        </w:tabs>
        <w:ind w:left="720" w:hanging="360"/>
      </w:pPr>
      <w:rPr>
        <w:rFonts w:ascii="Calibri" w:hAnsi="Calibri" w:hint="default"/>
        <w:b w:val="0"/>
        <w:i w:val="0"/>
        <w:vanish w:val="0"/>
        <w:color w:val="auto"/>
        <w:sz w:val="22"/>
      </w:rPr>
    </w:lvl>
    <w:lvl w:ilvl="2">
      <w:start w:val="1"/>
      <w:numFmt w:val="bullet"/>
      <w:pStyle w:val="Bulletindent"/>
      <w:lvlText w:val=""/>
      <w:lvlJc w:val="left"/>
      <w:pPr>
        <w:tabs>
          <w:tab w:val="num" w:pos="1152"/>
        </w:tabs>
        <w:ind w:left="1152" w:hanging="360"/>
      </w:pPr>
      <w:rPr>
        <w:rFonts w:ascii="Symbol" w:hAnsi="Symbol" w:hint="default"/>
        <w:b w:val="0"/>
        <w:i w:val="0"/>
        <w:vanish w:val="0"/>
        <w:color w:val="auto"/>
        <w:sz w:val="22"/>
      </w:rPr>
    </w:lvl>
    <w:lvl w:ilvl="3">
      <w:start w:val="1"/>
      <w:numFmt w:val="bullet"/>
      <w:pStyle w:val="Bulletindent2"/>
      <w:lvlText w:val="–"/>
      <w:lvlJc w:val="left"/>
      <w:pPr>
        <w:tabs>
          <w:tab w:val="num" w:pos="1512"/>
        </w:tabs>
        <w:ind w:left="1512" w:hanging="360"/>
      </w:pPr>
      <w:rPr>
        <w:rFonts w:ascii="Calibri" w:hAnsi="Calibri" w:hint="default"/>
        <w:b w:val="0"/>
        <w:i w:val="0"/>
        <w:vanish w:val="0"/>
        <w:color w:val="auto"/>
        <w:sz w:val="22"/>
      </w:rPr>
    </w:lvl>
    <w:lvl w:ilvl="4">
      <w:start w:val="1"/>
      <w:numFmt w:val="bullet"/>
      <w:lvlText w:val=""/>
      <w:lvlJc w:val="left"/>
      <w:pPr>
        <w:tabs>
          <w:tab w:val="num" w:pos="2211"/>
        </w:tabs>
        <w:ind w:left="2211" w:hanging="283"/>
      </w:pPr>
      <w:rPr>
        <w:rFonts w:ascii="Symbol" w:hAnsi="Symbol" w:hint="default"/>
        <w:b w:val="0"/>
        <w:i w:val="0"/>
        <w:vanish w:val="0"/>
        <w:color w:val="auto"/>
        <w:sz w:val="22"/>
      </w:rPr>
    </w:lvl>
    <w:lvl w:ilvl="5">
      <w:start w:val="1"/>
      <w:numFmt w:val="bullet"/>
      <w:lvlText w:val=""/>
      <w:lvlJc w:val="left"/>
      <w:pPr>
        <w:tabs>
          <w:tab w:val="num" w:pos="2495"/>
        </w:tabs>
        <w:ind w:left="2495" w:hanging="284"/>
      </w:pPr>
      <w:rPr>
        <w:rFonts w:ascii="Symbol" w:hAnsi="Symbol" w:hint="default"/>
        <w:b w:val="0"/>
        <w:i w:val="0"/>
        <w:vanish w:val="0"/>
        <w:color w:val="auto"/>
        <w:sz w:val="22"/>
      </w:rPr>
    </w:lvl>
    <w:lvl w:ilvl="6">
      <w:start w:val="1"/>
      <w:numFmt w:val="bullet"/>
      <w:lvlText w:val=""/>
      <w:lvlJc w:val="left"/>
      <w:pPr>
        <w:tabs>
          <w:tab w:val="num" w:pos="2778"/>
        </w:tabs>
        <w:ind w:left="2778" w:hanging="283"/>
      </w:pPr>
      <w:rPr>
        <w:rFonts w:ascii="Symbol" w:hAnsi="Symbol" w:hint="default"/>
        <w:b w:val="0"/>
        <w:i w:val="0"/>
        <w:vanish w:val="0"/>
        <w:color w:val="auto"/>
        <w:sz w:val="22"/>
      </w:rPr>
    </w:lvl>
    <w:lvl w:ilvl="7">
      <w:start w:val="1"/>
      <w:numFmt w:val="bullet"/>
      <w:lvlText w:val=""/>
      <w:lvlJc w:val="left"/>
      <w:pPr>
        <w:tabs>
          <w:tab w:val="num" w:pos="3062"/>
        </w:tabs>
        <w:ind w:left="3062" w:hanging="284"/>
      </w:pPr>
      <w:rPr>
        <w:rFonts w:ascii="Symbol" w:hAnsi="Symbol" w:hint="default"/>
        <w:b w:val="0"/>
        <w:i w:val="0"/>
        <w:vanish w:val="0"/>
        <w:color w:val="auto"/>
        <w:sz w:val="22"/>
      </w:rPr>
    </w:lvl>
    <w:lvl w:ilvl="8">
      <w:start w:val="1"/>
      <w:numFmt w:val="bullet"/>
      <w:lvlText w:val=""/>
      <w:lvlJc w:val="left"/>
      <w:pPr>
        <w:tabs>
          <w:tab w:val="num" w:pos="3345"/>
        </w:tabs>
        <w:ind w:left="3345" w:hanging="283"/>
      </w:pPr>
      <w:rPr>
        <w:rFonts w:ascii="Symbol" w:hAnsi="Symbol" w:hint="default"/>
        <w:b w:val="0"/>
        <w:i w:val="0"/>
        <w:vanish w:val="0"/>
        <w:color w:val="auto"/>
        <w:sz w:val="22"/>
      </w:rPr>
    </w:lvl>
  </w:abstractNum>
  <w:abstractNum w:abstractNumId="6" w15:restartNumberingAfterBreak="0">
    <w:nsid w:val="6AC66D90"/>
    <w:multiLevelType w:val="hybridMultilevel"/>
    <w:tmpl w:val="F8D6C5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78B452E5"/>
    <w:multiLevelType w:val="hybridMultilevel"/>
    <w:tmpl w:val="49DC06FA"/>
    <w:lvl w:ilvl="0" w:tplc="EB84B8A2">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7A7E12E5"/>
    <w:multiLevelType w:val="hybridMultilevel"/>
    <w:tmpl w:val="3A5E8A9C"/>
    <w:lvl w:ilvl="0" w:tplc="D52C8DEE">
      <w:start w:val="1"/>
      <w:numFmt w:val="decimal"/>
      <w:pStyle w:val="Numpara"/>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7F8148C5"/>
    <w:multiLevelType w:val="hybridMultilevel"/>
    <w:tmpl w:val="06D466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7FD44514"/>
    <w:multiLevelType w:val="multilevel"/>
    <w:tmpl w:val="3E300802"/>
    <w:lvl w:ilvl="0">
      <w:start w:val="1"/>
      <w:numFmt w:val="lowerLetter"/>
      <w:pStyle w:val="Listnum"/>
      <w:lvlText w:val="(%1)"/>
      <w:lvlJc w:val="left"/>
      <w:pPr>
        <w:tabs>
          <w:tab w:val="num" w:pos="360"/>
        </w:tabs>
        <w:ind w:left="360" w:hanging="360"/>
      </w:pPr>
      <w:rPr>
        <w:rFonts w:hint="default"/>
      </w:rPr>
    </w:lvl>
    <w:lvl w:ilvl="1">
      <w:start w:val="1"/>
      <w:numFmt w:val="lowerRoman"/>
      <w:pStyle w:val="Listnum2"/>
      <w:lvlText w:val="(%2)"/>
      <w:lvlJc w:val="left"/>
      <w:pPr>
        <w:tabs>
          <w:tab w:val="num" w:pos="864"/>
        </w:tabs>
        <w:ind w:left="720" w:hanging="360"/>
      </w:pPr>
      <w:rPr>
        <w:rFonts w:hint="default"/>
      </w:rPr>
    </w:lvl>
    <w:lvl w:ilvl="2">
      <w:start w:val="1"/>
      <w:numFmt w:val="decimal"/>
      <w:pStyle w:val="Heading1numbered"/>
      <w:lvlText w:val="%3."/>
      <w:lvlJc w:val="left"/>
      <w:pPr>
        <w:tabs>
          <w:tab w:val="num" w:pos="792"/>
        </w:tabs>
        <w:ind w:left="792" w:hanging="792"/>
      </w:pPr>
      <w:rPr>
        <w:rFonts w:hint="default"/>
      </w:rPr>
    </w:lvl>
    <w:lvl w:ilvl="3">
      <w:start w:val="1"/>
      <w:numFmt w:val="decimal"/>
      <w:pStyle w:val="Heading2numbered"/>
      <w:lvlText w:val="%3.%4"/>
      <w:lvlJc w:val="left"/>
      <w:pPr>
        <w:tabs>
          <w:tab w:val="num" w:pos="792"/>
        </w:tabs>
        <w:ind w:left="792" w:hanging="792"/>
      </w:pPr>
      <w:rPr>
        <w:rFonts w:hint="default"/>
      </w:rPr>
    </w:lvl>
    <w:lvl w:ilvl="4">
      <w:start w:val="1"/>
      <w:numFmt w:val="decimal"/>
      <w:lvlRestart w:val="1"/>
      <w:pStyle w:val="Heading3numbered"/>
      <w:lvlText w:val="%3.%4.%5"/>
      <w:lvlJc w:val="left"/>
      <w:pPr>
        <w:tabs>
          <w:tab w:val="num" w:pos="792"/>
        </w:tabs>
        <w:ind w:left="792" w:hanging="792"/>
      </w:pPr>
      <w:rPr>
        <w:rFonts w:hint="default"/>
      </w:rPr>
    </w:lvl>
    <w:lvl w:ilvl="5">
      <w:start w:val="1"/>
      <w:numFmt w:val="decimal"/>
      <w:pStyle w:val="Heading4numbered"/>
      <w:lvlText w:val="%3.%4.%5.%6"/>
      <w:lvlJc w:val="left"/>
      <w:pPr>
        <w:tabs>
          <w:tab w:val="num" w:pos="792"/>
        </w:tabs>
        <w:ind w:left="792" w:hanging="792"/>
      </w:pPr>
      <w:rPr>
        <w:rFonts w:hint="default"/>
      </w:rPr>
    </w:lvl>
    <w:lvl w:ilvl="6">
      <w:start w:val="1"/>
      <w:numFmt w:val="lowerLetter"/>
      <w:pStyle w:val="Listnumindent"/>
      <w:lvlText w:val="(%7)"/>
      <w:lvlJc w:val="left"/>
      <w:pPr>
        <w:tabs>
          <w:tab w:val="num" w:pos="1296"/>
        </w:tabs>
        <w:ind w:left="1296" w:hanging="504"/>
      </w:pPr>
      <w:rPr>
        <w:rFonts w:hint="default"/>
      </w:rPr>
    </w:lvl>
    <w:lvl w:ilvl="7">
      <w:start w:val="1"/>
      <w:numFmt w:val="lowerRoman"/>
      <w:pStyle w:val="Listnumindent2"/>
      <w:lvlText w:val="(%8)"/>
      <w:lvlJc w:val="left"/>
      <w:pPr>
        <w:tabs>
          <w:tab w:val="num" w:pos="1800"/>
        </w:tabs>
        <w:ind w:left="1800" w:hanging="504"/>
      </w:pPr>
      <w:rPr>
        <w:rFonts w:hint="default"/>
      </w:rPr>
    </w:lvl>
    <w:lvl w:ilvl="8">
      <w:start w:val="1"/>
      <w:numFmt w:val="decimal"/>
      <w:pStyle w:val="Numparaindent"/>
      <w:lvlText w:val="%9."/>
      <w:lvlJc w:val="left"/>
      <w:pPr>
        <w:tabs>
          <w:tab w:val="num" w:pos="1296"/>
        </w:tabs>
        <w:ind w:left="1296" w:hanging="504"/>
      </w:pPr>
      <w:rPr>
        <w:rFonts w:hint="default"/>
      </w:rPr>
    </w:lvl>
  </w:abstractNum>
  <w:num w:numId="1">
    <w:abstractNumId w:val="5"/>
  </w:num>
  <w:num w:numId="2">
    <w:abstractNumId w:val="5"/>
  </w:num>
  <w:num w:numId="3">
    <w:abstractNumId w:val="5"/>
  </w:num>
  <w:num w:numId="4">
    <w:abstractNumId w:val="10"/>
  </w:num>
  <w:num w:numId="5">
    <w:abstractNumId w:val="5"/>
  </w:num>
  <w:num w:numId="6">
    <w:abstractNumId w:val="5"/>
  </w:num>
  <w:num w:numId="7">
    <w:abstractNumId w:val="5"/>
  </w:num>
  <w:num w:numId="8">
    <w:abstractNumId w:val="5"/>
  </w:num>
  <w:num w:numId="9">
    <w:abstractNumId w:val="10"/>
  </w:num>
  <w:num w:numId="10">
    <w:abstractNumId w:val="10"/>
  </w:num>
  <w:num w:numId="11">
    <w:abstractNumId w:val="10"/>
  </w:num>
  <w:num w:numId="12">
    <w:abstractNumId w:val="10"/>
  </w:num>
  <w:num w:numId="13">
    <w:abstractNumId w:val="10"/>
  </w:num>
  <w:num w:numId="14">
    <w:abstractNumId w:val="10"/>
  </w:num>
  <w:num w:numId="15">
    <w:abstractNumId w:val="10"/>
  </w:num>
  <w:num w:numId="16">
    <w:abstractNumId w:val="10"/>
  </w:num>
  <w:num w:numId="17">
    <w:abstractNumId w:val="4"/>
  </w:num>
  <w:num w:numId="18">
    <w:abstractNumId w:val="4"/>
  </w:num>
  <w:num w:numId="19">
    <w:abstractNumId w:val="8"/>
  </w:num>
  <w:num w:numId="20">
    <w:abstractNumId w:val="7"/>
  </w:num>
  <w:num w:numId="21">
    <w:abstractNumId w:val="3"/>
  </w:num>
  <w:num w:numId="22">
    <w:abstractNumId w:val="3"/>
  </w:num>
  <w:num w:numId="23">
    <w:abstractNumId w:val="3"/>
  </w:num>
  <w:num w:numId="24">
    <w:abstractNumId w:val="8"/>
  </w:num>
  <w:num w:numId="25">
    <w:abstractNumId w:val="10"/>
  </w:num>
  <w:num w:numId="26">
    <w:abstractNumId w:val="4"/>
  </w:num>
  <w:num w:numId="27">
    <w:abstractNumId w:val="4"/>
  </w:num>
  <w:num w:numId="28">
    <w:abstractNumId w:val="0"/>
  </w:num>
  <w:num w:numId="29">
    <w:abstractNumId w:val="2"/>
  </w:num>
  <w:num w:numId="30">
    <w:abstractNumId w:val="9"/>
  </w:num>
  <w:num w:numId="31">
    <w:abstractNumId w:val="1"/>
  </w:num>
  <w:num w:numId="3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A4F90"/>
    <w:rsid w:val="00012F6F"/>
    <w:rsid w:val="00014213"/>
    <w:rsid w:val="00014B55"/>
    <w:rsid w:val="00020E3E"/>
    <w:rsid w:val="00023BF3"/>
    <w:rsid w:val="00026811"/>
    <w:rsid w:val="00043296"/>
    <w:rsid w:val="0004356D"/>
    <w:rsid w:val="00045296"/>
    <w:rsid w:val="00060130"/>
    <w:rsid w:val="00075E6C"/>
    <w:rsid w:val="00095340"/>
    <w:rsid w:val="000A05C1"/>
    <w:rsid w:val="000A2F14"/>
    <w:rsid w:val="000B29AD"/>
    <w:rsid w:val="000C40F5"/>
    <w:rsid w:val="000C6372"/>
    <w:rsid w:val="000D593F"/>
    <w:rsid w:val="000E392D"/>
    <w:rsid w:val="000F1410"/>
    <w:rsid w:val="000F4288"/>
    <w:rsid w:val="000F7165"/>
    <w:rsid w:val="00102379"/>
    <w:rsid w:val="00104C67"/>
    <w:rsid w:val="001065D6"/>
    <w:rsid w:val="00121252"/>
    <w:rsid w:val="00124609"/>
    <w:rsid w:val="001254CE"/>
    <w:rsid w:val="00126AF9"/>
    <w:rsid w:val="00134CEA"/>
    <w:rsid w:val="001422CC"/>
    <w:rsid w:val="001617B6"/>
    <w:rsid w:val="00165E66"/>
    <w:rsid w:val="00170050"/>
    <w:rsid w:val="00195C10"/>
    <w:rsid w:val="001A32B3"/>
    <w:rsid w:val="001A3DD1"/>
    <w:rsid w:val="001A7B05"/>
    <w:rsid w:val="001B07F5"/>
    <w:rsid w:val="001C7BAE"/>
    <w:rsid w:val="001D717E"/>
    <w:rsid w:val="001E31FA"/>
    <w:rsid w:val="001E64F6"/>
    <w:rsid w:val="00202AE2"/>
    <w:rsid w:val="00211286"/>
    <w:rsid w:val="00220A94"/>
    <w:rsid w:val="00222BEB"/>
    <w:rsid w:val="00223870"/>
    <w:rsid w:val="00225E60"/>
    <w:rsid w:val="0023071B"/>
    <w:rsid w:val="0023202C"/>
    <w:rsid w:val="00232EA9"/>
    <w:rsid w:val="00236203"/>
    <w:rsid w:val="00245043"/>
    <w:rsid w:val="0024774E"/>
    <w:rsid w:val="0024782C"/>
    <w:rsid w:val="002502E5"/>
    <w:rsid w:val="00257760"/>
    <w:rsid w:val="00292D36"/>
    <w:rsid w:val="00297281"/>
    <w:rsid w:val="002C54E0"/>
    <w:rsid w:val="002D4CFE"/>
    <w:rsid w:val="002D711A"/>
    <w:rsid w:val="002D7336"/>
    <w:rsid w:val="002E3396"/>
    <w:rsid w:val="0031149C"/>
    <w:rsid w:val="003204CA"/>
    <w:rsid w:val="00330B8A"/>
    <w:rsid w:val="0038771C"/>
    <w:rsid w:val="003910BE"/>
    <w:rsid w:val="00392A8F"/>
    <w:rsid w:val="0039405B"/>
    <w:rsid w:val="003A1C92"/>
    <w:rsid w:val="003A541A"/>
    <w:rsid w:val="003A6923"/>
    <w:rsid w:val="003C2C67"/>
    <w:rsid w:val="003C2EA2"/>
    <w:rsid w:val="003C5BA4"/>
    <w:rsid w:val="003E3E26"/>
    <w:rsid w:val="003E46A8"/>
    <w:rsid w:val="003E640C"/>
    <w:rsid w:val="003F1295"/>
    <w:rsid w:val="003F76FC"/>
    <w:rsid w:val="004002EB"/>
    <w:rsid w:val="00405C57"/>
    <w:rsid w:val="0041689E"/>
    <w:rsid w:val="00422139"/>
    <w:rsid w:val="004236C8"/>
    <w:rsid w:val="00427681"/>
    <w:rsid w:val="00433DB7"/>
    <w:rsid w:val="0043535E"/>
    <w:rsid w:val="00452866"/>
    <w:rsid w:val="00453750"/>
    <w:rsid w:val="00456941"/>
    <w:rsid w:val="004669E3"/>
    <w:rsid w:val="004702EA"/>
    <w:rsid w:val="00482D02"/>
    <w:rsid w:val="00492A49"/>
    <w:rsid w:val="00493EE1"/>
    <w:rsid w:val="0049410D"/>
    <w:rsid w:val="0049468D"/>
    <w:rsid w:val="004A7519"/>
    <w:rsid w:val="004B41CA"/>
    <w:rsid w:val="004B6656"/>
    <w:rsid w:val="004D3518"/>
    <w:rsid w:val="004D62D6"/>
    <w:rsid w:val="004E5801"/>
    <w:rsid w:val="004F1CB3"/>
    <w:rsid w:val="004F5F8D"/>
    <w:rsid w:val="0050731C"/>
    <w:rsid w:val="0052369A"/>
    <w:rsid w:val="0053416C"/>
    <w:rsid w:val="00541C2F"/>
    <w:rsid w:val="0055519A"/>
    <w:rsid w:val="00563527"/>
    <w:rsid w:val="0057713F"/>
    <w:rsid w:val="0058124E"/>
    <w:rsid w:val="00584301"/>
    <w:rsid w:val="005875A3"/>
    <w:rsid w:val="00587F18"/>
    <w:rsid w:val="00594C2A"/>
    <w:rsid w:val="005A3416"/>
    <w:rsid w:val="005A46F7"/>
    <w:rsid w:val="005A4F90"/>
    <w:rsid w:val="005B27FE"/>
    <w:rsid w:val="005C3D4D"/>
    <w:rsid w:val="005C3E6D"/>
    <w:rsid w:val="005F61DF"/>
    <w:rsid w:val="006023F9"/>
    <w:rsid w:val="00610559"/>
    <w:rsid w:val="006319CD"/>
    <w:rsid w:val="006332F6"/>
    <w:rsid w:val="006361E7"/>
    <w:rsid w:val="006406F3"/>
    <w:rsid w:val="00652625"/>
    <w:rsid w:val="00653003"/>
    <w:rsid w:val="006534B2"/>
    <w:rsid w:val="0065615D"/>
    <w:rsid w:val="00657011"/>
    <w:rsid w:val="00660E98"/>
    <w:rsid w:val="006650B5"/>
    <w:rsid w:val="006651B1"/>
    <w:rsid w:val="00665778"/>
    <w:rsid w:val="0067312B"/>
    <w:rsid w:val="006738C4"/>
    <w:rsid w:val="006A5B34"/>
    <w:rsid w:val="006A5F5B"/>
    <w:rsid w:val="006C70FC"/>
    <w:rsid w:val="006C77A9"/>
    <w:rsid w:val="006D3C01"/>
    <w:rsid w:val="006F6693"/>
    <w:rsid w:val="00707FE8"/>
    <w:rsid w:val="00724962"/>
    <w:rsid w:val="00724A0F"/>
    <w:rsid w:val="0073072C"/>
    <w:rsid w:val="007320B4"/>
    <w:rsid w:val="00732162"/>
    <w:rsid w:val="00736732"/>
    <w:rsid w:val="007443EC"/>
    <w:rsid w:val="00750CBE"/>
    <w:rsid w:val="00751E1D"/>
    <w:rsid w:val="00764313"/>
    <w:rsid w:val="007663C3"/>
    <w:rsid w:val="00766B5A"/>
    <w:rsid w:val="0078330C"/>
    <w:rsid w:val="007834F2"/>
    <w:rsid w:val="00791020"/>
    <w:rsid w:val="007A5F82"/>
    <w:rsid w:val="007B3B66"/>
    <w:rsid w:val="007B75A4"/>
    <w:rsid w:val="007E2173"/>
    <w:rsid w:val="007E4561"/>
    <w:rsid w:val="007F1A4C"/>
    <w:rsid w:val="007F2909"/>
    <w:rsid w:val="007F2CFD"/>
    <w:rsid w:val="008022C3"/>
    <w:rsid w:val="008041E6"/>
    <w:rsid w:val="008065D2"/>
    <w:rsid w:val="0082194C"/>
    <w:rsid w:val="008220C4"/>
    <w:rsid w:val="008222FF"/>
    <w:rsid w:val="008241FF"/>
    <w:rsid w:val="008411E9"/>
    <w:rsid w:val="0084200F"/>
    <w:rsid w:val="00843B2C"/>
    <w:rsid w:val="008471C4"/>
    <w:rsid w:val="00856DF8"/>
    <w:rsid w:val="00865155"/>
    <w:rsid w:val="00873A24"/>
    <w:rsid w:val="008A4900"/>
    <w:rsid w:val="008C2127"/>
    <w:rsid w:val="008D0281"/>
    <w:rsid w:val="008E3C4E"/>
    <w:rsid w:val="008F6D45"/>
    <w:rsid w:val="00945690"/>
    <w:rsid w:val="00946A06"/>
    <w:rsid w:val="009579FD"/>
    <w:rsid w:val="00972910"/>
    <w:rsid w:val="009834C0"/>
    <w:rsid w:val="00984C95"/>
    <w:rsid w:val="00986AAC"/>
    <w:rsid w:val="009A1DA2"/>
    <w:rsid w:val="009A3704"/>
    <w:rsid w:val="009A4739"/>
    <w:rsid w:val="009A674F"/>
    <w:rsid w:val="009B199C"/>
    <w:rsid w:val="009B3E50"/>
    <w:rsid w:val="009B54C8"/>
    <w:rsid w:val="009B61F1"/>
    <w:rsid w:val="009B62E0"/>
    <w:rsid w:val="009C3D88"/>
    <w:rsid w:val="009D5F2C"/>
    <w:rsid w:val="009E3858"/>
    <w:rsid w:val="009E55B6"/>
    <w:rsid w:val="009E70DD"/>
    <w:rsid w:val="009E79E4"/>
    <w:rsid w:val="009F2ED9"/>
    <w:rsid w:val="009F3231"/>
    <w:rsid w:val="009F5C58"/>
    <w:rsid w:val="009F6DE4"/>
    <w:rsid w:val="00A023A0"/>
    <w:rsid w:val="00A113DA"/>
    <w:rsid w:val="00A1562B"/>
    <w:rsid w:val="00A170F4"/>
    <w:rsid w:val="00A2559E"/>
    <w:rsid w:val="00A25FD9"/>
    <w:rsid w:val="00A327CF"/>
    <w:rsid w:val="00A46BA8"/>
    <w:rsid w:val="00A47634"/>
    <w:rsid w:val="00A51B0D"/>
    <w:rsid w:val="00A612FE"/>
    <w:rsid w:val="00A86232"/>
    <w:rsid w:val="00AA26B8"/>
    <w:rsid w:val="00AA6FB5"/>
    <w:rsid w:val="00AB3FE2"/>
    <w:rsid w:val="00AC5121"/>
    <w:rsid w:val="00AD3322"/>
    <w:rsid w:val="00AD4A7F"/>
    <w:rsid w:val="00AD7E4E"/>
    <w:rsid w:val="00AF34DE"/>
    <w:rsid w:val="00AF4D58"/>
    <w:rsid w:val="00AF6666"/>
    <w:rsid w:val="00B10154"/>
    <w:rsid w:val="00B157DC"/>
    <w:rsid w:val="00B4289E"/>
    <w:rsid w:val="00B53C4D"/>
    <w:rsid w:val="00B55A74"/>
    <w:rsid w:val="00B60CC9"/>
    <w:rsid w:val="00B636EB"/>
    <w:rsid w:val="00B76AE9"/>
    <w:rsid w:val="00B81B44"/>
    <w:rsid w:val="00B9053B"/>
    <w:rsid w:val="00BA18CE"/>
    <w:rsid w:val="00BA4D5E"/>
    <w:rsid w:val="00BB2325"/>
    <w:rsid w:val="00BC185D"/>
    <w:rsid w:val="00BC3422"/>
    <w:rsid w:val="00BC36E8"/>
    <w:rsid w:val="00BE0B17"/>
    <w:rsid w:val="00C015B9"/>
    <w:rsid w:val="00C022F9"/>
    <w:rsid w:val="00C032EA"/>
    <w:rsid w:val="00C06EB5"/>
    <w:rsid w:val="00C1145F"/>
    <w:rsid w:val="00C156A8"/>
    <w:rsid w:val="00C2417D"/>
    <w:rsid w:val="00C637E1"/>
    <w:rsid w:val="00C70D50"/>
    <w:rsid w:val="00C8243E"/>
    <w:rsid w:val="00C907D7"/>
    <w:rsid w:val="00C92338"/>
    <w:rsid w:val="00CA7C3A"/>
    <w:rsid w:val="00CA7E74"/>
    <w:rsid w:val="00CB6CEC"/>
    <w:rsid w:val="00CC2DB2"/>
    <w:rsid w:val="00CD0307"/>
    <w:rsid w:val="00CD2B73"/>
    <w:rsid w:val="00CD3D1B"/>
    <w:rsid w:val="00CE5B2C"/>
    <w:rsid w:val="00CE62B3"/>
    <w:rsid w:val="00CF7DCA"/>
    <w:rsid w:val="00D01F4C"/>
    <w:rsid w:val="00D211E9"/>
    <w:rsid w:val="00D2312F"/>
    <w:rsid w:val="00D269C1"/>
    <w:rsid w:val="00D33D67"/>
    <w:rsid w:val="00D44953"/>
    <w:rsid w:val="00D44A71"/>
    <w:rsid w:val="00D542F3"/>
    <w:rsid w:val="00D543E5"/>
    <w:rsid w:val="00D5644B"/>
    <w:rsid w:val="00D56E25"/>
    <w:rsid w:val="00D71896"/>
    <w:rsid w:val="00D718D7"/>
    <w:rsid w:val="00D73212"/>
    <w:rsid w:val="00D814B7"/>
    <w:rsid w:val="00D90688"/>
    <w:rsid w:val="00DA3AAD"/>
    <w:rsid w:val="00DB312B"/>
    <w:rsid w:val="00DC5654"/>
    <w:rsid w:val="00DC658F"/>
    <w:rsid w:val="00DE21F4"/>
    <w:rsid w:val="00DE60CC"/>
    <w:rsid w:val="00E06BA7"/>
    <w:rsid w:val="00E26B32"/>
    <w:rsid w:val="00E31444"/>
    <w:rsid w:val="00E340D1"/>
    <w:rsid w:val="00E407B6"/>
    <w:rsid w:val="00E40A6A"/>
    <w:rsid w:val="00E41EF1"/>
    <w:rsid w:val="00E42942"/>
    <w:rsid w:val="00E42C90"/>
    <w:rsid w:val="00E43874"/>
    <w:rsid w:val="00E44172"/>
    <w:rsid w:val="00E468A6"/>
    <w:rsid w:val="00E52A21"/>
    <w:rsid w:val="00E54915"/>
    <w:rsid w:val="00E574A5"/>
    <w:rsid w:val="00E71BDF"/>
    <w:rsid w:val="00E83CA7"/>
    <w:rsid w:val="00E8746A"/>
    <w:rsid w:val="00EB3F69"/>
    <w:rsid w:val="00EB46D3"/>
    <w:rsid w:val="00EB66E8"/>
    <w:rsid w:val="00EC171D"/>
    <w:rsid w:val="00EC6B9B"/>
    <w:rsid w:val="00ED487E"/>
    <w:rsid w:val="00EE7A0D"/>
    <w:rsid w:val="00EF0D21"/>
    <w:rsid w:val="00EF55B6"/>
    <w:rsid w:val="00F04ACA"/>
    <w:rsid w:val="00F17CE1"/>
    <w:rsid w:val="00F2115C"/>
    <w:rsid w:val="00F22ABA"/>
    <w:rsid w:val="00F25975"/>
    <w:rsid w:val="00F36B12"/>
    <w:rsid w:val="00F417C3"/>
    <w:rsid w:val="00F47BD4"/>
    <w:rsid w:val="00F60F9F"/>
    <w:rsid w:val="00F64F08"/>
    <w:rsid w:val="00F734F5"/>
    <w:rsid w:val="00F966B1"/>
    <w:rsid w:val="00F97D48"/>
    <w:rsid w:val="00FA0311"/>
    <w:rsid w:val="00FB50E4"/>
    <w:rsid w:val="00FC42E5"/>
    <w:rsid w:val="00FD640F"/>
    <w:rsid w:val="00FD6B4C"/>
    <w:rsid w:val="00FD6BE9"/>
    <w:rsid w:val="00FF08EC"/>
    <w:rsid w:val="00FF3DFC"/>
    <w:rsid w:val="00FF4E9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9CE416"/>
  <w15:docId w15:val="{1DBD208E-E439-473D-BE03-701ABE7FBD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AU" w:eastAsia="en-A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unhideWhenUsed="1"/>
    <w:lsdException w:name="index 2"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4" w:unhideWhenUsed="1" w:qFormat="1"/>
    <w:lsdException w:name="footnote text" w:semiHidden="1" w:unhideWhenUsed="1"/>
    <w:lsdException w:name="annotation text" w:semiHidden="1" w:unhideWhenUsed="1"/>
    <w:lsdException w:name="header" w:unhideWhenUsed="1"/>
    <w:lsdException w:name="footer" w:uiPriority="24" w:unhideWhenUsed="1"/>
    <w:lsdException w:name="index heading" w:unhideWhenUsed="1"/>
    <w:lsdException w:name="caption"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49"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lsdException w:name="List Number" w:semiHidden="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iPriority="49"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qFormat="1"/>
    <w:lsdException w:name="Book Title" w:semiHidden="1" w:uiPriority="33" w:qFormat="1"/>
    <w:lsdException w:name="Bibliography" w:semiHidden="1" w:uiPriority="37"/>
    <w:lsdException w:name="TOC Heading" w:uiPriority="39"/>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5519A"/>
    <w:pPr>
      <w:spacing w:before="160" w:after="100"/>
    </w:pPr>
    <w:rPr>
      <w:spacing w:val="2"/>
    </w:rPr>
  </w:style>
  <w:style w:type="paragraph" w:styleId="Heading1">
    <w:name w:val="heading 1"/>
    <w:next w:val="Normal"/>
    <w:link w:val="Heading1Char"/>
    <w:qFormat/>
    <w:rsid w:val="00E40A6A"/>
    <w:pPr>
      <w:keepNext/>
      <w:keepLines/>
      <w:spacing w:before="120" w:after="60" w:line="264" w:lineRule="auto"/>
      <w:outlineLvl w:val="0"/>
    </w:pPr>
    <w:rPr>
      <w:rFonts w:asciiTheme="majorHAnsi" w:eastAsiaTheme="majorEastAsia" w:hAnsiTheme="majorHAnsi" w:cstheme="majorBidi"/>
      <w:bCs/>
      <w:color w:val="FFFFFF" w:themeColor="background1"/>
      <w:spacing w:val="-1"/>
      <w:sz w:val="22"/>
      <w:szCs w:val="22"/>
      <w:lang w:eastAsia="en-US"/>
    </w:rPr>
  </w:style>
  <w:style w:type="paragraph" w:styleId="Heading2">
    <w:name w:val="heading 2"/>
    <w:basedOn w:val="Normal"/>
    <w:next w:val="Normal"/>
    <w:link w:val="Heading2Char"/>
    <w:qFormat/>
    <w:rsid w:val="00EC171D"/>
    <w:pPr>
      <w:keepNext/>
      <w:keepLines/>
      <w:spacing w:before="280" w:after="240"/>
      <w:outlineLvl w:val="1"/>
    </w:pPr>
    <w:rPr>
      <w:rFonts w:asciiTheme="majorHAnsi" w:eastAsiaTheme="majorEastAsia" w:hAnsiTheme="majorHAnsi" w:cstheme="majorBidi"/>
      <w:b/>
      <w:bCs/>
      <w:color w:val="0063A6" w:themeColor="accent1"/>
      <w:sz w:val="28"/>
      <w:szCs w:val="26"/>
    </w:rPr>
  </w:style>
  <w:style w:type="paragraph" w:styleId="Heading3">
    <w:name w:val="heading 3"/>
    <w:basedOn w:val="Normal"/>
    <w:next w:val="Normal"/>
    <w:link w:val="Heading3Char"/>
    <w:qFormat/>
    <w:rsid w:val="00EC171D"/>
    <w:pPr>
      <w:keepNext/>
      <w:keepLines/>
      <w:spacing w:before="240" w:after="120"/>
      <w:outlineLvl w:val="2"/>
    </w:pPr>
    <w:rPr>
      <w:rFonts w:asciiTheme="majorHAnsi" w:eastAsiaTheme="majorEastAsia" w:hAnsiTheme="majorHAnsi" w:cstheme="majorBidi"/>
      <w:b/>
      <w:bCs/>
      <w:color w:val="0063A6" w:themeColor="accent1"/>
      <w:sz w:val="22"/>
      <w:szCs w:val="22"/>
    </w:rPr>
  </w:style>
  <w:style w:type="paragraph" w:styleId="Heading4">
    <w:name w:val="heading 4"/>
    <w:basedOn w:val="Normal"/>
    <w:next w:val="Normal"/>
    <w:link w:val="Heading4Char"/>
    <w:qFormat/>
    <w:rsid w:val="00EC171D"/>
    <w:pPr>
      <w:keepNext/>
      <w:keepLines/>
      <w:spacing w:before="200" w:after="0"/>
      <w:outlineLvl w:val="3"/>
    </w:pPr>
    <w:rPr>
      <w:rFonts w:asciiTheme="majorHAnsi" w:eastAsiaTheme="majorEastAsia" w:hAnsiTheme="majorHAnsi" w:cstheme="majorBidi"/>
      <w:b/>
      <w:bCs/>
      <w:iCs/>
      <w:color w:val="53565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LightShading">
    <w:name w:val="Light Shading"/>
    <w:basedOn w:val="TableNormal"/>
    <w:uiPriority w:val="60"/>
    <w:rsid w:val="00EC171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ableGrid">
    <w:name w:val="Table Grid"/>
    <w:basedOn w:val="TableNormal"/>
    <w:uiPriority w:val="59"/>
    <w:rsid w:val="0057713F"/>
    <w:pPr>
      <w:spacing w:before="20" w:after="20" w:line="240" w:lineRule="auto"/>
      <w:jc w:val="right"/>
    </w:pPr>
    <w:rPr>
      <w:rFonts w:eastAsiaTheme="minorHAnsi"/>
      <w:spacing w:val="2"/>
      <w:sz w:val="17"/>
      <w:szCs w:val="21"/>
      <w:lang w:eastAsia="en-US"/>
    </w:rPr>
    <w:tblPr>
      <w:tblStyleRowBandSize w:val="1"/>
      <w:tblStyleColBandSize w:val="1"/>
      <w:tblBorders>
        <w:bottom w:val="single" w:sz="12" w:space="0" w:color="0063A6" w:themeColor="accent1"/>
      </w:tblBorders>
      <w:tblCellMar>
        <w:left w:w="57" w:type="dxa"/>
        <w:right w:w="57" w:type="dxa"/>
      </w:tblCellMar>
    </w:tblPr>
    <w:trPr>
      <w:cantSplit/>
    </w:trPr>
    <w:tblStylePr w:type="firstRow">
      <w:pPr>
        <w:keepNext/>
        <w:keepLines/>
        <w:widowControl/>
        <w:wordWrap/>
        <w:spacing w:beforeLines="0" w:before="120" w:beforeAutospacing="0" w:afterLines="0" w:after="30" w:afterAutospacing="0"/>
        <w:jc w:val="left"/>
      </w:pPr>
      <w:rPr>
        <w:i w:val="0"/>
        <w:color w:val="FFFFFF" w:themeColor="background1"/>
      </w:rPr>
      <w:tblPr/>
      <w:tcPr>
        <w:shd w:val="clear" w:color="auto" w:fill="0063A6" w:themeFill="accent1"/>
        <w:vAlign w:val="bottom"/>
      </w:tcPr>
    </w:tblStylePr>
    <w:tblStylePr w:type="lastRow">
      <w:rPr>
        <w:b/>
      </w:rPr>
      <w:tblPr/>
      <w:tcPr>
        <w:tcBorders>
          <w:top w:val="single" w:sz="6" w:space="0" w:color="0063A6" w:themeColor="accent1"/>
          <w:left w:val="nil"/>
          <w:bottom w:val="single" w:sz="12" w:space="0" w:color="0063A6" w:themeColor="accent1"/>
          <w:right w:val="nil"/>
          <w:insideV w:val="nil"/>
        </w:tcBorders>
      </w:tcPr>
    </w:tblStylePr>
    <w:tblStylePr w:type="firstCol">
      <w:pPr>
        <w:jc w:val="left"/>
      </w:pPr>
      <w:tblPr/>
      <w:tcPr>
        <w:shd w:val="clear" w:color="auto" w:fill="E3EBF4" w:themeFill="accent3" w:themeFillTint="33"/>
      </w:tcPr>
    </w:tblStylePr>
    <w:tblStylePr w:type="band1Vert">
      <w:pPr>
        <w:jc w:val="right"/>
      </w:pPr>
    </w:tblStylePr>
    <w:tblStylePr w:type="band2Vert">
      <w:pPr>
        <w:jc w:val="right"/>
      </w:pPr>
    </w:tblStylePr>
    <w:tblStylePr w:type="band2Horz">
      <w:tblPr/>
      <w:tcPr>
        <w:shd w:val="clear" w:color="auto" w:fill="E3EBF4" w:themeFill="accent3" w:themeFillTint="33"/>
      </w:tcPr>
    </w:tblStylePr>
  </w:style>
  <w:style w:type="table" w:styleId="LightList-Accent4">
    <w:name w:val="Light List Accent 4"/>
    <w:basedOn w:val="TableNormal"/>
    <w:uiPriority w:val="61"/>
    <w:rsid w:val="00EC171D"/>
    <w:pPr>
      <w:spacing w:after="0" w:line="240" w:lineRule="auto"/>
    </w:pPr>
    <w:tblPr>
      <w:tblStyleRowBandSize w:val="1"/>
      <w:tblStyleColBandSize w:val="1"/>
      <w:tblBorders>
        <w:top w:val="single" w:sz="8" w:space="0" w:color="0072CE" w:themeColor="accent4"/>
        <w:left w:val="single" w:sz="8" w:space="0" w:color="0072CE" w:themeColor="accent4"/>
        <w:bottom w:val="single" w:sz="8" w:space="0" w:color="0072CE" w:themeColor="accent4"/>
        <w:right w:val="single" w:sz="8" w:space="0" w:color="0072CE" w:themeColor="accent4"/>
      </w:tblBorders>
    </w:tblPr>
    <w:tblStylePr w:type="firstRow">
      <w:pPr>
        <w:spacing w:before="0" w:after="0" w:line="240" w:lineRule="auto"/>
      </w:pPr>
      <w:rPr>
        <w:b/>
        <w:bCs/>
        <w:color w:val="FFFFFF" w:themeColor="background1"/>
      </w:rPr>
      <w:tblPr/>
      <w:tcPr>
        <w:shd w:val="clear" w:color="auto" w:fill="0072CE" w:themeFill="accent4"/>
      </w:tcPr>
    </w:tblStylePr>
    <w:tblStylePr w:type="lastRow">
      <w:pPr>
        <w:spacing w:before="0" w:after="0" w:line="240" w:lineRule="auto"/>
      </w:pPr>
      <w:rPr>
        <w:b/>
        <w:bCs/>
      </w:rPr>
      <w:tblPr/>
      <w:tcPr>
        <w:tcBorders>
          <w:top w:val="double" w:sz="6" w:space="0" w:color="0072CE" w:themeColor="accent4"/>
          <w:left w:val="single" w:sz="8" w:space="0" w:color="0072CE" w:themeColor="accent4"/>
          <w:bottom w:val="single" w:sz="8" w:space="0" w:color="0072CE" w:themeColor="accent4"/>
          <w:right w:val="single" w:sz="8" w:space="0" w:color="0072CE" w:themeColor="accent4"/>
        </w:tcBorders>
      </w:tcPr>
    </w:tblStylePr>
    <w:tblStylePr w:type="firstCol">
      <w:rPr>
        <w:b/>
        <w:bCs/>
      </w:rPr>
    </w:tblStylePr>
    <w:tblStylePr w:type="lastCol">
      <w:rPr>
        <w:b/>
        <w:bCs/>
      </w:rPr>
    </w:tblStylePr>
    <w:tblStylePr w:type="band1Vert">
      <w:tblPr/>
      <w:tcPr>
        <w:tcBorders>
          <w:top w:val="single" w:sz="8" w:space="0" w:color="0072CE" w:themeColor="accent4"/>
          <w:left w:val="single" w:sz="8" w:space="0" w:color="0072CE" w:themeColor="accent4"/>
          <w:bottom w:val="single" w:sz="8" w:space="0" w:color="0072CE" w:themeColor="accent4"/>
          <w:right w:val="single" w:sz="8" w:space="0" w:color="0072CE" w:themeColor="accent4"/>
        </w:tcBorders>
      </w:tcPr>
    </w:tblStylePr>
    <w:tblStylePr w:type="band1Horz">
      <w:tblPr/>
      <w:tcPr>
        <w:tcBorders>
          <w:top w:val="single" w:sz="8" w:space="0" w:color="0072CE" w:themeColor="accent4"/>
          <w:left w:val="single" w:sz="8" w:space="0" w:color="0072CE" w:themeColor="accent4"/>
          <w:bottom w:val="single" w:sz="8" w:space="0" w:color="0072CE" w:themeColor="accent4"/>
          <w:right w:val="single" w:sz="8" w:space="0" w:color="0072CE" w:themeColor="accent4"/>
        </w:tcBorders>
      </w:tcPr>
    </w:tblStylePr>
  </w:style>
  <w:style w:type="table" w:styleId="LightList-Accent1">
    <w:name w:val="Light List Accent 1"/>
    <w:basedOn w:val="TableNormal"/>
    <w:uiPriority w:val="61"/>
    <w:rsid w:val="00EC171D"/>
    <w:pPr>
      <w:spacing w:after="0" w:line="240" w:lineRule="auto"/>
    </w:pPr>
    <w:tblPr>
      <w:tblStyleRowBandSize w:val="1"/>
      <w:tblStyleColBandSize w:val="1"/>
      <w:tblBorders>
        <w:top w:val="single" w:sz="8" w:space="0" w:color="0063A6" w:themeColor="accent1"/>
        <w:left w:val="single" w:sz="8" w:space="0" w:color="0063A6" w:themeColor="accent1"/>
        <w:bottom w:val="single" w:sz="8" w:space="0" w:color="0063A6" w:themeColor="accent1"/>
        <w:right w:val="single" w:sz="8" w:space="0" w:color="0063A6" w:themeColor="accent1"/>
      </w:tblBorders>
    </w:tblPr>
    <w:tblStylePr w:type="firstRow">
      <w:pPr>
        <w:spacing w:before="0" w:after="0" w:line="240" w:lineRule="auto"/>
      </w:pPr>
      <w:rPr>
        <w:b/>
        <w:bCs/>
        <w:color w:val="FFFFFF" w:themeColor="background1"/>
      </w:rPr>
      <w:tblPr/>
      <w:tcPr>
        <w:shd w:val="clear" w:color="auto" w:fill="0063A6" w:themeFill="accent1"/>
      </w:tcPr>
    </w:tblStylePr>
    <w:tblStylePr w:type="lastRow">
      <w:pPr>
        <w:spacing w:before="0" w:after="0" w:line="240" w:lineRule="auto"/>
      </w:pPr>
      <w:rPr>
        <w:b/>
        <w:bCs/>
      </w:rPr>
      <w:tblPr/>
      <w:tcPr>
        <w:tcBorders>
          <w:top w:val="double" w:sz="6" w:space="0" w:color="0063A6" w:themeColor="accent1"/>
          <w:left w:val="single" w:sz="8" w:space="0" w:color="0063A6" w:themeColor="accent1"/>
          <w:bottom w:val="single" w:sz="8" w:space="0" w:color="0063A6" w:themeColor="accent1"/>
          <w:right w:val="single" w:sz="8" w:space="0" w:color="0063A6" w:themeColor="accent1"/>
        </w:tcBorders>
      </w:tcPr>
    </w:tblStylePr>
    <w:tblStylePr w:type="firstCol">
      <w:rPr>
        <w:b/>
        <w:bCs/>
      </w:rPr>
    </w:tblStylePr>
    <w:tblStylePr w:type="lastCol">
      <w:rPr>
        <w:b/>
        <w:bCs/>
      </w:rPr>
    </w:tblStylePr>
    <w:tblStylePr w:type="band1Vert">
      <w:tblPr/>
      <w:tcPr>
        <w:tcBorders>
          <w:top w:val="single" w:sz="8" w:space="0" w:color="0063A6" w:themeColor="accent1"/>
          <w:left w:val="single" w:sz="8" w:space="0" w:color="0063A6" w:themeColor="accent1"/>
          <w:bottom w:val="single" w:sz="8" w:space="0" w:color="0063A6" w:themeColor="accent1"/>
          <w:right w:val="single" w:sz="8" w:space="0" w:color="0063A6" w:themeColor="accent1"/>
        </w:tcBorders>
      </w:tcPr>
    </w:tblStylePr>
    <w:tblStylePr w:type="band1Horz">
      <w:tblPr/>
      <w:tcPr>
        <w:tcBorders>
          <w:top w:val="single" w:sz="8" w:space="0" w:color="0063A6" w:themeColor="accent1"/>
          <w:left w:val="single" w:sz="8" w:space="0" w:color="0063A6" w:themeColor="accent1"/>
          <w:bottom w:val="single" w:sz="8" w:space="0" w:color="0063A6" w:themeColor="accent1"/>
          <w:right w:val="single" w:sz="8" w:space="0" w:color="0063A6" w:themeColor="accent1"/>
        </w:tcBorders>
      </w:tcPr>
    </w:tblStylePr>
  </w:style>
  <w:style w:type="paragraph" w:styleId="TOC1">
    <w:name w:val="toc 1"/>
    <w:basedOn w:val="Normal"/>
    <w:next w:val="Normal"/>
    <w:uiPriority w:val="39"/>
    <w:rsid w:val="00223870"/>
    <w:pPr>
      <w:tabs>
        <w:tab w:val="right" w:leader="dot" w:pos="9000"/>
      </w:tabs>
      <w:ind w:right="432"/>
    </w:pPr>
    <w:rPr>
      <w:noProof/>
      <w:sz w:val="22"/>
      <w:szCs w:val="22"/>
    </w:rPr>
  </w:style>
  <w:style w:type="paragraph" w:styleId="TOC2">
    <w:name w:val="toc 2"/>
    <w:next w:val="Normal"/>
    <w:uiPriority w:val="39"/>
    <w:rsid w:val="00EC171D"/>
    <w:pPr>
      <w:tabs>
        <w:tab w:val="right" w:leader="dot" w:pos="9000"/>
      </w:tabs>
      <w:spacing w:after="100"/>
      <w:ind w:left="446" w:right="432"/>
      <w:contextualSpacing/>
    </w:pPr>
    <w:rPr>
      <w:noProof/>
      <w:spacing w:val="2"/>
    </w:rPr>
  </w:style>
  <w:style w:type="paragraph" w:styleId="TOC3">
    <w:name w:val="toc 3"/>
    <w:basedOn w:val="Normal"/>
    <w:next w:val="Normal"/>
    <w:uiPriority w:val="39"/>
    <w:rsid w:val="00EC171D"/>
    <w:pPr>
      <w:tabs>
        <w:tab w:val="right" w:leader="dot" w:pos="9000"/>
      </w:tabs>
      <w:spacing w:before="0"/>
      <w:ind w:left="1080" w:right="432"/>
      <w:contextualSpacing/>
    </w:pPr>
    <w:rPr>
      <w:noProof/>
      <w:sz w:val="18"/>
      <w:szCs w:val="18"/>
    </w:rPr>
  </w:style>
  <w:style w:type="paragraph" w:styleId="Index1">
    <w:name w:val="index 1"/>
    <w:basedOn w:val="Normal"/>
    <w:next w:val="Normal"/>
    <w:uiPriority w:val="99"/>
    <w:semiHidden/>
    <w:rsid w:val="00EC171D"/>
    <w:pPr>
      <w:spacing w:after="60" w:line="240" w:lineRule="auto"/>
    </w:pPr>
    <w:rPr>
      <w:sz w:val="16"/>
    </w:rPr>
  </w:style>
  <w:style w:type="paragraph" w:styleId="Index2">
    <w:name w:val="index 2"/>
    <w:basedOn w:val="Normal"/>
    <w:next w:val="Normal"/>
    <w:uiPriority w:val="99"/>
    <w:semiHidden/>
    <w:rsid w:val="00EC171D"/>
    <w:pPr>
      <w:spacing w:after="0" w:line="240" w:lineRule="auto"/>
      <w:ind w:left="216"/>
    </w:pPr>
    <w:rPr>
      <w:sz w:val="16"/>
      <w:szCs w:val="16"/>
    </w:rPr>
  </w:style>
  <w:style w:type="character" w:styleId="Hyperlink">
    <w:name w:val="Hyperlink"/>
    <w:basedOn w:val="DefaultParagraphFont"/>
    <w:uiPriority w:val="99"/>
    <w:rsid w:val="00EC171D"/>
    <w:rPr>
      <w:color w:val="53565A" w:themeColor="hyperlink"/>
      <w:u w:val="none"/>
    </w:rPr>
  </w:style>
  <w:style w:type="character" w:customStyle="1" w:styleId="Heading1Char">
    <w:name w:val="Heading 1 Char"/>
    <w:basedOn w:val="DefaultParagraphFont"/>
    <w:link w:val="Heading1"/>
    <w:rsid w:val="00E40A6A"/>
    <w:rPr>
      <w:rFonts w:asciiTheme="majorHAnsi" w:eastAsiaTheme="majorEastAsia" w:hAnsiTheme="majorHAnsi" w:cstheme="majorBidi"/>
      <w:bCs/>
      <w:color w:val="FFFFFF" w:themeColor="background1"/>
      <w:spacing w:val="-1"/>
      <w:sz w:val="22"/>
      <w:szCs w:val="22"/>
      <w:lang w:eastAsia="en-US"/>
    </w:rPr>
  </w:style>
  <w:style w:type="character" w:customStyle="1" w:styleId="Heading2Char">
    <w:name w:val="Heading 2 Char"/>
    <w:basedOn w:val="DefaultParagraphFont"/>
    <w:link w:val="Heading2"/>
    <w:rsid w:val="00EC171D"/>
    <w:rPr>
      <w:rFonts w:asciiTheme="majorHAnsi" w:eastAsiaTheme="majorEastAsia" w:hAnsiTheme="majorHAnsi" w:cstheme="majorBidi"/>
      <w:b/>
      <w:bCs/>
      <w:color w:val="0063A6" w:themeColor="accent1"/>
      <w:spacing w:val="2"/>
      <w:sz w:val="28"/>
      <w:szCs w:val="26"/>
    </w:rPr>
  </w:style>
  <w:style w:type="paragraph" w:customStyle="1" w:styleId="Bullet1">
    <w:name w:val="Bullet 1"/>
    <w:uiPriority w:val="1"/>
    <w:qFormat/>
    <w:rsid w:val="00EC171D"/>
    <w:pPr>
      <w:numPr>
        <w:numId w:val="1"/>
      </w:numPr>
      <w:spacing w:before="100" w:after="100" w:line="240" w:lineRule="auto"/>
      <w:contextualSpacing/>
    </w:pPr>
    <w:rPr>
      <w:rFonts w:eastAsia="Times New Roman" w:cs="Calibri"/>
      <w:spacing w:val="2"/>
    </w:rPr>
  </w:style>
  <w:style w:type="paragraph" w:customStyle="1" w:styleId="Bullet2">
    <w:name w:val="Bullet 2"/>
    <w:basedOn w:val="Bullet1"/>
    <w:uiPriority w:val="1"/>
    <w:qFormat/>
    <w:rsid w:val="00EC171D"/>
    <w:pPr>
      <w:numPr>
        <w:ilvl w:val="1"/>
      </w:numPr>
    </w:pPr>
  </w:style>
  <w:style w:type="paragraph" w:customStyle="1" w:styleId="Bulletindent">
    <w:name w:val="Bullet indent"/>
    <w:basedOn w:val="Bullet2"/>
    <w:uiPriority w:val="9"/>
    <w:qFormat/>
    <w:rsid w:val="00EC171D"/>
    <w:pPr>
      <w:numPr>
        <w:ilvl w:val="2"/>
      </w:numPr>
    </w:pPr>
  </w:style>
  <w:style w:type="paragraph" w:customStyle="1" w:styleId="Heading1numbered">
    <w:name w:val="Heading 1 numbered"/>
    <w:basedOn w:val="Heading1"/>
    <w:next w:val="NormalIndent"/>
    <w:uiPriority w:val="8"/>
    <w:qFormat/>
    <w:rsid w:val="00EC171D"/>
    <w:pPr>
      <w:numPr>
        <w:ilvl w:val="2"/>
        <w:numId w:val="25"/>
      </w:numPr>
    </w:pPr>
  </w:style>
  <w:style w:type="paragraph" w:customStyle="1" w:styleId="Heading2numbered">
    <w:name w:val="Heading 2 numbered"/>
    <w:basedOn w:val="Heading2"/>
    <w:next w:val="NormalIndent"/>
    <w:uiPriority w:val="8"/>
    <w:qFormat/>
    <w:rsid w:val="00EC171D"/>
    <w:pPr>
      <w:numPr>
        <w:ilvl w:val="3"/>
        <w:numId w:val="25"/>
      </w:numPr>
    </w:pPr>
  </w:style>
  <w:style w:type="paragraph" w:customStyle="1" w:styleId="Heading3numbered">
    <w:name w:val="Heading 3 numbered"/>
    <w:basedOn w:val="Heading3"/>
    <w:next w:val="NormalIndent"/>
    <w:uiPriority w:val="8"/>
    <w:qFormat/>
    <w:rsid w:val="00EC171D"/>
    <w:pPr>
      <w:numPr>
        <w:ilvl w:val="4"/>
        <w:numId w:val="25"/>
      </w:numPr>
    </w:pPr>
  </w:style>
  <w:style w:type="character" w:customStyle="1" w:styleId="Heading3Char">
    <w:name w:val="Heading 3 Char"/>
    <w:basedOn w:val="DefaultParagraphFont"/>
    <w:link w:val="Heading3"/>
    <w:rsid w:val="00EC171D"/>
    <w:rPr>
      <w:rFonts w:asciiTheme="majorHAnsi" w:eastAsiaTheme="majorEastAsia" w:hAnsiTheme="majorHAnsi" w:cstheme="majorBidi"/>
      <w:b/>
      <w:bCs/>
      <w:color w:val="0063A6" w:themeColor="accent1"/>
      <w:spacing w:val="2"/>
      <w:sz w:val="22"/>
      <w:szCs w:val="22"/>
    </w:rPr>
  </w:style>
  <w:style w:type="paragraph" w:customStyle="1" w:styleId="Heading4numbered">
    <w:name w:val="Heading 4 numbered"/>
    <w:basedOn w:val="Heading4"/>
    <w:next w:val="NormalIndent"/>
    <w:uiPriority w:val="8"/>
    <w:qFormat/>
    <w:rsid w:val="00EC171D"/>
    <w:pPr>
      <w:numPr>
        <w:ilvl w:val="5"/>
        <w:numId w:val="25"/>
      </w:numPr>
    </w:pPr>
  </w:style>
  <w:style w:type="character" w:customStyle="1" w:styleId="Heading4Char">
    <w:name w:val="Heading 4 Char"/>
    <w:basedOn w:val="DefaultParagraphFont"/>
    <w:link w:val="Heading4"/>
    <w:rsid w:val="00EC171D"/>
    <w:rPr>
      <w:rFonts w:asciiTheme="majorHAnsi" w:eastAsiaTheme="majorEastAsia" w:hAnsiTheme="majorHAnsi" w:cstheme="majorBidi"/>
      <w:b/>
      <w:bCs/>
      <w:iCs/>
      <w:color w:val="53565A"/>
      <w:spacing w:val="2"/>
    </w:rPr>
  </w:style>
  <w:style w:type="paragraph" w:styleId="NormalIndent">
    <w:name w:val="Normal Indent"/>
    <w:basedOn w:val="Normal"/>
    <w:uiPriority w:val="8"/>
    <w:qFormat/>
    <w:rsid w:val="00EC171D"/>
    <w:pPr>
      <w:spacing w:line="252" w:lineRule="auto"/>
      <w:ind w:left="792"/>
    </w:pPr>
  </w:style>
  <w:style w:type="paragraph" w:customStyle="1" w:styleId="NoteNormal">
    <w:name w:val="Note Normal"/>
    <w:basedOn w:val="Normal"/>
    <w:rsid w:val="00EC171D"/>
    <w:pPr>
      <w:keepNext/>
      <w:keepLines/>
      <w:spacing w:before="80" w:line="240" w:lineRule="auto"/>
    </w:pPr>
    <w:rPr>
      <w:rFonts w:eastAsia="Times New Roman" w:cstheme="minorHAnsi"/>
      <w:color w:val="000000"/>
      <w:spacing w:val="1"/>
      <w:sz w:val="16"/>
      <w:szCs w:val="16"/>
      <w:lang w:eastAsia="en-US"/>
    </w:rPr>
  </w:style>
  <w:style w:type="paragraph" w:customStyle="1" w:styleId="Spacer">
    <w:name w:val="Spacer"/>
    <w:basedOn w:val="Normal"/>
    <w:uiPriority w:val="13"/>
    <w:semiHidden/>
    <w:qFormat/>
    <w:rsid w:val="00EC171D"/>
    <w:pPr>
      <w:spacing w:before="0" w:after="0" w:line="120" w:lineRule="atLeast"/>
    </w:pPr>
    <w:rPr>
      <w:rFonts w:eastAsia="Times New Roman" w:cs="Calibri"/>
      <w:spacing w:val="0"/>
      <w:sz w:val="10"/>
      <w:szCs w:val="22"/>
    </w:rPr>
  </w:style>
  <w:style w:type="paragraph" w:styleId="Subtitle">
    <w:name w:val="Subtitle"/>
    <w:basedOn w:val="Title"/>
    <w:link w:val="SubtitleChar"/>
    <w:uiPriority w:val="98"/>
    <w:rsid w:val="00FF08EC"/>
    <w:pPr>
      <w:spacing w:before="180"/>
    </w:pPr>
    <w:rPr>
      <w:sz w:val="44"/>
      <w:szCs w:val="44"/>
    </w:rPr>
  </w:style>
  <w:style w:type="character" w:customStyle="1" w:styleId="SubtitleChar">
    <w:name w:val="Subtitle Char"/>
    <w:basedOn w:val="DefaultParagraphFont"/>
    <w:link w:val="Subtitle"/>
    <w:uiPriority w:val="98"/>
    <w:rsid w:val="00FF08EC"/>
    <w:rPr>
      <w:rFonts w:asciiTheme="majorHAnsi" w:eastAsia="Times New Roman" w:hAnsiTheme="majorHAnsi" w:cstheme="majorHAnsi"/>
      <w:b/>
      <w:color w:val="0063A6" w:themeColor="accent1"/>
      <w:spacing w:val="-2"/>
      <w:sz w:val="44"/>
      <w:szCs w:val="44"/>
    </w:rPr>
  </w:style>
  <w:style w:type="paragraph" w:customStyle="1" w:styleId="TertiaryTitle">
    <w:name w:val="Tertiary Title"/>
    <w:next w:val="Normal"/>
    <w:uiPriority w:val="98"/>
    <w:rsid w:val="007B3B66"/>
    <w:pPr>
      <w:spacing w:after="240" w:line="440" w:lineRule="exact"/>
    </w:pPr>
    <w:rPr>
      <w:rFonts w:asciiTheme="majorHAnsi" w:eastAsia="Times New Roman" w:hAnsiTheme="majorHAnsi" w:cstheme="majorHAnsi"/>
      <w:color w:val="0063A6" w:themeColor="accent1"/>
      <w:spacing w:val="-2"/>
      <w:sz w:val="22"/>
      <w:szCs w:val="40"/>
      <w:lang w:eastAsia="en-US"/>
    </w:rPr>
  </w:style>
  <w:style w:type="paragraph" w:styleId="Title">
    <w:name w:val="Title"/>
    <w:link w:val="TitleChar"/>
    <w:uiPriority w:val="97"/>
    <w:rsid w:val="00CE5B2C"/>
    <w:pPr>
      <w:spacing w:before="480" w:after="0" w:line="252" w:lineRule="auto"/>
    </w:pPr>
    <w:rPr>
      <w:rFonts w:asciiTheme="majorHAnsi" w:eastAsia="Times New Roman" w:hAnsiTheme="majorHAnsi" w:cstheme="majorHAnsi"/>
      <w:b/>
      <w:color w:val="0063A6" w:themeColor="accent1"/>
      <w:spacing w:val="-2"/>
      <w:sz w:val="96"/>
      <w:szCs w:val="96"/>
    </w:rPr>
  </w:style>
  <w:style w:type="character" w:customStyle="1" w:styleId="TitleChar">
    <w:name w:val="Title Char"/>
    <w:basedOn w:val="DefaultParagraphFont"/>
    <w:link w:val="Title"/>
    <w:uiPriority w:val="97"/>
    <w:rsid w:val="00CE5B2C"/>
    <w:rPr>
      <w:rFonts w:asciiTheme="majorHAnsi" w:eastAsia="Times New Roman" w:hAnsiTheme="majorHAnsi" w:cstheme="majorHAnsi"/>
      <w:b/>
      <w:color w:val="0063A6" w:themeColor="accent1"/>
      <w:spacing w:val="-2"/>
      <w:sz w:val="96"/>
      <w:szCs w:val="96"/>
    </w:rPr>
  </w:style>
  <w:style w:type="paragraph" w:styleId="BalloonText">
    <w:name w:val="Balloon Text"/>
    <w:basedOn w:val="Normal"/>
    <w:link w:val="BalloonTextChar"/>
    <w:uiPriority w:val="99"/>
    <w:semiHidden/>
    <w:rsid w:val="002320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202C"/>
    <w:rPr>
      <w:rFonts w:ascii="Tahoma" w:hAnsi="Tahoma" w:cs="Tahoma"/>
      <w:spacing w:val="2"/>
      <w:sz w:val="16"/>
      <w:szCs w:val="16"/>
    </w:rPr>
  </w:style>
  <w:style w:type="paragraph" w:customStyle="1" w:styleId="Bulletindent2">
    <w:name w:val="Bullet indent 2"/>
    <w:basedOn w:val="Normal"/>
    <w:uiPriority w:val="9"/>
    <w:qFormat/>
    <w:rsid w:val="00EC171D"/>
    <w:pPr>
      <w:numPr>
        <w:ilvl w:val="3"/>
        <w:numId w:val="1"/>
      </w:numPr>
      <w:spacing w:before="100"/>
      <w:contextualSpacing/>
    </w:pPr>
  </w:style>
  <w:style w:type="paragraph" w:styleId="IndexHeading">
    <w:name w:val="index heading"/>
    <w:basedOn w:val="Normal"/>
    <w:next w:val="Index1"/>
    <w:uiPriority w:val="99"/>
    <w:semiHidden/>
    <w:rsid w:val="00EC171D"/>
    <w:rPr>
      <w:rFonts w:asciiTheme="majorHAnsi" w:eastAsiaTheme="majorEastAsia" w:hAnsiTheme="majorHAnsi" w:cstheme="majorBidi"/>
      <w:b/>
      <w:bCs/>
    </w:rPr>
  </w:style>
  <w:style w:type="paragraph" w:styleId="Header">
    <w:name w:val="header"/>
    <w:basedOn w:val="Normal"/>
    <w:link w:val="HeaderChar"/>
    <w:uiPriority w:val="99"/>
    <w:semiHidden/>
    <w:rsid w:val="00EC171D"/>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EC171D"/>
    <w:rPr>
      <w:spacing w:val="2"/>
    </w:rPr>
  </w:style>
  <w:style w:type="paragraph" w:styleId="Footer">
    <w:name w:val="footer"/>
    <w:basedOn w:val="Normal"/>
    <w:link w:val="FooterChar"/>
    <w:uiPriority w:val="24"/>
    <w:rsid w:val="00F417C3"/>
    <w:pPr>
      <w:tabs>
        <w:tab w:val="right" w:pos="9026"/>
      </w:tabs>
      <w:spacing w:before="0" w:after="0" w:line="240" w:lineRule="auto"/>
    </w:pPr>
    <w:rPr>
      <w:noProof/>
      <w:sz w:val="18"/>
      <w:szCs w:val="18"/>
    </w:rPr>
  </w:style>
  <w:style w:type="character" w:customStyle="1" w:styleId="FooterChar">
    <w:name w:val="Footer Char"/>
    <w:basedOn w:val="DefaultParagraphFont"/>
    <w:link w:val="Footer"/>
    <w:uiPriority w:val="24"/>
    <w:rsid w:val="00F417C3"/>
    <w:rPr>
      <w:noProof/>
      <w:spacing w:val="2"/>
      <w:sz w:val="18"/>
      <w:szCs w:val="18"/>
    </w:rPr>
  </w:style>
  <w:style w:type="character" w:styleId="PageNumber">
    <w:name w:val="page number"/>
    <w:uiPriority w:val="49"/>
    <w:semiHidden/>
    <w:rsid w:val="00F417C3"/>
    <w:rPr>
      <w:b w:val="0"/>
      <w:color w:val="000000" w:themeColor="text1"/>
    </w:rPr>
  </w:style>
  <w:style w:type="paragraph" w:styleId="TOCHeading">
    <w:name w:val="TOC Heading"/>
    <w:basedOn w:val="Heading1"/>
    <w:next w:val="Normal"/>
    <w:uiPriority w:val="39"/>
    <w:rsid w:val="00CE5B2C"/>
    <w:pPr>
      <w:spacing w:before="720" w:after="240"/>
      <w:outlineLvl w:val="9"/>
    </w:pPr>
    <w:rPr>
      <w:color w:val="53565A"/>
      <w:spacing w:val="2"/>
      <w:sz w:val="36"/>
      <w:szCs w:val="36"/>
    </w:rPr>
  </w:style>
  <w:style w:type="paragraph" w:customStyle="1" w:styleId="NormalTight">
    <w:name w:val="Normal Tight"/>
    <w:uiPriority w:val="99"/>
    <w:semiHidden/>
    <w:rsid w:val="00EC171D"/>
    <w:pPr>
      <w:spacing w:after="0" w:line="240" w:lineRule="auto"/>
      <w:ind w:right="2366"/>
    </w:pPr>
    <w:rPr>
      <w:rFonts w:eastAsia="Times New Roman" w:cs="Calibri"/>
      <w:sz w:val="18"/>
      <w:szCs w:val="19"/>
      <w:lang w:eastAsia="en-US"/>
    </w:rPr>
  </w:style>
  <w:style w:type="paragraph" w:styleId="BodyText">
    <w:name w:val="Body Text"/>
    <w:basedOn w:val="Normal"/>
    <w:link w:val="BodyTextChar"/>
    <w:uiPriority w:val="49"/>
    <w:semiHidden/>
    <w:rsid w:val="00EC171D"/>
    <w:pPr>
      <w:spacing w:before="100" w:line="240" w:lineRule="auto"/>
      <w:ind w:left="794"/>
    </w:pPr>
    <w:rPr>
      <w:rFonts w:ascii="Calibri" w:eastAsia="Times New Roman" w:hAnsi="Calibri" w:cs="Calibri"/>
      <w:spacing w:val="0"/>
      <w:sz w:val="22"/>
      <w:szCs w:val="22"/>
    </w:rPr>
  </w:style>
  <w:style w:type="character" w:customStyle="1" w:styleId="BodyTextChar">
    <w:name w:val="Body Text Char"/>
    <w:basedOn w:val="DefaultParagraphFont"/>
    <w:link w:val="BodyText"/>
    <w:uiPriority w:val="49"/>
    <w:semiHidden/>
    <w:rsid w:val="00EC171D"/>
    <w:rPr>
      <w:rFonts w:ascii="Calibri" w:eastAsia="Times New Roman" w:hAnsi="Calibri" w:cs="Calibri"/>
      <w:sz w:val="22"/>
      <w:szCs w:val="22"/>
    </w:rPr>
  </w:style>
  <w:style w:type="paragraph" w:customStyle="1" w:styleId="Insidecoverspacer">
    <w:name w:val="Inside cover spacer"/>
    <w:basedOn w:val="NormalTight"/>
    <w:uiPriority w:val="99"/>
    <w:semiHidden/>
    <w:qFormat/>
    <w:rsid w:val="00EC171D"/>
    <w:pPr>
      <w:spacing w:before="5800"/>
      <w:ind w:right="1382"/>
    </w:pPr>
  </w:style>
  <w:style w:type="paragraph" w:styleId="TOC4">
    <w:name w:val="toc 4"/>
    <w:basedOn w:val="TOC1"/>
    <w:next w:val="Normal"/>
    <w:uiPriority w:val="39"/>
    <w:rsid w:val="00EC171D"/>
    <w:pPr>
      <w:ind w:left="450" w:hanging="450"/>
    </w:pPr>
    <w:rPr>
      <w:lang w:eastAsia="en-US"/>
    </w:rPr>
  </w:style>
  <w:style w:type="paragraph" w:styleId="TOC5">
    <w:name w:val="toc 5"/>
    <w:basedOn w:val="TOC2"/>
    <w:next w:val="Normal"/>
    <w:uiPriority w:val="39"/>
    <w:rsid w:val="00EC171D"/>
    <w:pPr>
      <w:ind w:left="1080" w:hanging="634"/>
    </w:pPr>
    <w:rPr>
      <w:lang w:eastAsia="en-US"/>
    </w:rPr>
  </w:style>
  <w:style w:type="paragraph" w:styleId="TOC6">
    <w:name w:val="toc 6"/>
    <w:basedOn w:val="TOC3"/>
    <w:next w:val="Normal"/>
    <w:uiPriority w:val="39"/>
    <w:rsid w:val="00EC171D"/>
    <w:pPr>
      <w:ind w:left="1800" w:hanging="720"/>
    </w:pPr>
    <w:rPr>
      <w:lang w:eastAsia="en-US"/>
    </w:rPr>
  </w:style>
  <w:style w:type="table" w:customStyle="1" w:styleId="DTFtexttable">
    <w:name w:val="DTF text table"/>
    <w:basedOn w:val="TableGrid"/>
    <w:uiPriority w:val="99"/>
    <w:rsid w:val="0057713F"/>
    <w:pPr>
      <w:spacing w:before="30" w:after="30" w:line="264" w:lineRule="auto"/>
      <w:jc w:val="left"/>
    </w:pPr>
    <w:tblPr/>
    <w:tblStylePr w:type="firstRow">
      <w:pPr>
        <w:keepNext/>
        <w:keepLines/>
        <w:widowControl/>
        <w:wordWrap/>
        <w:spacing w:beforeLines="0" w:before="120" w:beforeAutospacing="0" w:afterLines="0" w:after="30" w:afterAutospacing="0"/>
        <w:jc w:val="left"/>
      </w:pPr>
      <w:rPr>
        <w:b/>
        <w:i w:val="0"/>
        <w:color w:val="FFFFFF" w:themeColor="background1"/>
      </w:rPr>
      <w:tblPr/>
      <w:trPr>
        <w:cantSplit w:val="0"/>
        <w:tblHeader/>
      </w:trPr>
      <w:tcPr>
        <w:shd w:val="clear" w:color="auto" w:fill="0063A6" w:themeFill="accent1"/>
        <w:vAlign w:val="bottom"/>
      </w:tcPr>
    </w:tblStylePr>
    <w:tblStylePr w:type="lastRow">
      <w:rPr>
        <w:b/>
      </w:rPr>
      <w:tblPr/>
      <w:tcPr>
        <w:tcBorders>
          <w:top w:val="single" w:sz="6" w:space="0" w:color="0063A6" w:themeColor="accent1"/>
          <w:left w:val="nil"/>
          <w:bottom w:val="single" w:sz="12" w:space="0" w:color="0063A6" w:themeColor="accent1"/>
          <w:right w:val="nil"/>
          <w:insideV w:val="nil"/>
        </w:tcBorders>
      </w:tcPr>
    </w:tblStylePr>
    <w:tblStylePr w:type="firstCol">
      <w:pPr>
        <w:jc w:val="left"/>
      </w:pPr>
      <w:tblPr/>
      <w:tcPr>
        <w:shd w:val="clear" w:color="auto" w:fill="E3EBF4" w:themeFill="accent3" w:themeFillTint="33"/>
      </w:tcPr>
    </w:tblStylePr>
    <w:tblStylePr w:type="lastCol">
      <w:pPr>
        <w:jc w:val="left"/>
      </w:pPr>
    </w:tblStylePr>
    <w:tblStylePr w:type="band1Vert">
      <w:pPr>
        <w:jc w:val="left"/>
      </w:pPr>
    </w:tblStylePr>
    <w:tblStylePr w:type="band2Vert">
      <w:pPr>
        <w:jc w:val="left"/>
      </w:pPr>
    </w:tblStylePr>
    <w:tblStylePr w:type="band2Horz">
      <w:tblPr/>
      <w:tcPr>
        <w:shd w:val="clear" w:color="auto" w:fill="E3EBF4" w:themeFill="accent3" w:themeFillTint="33"/>
      </w:tcPr>
    </w:tblStylePr>
    <w:tblStylePr w:type="neCell">
      <w:pPr>
        <w:jc w:val="left"/>
      </w:pPr>
    </w:tblStylePr>
    <w:tblStylePr w:type="nwCell">
      <w:pPr>
        <w:jc w:val="left"/>
      </w:pPr>
    </w:tblStylePr>
    <w:tblStylePr w:type="seCell">
      <w:pPr>
        <w:jc w:val="left"/>
      </w:pPr>
    </w:tblStylePr>
    <w:tblStylePr w:type="swCell">
      <w:pPr>
        <w:jc w:val="left"/>
      </w:pPr>
    </w:tblStylePr>
  </w:style>
  <w:style w:type="table" w:customStyle="1" w:styleId="DTFfinancialtable">
    <w:name w:val="DTF financial table"/>
    <w:basedOn w:val="TableGrid"/>
    <w:uiPriority w:val="99"/>
    <w:rsid w:val="006A5F5B"/>
    <w:pPr>
      <w:spacing w:before="30" w:after="30" w:line="264" w:lineRule="auto"/>
    </w:pPr>
    <w:tblPr/>
    <w:tblStylePr w:type="firstRow">
      <w:pPr>
        <w:keepNext/>
        <w:keepLines/>
        <w:widowControl/>
        <w:wordWrap/>
        <w:spacing w:beforeLines="0" w:before="120" w:beforeAutospacing="0" w:afterLines="0" w:after="30" w:afterAutospacing="0"/>
        <w:jc w:val="right"/>
      </w:pPr>
      <w:rPr>
        <w:i w:val="0"/>
        <w:color w:val="FFFFFF" w:themeColor="background1"/>
      </w:rPr>
      <w:tblPr/>
      <w:tcPr>
        <w:shd w:val="clear" w:color="auto" w:fill="0063A6" w:themeFill="accent1"/>
        <w:vAlign w:val="bottom"/>
      </w:tcPr>
    </w:tblStylePr>
    <w:tblStylePr w:type="lastRow">
      <w:rPr>
        <w:b/>
      </w:rPr>
      <w:tblPr/>
      <w:tcPr>
        <w:tcBorders>
          <w:top w:val="single" w:sz="6" w:space="0" w:color="0063A6" w:themeColor="accent1"/>
          <w:left w:val="nil"/>
          <w:bottom w:val="single" w:sz="12" w:space="0" w:color="0063A6" w:themeColor="accent1"/>
          <w:right w:val="nil"/>
          <w:insideV w:val="nil"/>
        </w:tcBorders>
      </w:tcPr>
    </w:tblStylePr>
    <w:tblStylePr w:type="firstCol">
      <w:pPr>
        <w:jc w:val="left"/>
      </w:pPr>
      <w:tblPr/>
      <w:tcPr>
        <w:shd w:val="clear" w:color="auto" w:fill="E3EBF4" w:themeFill="accent3" w:themeFillTint="33"/>
      </w:tcPr>
    </w:tblStylePr>
    <w:tblStylePr w:type="band1Vert">
      <w:pPr>
        <w:jc w:val="right"/>
      </w:pPr>
    </w:tblStylePr>
    <w:tblStylePr w:type="band2Vert">
      <w:pPr>
        <w:jc w:val="right"/>
      </w:pPr>
    </w:tblStylePr>
    <w:tblStylePr w:type="band2Horz">
      <w:tblPr/>
      <w:tcPr>
        <w:shd w:val="clear" w:color="auto" w:fill="E3EBF4" w:themeFill="accent3" w:themeFillTint="33"/>
      </w:tcPr>
    </w:tblStylePr>
    <w:tblStylePr w:type="nwCell">
      <w:pPr>
        <w:jc w:val="left"/>
      </w:pPr>
      <w:tblPr/>
      <w:tcPr>
        <w:vAlign w:val="bottom"/>
      </w:tcPr>
    </w:tblStylePr>
  </w:style>
  <w:style w:type="paragraph" w:customStyle="1" w:styleId="Tabletext">
    <w:name w:val="Table text"/>
    <w:basedOn w:val="Normal"/>
    <w:uiPriority w:val="5"/>
    <w:qFormat/>
    <w:rsid w:val="00652625"/>
    <w:pPr>
      <w:spacing w:before="60" w:after="60" w:line="264" w:lineRule="auto"/>
    </w:pPr>
    <w:rPr>
      <w:sz w:val="17"/>
    </w:rPr>
  </w:style>
  <w:style w:type="paragraph" w:customStyle="1" w:styleId="Tabletextright">
    <w:name w:val="Table text right"/>
    <w:basedOn w:val="Tabletext"/>
    <w:uiPriority w:val="5"/>
    <w:qFormat/>
    <w:rsid w:val="00EC171D"/>
    <w:pPr>
      <w:jc w:val="right"/>
    </w:pPr>
  </w:style>
  <w:style w:type="paragraph" w:customStyle="1" w:styleId="Listnumindent2">
    <w:name w:val="List num indent 2"/>
    <w:basedOn w:val="Normal"/>
    <w:uiPriority w:val="9"/>
    <w:qFormat/>
    <w:rsid w:val="00EC171D"/>
    <w:pPr>
      <w:numPr>
        <w:ilvl w:val="7"/>
        <w:numId w:val="25"/>
      </w:numPr>
      <w:spacing w:before="100"/>
      <w:contextualSpacing/>
    </w:pPr>
  </w:style>
  <w:style w:type="paragraph" w:customStyle="1" w:styleId="Listnumindent">
    <w:name w:val="List num indent"/>
    <w:basedOn w:val="Normal"/>
    <w:uiPriority w:val="9"/>
    <w:qFormat/>
    <w:rsid w:val="00EC171D"/>
    <w:pPr>
      <w:numPr>
        <w:ilvl w:val="6"/>
        <w:numId w:val="25"/>
      </w:numPr>
      <w:spacing w:before="100"/>
    </w:pPr>
  </w:style>
  <w:style w:type="paragraph" w:customStyle="1" w:styleId="Listnum">
    <w:name w:val="List num"/>
    <w:basedOn w:val="Normal"/>
    <w:uiPriority w:val="1"/>
    <w:qFormat/>
    <w:rsid w:val="00EC171D"/>
    <w:pPr>
      <w:numPr>
        <w:numId w:val="25"/>
      </w:numPr>
    </w:pPr>
  </w:style>
  <w:style w:type="paragraph" w:customStyle="1" w:styleId="Listnum2">
    <w:name w:val="List num 2"/>
    <w:basedOn w:val="Normal"/>
    <w:uiPriority w:val="1"/>
    <w:qFormat/>
    <w:rsid w:val="00EC171D"/>
    <w:pPr>
      <w:numPr>
        <w:ilvl w:val="1"/>
        <w:numId w:val="25"/>
      </w:numPr>
    </w:pPr>
  </w:style>
  <w:style w:type="paragraph" w:customStyle="1" w:styleId="Tabletextcentred">
    <w:name w:val="Table text centred"/>
    <w:basedOn w:val="Tabletext"/>
    <w:uiPriority w:val="5"/>
    <w:qFormat/>
    <w:rsid w:val="00EC171D"/>
    <w:pPr>
      <w:jc w:val="center"/>
    </w:pPr>
  </w:style>
  <w:style w:type="paragraph" w:customStyle="1" w:styleId="Tableheader">
    <w:name w:val="Table header"/>
    <w:basedOn w:val="Tabletext"/>
    <w:uiPriority w:val="5"/>
    <w:qFormat/>
    <w:rsid w:val="00BE0B17"/>
    <w:pPr>
      <w:keepNext/>
      <w:keepLines/>
      <w:spacing w:before="120"/>
    </w:pPr>
    <w:rPr>
      <w:rFonts w:eastAsiaTheme="minorHAnsi"/>
      <w:b/>
      <w:color w:val="FFFFFF" w:themeColor="background1"/>
      <w:sz w:val="18"/>
      <w:szCs w:val="21"/>
      <w:lang w:eastAsia="en-US"/>
    </w:rPr>
  </w:style>
  <w:style w:type="paragraph" w:customStyle="1" w:styleId="Tablebullet">
    <w:name w:val="Table bullet"/>
    <w:basedOn w:val="Tabletext"/>
    <w:uiPriority w:val="6"/>
    <w:rsid w:val="00D211E9"/>
    <w:pPr>
      <w:numPr>
        <w:numId w:val="27"/>
      </w:numPr>
    </w:pPr>
  </w:style>
  <w:style w:type="paragraph" w:customStyle="1" w:styleId="Tabledash">
    <w:name w:val="Table dash"/>
    <w:basedOn w:val="Tablebullet"/>
    <w:uiPriority w:val="6"/>
    <w:rsid w:val="00D211E9"/>
    <w:pPr>
      <w:numPr>
        <w:ilvl w:val="1"/>
      </w:numPr>
    </w:pPr>
  </w:style>
  <w:style w:type="paragraph" w:customStyle="1" w:styleId="Tabletextindent">
    <w:name w:val="Table text indent"/>
    <w:basedOn w:val="Tabletext"/>
    <w:uiPriority w:val="5"/>
    <w:qFormat/>
    <w:rsid w:val="00D211E9"/>
    <w:pPr>
      <w:ind w:left="288"/>
    </w:pPr>
  </w:style>
  <w:style w:type="paragraph" w:customStyle="1" w:styleId="Numpara">
    <w:name w:val="Num para"/>
    <w:basedOn w:val="ListParagraph"/>
    <w:uiPriority w:val="2"/>
    <w:qFormat/>
    <w:rsid w:val="00EF0D21"/>
    <w:pPr>
      <w:numPr>
        <w:numId w:val="24"/>
      </w:numPr>
      <w:tabs>
        <w:tab w:val="left" w:pos="540"/>
      </w:tabs>
    </w:pPr>
  </w:style>
  <w:style w:type="paragraph" w:styleId="ListParagraph">
    <w:name w:val="List Paragraph"/>
    <w:basedOn w:val="Normal"/>
    <w:uiPriority w:val="34"/>
    <w:semiHidden/>
    <w:qFormat/>
    <w:rsid w:val="006361E7"/>
    <w:pPr>
      <w:ind w:left="720"/>
      <w:contextualSpacing/>
    </w:pPr>
  </w:style>
  <w:style w:type="paragraph" w:customStyle="1" w:styleId="Tablechartdiagramheading">
    <w:name w:val="Table/chart/diagram heading"/>
    <w:uiPriority w:val="4"/>
    <w:qFormat/>
    <w:rsid w:val="00EF0D21"/>
    <w:pPr>
      <w:tabs>
        <w:tab w:val="left" w:pos="1080"/>
      </w:tabs>
      <w:spacing w:before="160" w:after="100"/>
    </w:pPr>
    <w:rPr>
      <w:b/>
      <w:bCs/>
      <w:color w:val="0063A6" w:themeColor="accent1"/>
      <w:spacing w:val="2"/>
      <w:sz w:val="18"/>
      <w:szCs w:val="18"/>
    </w:rPr>
  </w:style>
  <w:style w:type="paragraph" w:styleId="FootnoteText">
    <w:name w:val="footnote text"/>
    <w:basedOn w:val="Normal"/>
    <w:link w:val="FootnoteTextChar"/>
    <w:uiPriority w:val="99"/>
    <w:semiHidden/>
    <w:rsid w:val="003C2EA2"/>
    <w:pPr>
      <w:spacing w:before="0" w:after="0" w:line="240" w:lineRule="auto"/>
    </w:pPr>
    <w:rPr>
      <w:sz w:val="17"/>
    </w:rPr>
  </w:style>
  <w:style w:type="character" w:customStyle="1" w:styleId="FootnoteTextChar">
    <w:name w:val="Footnote Text Char"/>
    <w:basedOn w:val="DefaultParagraphFont"/>
    <w:link w:val="FootnoteText"/>
    <w:uiPriority w:val="99"/>
    <w:semiHidden/>
    <w:rsid w:val="003C2EA2"/>
    <w:rPr>
      <w:spacing w:val="2"/>
      <w:sz w:val="17"/>
    </w:rPr>
  </w:style>
  <w:style w:type="character" w:styleId="FootnoteReference">
    <w:name w:val="footnote reference"/>
    <w:basedOn w:val="DefaultParagraphFont"/>
    <w:uiPriority w:val="99"/>
    <w:semiHidden/>
    <w:rsid w:val="003C2EA2"/>
    <w:rPr>
      <w:vertAlign w:val="superscript"/>
    </w:rPr>
  </w:style>
  <w:style w:type="table" w:customStyle="1" w:styleId="DTFfinancialtableindent">
    <w:name w:val="DTF financial table indent"/>
    <w:basedOn w:val="DTFfinancialtable"/>
    <w:uiPriority w:val="99"/>
    <w:rsid w:val="00EF0D21"/>
    <w:pPr>
      <w:spacing w:after="0" w:line="240" w:lineRule="auto"/>
    </w:pPr>
    <w:tblPr>
      <w:tblInd w:w="821" w:type="dxa"/>
    </w:tblPr>
    <w:trPr>
      <w:cantSplit w:val="0"/>
    </w:trPr>
    <w:tblStylePr w:type="firstRow">
      <w:pPr>
        <w:keepNext/>
        <w:keepLines/>
        <w:widowControl/>
        <w:wordWrap/>
        <w:spacing w:beforeLines="0" w:before="120" w:beforeAutospacing="0" w:afterLines="0" w:after="30" w:afterAutospacing="0"/>
        <w:jc w:val="right"/>
      </w:pPr>
      <w:rPr>
        <w:i w:val="0"/>
        <w:color w:val="FFFFFF" w:themeColor="background1"/>
      </w:rPr>
      <w:tblPr/>
      <w:trPr>
        <w:tblHeader/>
      </w:trPr>
      <w:tcPr>
        <w:shd w:val="clear" w:color="auto" w:fill="0063A6" w:themeFill="accent1"/>
        <w:vAlign w:val="bottom"/>
      </w:tcPr>
    </w:tblStylePr>
    <w:tblStylePr w:type="lastRow">
      <w:rPr>
        <w:b/>
      </w:rPr>
      <w:tblPr/>
      <w:tcPr>
        <w:tcBorders>
          <w:top w:val="single" w:sz="6" w:space="0" w:color="0063A6" w:themeColor="accent1"/>
          <w:left w:val="nil"/>
          <w:bottom w:val="single" w:sz="12" w:space="0" w:color="0063A6" w:themeColor="accent1"/>
          <w:right w:val="nil"/>
          <w:insideV w:val="nil"/>
        </w:tcBorders>
      </w:tcPr>
    </w:tblStylePr>
    <w:tblStylePr w:type="firstCol">
      <w:pPr>
        <w:jc w:val="left"/>
      </w:pPr>
      <w:tblPr/>
      <w:tcPr>
        <w:shd w:val="clear" w:color="auto" w:fill="E3EBF4" w:themeFill="accent3" w:themeFillTint="33"/>
      </w:tcPr>
    </w:tblStylePr>
    <w:tblStylePr w:type="band1Vert">
      <w:pPr>
        <w:jc w:val="right"/>
      </w:pPr>
    </w:tblStylePr>
    <w:tblStylePr w:type="band2Vert">
      <w:pPr>
        <w:jc w:val="right"/>
      </w:pPr>
    </w:tblStylePr>
    <w:tblStylePr w:type="band2Horz">
      <w:tblPr/>
      <w:tcPr>
        <w:shd w:val="clear" w:color="auto" w:fill="E3EBF4" w:themeFill="accent3" w:themeFillTint="33"/>
      </w:tcPr>
    </w:tblStylePr>
    <w:tblStylePr w:type="nwCell">
      <w:pPr>
        <w:jc w:val="left"/>
      </w:pPr>
      <w:tblPr/>
      <w:tcPr>
        <w:vAlign w:val="bottom"/>
      </w:tcPr>
    </w:tblStylePr>
  </w:style>
  <w:style w:type="table" w:customStyle="1" w:styleId="DTFtexttableindent">
    <w:name w:val="DTF text table indent"/>
    <w:basedOn w:val="DTFtexttable"/>
    <w:uiPriority w:val="99"/>
    <w:rsid w:val="00EF0D21"/>
    <w:pPr>
      <w:spacing w:after="0" w:line="240" w:lineRule="auto"/>
    </w:pPr>
    <w:tblPr>
      <w:tblInd w:w="821" w:type="dxa"/>
    </w:tblPr>
    <w:tblStylePr w:type="firstRow">
      <w:pPr>
        <w:keepNext/>
        <w:keepLines/>
        <w:widowControl/>
        <w:wordWrap/>
        <w:spacing w:beforeLines="0" w:before="120" w:beforeAutospacing="0" w:afterLines="0" w:after="30" w:afterAutospacing="0"/>
        <w:jc w:val="left"/>
      </w:pPr>
      <w:rPr>
        <w:b/>
        <w:i w:val="0"/>
        <w:color w:val="FFFFFF" w:themeColor="background1"/>
      </w:rPr>
      <w:tblPr/>
      <w:trPr>
        <w:cantSplit w:val="0"/>
        <w:tblHeader/>
      </w:trPr>
      <w:tcPr>
        <w:shd w:val="clear" w:color="auto" w:fill="0063A6" w:themeFill="accent1"/>
        <w:vAlign w:val="bottom"/>
      </w:tcPr>
    </w:tblStylePr>
    <w:tblStylePr w:type="lastRow">
      <w:rPr>
        <w:b/>
      </w:rPr>
      <w:tblPr/>
      <w:tcPr>
        <w:tcBorders>
          <w:top w:val="single" w:sz="6" w:space="0" w:color="0063A6" w:themeColor="accent1"/>
          <w:left w:val="nil"/>
          <w:bottom w:val="single" w:sz="12" w:space="0" w:color="0063A6" w:themeColor="accent1"/>
          <w:right w:val="nil"/>
          <w:insideV w:val="nil"/>
        </w:tcBorders>
      </w:tcPr>
    </w:tblStylePr>
    <w:tblStylePr w:type="firstCol">
      <w:pPr>
        <w:jc w:val="left"/>
      </w:pPr>
      <w:tblPr/>
      <w:tcPr>
        <w:shd w:val="clear" w:color="auto" w:fill="E3EBF4" w:themeFill="accent3" w:themeFillTint="33"/>
      </w:tcPr>
    </w:tblStylePr>
    <w:tblStylePr w:type="lastCol">
      <w:pPr>
        <w:jc w:val="left"/>
      </w:pPr>
    </w:tblStylePr>
    <w:tblStylePr w:type="band1Vert">
      <w:pPr>
        <w:jc w:val="left"/>
      </w:pPr>
    </w:tblStylePr>
    <w:tblStylePr w:type="band2Vert">
      <w:pPr>
        <w:jc w:val="left"/>
      </w:pPr>
    </w:tblStylePr>
    <w:tblStylePr w:type="band2Horz">
      <w:tblPr/>
      <w:tcPr>
        <w:shd w:val="clear" w:color="auto" w:fill="E3EBF4" w:themeFill="accent3" w:themeFillTint="33"/>
      </w:tcPr>
    </w:tblStylePr>
    <w:tblStylePr w:type="neCell">
      <w:pPr>
        <w:jc w:val="left"/>
      </w:pPr>
    </w:tblStylePr>
    <w:tblStylePr w:type="nwCell">
      <w:pPr>
        <w:jc w:val="left"/>
      </w:pPr>
    </w:tblStylePr>
    <w:tblStylePr w:type="seCell">
      <w:pPr>
        <w:jc w:val="left"/>
      </w:pPr>
    </w:tblStylePr>
    <w:tblStylePr w:type="swCell">
      <w:pPr>
        <w:jc w:val="left"/>
      </w:pPr>
    </w:tblStylePr>
  </w:style>
  <w:style w:type="paragraph" w:customStyle="1" w:styleId="Numparaindent">
    <w:name w:val="Num para indent"/>
    <w:basedOn w:val="Numpara"/>
    <w:uiPriority w:val="9"/>
    <w:qFormat/>
    <w:rsid w:val="00EF0D21"/>
    <w:pPr>
      <w:numPr>
        <w:ilvl w:val="8"/>
        <w:numId w:val="25"/>
      </w:numPr>
      <w:tabs>
        <w:tab w:val="clear" w:pos="540"/>
      </w:tabs>
    </w:pPr>
  </w:style>
  <w:style w:type="paragraph" w:customStyle="1" w:styleId="Tablenum1">
    <w:name w:val="Table num 1"/>
    <w:basedOn w:val="Normal"/>
    <w:uiPriority w:val="6"/>
    <w:rsid w:val="00EF0D21"/>
    <w:pPr>
      <w:numPr>
        <w:ilvl w:val="2"/>
        <w:numId w:val="27"/>
      </w:numPr>
    </w:pPr>
    <w:rPr>
      <w:sz w:val="17"/>
    </w:rPr>
  </w:style>
  <w:style w:type="paragraph" w:customStyle="1" w:styleId="Tablenum2">
    <w:name w:val="Table num 2"/>
    <w:basedOn w:val="Normal"/>
    <w:uiPriority w:val="6"/>
    <w:rsid w:val="00EF0D21"/>
    <w:pPr>
      <w:numPr>
        <w:ilvl w:val="3"/>
        <w:numId w:val="27"/>
      </w:numPr>
    </w:pPr>
    <w:rPr>
      <w:sz w:val="17"/>
    </w:rPr>
  </w:style>
  <w:style w:type="paragraph" w:customStyle="1" w:styleId="NoteNormalindent">
    <w:name w:val="Note Normal indent"/>
    <w:basedOn w:val="NoteNormal"/>
    <w:uiPriority w:val="8"/>
    <w:rsid w:val="00D543E5"/>
    <w:pPr>
      <w:ind w:left="792"/>
    </w:pPr>
  </w:style>
  <w:style w:type="paragraph" w:styleId="Caption">
    <w:name w:val="caption"/>
    <w:basedOn w:val="Normal"/>
    <w:next w:val="Normal"/>
    <w:uiPriority w:val="35"/>
    <w:rsid w:val="00D71896"/>
    <w:pPr>
      <w:spacing w:before="0" w:after="200" w:line="240" w:lineRule="auto"/>
    </w:pPr>
    <w:rPr>
      <w:b/>
      <w:bCs/>
      <w:color w:val="383834" w:themeColor="background2" w:themeShade="40"/>
      <w:sz w:val="18"/>
      <w:szCs w:val="18"/>
    </w:rPr>
  </w:style>
  <w:style w:type="paragraph" w:customStyle="1" w:styleId="Tableheaderright">
    <w:name w:val="Table header right"/>
    <w:basedOn w:val="Tableheader"/>
    <w:uiPriority w:val="5"/>
    <w:qFormat/>
    <w:rsid w:val="00D33D67"/>
    <w:pPr>
      <w:ind w:right="123"/>
      <w:jc w:val="right"/>
    </w:pPr>
  </w:style>
  <w:style w:type="paragraph" w:styleId="ListBullet">
    <w:name w:val="List Bullet"/>
    <w:basedOn w:val="Normal"/>
    <w:uiPriority w:val="99"/>
    <w:semiHidden/>
    <w:rsid w:val="00104C67"/>
    <w:pPr>
      <w:numPr>
        <w:numId w:val="28"/>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DTF colours">
      <a:dk1>
        <a:sysClr val="windowText" lastClr="000000"/>
      </a:dk1>
      <a:lt1>
        <a:sysClr val="window" lastClr="FFFFFF"/>
      </a:lt1>
      <a:dk2>
        <a:srgbClr val="201547"/>
      </a:dk2>
      <a:lt2>
        <a:srgbClr val="D9D9D6"/>
      </a:lt2>
      <a:accent1>
        <a:srgbClr val="0063A6"/>
      </a:accent1>
      <a:accent2>
        <a:srgbClr val="0F0248"/>
      </a:accent2>
      <a:accent3>
        <a:srgbClr val="749CC9"/>
      </a:accent3>
      <a:accent4>
        <a:srgbClr val="0072CE"/>
      </a:accent4>
      <a:accent5>
        <a:srgbClr val="009CDE"/>
      </a:accent5>
      <a:accent6>
        <a:srgbClr val="8A2A2B"/>
      </a:accent6>
      <a:hlink>
        <a:srgbClr val="53565A"/>
      </a:hlink>
      <a:folHlink>
        <a:srgbClr val="8A2A2B"/>
      </a:folHlink>
    </a:clrScheme>
    <a:fontScheme name="DTF 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6462E7-F642-4236-BB4A-2E118E5094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241</TotalTime>
  <Pages>6</Pages>
  <Words>1324</Words>
  <Characters>7549</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Department of Treasury and Finance</Company>
  <LinksUpToDate>false</LinksUpToDate>
  <CharactersWithSpaces>8856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Julie Marsal</dc:creator>
  <cp:lastModifiedBy>Jin Zhang (DTF)</cp:lastModifiedBy>
  <cp:revision>60</cp:revision>
  <cp:lastPrinted>2018-09-17T02:48:00Z</cp:lastPrinted>
  <dcterms:created xsi:type="dcterms:W3CDTF">2016-10-30T22:10:00Z</dcterms:created>
  <dcterms:modified xsi:type="dcterms:W3CDTF">2018-11-28T05:46:00Z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b2f3e38c-5ed7-48a1-9c2a-4aefb4bc80b6</vt:lpwstr>
  </property>
  <property fmtid="{D5CDD505-2E9C-101B-9397-08002B2CF9AE}" pid="3" name="PSPFClassification">
    <vt:lpwstr>Do Not Mark</vt:lpwstr>
  </property>
  <property fmtid="{D5CDD505-2E9C-101B-9397-08002B2CF9AE}" pid="4" name="Classification">
    <vt:lpwstr>Do Not Mark</vt:lpwstr>
  </property>
</Properties>
</file>